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9B" w:rsidRDefault="00AD61E7" w:rsidP="00AD61E7">
      <w:pPr>
        <w:pStyle w:val="Pagedecouverture"/>
        <w:rPr>
          <w:lang w:val="fr-BE"/>
        </w:rPr>
      </w:pPr>
      <w:bookmarkStart w:id="0" w:name="LW_BM_COVERPAGE"/>
      <w:r>
        <w:rPr>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41966F1-7EA6-4B9F-B363-06CE25CB9B3E" style="width:450.25pt;height:457.9pt">
            <v:imagedata r:id="rId9" o:title=""/>
          </v:shape>
        </w:pict>
      </w:r>
    </w:p>
    <w:bookmarkEnd w:id="0"/>
    <w:p w:rsidR="00C22399" w:rsidRDefault="00C22399" w:rsidP="00C22399">
      <w:pPr>
        <w:rPr>
          <w:lang w:val="fr-BE"/>
        </w:rPr>
        <w:sectPr w:rsidR="00C22399" w:rsidSect="00AD61E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53662" w:rsidRPr="0084736B" w:rsidRDefault="0084736B" w:rsidP="0084736B">
      <w:pPr>
        <w:widowControl w:val="0"/>
        <w:spacing w:after="0" w:line="240" w:lineRule="auto"/>
        <w:jc w:val="center"/>
        <w:rPr>
          <w:rFonts w:ascii="Times New Roman" w:hAnsi="Times New Roman" w:cs="Times New Roman"/>
          <w:b/>
          <w:sz w:val="28"/>
          <w:szCs w:val="28"/>
          <w:lang w:val="fr-BE"/>
        </w:rPr>
      </w:pPr>
      <w:bookmarkStart w:id="1" w:name="_GoBack"/>
      <w:bookmarkEnd w:id="1"/>
      <w:r w:rsidRPr="0084736B">
        <w:rPr>
          <w:rFonts w:ascii="Times New Roman" w:hAnsi="Times New Roman" w:cs="Times New Roman"/>
          <w:b/>
          <w:sz w:val="28"/>
          <w:szCs w:val="28"/>
          <w:lang w:val="fr-BE"/>
        </w:rPr>
        <w:lastRenderedPageBreak/>
        <w:t>RAPPORT SUR LES BENEFICES POUR LA POPULATION DU SAH</w:t>
      </w:r>
      <w:r>
        <w:rPr>
          <w:rFonts w:ascii="Times New Roman" w:hAnsi="Times New Roman" w:cs="Times New Roman"/>
          <w:b/>
          <w:sz w:val="28"/>
          <w:szCs w:val="28"/>
          <w:lang w:val="fr-BE"/>
        </w:rPr>
        <w:t>ARA OCCIDENTAL</w:t>
      </w:r>
      <w:r w:rsidR="00424D21">
        <w:rPr>
          <w:rFonts w:ascii="Times New Roman" w:hAnsi="Times New Roman" w:cs="Times New Roman"/>
          <w:b/>
          <w:sz w:val="28"/>
          <w:szCs w:val="28"/>
          <w:lang w:val="fr-BE"/>
        </w:rPr>
        <w:t>, ET SUR LA CONSULTATION DE CETTE POPULATION,</w:t>
      </w:r>
      <w:r>
        <w:rPr>
          <w:rFonts w:ascii="Times New Roman" w:hAnsi="Times New Roman" w:cs="Times New Roman"/>
          <w:b/>
          <w:sz w:val="28"/>
          <w:szCs w:val="28"/>
          <w:lang w:val="fr-BE"/>
        </w:rPr>
        <w:t xml:space="preserve"> DE L'EXTENSION DE PREFERENCES TARIFAIRES AUX PRODUITS ORIGINAIRES DU SAHARA OCCIDENTAL</w:t>
      </w:r>
    </w:p>
    <w:p w:rsidR="006776FD" w:rsidRPr="0084736B" w:rsidRDefault="006776FD" w:rsidP="0084736B">
      <w:pPr>
        <w:widowControl w:val="0"/>
        <w:spacing w:after="0" w:line="240" w:lineRule="auto"/>
        <w:jc w:val="center"/>
        <w:rPr>
          <w:rFonts w:ascii="Times New Roman" w:hAnsi="Times New Roman" w:cs="Times New Roman"/>
          <w:b/>
          <w:sz w:val="28"/>
          <w:szCs w:val="28"/>
          <w:lang w:val="fr-BE"/>
        </w:rPr>
      </w:pPr>
    </w:p>
    <w:p w:rsidR="0084736B" w:rsidRDefault="00D34C64" w:rsidP="0084736B">
      <w:pPr>
        <w:widowControl w:val="0"/>
        <w:spacing w:after="0" w:line="240" w:lineRule="auto"/>
        <w:jc w:val="center"/>
        <w:rPr>
          <w:rFonts w:ascii="Times New Roman" w:hAnsi="Times New Roman" w:cs="Times New Roman"/>
          <w:b/>
          <w:sz w:val="28"/>
          <w:szCs w:val="28"/>
          <w:lang w:val="fr-BE"/>
        </w:rPr>
      </w:pPr>
      <w:r w:rsidRPr="00D34C64">
        <w:rPr>
          <w:rFonts w:ascii="Times New Roman" w:hAnsi="Times New Roman" w:cs="Times New Roman"/>
          <w:b/>
          <w:sz w:val="28"/>
          <w:szCs w:val="28"/>
          <w:lang w:val="fr-BE"/>
        </w:rPr>
        <w:t>Rapport élaboré par les services de la Commission conjointement avec le Service Européen d’Action Extérieure</w:t>
      </w:r>
    </w:p>
    <w:p w:rsidR="00423348" w:rsidRDefault="00423348" w:rsidP="00423348">
      <w:pPr>
        <w:widowControl w:val="0"/>
        <w:spacing w:after="0" w:line="240" w:lineRule="auto"/>
        <w:jc w:val="center"/>
        <w:rPr>
          <w:rFonts w:ascii="Times New Roman" w:hAnsi="Times New Roman" w:cs="Times New Roman"/>
          <w:b/>
          <w:sz w:val="28"/>
          <w:szCs w:val="28"/>
          <w:lang w:val="fr-BE"/>
        </w:rPr>
      </w:pPr>
    </w:p>
    <w:p w:rsidR="00423348" w:rsidRPr="00C04BAD"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lang w:val="fr-BE"/>
        </w:rPr>
      </w:pPr>
      <w:r w:rsidRPr="00C04BAD">
        <w:rPr>
          <w:rFonts w:ascii="Times New Roman" w:hAnsi="Times New Roman" w:cs="Times New Roman"/>
          <w:b/>
          <w:sz w:val="28"/>
          <w:szCs w:val="28"/>
          <w:lang w:val="fr-BE"/>
        </w:rPr>
        <w:t>Synthèse</w:t>
      </w:r>
    </w:p>
    <w:p w:rsidR="00423348" w:rsidRPr="00C04BAD"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Pr="002326E6"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BE"/>
        </w:rPr>
      </w:pPr>
      <w:r w:rsidRPr="002326E6">
        <w:rPr>
          <w:rFonts w:ascii="Times New Roman" w:hAnsi="Times New Roman" w:cs="Times New Roman"/>
          <w:b/>
          <w:sz w:val="24"/>
          <w:szCs w:val="24"/>
          <w:lang w:val="fr-BE"/>
        </w:rPr>
        <w:t>1.</w:t>
      </w:r>
      <w:r>
        <w:rPr>
          <w:rFonts w:ascii="Times New Roman" w:hAnsi="Times New Roman" w:cs="Times New Roman"/>
          <w:b/>
          <w:sz w:val="24"/>
          <w:szCs w:val="24"/>
          <w:lang w:val="fr-BE"/>
        </w:rPr>
        <w:tab/>
      </w:r>
      <w:r w:rsidRPr="006166A7">
        <w:rPr>
          <w:rFonts w:ascii="Times New Roman" w:hAnsi="Times New Roman" w:cs="Times New Roman"/>
          <w:b/>
          <w:sz w:val="24"/>
          <w:szCs w:val="24"/>
          <w:lang w:val="fr-BE"/>
        </w:rPr>
        <w:t>L</w:t>
      </w:r>
      <w:r>
        <w:rPr>
          <w:rFonts w:ascii="Times New Roman" w:hAnsi="Times New Roman" w:cs="Times New Roman"/>
          <w:b/>
          <w:sz w:val="24"/>
          <w:szCs w:val="24"/>
          <w:lang w:val="fr-BE"/>
        </w:rPr>
        <w:t>'économi</w:t>
      </w:r>
      <w:r w:rsidRPr="006166A7">
        <w:rPr>
          <w:rFonts w:ascii="Times New Roman" w:hAnsi="Times New Roman" w:cs="Times New Roman"/>
          <w:b/>
          <w:sz w:val="24"/>
          <w:szCs w:val="24"/>
          <w:lang w:val="fr-BE"/>
        </w:rPr>
        <w:t xml:space="preserve">e </w:t>
      </w:r>
      <w:r>
        <w:rPr>
          <w:rFonts w:ascii="Times New Roman" w:hAnsi="Times New Roman" w:cs="Times New Roman"/>
          <w:b/>
          <w:sz w:val="24"/>
          <w:szCs w:val="24"/>
          <w:lang w:val="fr-BE"/>
        </w:rPr>
        <w:t xml:space="preserve">du </w:t>
      </w:r>
      <w:r w:rsidRPr="006166A7">
        <w:rPr>
          <w:rFonts w:ascii="Times New Roman" w:hAnsi="Times New Roman" w:cs="Times New Roman"/>
          <w:b/>
          <w:sz w:val="24"/>
          <w:szCs w:val="24"/>
          <w:lang w:val="fr-BE"/>
        </w:rPr>
        <w:t>Sahara occidental</w:t>
      </w:r>
      <w:r w:rsidRPr="002326E6">
        <w:rPr>
          <w:rFonts w:ascii="Times New Roman" w:hAnsi="Times New Roman" w:cs="Times New Roman"/>
          <w:b/>
          <w:sz w:val="24"/>
          <w:szCs w:val="24"/>
          <w:lang w:val="fr-BE"/>
        </w:rPr>
        <w:t>.</w:t>
      </w:r>
    </w:p>
    <w:p w:rsidR="00423348" w:rsidRPr="002326E6"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sidRPr="002326E6">
        <w:rPr>
          <w:rFonts w:ascii="Times New Roman" w:hAnsi="Times New Roman" w:cs="Times New Roman"/>
          <w:sz w:val="24"/>
          <w:szCs w:val="24"/>
          <w:lang w:val="fr-BE"/>
        </w:rPr>
        <w:t xml:space="preserve">Bien qu'encourageant, le développement récent du Sahara occidental demeure fragile. Ses activités économiques s’articulent autour d'un nombre limité de filières: la pêche et la transformation des produits de la pêche, les mines de phosphate, l’agriculture (notamment fruits et légumes et nomadisme pastoral) et dans une moindre mesure le commerce </w:t>
      </w:r>
      <w:r w:rsidR="00300A09">
        <w:rPr>
          <w:rFonts w:ascii="Times New Roman" w:hAnsi="Times New Roman" w:cs="Times New Roman"/>
          <w:sz w:val="24"/>
          <w:szCs w:val="24"/>
          <w:lang w:val="fr-BE"/>
        </w:rPr>
        <w:t>et</w:t>
      </w:r>
      <w:r w:rsidRPr="002326E6">
        <w:rPr>
          <w:rFonts w:ascii="Times New Roman" w:hAnsi="Times New Roman" w:cs="Times New Roman"/>
          <w:sz w:val="24"/>
          <w:szCs w:val="24"/>
          <w:lang w:val="fr-BE"/>
        </w:rPr>
        <w:t xml:space="preserve"> l’artisanat. Les secteurs du tourisme et des énergies renouvelables sont en revanche encore embryonnaires mais potentiellement prometteurs. </w:t>
      </w:r>
      <w:r>
        <w:rPr>
          <w:rFonts w:ascii="Times New Roman" w:hAnsi="Times New Roman" w:cs="Times New Roman"/>
          <w:sz w:val="24"/>
          <w:szCs w:val="24"/>
          <w:lang w:val="fr-BE"/>
        </w:rPr>
        <w:t xml:space="preserve">De plus, </w:t>
      </w:r>
      <w:r w:rsidRPr="002326E6">
        <w:rPr>
          <w:rFonts w:ascii="Times New Roman" w:hAnsi="Times New Roman" w:cs="Times New Roman"/>
          <w:sz w:val="24"/>
          <w:szCs w:val="24"/>
          <w:lang w:val="fr-BE"/>
        </w:rPr>
        <w:t>l'économie saharienne se caractérise par son caractère enclavé</w:t>
      </w:r>
      <w:r>
        <w:rPr>
          <w:rFonts w:ascii="Times New Roman" w:hAnsi="Times New Roman" w:cs="Times New Roman"/>
          <w:sz w:val="24"/>
          <w:szCs w:val="24"/>
          <w:lang w:val="fr-BE"/>
        </w:rPr>
        <w:t xml:space="preserve"> et</w:t>
      </w:r>
      <w:r w:rsidRPr="002326E6">
        <w:rPr>
          <w:rFonts w:ascii="Times New Roman" w:hAnsi="Times New Roman" w:cs="Times New Roman"/>
          <w:sz w:val="24"/>
          <w:szCs w:val="24"/>
          <w:lang w:val="fr-BE"/>
        </w:rPr>
        <w:t xml:space="preserve"> encore largement subventionné.</w:t>
      </w:r>
    </w:p>
    <w:p w:rsidR="00423348" w:rsidRPr="002326E6"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Pr="002326E6"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r w:rsidRPr="002326E6">
        <w:rPr>
          <w:rFonts w:ascii="Times New Roman" w:hAnsi="Times New Roman" w:cs="Times New Roman"/>
          <w:b/>
          <w:sz w:val="24"/>
          <w:szCs w:val="24"/>
          <w:lang w:val="fr-FR"/>
        </w:rPr>
        <w:t>2.</w:t>
      </w:r>
      <w:r>
        <w:rPr>
          <w:rFonts w:ascii="Times New Roman" w:hAnsi="Times New Roman" w:cs="Times New Roman"/>
          <w:b/>
          <w:sz w:val="24"/>
          <w:szCs w:val="24"/>
          <w:lang w:val="fr-FR"/>
        </w:rPr>
        <w:tab/>
      </w:r>
      <w:r w:rsidRPr="002326E6">
        <w:rPr>
          <w:rFonts w:ascii="Times New Roman" w:hAnsi="Times New Roman" w:cs="Times New Roman"/>
          <w:b/>
          <w:sz w:val="24"/>
          <w:szCs w:val="24"/>
          <w:lang w:val="fr-FR"/>
        </w:rPr>
        <w:t>Un nécessaire soutien aux exportations grâce aux préférences tarifaires.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Pr="00401439" w:rsidRDefault="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BE"/>
        </w:rPr>
        <w:t xml:space="preserve">La </w:t>
      </w:r>
      <w:r w:rsidRPr="006A0C0F">
        <w:rPr>
          <w:rFonts w:ascii="Times New Roman" w:hAnsi="Times New Roman" w:cs="Times New Roman"/>
          <w:sz w:val="24"/>
          <w:szCs w:val="24"/>
          <w:lang w:val="fr-BE"/>
        </w:rPr>
        <w:t xml:space="preserve">diversification du potentiel économique du Sahara occidental </w:t>
      </w:r>
      <w:r>
        <w:rPr>
          <w:rFonts w:ascii="Times New Roman" w:hAnsi="Times New Roman" w:cs="Times New Roman"/>
          <w:sz w:val="24"/>
          <w:szCs w:val="24"/>
          <w:lang w:val="fr-BE"/>
        </w:rPr>
        <w:t xml:space="preserve">suppose un </w:t>
      </w:r>
      <w:r w:rsidRPr="006A0C0F">
        <w:rPr>
          <w:rFonts w:ascii="Times New Roman" w:hAnsi="Times New Roman" w:cs="Times New Roman"/>
          <w:sz w:val="24"/>
          <w:szCs w:val="24"/>
          <w:lang w:val="fr-BE"/>
        </w:rPr>
        <w:t>encouragement d</w:t>
      </w:r>
      <w:r>
        <w:rPr>
          <w:rFonts w:ascii="Times New Roman" w:hAnsi="Times New Roman" w:cs="Times New Roman"/>
          <w:sz w:val="24"/>
          <w:szCs w:val="24"/>
          <w:lang w:val="fr-BE"/>
        </w:rPr>
        <w:t xml:space="preserve">es </w:t>
      </w:r>
      <w:r w:rsidRPr="006A0C0F">
        <w:rPr>
          <w:rFonts w:ascii="Times New Roman" w:hAnsi="Times New Roman" w:cs="Times New Roman"/>
          <w:sz w:val="24"/>
          <w:szCs w:val="24"/>
          <w:lang w:val="fr-BE"/>
        </w:rPr>
        <w:t xml:space="preserve">investissements </w:t>
      </w:r>
      <w:r>
        <w:rPr>
          <w:rFonts w:ascii="Times New Roman" w:hAnsi="Times New Roman" w:cs="Times New Roman"/>
          <w:sz w:val="24"/>
          <w:szCs w:val="24"/>
          <w:lang w:val="fr-BE"/>
        </w:rPr>
        <w:t>étrangers. Or, cette perspective suppose</w:t>
      </w:r>
      <w:r w:rsidRPr="006A0C0F">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de pouvoir offrir aux opérateurs concernés </w:t>
      </w:r>
      <w:r w:rsidRPr="006A0C0F">
        <w:rPr>
          <w:rFonts w:ascii="Times New Roman" w:hAnsi="Times New Roman" w:cs="Times New Roman"/>
          <w:sz w:val="24"/>
          <w:szCs w:val="24"/>
          <w:lang w:val="fr-BE"/>
        </w:rPr>
        <w:t>une sécurité juridique</w:t>
      </w:r>
      <w:r>
        <w:rPr>
          <w:rFonts w:ascii="Times New Roman" w:hAnsi="Times New Roman" w:cs="Times New Roman"/>
          <w:sz w:val="24"/>
          <w:szCs w:val="24"/>
          <w:lang w:val="fr-BE"/>
        </w:rPr>
        <w:t xml:space="preserve"> suffisante, en</w:t>
      </w:r>
      <w:r w:rsidRPr="006A0C0F">
        <w:rPr>
          <w:rFonts w:ascii="Times New Roman" w:hAnsi="Times New Roman" w:cs="Times New Roman"/>
          <w:sz w:val="24"/>
          <w:szCs w:val="24"/>
          <w:lang w:val="fr-BE"/>
        </w:rPr>
        <w:t xml:space="preserve"> clarifi</w:t>
      </w:r>
      <w:r>
        <w:rPr>
          <w:rFonts w:ascii="Times New Roman" w:hAnsi="Times New Roman" w:cs="Times New Roman"/>
          <w:sz w:val="24"/>
          <w:szCs w:val="24"/>
          <w:lang w:val="fr-BE"/>
        </w:rPr>
        <w:t>ant</w:t>
      </w:r>
      <w:r w:rsidRPr="006A0C0F">
        <w:rPr>
          <w:rFonts w:ascii="Times New Roman" w:hAnsi="Times New Roman" w:cs="Times New Roman"/>
          <w:sz w:val="24"/>
          <w:szCs w:val="24"/>
          <w:lang w:val="fr-BE"/>
        </w:rPr>
        <w:t xml:space="preserve"> </w:t>
      </w:r>
      <w:r>
        <w:rPr>
          <w:rFonts w:ascii="Times New Roman" w:hAnsi="Times New Roman" w:cs="Times New Roman"/>
          <w:sz w:val="24"/>
          <w:szCs w:val="24"/>
          <w:lang w:val="fr-BE"/>
        </w:rPr>
        <w:t>notamment</w:t>
      </w:r>
      <w:r w:rsidRPr="006A0C0F">
        <w:rPr>
          <w:rFonts w:ascii="Times New Roman" w:hAnsi="Times New Roman" w:cs="Times New Roman"/>
          <w:sz w:val="24"/>
          <w:szCs w:val="24"/>
          <w:lang w:val="fr-BE"/>
        </w:rPr>
        <w:t xml:space="preserve"> </w:t>
      </w:r>
      <w:r>
        <w:rPr>
          <w:rFonts w:ascii="Times New Roman" w:hAnsi="Times New Roman" w:cs="Times New Roman"/>
          <w:sz w:val="24"/>
          <w:szCs w:val="24"/>
          <w:lang w:val="fr-BE"/>
        </w:rPr>
        <w:t>les</w:t>
      </w:r>
      <w:r w:rsidRPr="006A0C0F">
        <w:rPr>
          <w:rFonts w:ascii="Times New Roman" w:hAnsi="Times New Roman" w:cs="Times New Roman"/>
          <w:sz w:val="24"/>
          <w:szCs w:val="24"/>
          <w:lang w:val="fr-BE"/>
        </w:rPr>
        <w:t xml:space="preserve"> conditions tarifaires applicables aux exportations actuelles </w:t>
      </w:r>
      <w:r>
        <w:rPr>
          <w:rFonts w:ascii="Times New Roman" w:hAnsi="Times New Roman" w:cs="Times New Roman"/>
          <w:sz w:val="24"/>
          <w:szCs w:val="24"/>
          <w:lang w:val="fr-BE"/>
        </w:rPr>
        <w:t>et</w:t>
      </w:r>
      <w:r w:rsidRPr="006A0C0F">
        <w:rPr>
          <w:rFonts w:ascii="Times New Roman" w:hAnsi="Times New Roman" w:cs="Times New Roman"/>
          <w:sz w:val="24"/>
          <w:szCs w:val="24"/>
          <w:lang w:val="fr-BE"/>
        </w:rPr>
        <w:t xml:space="preserve"> </w:t>
      </w:r>
      <w:r>
        <w:rPr>
          <w:rFonts w:ascii="Times New Roman" w:hAnsi="Times New Roman" w:cs="Times New Roman"/>
          <w:sz w:val="24"/>
          <w:szCs w:val="24"/>
          <w:lang w:val="fr-BE"/>
        </w:rPr>
        <w:t>futures</w:t>
      </w:r>
      <w:r w:rsidRPr="006A0C0F">
        <w:rPr>
          <w:rFonts w:ascii="Times New Roman" w:hAnsi="Times New Roman" w:cs="Times New Roman"/>
          <w:sz w:val="24"/>
          <w:szCs w:val="24"/>
          <w:lang w:val="fr-BE"/>
        </w:rPr>
        <w:t xml:space="preserve"> du Sahara occidental </w:t>
      </w:r>
      <w:r>
        <w:rPr>
          <w:rFonts w:ascii="Times New Roman" w:hAnsi="Times New Roman" w:cs="Times New Roman"/>
          <w:sz w:val="24"/>
          <w:szCs w:val="24"/>
          <w:lang w:val="fr-BE"/>
        </w:rPr>
        <w:t>vers</w:t>
      </w:r>
      <w:r w:rsidRPr="006A0C0F">
        <w:rPr>
          <w:rFonts w:ascii="Times New Roman" w:hAnsi="Times New Roman" w:cs="Times New Roman"/>
          <w:sz w:val="24"/>
          <w:szCs w:val="24"/>
          <w:lang w:val="fr-BE"/>
        </w:rPr>
        <w:t xml:space="preserve"> l'Union</w:t>
      </w:r>
      <w:r>
        <w:rPr>
          <w:rFonts w:ascii="Times New Roman" w:hAnsi="Times New Roman" w:cs="Times New Roman"/>
          <w:sz w:val="24"/>
          <w:szCs w:val="24"/>
          <w:lang w:val="fr-BE"/>
        </w:rPr>
        <w:t xml:space="preserve"> européenne</w:t>
      </w:r>
      <w:r w:rsidRPr="006A0C0F">
        <w:rPr>
          <w:rFonts w:ascii="Times New Roman" w:hAnsi="Times New Roman" w:cs="Times New Roman"/>
          <w:sz w:val="24"/>
          <w:szCs w:val="24"/>
          <w:lang w:val="fr-BE"/>
        </w:rPr>
        <w:t>.</w:t>
      </w:r>
      <w:r w:rsidRPr="006A0C0F">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En dépit de </w:t>
      </w:r>
      <w:r w:rsidRPr="006A0C0F">
        <w:rPr>
          <w:rFonts w:ascii="Times New Roman" w:hAnsi="Times New Roman" w:cs="Times New Roman"/>
          <w:sz w:val="24"/>
          <w:szCs w:val="24"/>
          <w:lang w:val="fr-FR"/>
        </w:rPr>
        <w:t xml:space="preserve">données </w:t>
      </w:r>
      <w:r>
        <w:rPr>
          <w:rFonts w:ascii="Times New Roman" w:hAnsi="Times New Roman" w:cs="Times New Roman"/>
          <w:sz w:val="24"/>
          <w:szCs w:val="24"/>
          <w:lang w:val="fr-FR"/>
        </w:rPr>
        <w:t>disponibles souvent parcellaires</w:t>
      </w:r>
      <w:r w:rsidRPr="006A0C0F">
        <w:rPr>
          <w:rFonts w:ascii="Times New Roman" w:hAnsi="Times New Roman" w:cs="Times New Roman"/>
          <w:sz w:val="24"/>
          <w:szCs w:val="24"/>
          <w:lang w:val="fr-FR"/>
        </w:rPr>
        <w:t xml:space="preserve">, cette étude permet de conclure </w:t>
      </w:r>
      <w:r w:rsidRPr="002C3612">
        <w:rPr>
          <w:rFonts w:ascii="Times New Roman" w:hAnsi="Times New Roman" w:cs="Times New Roman"/>
          <w:sz w:val="24"/>
          <w:szCs w:val="24"/>
          <w:lang w:val="fr-FR"/>
        </w:rPr>
        <w:t>à</w:t>
      </w:r>
      <w:r w:rsidRPr="006A0C0F">
        <w:rPr>
          <w:rFonts w:ascii="Times New Roman" w:hAnsi="Times New Roman" w:cs="Times New Roman"/>
          <w:sz w:val="24"/>
          <w:szCs w:val="24"/>
          <w:lang w:val="fr-FR"/>
        </w:rPr>
        <w:t xml:space="preserve"> l'</w:t>
      </w:r>
      <w:r w:rsidRPr="006A0C0F">
        <w:rPr>
          <w:rFonts w:ascii="Times New Roman" w:hAnsi="Times New Roman" w:cs="Times New Roman"/>
          <w:b/>
          <w:i/>
          <w:sz w:val="24"/>
          <w:szCs w:val="24"/>
          <w:lang w:val="fr-FR"/>
        </w:rPr>
        <w:t xml:space="preserve">existence au Sahara occidental d'activités économiques et de productions qui </w:t>
      </w:r>
      <w:r>
        <w:rPr>
          <w:rFonts w:ascii="Times New Roman" w:hAnsi="Times New Roman" w:cs="Times New Roman"/>
          <w:b/>
          <w:i/>
          <w:sz w:val="24"/>
          <w:szCs w:val="24"/>
          <w:lang w:val="fr-FR"/>
        </w:rPr>
        <w:t>mériteraient</w:t>
      </w:r>
      <w:r w:rsidRPr="006A0C0F">
        <w:rPr>
          <w:rFonts w:ascii="Times New Roman" w:hAnsi="Times New Roman" w:cs="Times New Roman"/>
          <w:b/>
          <w:i/>
          <w:sz w:val="24"/>
          <w:szCs w:val="24"/>
          <w:lang w:val="fr-FR"/>
        </w:rPr>
        <w:t xml:space="preserve"> </w:t>
      </w:r>
      <w:r>
        <w:rPr>
          <w:rFonts w:ascii="Times New Roman" w:hAnsi="Times New Roman" w:cs="Times New Roman"/>
          <w:b/>
          <w:i/>
          <w:sz w:val="24"/>
          <w:szCs w:val="24"/>
          <w:lang w:val="fr-FR"/>
        </w:rPr>
        <w:t>de</w:t>
      </w:r>
      <w:r w:rsidRPr="006A0C0F">
        <w:rPr>
          <w:rFonts w:ascii="Times New Roman" w:hAnsi="Times New Roman" w:cs="Times New Roman"/>
          <w:b/>
          <w:i/>
          <w:sz w:val="24"/>
          <w:szCs w:val="24"/>
          <w:lang w:val="fr-FR"/>
        </w:rPr>
        <w:t xml:space="preserve"> </w:t>
      </w:r>
      <w:r>
        <w:rPr>
          <w:rFonts w:ascii="Times New Roman" w:hAnsi="Times New Roman" w:cs="Times New Roman"/>
          <w:b/>
          <w:i/>
          <w:sz w:val="24"/>
          <w:szCs w:val="24"/>
          <w:lang w:val="fr-FR"/>
        </w:rPr>
        <w:t>bénéficier d</w:t>
      </w:r>
      <w:r w:rsidRPr="006A0C0F">
        <w:rPr>
          <w:rFonts w:ascii="Times New Roman" w:hAnsi="Times New Roman" w:cs="Times New Roman"/>
          <w:b/>
          <w:i/>
          <w:sz w:val="24"/>
          <w:szCs w:val="24"/>
          <w:lang w:val="fr-FR"/>
        </w:rPr>
        <w:t>es mêmes préférences tarifaires</w:t>
      </w:r>
      <w:r w:rsidRPr="006A0C0F">
        <w:rPr>
          <w:rFonts w:ascii="Times New Roman" w:hAnsi="Times New Roman" w:cs="Times New Roman"/>
          <w:sz w:val="24"/>
          <w:szCs w:val="24"/>
          <w:lang w:val="fr-FR"/>
        </w:rPr>
        <w:t xml:space="preserve"> que celles accordées au Royaume du Maroc</w:t>
      </w:r>
      <w:r>
        <w:rPr>
          <w:rFonts w:ascii="Times New Roman" w:hAnsi="Times New Roman" w:cs="Times New Roman"/>
          <w:sz w:val="24"/>
          <w:szCs w:val="24"/>
          <w:lang w:val="fr-FR"/>
        </w:rPr>
        <w:t>, préférences dont elles</w:t>
      </w:r>
      <w:r w:rsidRPr="006A0C0F">
        <w:rPr>
          <w:rFonts w:ascii="Times New Roman" w:hAnsi="Times New Roman" w:cs="Times New Roman"/>
          <w:sz w:val="24"/>
          <w:szCs w:val="24"/>
          <w:lang w:val="fr-FR"/>
        </w:rPr>
        <w:t xml:space="preserve"> ont </w:t>
      </w:r>
      <w:r>
        <w:rPr>
          <w:rFonts w:ascii="Times New Roman" w:hAnsi="Times New Roman" w:cs="Times New Roman"/>
          <w:sz w:val="24"/>
          <w:szCs w:val="24"/>
          <w:lang w:val="fr-FR"/>
        </w:rPr>
        <w:t xml:space="preserve">de fait </w:t>
      </w:r>
      <w:r w:rsidRPr="006A0C0F">
        <w:rPr>
          <w:rFonts w:ascii="Times New Roman" w:hAnsi="Times New Roman" w:cs="Times New Roman"/>
          <w:sz w:val="24"/>
          <w:szCs w:val="24"/>
          <w:lang w:val="fr-FR"/>
        </w:rPr>
        <w:t>bénéficié jusqu'au 21 décembre 2016</w:t>
      </w:r>
      <w:r>
        <w:rPr>
          <w:rFonts w:ascii="Times New Roman" w:hAnsi="Times New Roman" w:cs="Times New Roman"/>
          <w:sz w:val="24"/>
          <w:szCs w:val="24"/>
          <w:lang w:val="fr-FR"/>
        </w:rPr>
        <w:t>.</w:t>
      </w:r>
      <w:r w:rsidR="00AE1CA3">
        <w:rPr>
          <w:rFonts w:ascii="Times New Roman" w:hAnsi="Times New Roman" w:cs="Times New Roman"/>
          <w:sz w:val="24"/>
          <w:szCs w:val="24"/>
          <w:lang w:val="fr-FR"/>
        </w:rPr>
        <w:t xml:space="preserve"> Une telle extension d</w:t>
      </w:r>
      <w:r w:rsidRPr="006A0C0F">
        <w:rPr>
          <w:rFonts w:ascii="Times New Roman" w:hAnsi="Times New Roman" w:cs="Times New Roman"/>
          <w:sz w:val="24"/>
          <w:szCs w:val="24"/>
          <w:lang w:val="fr-FR"/>
        </w:rPr>
        <w:t xml:space="preserve">es préférences tarifaires de l'Union à ces produits permettrait d'assurer la </w:t>
      </w:r>
      <w:r>
        <w:rPr>
          <w:rFonts w:ascii="Times New Roman" w:hAnsi="Times New Roman" w:cs="Times New Roman"/>
          <w:sz w:val="24"/>
          <w:szCs w:val="24"/>
          <w:lang w:val="fr-FR"/>
        </w:rPr>
        <w:t>continuité</w:t>
      </w:r>
      <w:r w:rsidRPr="006A0C0F">
        <w:rPr>
          <w:rFonts w:ascii="Times New Roman" w:hAnsi="Times New Roman" w:cs="Times New Roman"/>
          <w:sz w:val="24"/>
          <w:szCs w:val="24"/>
          <w:lang w:val="fr-FR"/>
        </w:rPr>
        <w:t xml:space="preserve"> de</w:t>
      </w:r>
      <w:r>
        <w:rPr>
          <w:rFonts w:ascii="Times New Roman" w:hAnsi="Times New Roman" w:cs="Times New Roman"/>
          <w:sz w:val="24"/>
          <w:szCs w:val="24"/>
          <w:lang w:val="fr-FR"/>
        </w:rPr>
        <w:t>s</w:t>
      </w:r>
      <w:r w:rsidRPr="006A0C0F">
        <w:rPr>
          <w:rFonts w:ascii="Times New Roman" w:hAnsi="Times New Roman" w:cs="Times New Roman"/>
          <w:sz w:val="24"/>
          <w:szCs w:val="24"/>
          <w:lang w:val="fr-FR"/>
        </w:rPr>
        <w:t xml:space="preserve"> exportations</w:t>
      </w:r>
      <w:r w:rsidRPr="006A0C0F">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Pr>
          <w:rFonts w:ascii="Times New Roman" w:hAnsi="Times New Roman" w:cs="Times New Roman"/>
          <w:sz w:val="24"/>
          <w:szCs w:val="24"/>
          <w:lang w:val="fr-FR"/>
        </w:rPr>
        <w:t xml:space="preserve">En outre, elle </w:t>
      </w:r>
      <w:r w:rsidRPr="00401439">
        <w:rPr>
          <w:rFonts w:ascii="Times New Roman" w:hAnsi="Times New Roman" w:cs="Times New Roman"/>
          <w:b/>
          <w:i/>
          <w:sz w:val="24"/>
          <w:szCs w:val="24"/>
          <w:lang w:val="fr-FR"/>
        </w:rPr>
        <w:t xml:space="preserve">devrait </w:t>
      </w:r>
      <w:r>
        <w:rPr>
          <w:rFonts w:ascii="Times New Roman" w:hAnsi="Times New Roman" w:cs="Times New Roman"/>
          <w:b/>
          <w:i/>
          <w:sz w:val="24"/>
          <w:szCs w:val="24"/>
          <w:lang w:val="fr-FR"/>
        </w:rPr>
        <w:t xml:space="preserve">aussi </w:t>
      </w:r>
      <w:r w:rsidRPr="00401439">
        <w:rPr>
          <w:rFonts w:ascii="Times New Roman" w:hAnsi="Times New Roman" w:cs="Times New Roman"/>
          <w:b/>
          <w:i/>
          <w:sz w:val="24"/>
          <w:szCs w:val="24"/>
          <w:lang w:val="fr-FR"/>
        </w:rPr>
        <w:t xml:space="preserve">avoir un impact important sur le développement </w:t>
      </w:r>
      <w:r>
        <w:rPr>
          <w:rFonts w:ascii="Times New Roman" w:hAnsi="Times New Roman" w:cs="Times New Roman"/>
          <w:b/>
          <w:i/>
          <w:sz w:val="24"/>
          <w:szCs w:val="24"/>
          <w:lang w:val="fr-FR"/>
        </w:rPr>
        <w:t xml:space="preserve">futur </w:t>
      </w:r>
      <w:r w:rsidRPr="00401439">
        <w:rPr>
          <w:rFonts w:ascii="Times New Roman" w:hAnsi="Times New Roman" w:cs="Times New Roman"/>
          <w:b/>
          <w:i/>
          <w:sz w:val="24"/>
          <w:szCs w:val="24"/>
          <w:lang w:val="fr-FR"/>
        </w:rPr>
        <w:t>de l'économie saharienne</w:t>
      </w:r>
      <w:r w:rsidRPr="00401439">
        <w:rPr>
          <w:rFonts w:ascii="Times New Roman" w:hAnsi="Times New Roman" w:cs="Times New Roman"/>
          <w:sz w:val="24"/>
          <w:szCs w:val="24"/>
          <w:lang w:val="fr-FR"/>
        </w:rPr>
        <w:t xml:space="preserve">, </w:t>
      </w:r>
      <w:r w:rsidRPr="00401439">
        <w:rPr>
          <w:rFonts w:ascii="Times New Roman" w:hAnsi="Times New Roman" w:cs="Times New Roman"/>
          <w:b/>
          <w:i/>
          <w:sz w:val="24"/>
          <w:szCs w:val="24"/>
          <w:lang w:val="fr-FR"/>
        </w:rPr>
        <w:t>en stimulant les investissements</w:t>
      </w:r>
      <w:r w:rsidRPr="000B2BEB">
        <w:rPr>
          <w:rFonts w:ascii="Times New Roman" w:hAnsi="Times New Roman"/>
          <w:b/>
          <w:i/>
          <w:sz w:val="24"/>
          <w:lang w:val="fr-FR"/>
        </w:rPr>
        <w:t xml:space="preserve"> </w:t>
      </w:r>
      <w:r>
        <w:rPr>
          <w:rFonts w:ascii="Times New Roman" w:hAnsi="Times New Roman" w:cs="Times New Roman"/>
          <w:b/>
          <w:i/>
          <w:sz w:val="24"/>
          <w:szCs w:val="24"/>
          <w:lang w:val="fr-FR"/>
        </w:rPr>
        <w:t>en cours ou à l'étude</w:t>
      </w:r>
      <w:r w:rsidRPr="00401439">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(notamment </w:t>
      </w:r>
      <w:r w:rsidRPr="00401439">
        <w:rPr>
          <w:rFonts w:ascii="Times New Roman" w:hAnsi="Times New Roman" w:cs="Times New Roman"/>
          <w:sz w:val="24"/>
          <w:szCs w:val="24"/>
          <w:lang w:val="fr-FR"/>
        </w:rPr>
        <w:t xml:space="preserve">pour certains phosphates </w:t>
      </w:r>
      <w:r>
        <w:rPr>
          <w:rFonts w:ascii="Times New Roman" w:hAnsi="Times New Roman" w:cs="Times New Roman"/>
          <w:sz w:val="24"/>
          <w:szCs w:val="24"/>
          <w:lang w:val="fr-FR"/>
        </w:rPr>
        <w:t xml:space="preserve">tels </w:t>
      </w:r>
      <w:r w:rsidRPr="00401439">
        <w:rPr>
          <w:rFonts w:ascii="Times New Roman" w:hAnsi="Times New Roman" w:cs="Times New Roman"/>
          <w:sz w:val="24"/>
          <w:szCs w:val="24"/>
          <w:lang w:val="fr-FR"/>
        </w:rPr>
        <w:t xml:space="preserve">l'acide phosphorique </w:t>
      </w:r>
      <w:r>
        <w:rPr>
          <w:rFonts w:ascii="Times New Roman" w:hAnsi="Times New Roman" w:cs="Times New Roman"/>
          <w:sz w:val="24"/>
          <w:szCs w:val="24"/>
          <w:lang w:val="fr-FR"/>
        </w:rPr>
        <w:t>ou</w:t>
      </w:r>
      <w:r w:rsidRPr="00401439">
        <w:rPr>
          <w:rFonts w:ascii="Times New Roman" w:hAnsi="Times New Roman" w:cs="Times New Roman"/>
          <w:sz w:val="24"/>
          <w:szCs w:val="24"/>
          <w:lang w:val="fr-FR"/>
        </w:rPr>
        <w:t xml:space="preserve"> les engrais</w:t>
      </w:r>
      <w:r>
        <w:rPr>
          <w:rFonts w:ascii="Times New Roman" w:hAnsi="Times New Roman" w:cs="Times New Roman"/>
          <w:sz w:val="24"/>
          <w:szCs w:val="24"/>
          <w:lang w:val="fr-FR"/>
        </w:rPr>
        <w:t xml:space="preserve"> </w:t>
      </w:r>
      <w:r w:rsidRPr="00401439">
        <w:rPr>
          <w:rFonts w:ascii="Times New Roman" w:hAnsi="Times New Roman" w:cs="Times New Roman"/>
          <w:sz w:val="24"/>
          <w:szCs w:val="24"/>
          <w:lang w:val="fr-FR"/>
        </w:rPr>
        <w:t>pour l'agriculture</w:t>
      </w:r>
      <w:r>
        <w:rPr>
          <w:rFonts w:ascii="Times New Roman" w:hAnsi="Times New Roman" w:cs="Times New Roman"/>
          <w:sz w:val="24"/>
          <w:szCs w:val="24"/>
          <w:lang w:val="fr-FR"/>
        </w:rPr>
        <w:t>, ainsi</w:t>
      </w:r>
      <w:r w:rsidRPr="00401439">
        <w:rPr>
          <w:rFonts w:ascii="Times New Roman" w:hAnsi="Times New Roman" w:cs="Times New Roman"/>
          <w:sz w:val="24"/>
          <w:szCs w:val="24"/>
          <w:lang w:val="fr-FR"/>
        </w:rPr>
        <w:t xml:space="preserve"> que </w:t>
      </w:r>
      <w:r>
        <w:rPr>
          <w:rFonts w:ascii="Times New Roman" w:hAnsi="Times New Roman" w:cs="Times New Roman"/>
          <w:sz w:val="24"/>
          <w:szCs w:val="24"/>
          <w:lang w:val="fr-FR"/>
        </w:rPr>
        <w:t>dans les domaines de l'agriculture et de</w:t>
      </w:r>
      <w:r w:rsidRPr="00401439">
        <w:rPr>
          <w:rFonts w:ascii="Times New Roman" w:hAnsi="Times New Roman" w:cs="Times New Roman"/>
          <w:sz w:val="24"/>
          <w:szCs w:val="24"/>
          <w:lang w:val="fr-FR"/>
        </w:rPr>
        <w:t xml:space="preserve"> la pêche</w:t>
      </w:r>
      <w:r>
        <w:rPr>
          <w:rFonts w:ascii="Times New Roman" w:hAnsi="Times New Roman" w:cs="Times New Roman"/>
          <w:sz w:val="24"/>
          <w:szCs w:val="24"/>
          <w:lang w:val="fr-FR"/>
        </w:rPr>
        <w:t>), qui sont autant d'investissements porteurs d'emploi.</w:t>
      </w:r>
    </w:p>
    <w:p w:rsidR="00423348" w:rsidRPr="006A0C0F"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FR"/>
        </w:rPr>
      </w:pPr>
    </w:p>
    <w:p w:rsidR="00423348" w:rsidRPr="006A0C0F"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FR"/>
        </w:rPr>
      </w:pPr>
      <w:r w:rsidRPr="006A0C0F">
        <w:rPr>
          <w:rFonts w:ascii="Times New Roman" w:hAnsi="Times New Roman" w:cs="Times New Roman"/>
          <w:sz w:val="24"/>
          <w:szCs w:val="24"/>
          <w:lang w:val="fr-FR"/>
        </w:rPr>
        <w:t xml:space="preserve">A contrario, </w:t>
      </w:r>
      <w:r w:rsidRPr="006A0C0F">
        <w:rPr>
          <w:rFonts w:ascii="Times New Roman" w:hAnsi="Times New Roman" w:cs="Times New Roman"/>
          <w:b/>
          <w:i/>
          <w:sz w:val="24"/>
          <w:szCs w:val="24"/>
          <w:lang w:val="fr-FR"/>
        </w:rPr>
        <w:t xml:space="preserve">le non-octroi de préférences tarifaires </w:t>
      </w:r>
      <w:r>
        <w:rPr>
          <w:rFonts w:ascii="Times New Roman" w:hAnsi="Times New Roman" w:cs="Times New Roman"/>
          <w:b/>
          <w:i/>
          <w:sz w:val="24"/>
          <w:szCs w:val="24"/>
          <w:lang w:val="fr-FR"/>
        </w:rPr>
        <w:t xml:space="preserve">obérerait </w:t>
      </w:r>
      <w:r w:rsidRPr="006A0C0F">
        <w:rPr>
          <w:rFonts w:ascii="Times New Roman" w:hAnsi="Times New Roman" w:cs="Times New Roman"/>
          <w:b/>
          <w:i/>
          <w:sz w:val="24"/>
          <w:szCs w:val="24"/>
          <w:lang w:val="fr-FR"/>
        </w:rPr>
        <w:t xml:space="preserve">les exportations du Sahara occidental, notamment </w:t>
      </w:r>
      <w:r w:rsidRPr="006A0C0F">
        <w:rPr>
          <w:rFonts w:ascii="Times New Roman" w:hAnsi="Times New Roman" w:cs="Times New Roman"/>
          <w:b/>
          <w:i/>
          <w:sz w:val="24"/>
          <w:szCs w:val="24"/>
          <w:lang w:val="fr-BE"/>
        </w:rPr>
        <w:t>celles relatives aux produits de la pêche et aux produits agricoles</w:t>
      </w:r>
      <w:r w:rsidRPr="006A0C0F">
        <w:rPr>
          <w:rFonts w:ascii="Times New Roman" w:hAnsi="Times New Roman" w:cs="Times New Roman"/>
          <w:sz w:val="24"/>
          <w:szCs w:val="24"/>
          <w:lang w:val="fr-BE"/>
        </w:rPr>
        <w:t xml:space="preserve">, et </w:t>
      </w:r>
      <w:r>
        <w:rPr>
          <w:rFonts w:ascii="Times New Roman" w:hAnsi="Times New Roman" w:cs="Times New Roman"/>
          <w:sz w:val="24"/>
          <w:szCs w:val="24"/>
          <w:lang w:val="fr-BE"/>
        </w:rPr>
        <w:t>l'éventail</w:t>
      </w:r>
      <w:r w:rsidRPr="006A0C0F">
        <w:rPr>
          <w:rFonts w:ascii="Times New Roman" w:hAnsi="Times New Roman" w:cs="Times New Roman"/>
          <w:sz w:val="24"/>
          <w:szCs w:val="24"/>
          <w:lang w:val="fr-FR"/>
        </w:rPr>
        <w:t xml:space="preserve"> - déjà limité - de ses productions viendrait à se </w:t>
      </w:r>
      <w:r>
        <w:rPr>
          <w:rFonts w:ascii="Times New Roman" w:hAnsi="Times New Roman" w:cs="Times New Roman"/>
          <w:sz w:val="24"/>
          <w:szCs w:val="24"/>
          <w:lang w:val="fr-FR"/>
        </w:rPr>
        <w:t>refermer</w:t>
      </w:r>
      <w:r w:rsidRPr="006A0C0F">
        <w:rPr>
          <w:rFonts w:ascii="Times New Roman" w:hAnsi="Times New Roman" w:cs="Times New Roman"/>
          <w:sz w:val="24"/>
          <w:szCs w:val="24"/>
          <w:lang w:val="fr-FR"/>
        </w:rPr>
        <w:t xml:space="preserve"> encore davantage. En effet, en l'absence de préférences </w:t>
      </w:r>
      <w:r>
        <w:rPr>
          <w:rFonts w:ascii="Times New Roman" w:hAnsi="Times New Roman" w:cs="Times New Roman"/>
          <w:sz w:val="24"/>
          <w:szCs w:val="24"/>
          <w:lang w:val="fr-FR"/>
        </w:rPr>
        <w:t>tarifaires</w:t>
      </w:r>
      <w:r w:rsidRPr="006A0C0F">
        <w:rPr>
          <w:rFonts w:ascii="Times New Roman" w:hAnsi="Times New Roman" w:cs="Times New Roman"/>
          <w:sz w:val="24"/>
          <w:szCs w:val="24"/>
          <w:lang w:val="fr-FR"/>
        </w:rPr>
        <w:t xml:space="preserve">, </w:t>
      </w:r>
      <w:r>
        <w:rPr>
          <w:rFonts w:ascii="Times New Roman" w:hAnsi="Times New Roman" w:cs="Times New Roman"/>
          <w:sz w:val="24"/>
          <w:szCs w:val="24"/>
          <w:lang w:val="fr-FR"/>
        </w:rPr>
        <w:t>l</w:t>
      </w:r>
      <w:r w:rsidRPr="006A0C0F">
        <w:rPr>
          <w:rFonts w:ascii="Times New Roman" w:hAnsi="Times New Roman" w:cs="Times New Roman"/>
          <w:sz w:val="24"/>
          <w:szCs w:val="24"/>
          <w:lang w:val="fr-FR"/>
        </w:rPr>
        <w:t>es produits du Sahara occidental seraient soumis aux droits de douane normaux (droit de douane applicable dans l’Union sous le régime de la nation la plus favorisée)</w:t>
      </w:r>
      <w:r>
        <w:rPr>
          <w:rFonts w:ascii="Times New Roman" w:hAnsi="Times New Roman" w:cs="Times New Roman"/>
          <w:sz w:val="24"/>
          <w:szCs w:val="24"/>
          <w:lang w:val="fr-FR"/>
        </w:rPr>
        <w:t>, sans</w:t>
      </w:r>
      <w:r w:rsidRPr="006A0C0F">
        <w:rPr>
          <w:rFonts w:ascii="Times New Roman" w:hAnsi="Times New Roman" w:cs="Times New Roman"/>
          <w:sz w:val="24"/>
          <w:szCs w:val="24"/>
          <w:lang w:val="fr-FR"/>
        </w:rPr>
        <w:t xml:space="preserve"> accès privilégié au marché de l’Union. </w:t>
      </w:r>
      <w:r>
        <w:rPr>
          <w:rFonts w:ascii="Times New Roman" w:hAnsi="Times New Roman" w:cs="Times New Roman"/>
          <w:sz w:val="24"/>
          <w:szCs w:val="24"/>
          <w:lang w:val="fr-FR"/>
        </w:rPr>
        <w:t>Quasiment neutre sur</w:t>
      </w:r>
      <w:r w:rsidRPr="006A0C0F">
        <w:rPr>
          <w:rFonts w:ascii="Times New Roman" w:hAnsi="Times New Roman" w:cs="Times New Roman"/>
          <w:sz w:val="24"/>
          <w:szCs w:val="24"/>
          <w:lang w:val="fr-FR"/>
        </w:rPr>
        <w:t xml:space="preserve"> les produits industriels (phosphates), </w:t>
      </w:r>
      <w:r>
        <w:rPr>
          <w:rFonts w:ascii="Times New Roman" w:hAnsi="Times New Roman" w:cs="Times New Roman"/>
          <w:sz w:val="24"/>
          <w:szCs w:val="24"/>
          <w:lang w:val="fr-FR"/>
        </w:rPr>
        <w:t>l'</w:t>
      </w:r>
      <w:r w:rsidRPr="006A0C0F">
        <w:rPr>
          <w:rFonts w:ascii="Times New Roman" w:hAnsi="Times New Roman" w:cs="Times New Roman"/>
          <w:sz w:val="24"/>
          <w:szCs w:val="24"/>
          <w:lang w:val="fr-FR"/>
        </w:rPr>
        <w:t xml:space="preserve">impact </w:t>
      </w:r>
      <w:r>
        <w:rPr>
          <w:rFonts w:ascii="Times New Roman" w:hAnsi="Times New Roman" w:cs="Times New Roman"/>
          <w:sz w:val="24"/>
          <w:szCs w:val="24"/>
          <w:lang w:val="fr-FR"/>
        </w:rPr>
        <w:t>serait en revanche</w:t>
      </w:r>
      <w:r w:rsidRPr="006A0C0F">
        <w:rPr>
          <w:rFonts w:ascii="Times New Roman" w:hAnsi="Times New Roman" w:cs="Times New Roman"/>
          <w:sz w:val="24"/>
          <w:szCs w:val="24"/>
          <w:lang w:val="fr-FR"/>
        </w:rPr>
        <w:t xml:space="preserve"> très négatif sur les exportations de produits de la pêche et de produits agricoles à destination de l’Union</w:t>
      </w:r>
      <w:r>
        <w:rPr>
          <w:rFonts w:ascii="Times New Roman" w:hAnsi="Times New Roman" w:cs="Times New Roman"/>
          <w:sz w:val="24"/>
          <w:szCs w:val="24"/>
          <w:lang w:val="fr-FR"/>
        </w:rPr>
        <w:t xml:space="preserve"> et donc sur l’emploi dans ces secteurs</w:t>
      </w:r>
      <w:r w:rsidRPr="006A0C0F">
        <w:rPr>
          <w:rFonts w:ascii="Times New Roman" w:hAnsi="Times New Roman" w:cs="Times New Roman"/>
          <w:sz w:val="24"/>
          <w:szCs w:val="24"/>
          <w:lang w:val="fr-FR"/>
        </w:rPr>
        <w:t>.</w:t>
      </w:r>
    </w:p>
    <w:p w:rsidR="00423348" w:rsidRDefault="00423348" w:rsidP="004233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fr-BE"/>
        </w:rPr>
      </w:pPr>
    </w:p>
    <w:p w:rsidR="00423348" w:rsidRPr="00D31826" w:rsidRDefault="00423348" w:rsidP="004233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Dans une perspective de plus long terme, l</w:t>
      </w:r>
      <w:r w:rsidRPr="00D31826">
        <w:rPr>
          <w:rFonts w:ascii="Times New Roman" w:eastAsia="Times New Roman" w:hAnsi="Times New Roman" w:cs="Times New Roman"/>
          <w:sz w:val="24"/>
          <w:szCs w:val="24"/>
          <w:lang w:val="fr-BE"/>
        </w:rPr>
        <w:t xml:space="preserve">'impulsion donnée à l'activité privée et à la liberté d'entreprendre </w:t>
      </w:r>
      <w:r>
        <w:rPr>
          <w:rFonts w:ascii="Times New Roman" w:eastAsia="Times New Roman" w:hAnsi="Times New Roman" w:cs="Times New Roman"/>
          <w:sz w:val="24"/>
          <w:szCs w:val="24"/>
          <w:lang w:val="fr-BE"/>
        </w:rPr>
        <w:t>devrait être de nature à atténuer</w:t>
      </w:r>
      <w:r w:rsidRPr="00D31826">
        <w:rPr>
          <w:rFonts w:ascii="Times New Roman" w:eastAsia="Times New Roman" w:hAnsi="Times New Roman" w:cs="Times New Roman"/>
          <w:sz w:val="24"/>
          <w:szCs w:val="24"/>
          <w:lang w:val="fr-BE"/>
        </w:rPr>
        <w:t xml:space="preserve"> la logique de dépendance aux subventions du pouvoir central</w:t>
      </w:r>
      <w:r>
        <w:rPr>
          <w:rFonts w:ascii="Times New Roman" w:eastAsia="Times New Roman" w:hAnsi="Times New Roman" w:cs="Times New Roman"/>
          <w:sz w:val="24"/>
          <w:szCs w:val="24"/>
          <w:lang w:val="fr-BE"/>
        </w:rPr>
        <w:t xml:space="preserve">, tandis que </w:t>
      </w:r>
      <w:r w:rsidRPr="00D31826">
        <w:rPr>
          <w:rFonts w:ascii="Times New Roman" w:eastAsia="Times New Roman" w:hAnsi="Times New Roman" w:cs="Times New Roman"/>
          <w:sz w:val="24"/>
          <w:szCs w:val="24"/>
          <w:lang w:val="fr-BE"/>
        </w:rPr>
        <w:t xml:space="preserve">l'ouverture sur le monde extérieur et la multiplication des </w:t>
      </w:r>
      <w:r w:rsidRPr="00447CD1">
        <w:rPr>
          <w:rFonts w:ascii="Times New Roman" w:eastAsia="Times New Roman" w:hAnsi="Times New Roman" w:cs="Times New Roman"/>
          <w:sz w:val="24"/>
          <w:szCs w:val="24"/>
          <w:lang w:val="fr-BE"/>
        </w:rPr>
        <w:lastRenderedPageBreak/>
        <w:t>échanges, commerciaux</w:t>
      </w:r>
      <w:r w:rsidR="007A2DFC" w:rsidRPr="00447CD1">
        <w:rPr>
          <w:rFonts w:ascii="Times New Roman" w:eastAsia="Times New Roman" w:hAnsi="Times New Roman" w:cs="Times New Roman"/>
          <w:sz w:val="24"/>
          <w:szCs w:val="24"/>
          <w:lang w:val="fr-BE"/>
        </w:rPr>
        <w:t xml:space="preserve"> et autres</w:t>
      </w:r>
      <w:r w:rsidRPr="00447CD1">
        <w:rPr>
          <w:rFonts w:ascii="Times New Roman" w:eastAsia="Times New Roman" w:hAnsi="Times New Roman" w:cs="Times New Roman"/>
          <w:sz w:val="24"/>
          <w:szCs w:val="24"/>
          <w:lang w:val="fr-BE"/>
        </w:rPr>
        <w:t xml:space="preserve">, </w:t>
      </w:r>
      <w:r w:rsidRPr="00AF14EC">
        <w:rPr>
          <w:rFonts w:ascii="Times New Roman" w:eastAsia="Times New Roman" w:hAnsi="Times New Roman" w:cs="Times New Roman"/>
          <w:sz w:val="24"/>
          <w:szCs w:val="24"/>
          <w:lang w:val="fr-BE"/>
        </w:rPr>
        <w:t>devraient logiquement et graduellement être porteurs</w:t>
      </w:r>
      <w:r w:rsidRPr="00D31826">
        <w:rPr>
          <w:rFonts w:ascii="Times New Roman" w:eastAsia="Times New Roman" w:hAnsi="Times New Roman" w:cs="Times New Roman"/>
          <w:sz w:val="24"/>
          <w:szCs w:val="24"/>
          <w:lang w:val="fr-BE"/>
        </w:rPr>
        <w:t xml:space="preserve"> d'évolution</w:t>
      </w:r>
      <w:r>
        <w:rPr>
          <w:rFonts w:ascii="Times New Roman" w:eastAsia="Times New Roman" w:hAnsi="Times New Roman" w:cs="Times New Roman"/>
          <w:sz w:val="24"/>
          <w:szCs w:val="24"/>
          <w:lang w:val="fr-BE"/>
        </w:rPr>
        <w:t>s</w:t>
      </w:r>
      <w:r w:rsidRPr="00D31826">
        <w:rPr>
          <w:rFonts w:ascii="Times New Roman" w:eastAsia="Times New Roman" w:hAnsi="Times New Roman" w:cs="Times New Roman"/>
          <w:sz w:val="24"/>
          <w:szCs w:val="24"/>
          <w:lang w:val="fr-BE"/>
        </w:rPr>
        <w:t xml:space="preserve"> socio-</w:t>
      </w:r>
      <w:r>
        <w:rPr>
          <w:rFonts w:ascii="Times New Roman" w:eastAsia="Times New Roman" w:hAnsi="Times New Roman" w:cs="Times New Roman"/>
          <w:sz w:val="24"/>
          <w:szCs w:val="24"/>
          <w:lang w:val="fr-BE"/>
        </w:rPr>
        <w:t xml:space="preserve">économiques et </w:t>
      </w:r>
      <w:r w:rsidRPr="00D31826">
        <w:rPr>
          <w:rFonts w:ascii="Times New Roman" w:eastAsia="Times New Roman" w:hAnsi="Times New Roman" w:cs="Times New Roman"/>
          <w:sz w:val="24"/>
          <w:szCs w:val="24"/>
          <w:lang w:val="fr-BE"/>
        </w:rPr>
        <w:t>cul</w:t>
      </w:r>
      <w:r>
        <w:rPr>
          <w:rFonts w:ascii="Times New Roman" w:eastAsia="Times New Roman" w:hAnsi="Times New Roman" w:cs="Times New Roman"/>
          <w:sz w:val="24"/>
          <w:szCs w:val="24"/>
          <w:lang w:val="fr-BE"/>
        </w:rPr>
        <w:t>turelles notoires.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3.</w:t>
      </w:r>
      <w:r>
        <w:rPr>
          <w:rFonts w:ascii="Times New Roman" w:hAnsi="Times New Roman" w:cs="Times New Roman"/>
          <w:b/>
          <w:sz w:val="24"/>
          <w:szCs w:val="24"/>
          <w:lang w:val="fr-FR"/>
        </w:rPr>
        <w:tab/>
        <w:t>L’association des populations concernées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p>
    <w:p w:rsidR="00423348" w:rsidRPr="001A238B" w:rsidRDefault="00454F02"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D'un</w:t>
      </w:r>
      <w:r w:rsidR="0055753D">
        <w:rPr>
          <w:rFonts w:ascii="Times New Roman" w:hAnsi="Times New Roman" w:cs="Times New Roman"/>
          <w:sz w:val="24"/>
          <w:szCs w:val="24"/>
          <w:lang w:val="fr-FR"/>
        </w:rPr>
        <w:t>e part</w:t>
      </w:r>
      <w:r>
        <w:rPr>
          <w:rFonts w:ascii="Times New Roman" w:hAnsi="Times New Roman" w:cs="Times New Roman"/>
          <w:sz w:val="24"/>
          <w:szCs w:val="24"/>
          <w:lang w:val="fr-FR"/>
        </w:rPr>
        <w:t>, l</w:t>
      </w:r>
      <w:r w:rsidR="00423348" w:rsidRPr="001A238B">
        <w:rPr>
          <w:rFonts w:ascii="Times New Roman" w:hAnsi="Times New Roman" w:cs="Times New Roman"/>
          <w:sz w:val="24"/>
          <w:szCs w:val="24"/>
          <w:lang w:val="fr-FR"/>
        </w:rPr>
        <w:t>es autorités marocaines ont mené à bien un large exercice de consultation institutionnelle embrassant l'ensemble des organes nationaux, régionaux et locaux intér</w:t>
      </w:r>
      <w:r w:rsidR="00423348">
        <w:rPr>
          <w:rFonts w:ascii="Times New Roman" w:hAnsi="Times New Roman" w:cs="Times New Roman"/>
          <w:sz w:val="24"/>
          <w:szCs w:val="24"/>
          <w:lang w:val="fr-FR"/>
        </w:rPr>
        <w:t>e</w:t>
      </w:r>
      <w:r w:rsidR="00423348" w:rsidRPr="00423BE0">
        <w:rPr>
          <w:rFonts w:ascii="Times New Roman" w:hAnsi="Times New Roman" w:cs="Times New Roman"/>
          <w:sz w:val="24"/>
          <w:szCs w:val="24"/>
          <w:lang w:val="fr-FR"/>
        </w:rPr>
        <w:t xml:space="preserve">ssés afin de les sensibiliser et recueillir leur </w:t>
      </w:r>
      <w:r w:rsidR="00423348" w:rsidRPr="000E139E">
        <w:rPr>
          <w:rFonts w:ascii="Times New Roman" w:hAnsi="Times New Roman" w:cs="Times New Roman"/>
          <w:sz w:val="24"/>
          <w:szCs w:val="24"/>
          <w:lang w:val="fr-FR"/>
        </w:rPr>
        <w:t>assentiment et observations éventuelles</w:t>
      </w:r>
      <w:r w:rsidR="00423348" w:rsidRPr="00423BE0">
        <w:rPr>
          <w:rFonts w:ascii="Times New Roman" w:hAnsi="Times New Roman" w:cs="Times New Roman"/>
          <w:sz w:val="24"/>
          <w:szCs w:val="24"/>
          <w:lang w:val="fr-FR"/>
        </w:rPr>
        <w:t xml:space="preserve">. </w:t>
      </w:r>
      <w:r w:rsidR="00423348">
        <w:rPr>
          <w:rFonts w:ascii="Times New Roman" w:hAnsi="Times New Roman" w:cs="Times New Roman"/>
          <w:sz w:val="24"/>
          <w:szCs w:val="24"/>
          <w:lang w:val="fr-FR"/>
        </w:rPr>
        <w:t>C</w:t>
      </w:r>
      <w:r w:rsidR="00423348" w:rsidRPr="00423BE0">
        <w:rPr>
          <w:rFonts w:ascii="Times New Roman" w:hAnsi="Times New Roman" w:cs="Times New Roman"/>
          <w:sz w:val="24"/>
          <w:szCs w:val="24"/>
          <w:lang w:val="fr-FR"/>
        </w:rPr>
        <w:t xml:space="preserve">e processus a conclu à un </w:t>
      </w:r>
      <w:r w:rsidR="00423348">
        <w:rPr>
          <w:rFonts w:ascii="Times New Roman" w:hAnsi="Times New Roman" w:cs="Times New Roman"/>
          <w:sz w:val="24"/>
          <w:szCs w:val="24"/>
          <w:lang w:val="fr-FR"/>
        </w:rPr>
        <w:t>très large appui à</w:t>
      </w:r>
      <w:r w:rsidR="00423348" w:rsidRPr="00423BE0">
        <w:rPr>
          <w:rFonts w:ascii="Times New Roman" w:hAnsi="Times New Roman" w:cs="Times New Roman"/>
          <w:sz w:val="24"/>
          <w:szCs w:val="24"/>
          <w:lang w:val="fr-FR"/>
        </w:rPr>
        <w:t xml:space="preserve"> l</w:t>
      </w:r>
      <w:r w:rsidR="00423348">
        <w:rPr>
          <w:rFonts w:ascii="Times New Roman" w:hAnsi="Times New Roman" w:cs="Times New Roman"/>
          <w:sz w:val="24"/>
          <w:szCs w:val="24"/>
          <w:lang w:val="fr-FR"/>
        </w:rPr>
        <w:t xml:space="preserve">a modification </w:t>
      </w:r>
      <w:r w:rsidR="00423348" w:rsidRPr="00423BE0">
        <w:rPr>
          <w:rFonts w:ascii="Times New Roman" w:hAnsi="Times New Roman" w:cs="Times New Roman"/>
          <w:sz w:val="24"/>
          <w:szCs w:val="24"/>
          <w:lang w:val="fr-FR"/>
        </w:rPr>
        <w:t>envisagé</w:t>
      </w:r>
      <w:r w:rsidR="00423348">
        <w:rPr>
          <w:rFonts w:ascii="Times New Roman" w:hAnsi="Times New Roman" w:cs="Times New Roman"/>
          <w:sz w:val="24"/>
          <w:szCs w:val="24"/>
          <w:lang w:val="fr-FR"/>
        </w:rPr>
        <w:t>e</w:t>
      </w:r>
      <w:r w:rsidR="00423348" w:rsidRPr="0025318F">
        <w:rPr>
          <w:rFonts w:ascii="Times New Roman" w:hAnsi="Times New Roman" w:cs="Times New Roman"/>
          <w:sz w:val="24"/>
          <w:szCs w:val="24"/>
          <w:lang w:val="fr-FR"/>
        </w:rPr>
        <w:t xml:space="preserve"> ainsi qu'à certaines recomm</w:t>
      </w:r>
      <w:r w:rsidR="00423348">
        <w:rPr>
          <w:rFonts w:ascii="Times New Roman" w:hAnsi="Times New Roman" w:cs="Times New Roman"/>
          <w:sz w:val="24"/>
          <w:szCs w:val="24"/>
          <w:lang w:val="fr-FR"/>
        </w:rPr>
        <w:t>a</w:t>
      </w:r>
      <w:r w:rsidR="00423348" w:rsidRPr="001A238B">
        <w:rPr>
          <w:rFonts w:ascii="Times New Roman" w:hAnsi="Times New Roman" w:cs="Times New Roman"/>
          <w:sz w:val="24"/>
          <w:szCs w:val="24"/>
          <w:lang w:val="fr-FR"/>
        </w:rPr>
        <w:t xml:space="preserve">ndations pertinentes pour en optimiser les effets. </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FR"/>
        </w:rPr>
      </w:pPr>
    </w:p>
    <w:p w:rsidR="00423348" w:rsidRDefault="00454F02"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BE"/>
        </w:rPr>
      </w:pPr>
      <w:r>
        <w:rPr>
          <w:rFonts w:ascii="Times New Roman" w:eastAsia="Arial Unicode MS" w:hAnsi="Times New Roman" w:cs="Times New Roman"/>
          <w:sz w:val="24"/>
          <w:szCs w:val="24"/>
          <w:bdr w:val="nil"/>
          <w:lang w:val="fr-FR"/>
        </w:rPr>
        <w:t xml:space="preserve">D'autre </w:t>
      </w:r>
      <w:r w:rsidR="0055753D">
        <w:rPr>
          <w:rFonts w:ascii="Times New Roman" w:eastAsia="Arial Unicode MS" w:hAnsi="Times New Roman" w:cs="Times New Roman"/>
          <w:sz w:val="24"/>
          <w:szCs w:val="24"/>
          <w:bdr w:val="nil"/>
          <w:lang w:val="fr-FR"/>
        </w:rPr>
        <w:t>part</w:t>
      </w:r>
      <w:r>
        <w:rPr>
          <w:rFonts w:ascii="Times New Roman" w:eastAsia="Arial Unicode MS" w:hAnsi="Times New Roman" w:cs="Times New Roman"/>
          <w:sz w:val="24"/>
          <w:szCs w:val="24"/>
          <w:bdr w:val="nil"/>
          <w:lang w:val="fr-FR"/>
        </w:rPr>
        <w:t xml:space="preserve">, </w:t>
      </w:r>
      <w:r w:rsidR="008C2411">
        <w:rPr>
          <w:rFonts w:ascii="Times New Roman" w:eastAsia="Arial Unicode MS" w:hAnsi="Times New Roman" w:cs="Times New Roman"/>
          <w:sz w:val="24"/>
          <w:szCs w:val="24"/>
          <w:bdr w:val="nil"/>
          <w:lang w:val="fr-FR"/>
        </w:rPr>
        <w:t xml:space="preserve">postérieurement </w:t>
      </w:r>
      <w:r w:rsidR="00423348">
        <w:rPr>
          <w:rFonts w:ascii="Times New Roman" w:eastAsia="Arial Unicode MS" w:hAnsi="Times New Roman" w:cs="Times New Roman"/>
          <w:sz w:val="24"/>
          <w:szCs w:val="24"/>
          <w:bdr w:val="nil"/>
          <w:lang w:val="fr-FR"/>
        </w:rPr>
        <w:t xml:space="preserve">à </w:t>
      </w:r>
      <w:r w:rsidR="008C2411">
        <w:rPr>
          <w:rFonts w:ascii="Times New Roman" w:eastAsia="Arial Unicode MS" w:hAnsi="Times New Roman" w:cs="Times New Roman"/>
          <w:sz w:val="24"/>
          <w:szCs w:val="24"/>
          <w:bdr w:val="nil"/>
          <w:lang w:val="fr-FR"/>
        </w:rPr>
        <w:t>la consultation</w:t>
      </w:r>
      <w:r w:rsidR="00423348">
        <w:rPr>
          <w:rFonts w:ascii="Times New Roman" w:eastAsia="Arial Unicode MS" w:hAnsi="Times New Roman" w:cs="Times New Roman"/>
          <w:sz w:val="24"/>
          <w:szCs w:val="24"/>
          <w:bdr w:val="nil"/>
          <w:lang w:val="fr-FR"/>
        </w:rPr>
        <w:t xml:space="preserve"> des élus du territoire</w:t>
      </w:r>
      <w:r w:rsidR="00423348">
        <w:rPr>
          <w:rFonts w:ascii="Times New Roman" w:eastAsia="Arial Unicode MS" w:hAnsi="Times New Roman" w:cs="Times New Roman"/>
          <w:sz w:val="24"/>
          <w:szCs w:val="24"/>
          <w:bdr w:val="nil"/>
          <w:lang w:val="fr-BE"/>
        </w:rPr>
        <w:t xml:space="preserve">, </w:t>
      </w:r>
      <w:r w:rsidR="006C3AB4">
        <w:rPr>
          <w:rFonts w:ascii="Times New Roman" w:eastAsia="Arial Unicode MS" w:hAnsi="Times New Roman" w:cs="Times New Roman"/>
          <w:sz w:val="24"/>
          <w:szCs w:val="24"/>
          <w:bdr w:val="nil"/>
          <w:lang w:val="fr-BE"/>
        </w:rPr>
        <w:t>les services de la</w:t>
      </w:r>
      <w:r w:rsidR="006C3AB4" w:rsidRPr="00C04BAD">
        <w:rPr>
          <w:rFonts w:ascii="Times New Roman" w:eastAsia="Arial Unicode MS" w:hAnsi="Times New Roman" w:cs="Times New Roman"/>
          <w:sz w:val="24"/>
          <w:szCs w:val="24"/>
          <w:bdr w:val="nil"/>
          <w:lang w:val="fr-BE"/>
        </w:rPr>
        <w:t xml:space="preserve"> Commission </w:t>
      </w:r>
      <w:r w:rsidR="0055753D">
        <w:rPr>
          <w:rFonts w:ascii="Times New Roman" w:eastAsia="Arial Unicode MS" w:hAnsi="Times New Roman" w:cs="Times New Roman"/>
          <w:sz w:val="24"/>
          <w:szCs w:val="24"/>
          <w:bdr w:val="nil"/>
          <w:lang w:val="fr-BE"/>
        </w:rPr>
        <w:t>e</w:t>
      </w:r>
      <w:r w:rsidR="006C3AB4">
        <w:rPr>
          <w:rFonts w:ascii="Times New Roman" w:eastAsia="Arial Unicode MS" w:hAnsi="Times New Roman" w:cs="Times New Roman"/>
          <w:sz w:val="24"/>
          <w:szCs w:val="24"/>
          <w:bdr w:val="nil"/>
          <w:lang w:val="fr-BE"/>
        </w:rPr>
        <w:t xml:space="preserve">uropéenne </w:t>
      </w:r>
      <w:r w:rsidR="006C3AB4" w:rsidRPr="00C04BAD">
        <w:rPr>
          <w:rFonts w:ascii="Times New Roman" w:eastAsia="Arial Unicode MS" w:hAnsi="Times New Roman" w:cs="Times New Roman"/>
          <w:sz w:val="24"/>
          <w:szCs w:val="24"/>
          <w:bdr w:val="nil"/>
          <w:lang w:val="fr-BE"/>
        </w:rPr>
        <w:t xml:space="preserve">et le </w:t>
      </w:r>
      <w:r w:rsidR="006C3AB4">
        <w:rPr>
          <w:rFonts w:ascii="Times New Roman" w:eastAsia="Arial Unicode MS" w:hAnsi="Times New Roman" w:cs="Times New Roman"/>
          <w:sz w:val="24"/>
          <w:szCs w:val="24"/>
          <w:bdr w:val="nil"/>
          <w:lang w:val="fr-BE"/>
        </w:rPr>
        <w:t>Service Européen d’Action Extérieure</w:t>
      </w:r>
      <w:r w:rsidR="006C3AB4" w:rsidRPr="00C04BAD">
        <w:rPr>
          <w:rFonts w:ascii="Times New Roman" w:eastAsia="Arial Unicode MS" w:hAnsi="Times New Roman" w:cs="Times New Roman"/>
          <w:sz w:val="24"/>
          <w:szCs w:val="24"/>
          <w:bdr w:val="nil"/>
          <w:lang w:val="fr-BE"/>
        </w:rPr>
        <w:t xml:space="preserve"> </w:t>
      </w:r>
      <w:r w:rsidR="0055753D">
        <w:rPr>
          <w:rFonts w:ascii="Times New Roman" w:eastAsia="Arial Unicode MS" w:hAnsi="Times New Roman" w:cs="Times New Roman"/>
          <w:sz w:val="24"/>
          <w:szCs w:val="24"/>
          <w:bdr w:val="nil"/>
          <w:lang w:val="fr-BE"/>
        </w:rPr>
        <w:t xml:space="preserve">(SEAE) </w:t>
      </w:r>
      <w:r w:rsidR="006C3AB4">
        <w:rPr>
          <w:rFonts w:ascii="Times New Roman" w:eastAsia="Arial Unicode MS" w:hAnsi="Times New Roman" w:cs="Times New Roman"/>
          <w:sz w:val="24"/>
          <w:szCs w:val="24"/>
          <w:bdr w:val="nil"/>
          <w:lang w:val="fr-BE"/>
        </w:rPr>
        <w:t xml:space="preserve">ont conduit un </w:t>
      </w:r>
      <w:r w:rsidR="00423348">
        <w:rPr>
          <w:rFonts w:ascii="Times New Roman" w:eastAsia="Arial Unicode MS" w:hAnsi="Times New Roman" w:cs="Times New Roman"/>
          <w:sz w:val="24"/>
          <w:szCs w:val="24"/>
          <w:bdr w:val="nil"/>
          <w:lang w:val="fr-BE"/>
        </w:rPr>
        <w:t>processus</w:t>
      </w:r>
      <w:r w:rsidR="00423348" w:rsidRPr="00C04BAD">
        <w:rPr>
          <w:rFonts w:ascii="Times New Roman" w:eastAsia="Arial Unicode MS" w:hAnsi="Times New Roman" w:cs="Times New Roman"/>
          <w:sz w:val="24"/>
          <w:szCs w:val="24"/>
          <w:bdr w:val="nil"/>
          <w:lang w:val="fr-BE"/>
        </w:rPr>
        <w:t xml:space="preserve"> de consultation des populations </w:t>
      </w:r>
      <w:r w:rsidR="00423348">
        <w:rPr>
          <w:rFonts w:ascii="Times New Roman" w:eastAsia="Arial Unicode MS" w:hAnsi="Times New Roman" w:cs="Times New Roman"/>
          <w:sz w:val="24"/>
          <w:szCs w:val="24"/>
          <w:bdr w:val="nil"/>
          <w:lang w:val="fr-BE"/>
        </w:rPr>
        <w:t xml:space="preserve">locales </w:t>
      </w:r>
      <w:r w:rsidR="00423348" w:rsidRPr="00C04BAD">
        <w:rPr>
          <w:rFonts w:ascii="Times New Roman" w:eastAsia="Arial Unicode MS" w:hAnsi="Times New Roman" w:cs="Times New Roman"/>
          <w:sz w:val="24"/>
          <w:szCs w:val="24"/>
          <w:bdr w:val="nil"/>
          <w:lang w:val="fr-BE"/>
        </w:rPr>
        <w:t>du</w:t>
      </w:r>
      <w:r w:rsidR="00423348" w:rsidRPr="00FF3B0F">
        <w:rPr>
          <w:rFonts w:ascii="Times New Roman" w:eastAsia="Arial Unicode MS" w:hAnsi="Times New Roman" w:cs="Times New Roman"/>
          <w:sz w:val="24"/>
          <w:szCs w:val="24"/>
          <w:bdr w:val="nil"/>
          <w:lang w:val="fr-BE"/>
        </w:rPr>
        <w:t xml:space="preserve"> Sahara occid</w:t>
      </w:r>
      <w:r w:rsidR="00423348" w:rsidRPr="00C04BAD">
        <w:rPr>
          <w:rFonts w:ascii="Times New Roman" w:eastAsia="Arial Unicode MS" w:hAnsi="Times New Roman" w:cs="Times New Roman"/>
          <w:sz w:val="24"/>
          <w:szCs w:val="24"/>
          <w:bdr w:val="nil"/>
          <w:lang w:val="fr-BE"/>
        </w:rPr>
        <w:t xml:space="preserve">ental </w:t>
      </w:r>
      <w:r w:rsidR="00423348">
        <w:rPr>
          <w:rFonts w:ascii="Times New Roman" w:eastAsia="Arial Unicode MS" w:hAnsi="Times New Roman" w:cs="Times New Roman"/>
          <w:sz w:val="24"/>
          <w:szCs w:val="24"/>
          <w:bdr w:val="nil"/>
          <w:lang w:val="fr-BE"/>
        </w:rPr>
        <w:t>qui a perm</w:t>
      </w:r>
      <w:r w:rsidR="006C3AB4">
        <w:rPr>
          <w:rFonts w:ascii="Times New Roman" w:eastAsia="Arial Unicode MS" w:hAnsi="Times New Roman" w:cs="Times New Roman"/>
          <w:sz w:val="24"/>
          <w:szCs w:val="24"/>
          <w:bdr w:val="nil"/>
          <w:lang w:val="fr-BE"/>
        </w:rPr>
        <w:t>is</w:t>
      </w:r>
      <w:r w:rsidR="00423348">
        <w:rPr>
          <w:rFonts w:ascii="Times New Roman" w:eastAsia="Arial Unicode MS" w:hAnsi="Times New Roman" w:cs="Times New Roman"/>
          <w:sz w:val="24"/>
          <w:szCs w:val="24"/>
          <w:bdr w:val="nil"/>
          <w:lang w:val="fr-BE"/>
        </w:rPr>
        <w:t xml:space="preserve"> de constater une</w:t>
      </w:r>
      <w:r w:rsidR="00423348" w:rsidRPr="00C04BAD">
        <w:rPr>
          <w:rFonts w:ascii="Times New Roman" w:eastAsia="Arial Unicode MS" w:hAnsi="Times New Roman" w:cs="Times New Roman"/>
          <w:sz w:val="24"/>
          <w:szCs w:val="24"/>
          <w:bdr w:val="nil"/>
          <w:lang w:val="fr-BE"/>
        </w:rPr>
        <w:t xml:space="preserve"> </w:t>
      </w:r>
      <w:r w:rsidR="00423348">
        <w:rPr>
          <w:rFonts w:ascii="Times New Roman" w:eastAsia="Arial Unicode MS" w:hAnsi="Times New Roman" w:cs="Times New Roman"/>
          <w:sz w:val="24"/>
          <w:szCs w:val="24"/>
          <w:bdr w:val="nil"/>
          <w:lang w:val="fr-BE"/>
        </w:rPr>
        <w:t>large majorité d'opinions</w:t>
      </w:r>
      <w:r w:rsidR="00423348" w:rsidRPr="00FF3B0F">
        <w:rPr>
          <w:rFonts w:ascii="Times New Roman" w:eastAsia="Arial Unicode MS" w:hAnsi="Times New Roman" w:cs="Times New Roman"/>
          <w:sz w:val="24"/>
          <w:szCs w:val="24"/>
          <w:bdr w:val="nil"/>
          <w:lang w:val="fr-BE"/>
        </w:rPr>
        <w:t xml:space="preserve"> favo</w:t>
      </w:r>
      <w:r w:rsidR="00423348" w:rsidRPr="00C04BAD">
        <w:rPr>
          <w:rFonts w:ascii="Times New Roman" w:eastAsia="Arial Unicode MS" w:hAnsi="Times New Roman" w:cs="Times New Roman"/>
          <w:sz w:val="24"/>
          <w:szCs w:val="24"/>
          <w:bdr w:val="nil"/>
          <w:lang w:val="fr-BE"/>
        </w:rPr>
        <w:t>rable</w:t>
      </w:r>
      <w:r w:rsidR="00423348">
        <w:rPr>
          <w:rFonts w:ascii="Times New Roman" w:eastAsia="Arial Unicode MS" w:hAnsi="Times New Roman" w:cs="Times New Roman"/>
          <w:sz w:val="24"/>
          <w:szCs w:val="24"/>
          <w:bdr w:val="nil"/>
          <w:lang w:val="fr-BE"/>
        </w:rPr>
        <w:t>s</w:t>
      </w:r>
      <w:r w:rsidR="00423348" w:rsidRPr="00C04BAD">
        <w:rPr>
          <w:rFonts w:ascii="Times New Roman" w:eastAsia="Arial Unicode MS" w:hAnsi="Times New Roman" w:cs="Times New Roman"/>
          <w:sz w:val="24"/>
          <w:szCs w:val="24"/>
          <w:bdr w:val="nil"/>
          <w:lang w:val="fr-BE"/>
        </w:rPr>
        <w:t xml:space="preserve"> </w:t>
      </w:r>
      <w:r w:rsidR="00423348">
        <w:rPr>
          <w:rFonts w:ascii="Times New Roman" w:eastAsia="Arial Unicode MS" w:hAnsi="Times New Roman" w:cs="Times New Roman"/>
          <w:sz w:val="24"/>
          <w:szCs w:val="24"/>
          <w:bdr w:val="nil"/>
          <w:lang w:val="fr-BE"/>
        </w:rPr>
        <w:t>à l'extension des</w:t>
      </w:r>
      <w:r w:rsidR="00423348" w:rsidRPr="00C04BAD">
        <w:rPr>
          <w:rFonts w:ascii="Times New Roman" w:eastAsia="Arial Unicode MS" w:hAnsi="Times New Roman" w:cs="Times New Roman"/>
          <w:sz w:val="24"/>
          <w:szCs w:val="24"/>
          <w:bdr w:val="nil"/>
          <w:lang w:val="fr-BE"/>
        </w:rPr>
        <w:t xml:space="preserve"> préférences tarifaires aux produits </w:t>
      </w:r>
      <w:r w:rsidR="00423348">
        <w:rPr>
          <w:rFonts w:ascii="Times New Roman" w:eastAsia="Arial Unicode MS" w:hAnsi="Times New Roman" w:cs="Times New Roman"/>
          <w:sz w:val="24"/>
          <w:szCs w:val="24"/>
          <w:bdr w:val="nil"/>
          <w:lang w:val="fr-BE"/>
        </w:rPr>
        <w:t xml:space="preserve">du Sahara occidental. </w:t>
      </w:r>
      <w:r w:rsidR="00423348" w:rsidRPr="00C872BA">
        <w:rPr>
          <w:rFonts w:ascii="Times New Roman" w:eastAsia="Arial Unicode MS" w:hAnsi="Times New Roman" w:cs="Times New Roman"/>
          <w:sz w:val="24"/>
          <w:szCs w:val="24"/>
          <w:bdr w:val="nil"/>
          <w:lang w:val="fr-BE"/>
        </w:rPr>
        <w:t xml:space="preserve">Une majorité d'interlocuteurs ont </w:t>
      </w:r>
      <w:r w:rsidR="00423348">
        <w:rPr>
          <w:rFonts w:ascii="Times New Roman" w:eastAsia="Arial Unicode MS" w:hAnsi="Times New Roman" w:cs="Times New Roman"/>
          <w:sz w:val="24"/>
          <w:szCs w:val="24"/>
          <w:bdr w:val="nil"/>
          <w:lang w:val="fr-BE"/>
        </w:rPr>
        <w:t xml:space="preserve">en effet </w:t>
      </w:r>
      <w:r w:rsidR="00423348" w:rsidRPr="00C872BA">
        <w:rPr>
          <w:rFonts w:ascii="Times New Roman" w:eastAsia="Arial Unicode MS" w:hAnsi="Times New Roman" w:cs="Times New Roman"/>
          <w:sz w:val="24"/>
          <w:szCs w:val="24"/>
          <w:bdr w:val="nil"/>
          <w:lang w:val="fr-BE"/>
        </w:rPr>
        <w:t xml:space="preserve">fait </w:t>
      </w:r>
      <w:r w:rsidR="00423348">
        <w:rPr>
          <w:rFonts w:ascii="Times New Roman" w:eastAsia="Arial Unicode MS" w:hAnsi="Times New Roman" w:cs="Times New Roman"/>
          <w:sz w:val="24"/>
          <w:szCs w:val="24"/>
          <w:bdr w:val="nil"/>
          <w:lang w:val="fr-BE"/>
        </w:rPr>
        <w:t>valoir</w:t>
      </w:r>
      <w:r w:rsidR="00423348" w:rsidRPr="00C872BA">
        <w:rPr>
          <w:rFonts w:ascii="Times New Roman" w:eastAsia="Arial Unicode MS" w:hAnsi="Times New Roman" w:cs="Times New Roman"/>
          <w:sz w:val="24"/>
          <w:szCs w:val="24"/>
          <w:bdr w:val="nil"/>
          <w:lang w:val="fr-BE"/>
        </w:rPr>
        <w:t xml:space="preserve"> </w:t>
      </w:r>
      <w:r w:rsidR="00423348">
        <w:rPr>
          <w:rFonts w:ascii="Times New Roman" w:eastAsia="Arial Unicode MS" w:hAnsi="Times New Roman" w:cs="Times New Roman"/>
          <w:sz w:val="24"/>
          <w:szCs w:val="24"/>
          <w:bdr w:val="nil"/>
          <w:lang w:val="fr-BE"/>
        </w:rPr>
        <w:t>l'</w:t>
      </w:r>
      <w:r w:rsidR="00423348" w:rsidRPr="00C04BAD">
        <w:rPr>
          <w:rFonts w:ascii="Times New Roman" w:eastAsia="Arial Unicode MS" w:hAnsi="Times New Roman" w:cs="Times New Roman"/>
          <w:sz w:val="24"/>
          <w:szCs w:val="24"/>
          <w:bdr w:val="nil"/>
          <w:lang w:val="fr-BE"/>
        </w:rPr>
        <w:t>impact positif en faveur de la population dans son ensem</w:t>
      </w:r>
      <w:r w:rsidR="00423348">
        <w:rPr>
          <w:rFonts w:ascii="Times New Roman" w:eastAsia="Arial Unicode MS" w:hAnsi="Times New Roman" w:cs="Times New Roman"/>
          <w:sz w:val="24"/>
          <w:szCs w:val="24"/>
          <w:bdr w:val="nil"/>
          <w:lang w:val="fr-BE"/>
        </w:rPr>
        <w:t>ble, insistant tout particulièrement sur l'effet de levier déterminant qu'auraient de telles préférences commerciales en matière d'investissement privé. Selon ces mêmes acteurs</w:t>
      </w:r>
      <w:r w:rsidR="00423348" w:rsidRPr="00DF1E0C">
        <w:rPr>
          <w:rFonts w:ascii="Times New Roman" w:eastAsia="Arial Unicode MS" w:hAnsi="Times New Roman" w:cs="Times New Roman"/>
          <w:sz w:val="24"/>
          <w:szCs w:val="24"/>
          <w:bdr w:val="nil"/>
          <w:lang w:val="fr-BE"/>
        </w:rPr>
        <w:t xml:space="preserve">, un accès privilégié </w:t>
      </w:r>
      <w:r w:rsidR="00423348" w:rsidRPr="00C04BAD">
        <w:rPr>
          <w:rFonts w:ascii="Times New Roman" w:eastAsia="Arial Unicode MS" w:hAnsi="Times New Roman" w:cs="Times New Roman"/>
          <w:sz w:val="24"/>
          <w:szCs w:val="24"/>
          <w:bdr w:val="nil"/>
          <w:lang w:val="fr-BE"/>
        </w:rPr>
        <w:t xml:space="preserve">aux </w:t>
      </w:r>
      <w:r w:rsidR="00423348" w:rsidRPr="003B004A">
        <w:rPr>
          <w:rFonts w:ascii="Times New Roman" w:eastAsia="Arial Unicode MS" w:hAnsi="Times New Roman" w:cs="Times New Roman"/>
          <w:sz w:val="24"/>
          <w:szCs w:val="24"/>
          <w:bdr w:val="nil"/>
          <w:lang w:val="fr-BE"/>
        </w:rPr>
        <w:t>march</w:t>
      </w:r>
      <w:r w:rsidR="00423348">
        <w:rPr>
          <w:rFonts w:ascii="Times New Roman" w:eastAsia="Arial Unicode MS" w:hAnsi="Times New Roman" w:cs="Times New Roman"/>
          <w:sz w:val="24"/>
          <w:szCs w:val="24"/>
          <w:bdr w:val="nil"/>
          <w:lang w:val="fr-BE"/>
        </w:rPr>
        <w:t>é</w:t>
      </w:r>
      <w:r w:rsidR="00423348" w:rsidRPr="00C04BAD">
        <w:rPr>
          <w:rFonts w:ascii="Times New Roman" w:eastAsia="Arial Unicode MS" w:hAnsi="Times New Roman" w:cs="Times New Roman"/>
          <w:sz w:val="24"/>
          <w:szCs w:val="24"/>
          <w:bdr w:val="nil"/>
          <w:lang w:val="fr-BE"/>
        </w:rPr>
        <w:t xml:space="preserve">s européens </w:t>
      </w:r>
      <w:r w:rsidR="00423348">
        <w:rPr>
          <w:rFonts w:ascii="Times New Roman" w:eastAsia="Arial Unicode MS" w:hAnsi="Times New Roman" w:cs="Times New Roman"/>
          <w:sz w:val="24"/>
          <w:szCs w:val="24"/>
          <w:bdr w:val="nil"/>
          <w:lang w:val="fr-BE"/>
        </w:rPr>
        <w:t>serait</w:t>
      </w:r>
      <w:r w:rsidR="00423348" w:rsidRPr="00C04BAD">
        <w:rPr>
          <w:rFonts w:ascii="Times New Roman" w:eastAsia="Arial Unicode MS" w:hAnsi="Times New Roman" w:cs="Times New Roman"/>
          <w:sz w:val="24"/>
          <w:szCs w:val="24"/>
          <w:bdr w:val="nil"/>
          <w:lang w:val="fr-BE"/>
        </w:rPr>
        <w:t xml:space="preserve"> de nature à améliorer le climat des a</w:t>
      </w:r>
      <w:r w:rsidR="00423348">
        <w:rPr>
          <w:rFonts w:ascii="Times New Roman" w:eastAsia="Arial Unicode MS" w:hAnsi="Times New Roman" w:cs="Times New Roman"/>
          <w:sz w:val="24"/>
          <w:szCs w:val="24"/>
          <w:bdr w:val="nil"/>
          <w:lang w:val="fr-BE"/>
        </w:rPr>
        <w:t xml:space="preserve">ffaires ainsi que les investissements directs européens et, ce faisant, conforterait le nouveau modèle de développement participatif et durable du Sahara occidental. </w:t>
      </w:r>
      <w:r w:rsidR="00423348" w:rsidRPr="003249B9">
        <w:rPr>
          <w:rFonts w:ascii="Times New Roman" w:eastAsia="Arial Unicode MS" w:hAnsi="Times New Roman" w:cs="Times New Roman"/>
          <w:sz w:val="24"/>
          <w:szCs w:val="24"/>
          <w:bdr w:val="nil"/>
          <w:lang w:val="fr-FR"/>
        </w:rPr>
        <w:t>A contrario, la persistance de l'insécurité juridique grevant les flux commerc</w:t>
      </w:r>
      <w:r w:rsidR="00423348">
        <w:rPr>
          <w:rFonts w:ascii="Times New Roman" w:eastAsia="Arial Unicode MS" w:hAnsi="Times New Roman" w:cs="Times New Roman"/>
          <w:sz w:val="24"/>
          <w:szCs w:val="24"/>
          <w:bdr w:val="nil"/>
          <w:lang w:val="fr-FR"/>
        </w:rPr>
        <w:t>i</w:t>
      </w:r>
      <w:r w:rsidR="00423348" w:rsidRPr="003249B9">
        <w:rPr>
          <w:rFonts w:ascii="Times New Roman" w:eastAsia="Arial Unicode MS" w:hAnsi="Times New Roman" w:cs="Times New Roman"/>
          <w:sz w:val="24"/>
          <w:szCs w:val="24"/>
          <w:bdr w:val="nil"/>
          <w:lang w:val="fr-FR"/>
        </w:rPr>
        <w:t xml:space="preserve">aux avec le </w:t>
      </w:r>
      <w:r w:rsidR="00423348" w:rsidRPr="00C04BAD">
        <w:rPr>
          <w:rFonts w:ascii="Times New Roman" w:eastAsia="Arial Unicode MS" w:hAnsi="Times New Roman" w:cs="Times New Roman"/>
          <w:sz w:val="24"/>
          <w:szCs w:val="24"/>
          <w:bdr w:val="nil"/>
          <w:lang w:val="fr-BE"/>
        </w:rPr>
        <w:t xml:space="preserve">Sahara occidental </w:t>
      </w:r>
      <w:r w:rsidR="00423348" w:rsidRPr="00994BB8">
        <w:rPr>
          <w:rFonts w:ascii="Times New Roman" w:eastAsia="Arial Unicode MS" w:hAnsi="Times New Roman" w:cs="Times New Roman"/>
          <w:sz w:val="24"/>
          <w:szCs w:val="24"/>
          <w:bdr w:val="nil"/>
          <w:lang w:val="fr-BE"/>
        </w:rPr>
        <w:t>hypothèquerait fortement le d</w:t>
      </w:r>
      <w:r w:rsidR="00423348">
        <w:rPr>
          <w:rFonts w:ascii="Times New Roman" w:eastAsia="Arial Unicode MS" w:hAnsi="Times New Roman" w:cs="Times New Roman"/>
          <w:sz w:val="24"/>
          <w:szCs w:val="24"/>
          <w:bdr w:val="nil"/>
          <w:lang w:val="fr-BE"/>
        </w:rPr>
        <w:t>é</w:t>
      </w:r>
      <w:r w:rsidR="00423348" w:rsidRPr="00C04BAD">
        <w:rPr>
          <w:rFonts w:ascii="Times New Roman" w:eastAsia="Arial Unicode MS" w:hAnsi="Times New Roman" w:cs="Times New Roman"/>
          <w:sz w:val="24"/>
          <w:szCs w:val="24"/>
          <w:bdr w:val="nil"/>
          <w:lang w:val="fr-BE"/>
        </w:rPr>
        <w:t xml:space="preserve">veloppement socio-économique, </w:t>
      </w:r>
      <w:r w:rsidR="00423348">
        <w:rPr>
          <w:rFonts w:ascii="Times New Roman" w:eastAsia="Arial Unicode MS" w:hAnsi="Times New Roman" w:cs="Times New Roman"/>
          <w:sz w:val="24"/>
          <w:szCs w:val="24"/>
          <w:bdr w:val="nil"/>
          <w:lang w:val="fr-BE"/>
        </w:rPr>
        <w:t>ainsi qu'en témoigne déjà le ralentissement des relations commerciales du Sahara occidental avec certains Etats membres ou dans certains secteurs.</w:t>
      </w:r>
      <w:r w:rsidR="00423348" w:rsidRPr="00994BB8">
        <w:rPr>
          <w:rFonts w:ascii="Times New Roman" w:eastAsia="Arial Unicode MS" w:hAnsi="Times New Roman" w:cs="Times New Roman"/>
          <w:sz w:val="24"/>
          <w:szCs w:val="24"/>
          <w:bdr w:val="nil"/>
          <w:lang w:val="fr-BE"/>
        </w:rPr>
        <w:t xml:space="preserve"> </w:t>
      </w:r>
      <w:r w:rsidR="00423348" w:rsidRPr="00FF3B0F">
        <w:rPr>
          <w:rFonts w:ascii="Times New Roman" w:eastAsia="Arial Unicode MS" w:hAnsi="Times New Roman" w:cs="Times New Roman"/>
          <w:sz w:val="24"/>
          <w:szCs w:val="24"/>
          <w:bdr w:val="nil"/>
          <w:lang w:val="fr-BE"/>
        </w:rPr>
        <w:t>Rest</w:t>
      </w:r>
      <w:r w:rsidR="00423348" w:rsidRPr="00C04BAD">
        <w:rPr>
          <w:rFonts w:ascii="Times New Roman" w:eastAsia="Arial Unicode MS" w:hAnsi="Times New Roman" w:cs="Times New Roman"/>
          <w:sz w:val="24"/>
          <w:szCs w:val="24"/>
          <w:bdr w:val="nil"/>
          <w:lang w:val="fr-BE"/>
        </w:rPr>
        <w:t>reindre l'accès du Sahara occidental aux marchés et investissements étrangers ne ferait qu'entraver le développement d</w:t>
      </w:r>
      <w:r w:rsidR="00423348">
        <w:rPr>
          <w:rFonts w:ascii="Times New Roman" w:eastAsia="Arial Unicode MS" w:hAnsi="Times New Roman" w:cs="Times New Roman"/>
          <w:sz w:val="24"/>
          <w:szCs w:val="24"/>
          <w:bdr w:val="nil"/>
          <w:lang w:val="fr-BE"/>
        </w:rPr>
        <w:t xml:space="preserve">'activités économiques endogènes et compromettre certaines évolutions socio-économiques ou politiques au moment précis où le développement du Sahara occidental semble enfin devoir décoller. </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BE"/>
        </w:rPr>
      </w:pPr>
    </w:p>
    <w:p w:rsidR="00B533DE" w:rsidRDefault="00C600DA"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FR"/>
        </w:rPr>
      </w:pPr>
      <w:r w:rsidRPr="008201F2">
        <w:rPr>
          <w:rFonts w:ascii="Times New Roman" w:eastAsia="Calibri" w:hAnsi="Times New Roman" w:cs="Calibri"/>
          <w:color w:val="000000"/>
          <w:sz w:val="24"/>
          <w:szCs w:val="24"/>
          <w:u w:color="000000"/>
          <w:bdr w:val="nil"/>
          <w:lang w:val="fr-FR" w:eastAsia="en-GB"/>
        </w:rPr>
        <w:t>Cette perception générale est sans préjudice des diverses opinions que peuvent par ailleurs nourrir les interlocuteurs quant au statut d</w:t>
      </w:r>
      <w:r>
        <w:rPr>
          <w:rFonts w:ascii="Times New Roman" w:eastAsia="Calibri" w:hAnsi="Times New Roman" w:cs="Calibri"/>
          <w:color w:val="000000"/>
          <w:sz w:val="24"/>
          <w:szCs w:val="24"/>
          <w:u w:color="000000"/>
          <w:bdr w:val="nil"/>
          <w:lang w:val="fr-FR" w:eastAsia="en-GB"/>
        </w:rPr>
        <w:t>u territoire</w:t>
      </w:r>
      <w:r w:rsidRPr="008201F2">
        <w:rPr>
          <w:rFonts w:ascii="Times New Roman" w:eastAsia="Calibri" w:hAnsi="Times New Roman" w:cs="Calibri"/>
          <w:color w:val="000000"/>
          <w:sz w:val="24"/>
          <w:szCs w:val="24"/>
          <w:u w:color="000000"/>
          <w:bdr w:val="nil"/>
          <w:lang w:val="fr-FR" w:eastAsia="en-GB"/>
        </w:rPr>
        <w:t>, pour lequel ils sont unanimes à considérer le processus des Nations Unies comme le seul valable</w:t>
      </w:r>
      <w:r w:rsidR="00423348">
        <w:rPr>
          <w:rFonts w:ascii="Times New Roman" w:eastAsia="Arial Unicode MS" w:hAnsi="Times New Roman" w:cs="Times New Roman"/>
          <w:sz w:val="24"/>
          <w:szCs w:val="24"/>
          <w:bdr w:val="nil"/>
          <w:lang w:val="fr-BE"/>
        </w:rPr>
        <w:t>. Certaines voix se sont également exprimées pour appeler de leurs vœux une implication accrue de l'Union en faveur du processus des Nations Unies</w:t>
      </w:r>
      <w:r w:rsidR="00423348" w:rsidRPr="006A6815">
        <w:rPr>
          <w:rFonts w:ascii="Times New Roman" w:eastAsia="Arial Unicode MS" w:hAnsi="Times New Roman" w:cs="Times New Roman"/>
          <w:sz w:val="24"/>
          <w:szCs w:val="24"/>
          <w:bdr w:val="nil"/>
          <w:lang w:val="fr-FR"/>
        </w:rPr>
        <w:t>.</w:t>
      </w:r>
    </w:p>
    <w:p w:rsidR="00B533DE" w:rsidRDefault="00B533DE"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FR"/>
        </w:rPr>
      </w:pPr>
    </w:p>
    <w:p w:rsidR="00423348" w:rsidRDefault="00B533DE"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BE"/>
        </w:rPr>
      </w:pPr>
      <w:r>
        <w:rPr>
          <w:rFonts w:ascii="Times New Roman" w:eastAsia="Arial Unicode MS" w:hAnsi="Times New Roman" w:cs="Times New Roman"/>
          <w:sz w:val="24"/>
          <w:szCs w:val="24"/>
          <w:bdr w:val="nil"/>
          <w:lang w:val="fr-FR"/>
        </w:rPr>
        <w:t>L</w:t>
      </w:r>
      <w:r w:rsidRPr="00B533DE">
        <w:rPr>
          <w:rFonts w:ascii="Times New Roman" w:eastAsia="Arial Unicode MS" w:hAnsi="Times New Roman" w:cs="Times New Roman"/>
          <w:sz w:val="24"/>
          <w:szCs w:val="24"/>
          <w:bdr w:val="nil"/>
          <w:lang w:val="fr-FR"/>
        </w:rPr>
        <w:t xml:space="preserve">es discussions techniques menées avec le Front Polisario, en sa qualité d'interlocuteur des Nations Unies et partie au processus de paix </w:t>
      </w:r>
      <w:r w:rsidR="00684E82">
        <w:rPr>
          <w:rFonts w:ascii="Times New Roman" w:eastAsia="Arial Unicode MS" w:hAnsi="Times New Roman" w:cs="Times New Roman"/>
          <w:sz w:val="24"/>
          <w:szCs w:val="24"/>
          <w:bdr w:val="nil"/>
          <w:lang w:val="fr-FR"/>
        </w:rPr>
        <w:t xml:space="preserve">des Nations Unies </w:t>
      </w:r>
      <w:r w:rsidRPr="00B533DE">
        <w:rPr>
          <w:rFonts w:ascii="Times New Roman" w:eastAsia="Arial Unicode MS" w:hAnsi="Times New Roman" w:cs="Times New Roman"/>
          <w:sz w:val="24"/>
          <w:szCs w:val="24"/>
          <w:bdr w:val="nil"/>
          <w:lang w:val="fr-FR"/>
        </w:rPr>
        <w:t>concernant le Sahara occidental ont fait ressortir l'opposition de principe du Polisario à l'amendement de l'accord, opposition principalement motivée par des considérations politiques plus larges dont la portée ne se référait pas au contenu de la modification à proprement parler</w:t>
      </w:r>
      <w:r w:rsidR="00AE31CE">
        <w:rPr>
          <w:rFonts w:ascii="Times New Roman" w:eastAsia="Arial Unicode MS" w:hAnsi="Times New Roman" w:cs="Times New Roman"/>
          <w:sz w:val="24"/>
          <w:szCs w:val="24"/>
          <w:bdr w:val="nil"/>
          <w:lang w:val="fr-FR"/>
        </w:rPr>
        <w:t>.</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sz w:val="24"/>
          <w:szCs w:val="24"/>
          <w:bdr w:val="nil"/>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4.</w:t>
      </w:r>
      <w:r>
        <w:rPr>
          <w:rFonts w:ascii="Times New Roman" w:hAnsi="Times New Roman" w:cs="Times New Roman"/>
          <w:b/>
          <w:sz w:val="24"/>
          <w:szCs w:val="24"/>
          <w:lang w:val="fr-FR"/>
        </w:rPr>
        <w:tab/>
        <w:t>Les résultats par secteur</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p>
    <w:p w:rsidR="00423348" w:rsidRPr="006A0C0F"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Au final, l'analyse qui porte sur les trois principaux secteurs d'activité potentiellement affectés par l'extension des préférences tarifaires de l'Union aux produits originaires du Sahara occidental permet d'avancer les conclusions suivantes: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lang w:val="fr-FR"/>
        </w:rPr>
      </w:pPr>
    </w:p>
    <w:p w:rsidR="00423348" w:rsidRPr="000A15CA"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lang w:val="fr-BE"/>
        </w:rPr>
      </w:pPr>
      <w:r w:rsidRPr="000A15CA">
        <w:rPr>
          <w:rFonts w:ascii="Times New Roman" w:hAnsi="Times New Roman" w:cs="Times New Roman"/>
          <w:b/>
          <w:i/>
          <w:sz w:val="24"/>
          <w:szCs w:val="24"/>
          <w:lang w:val="fr-BE"/>
        </w:rPr>
        <w:t>a)</w:t>
      </w:r>
      <w:r w:rsidRPr="000A15CA">
        <w:rPr>
          <w:rFonts w:ascii="Times New Roman" w:hAnsi="Times New Roman" w:cs="Times New Roman"/>
          <w:b/>
          <w:i/>
          <w:sz w:val="24"/>
          <w:szCs w:val="24"/>
          <w:lang w:val="fr-BE"/>
        </w:rPr>
        <w:tab/>
      </w:r>
      <w:r>
        <w:rPr>
          <w:rFonts w:ascii="Times New Roman" w:hAnsi="Times New Roman" w:cs="Times New Roman"/>
          <w:b/>
          <w:i/>
          <w:sz w:val="24"/>
          <w:szCs w:val="24"/>
          <w:lang w:val="fr-BE"/>
        </w:rPr>
        <w:t>S</w:t>
      </w:r>
      <w:r w:rsidRPr="000A15CA">
        <w:rPr>
          <w:rFonts w:ascii="Times New Roman" w:hAnsi="Times New Roman" w:cs="Times New Roman"/>
          <w:b/>
          <w:i/>
          <w:sz w:val="24"/>
          <w:szCs w:val="24"/>
          <w:lang w:val="fr-BE"/>
        </w:rPr>
        <w:t>ecteur agricole</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Pr="00D23BA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L’étude montre qu’</w:t>
      </w:r>
      <w:r w:rsidRPr="000A15CA">
        <w:rPr>
          <w:rFonts w:ascii="Times New Roman" w:hAnsi="Times New Roman" w:cs="Times New Roman"/>
          <w:b/>
          <w:i/>
          <w:sz w:val="24"/>
          <w:szCs w:val="24"/>
          <w:lang w:val="fr-BE"/>
        </w:rPr>
        <w:t xml:space="preserve">il y a une production agricole au Sahara occidental, surtout de primeurs (tomates et melons), pour laquelle il existe un marché </w:t>
      </w:r>
      <w:r w:rsidRPr="004E2E61">
        <w:rPr>
          <w:rFonts w:ascii="Times New Roman" w:hAnsi="Times New Roman" w:cs="Times New Roman"/>
          <w:b/>
          <w:i/>
          <w:sz w:val="24"/>
          <w:szCs w:val="24"/>
          <w:lang w:val="fr-BE"/>
        </w:rPr>
        <w:t>s</w:t>
      </w:r>
      <w:r w:rsidRPr="00E349EA">
        <w:rPr>
          <w:rFonts w:ascii="Times New Roman" w:hAnsi="Times New Roman" w:cs="Times New Roman"/>
          <w:b/>
          <w:i/>
          <w:sz w:val="24"/>
          <w:szCs w:val="24"/>
          <w:lang w:val="fr-BE"/>
        </w:rPr>
        <w:t>ignificatif</w:t>
      </w:r>
      <w:r>
        <w:rPr>
          <w:rFonts w:ascii="Times New Roman" w:hAnsi="Times New Roman" w:cs="Times New Roman"/>
          <w:b/>
          <w:i/>
          <w:sz w:val="24"/>
          <w:szCs w:val="24"/>
          <w:lang w:val="fr-BE"/>
        </w:rPr>
        <w:t xml:space="preserve"> </w:t>
      </w:r>
      <w:r w:rsidRPr="000A15CA">
        <w:rPr>
          <w:rFonts w:ascii="Times New Roman" w:hAnsi="Times New Roman" w:cs="Times New Roman"/>
          <w:b/>
          <w:i/>
          <w:sz w:val="24"/>
          <w:szCs w:val="24"/>
          <w:lang w:val="fr-BE"/>
        </w:rPr>
        <w:t>dans l'Union européenne</w:t>
      </w:r>
      <w:r w:rsidRPr="00D23BA8">
        <w:rPr>
          <w:rFonts w:ascii="Times New Roman" w:hAnsi="Times New Roman" w:cs="Times New Roman"/>
          <w:sz w:val="24"/>
          <w:szCs w:val="24"/>
          <w:lang w:val="fr-BE"/>
        </w:rPr>
        <w:t xml:space="preserve">. </w:t>
      </w:r>
      <w:r w:rsidRPr="00D23BA8">
        <w:rPr>
          <w:rFonts w:ascii="Times New Roman" w:hAnsi="Times New Roman" w:cs="Times New Roman"/>
          <w:sz w:val="24"/>
          <w:szCs w:val="24"/>
          <w:lang w:val="fr-BE"/>
        </w:rPr>
        <w:lastRenderedPageBreak/>
        <w:t xml:space="preserve">Cette production est </w:t>
      </w:r>
      <w:r w:rsidRPr="000A15CA">
        <w:rPr>
          <w:rFonts w:ascii="Times New Roman" w:hAnsi="Times New Roman" w:cs="Times New Roman"/>
          <w:b/>
          <w:i/>
          <w:sz w:val="24"/>
          <w:szCs w:val="24"/>
          <w:lang w:val="fr-BE"/>
        </w:rPr>
        <w:t xml:space="preserve">estimée à 64.000 tonnes </w:t>
      </w:r>
      <w:r>
        <w:rPr>
          <w:rFonts w:ascii="Times New Roman" w:hAnsi="Times New Roman" w:cs="Times New Roman"/>
          <w:b/>
          <w:i/>
          <w:sz w:val="24"/>
          <w:szCs w:val="24"/>
          <w:lang w:val="fr-BE"/>
        </w:rPr>
        <w:t xml:space="preserve">en 2016 </w:t>
      </w:r>
      <w:r w:rsidRPr="000A15CA">
        <w:rPr>
          <w:rFonts w:ascii="Times New Roman" w:hAnsi="Times New Roman" w:cs="Times New Roman"/>
          <w:b/>
          <w:i/>
          <w:sz w:val="24"/>
          <w:szCs w:val="24"/>
          <w:lang w:val="fr-BE"/>
        </w:rPr>
        <w:t>et représente quelques 14.000 emplois directs</w:t>
      </w:r>
      <w:r w:rsidRPr="00D23BA8">
        <w:rPr>
          <w:rFonts w:ascii="Times New Roman" w:hAnsi="Times New Roman" w:cs="Times New Roman"/>
          <w:sz w:val="24"/>
          <w:szCs w:val="24"/>
          <w:lang w:val="fr-BE"/>
        </w:rPr>
        <w:t xml:space="preserve">. </w:t>
      </w:r>
      <w:r>
        <w:rPr>
          <w:rFonts w:ascii="Times New Roman" w:hAnsi="Times New Roman" w:cs="Times New Roman"/>
          <w:sz w:val="24"/>
          <w:szCs w:val="24"/>
          <w:lang w:val="fr-BE"/>
        </w:rPr>
        <w:t>L</w:t>
      </w:r>
      <w:r w:rsidRPr="00D23BA8">
        <w:rPr>
          <w:rFonts w:ascii="Times New Roman" w:hAnsi="Times New Roman" w:cs="Times New Roman"/>
          <w:sz w:val="24"/>
          <w:szCs w:val="24"/>
          <w:lang w:val="fr-BE"/>
        </w:rPr>
        <w:t xml:space="preserve">a valeur à l'importation </w:t>
      </w:r>
      <w:r>
        <w:rPr>
          <w:rFonts w:ascii="Times New Roman" w:hAnsi="Times New Roman" w:cs="Times New Roman"/>
          <w:sz w:val="24"/>
          <w:szCs w:val="24"/>
          <w:lang w:val="fr-BE"/>
        </w:rPr>
        <w:t xml:space="preserve">d'une telle production </w:t>
      </w:r>
      <w:r w:rsidRPr="00D23BA8">
        <w:rPr>
          <w:rFonts w:ascii="Times New Roman" w:hAnsi="Times New Roman" w:cs="Times New Roman"/>
          <w:sz w:val="24"/>
          <w:szCs w:val="24"/>
          <w:lang w:val="fr-BE"/>
        </w:rPr>
        <w:t>s'élèv</w:t>
      </w:r>
      <w:r>
        <w:rPr>
          <w:rFonts w:ascii="Times New Roman" w:hAnsi="Times New Roman" w:cs="Times New Roman"/>
          <w:sz w:val="24"/>
          <w:szCs w:val="24"/>
          <w:lang w:val="fr-BE"/>
        </w:rPr>
        <w:t>erait</w:t>
      </w:r>
      <w:r w:rsidRPr="00D23BA8">
        <w:rPr>
          <w:rFonts w:ascii="Times New Roman" w:hAnsi="Times New Roman" w:cs="Times New Roman"/>
          <w:sz w:val="24"/>
          <w:szCs w:val="24"/>
          <w:lang w:val="fr-BE"/>
        </w:rPr>
        <w:t xml:space="preserve"> à environ </w:t>
      </w:r>
      <w:r w:rsidRPr="000A15CA">
        <w:rPr>
          <w:rFonts w:ascii="Times New Roman" w:hAnsi="Times New Roman" w:cs="Times New Roman"/>
          <w:b/>
          <w:i/>
          <w:sz w:val="24"/>
          <w:szCs w:val="24"/>
          <w:lang w:val="fr-BE"/>
        </w:rPr>
        <w:t>65 millions d’euros</w:t>
      </w:r>
      <w:r w:rsidRPr="00D23BA8">
        <w:rPr>
          <w:rFonts w:ascii="Times New Roman" w:hAnsi="Times New Roman" w:cs="Times New Roman"/>
          <w:sz w:val="24"/>
          <w:szCs w:val="24"/>
          <w:lang w:val="fr-BE"/>
        </w:rPr>
        <w:t xml:space="preserve">. En l'absence de préférences tarifaires, de telles exportations seraient redevables de 6,6 millions </w:t>
      </w:r>
      <w:r>
        <w:rPr>
          <w:rFonts w:ascii="Times New Roman" w:hAnsi="Times New Roman" w:cs="Times New Roman"/>
          <w:sz w:val="24"/>
          <w:szCs w:val="24"/>
          <w:lang w:val="fr-BE"/>
        </w:rPr>
        <w:t xml:space="preserve">d’euros de droits de douane. </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Pr="00D23BA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sidRPr="00D23BA8">
        <w:rPr>
          <w:rFonts w:ascii="Times New Roman" w:hAnsi="Times New Roman" w:cs="Times New Roman"/>
          <w:sz w:val="24"/>
          <w:szCs w:val="24"/>
          <w:lang w:val="fr-BE"/>
        </w:rPr>
        <w:t>Ces bénéfices économiques pourraient s'étendre si</w:t>
      </w:r>
      <w:r>
        <w:rPr>
          <w:rFonts w:ascii="Times New Roman" w:hAnsi="Times New Roman" w:cs="Times New Roman"/>
          <w:sz w:val="24"/>
          <w:szCs w:val="24"/>
          <w:lang w:val="fr-BE"/>
        </w:rPr>
        <w:t>,</w:t>
      </w:r>
      <w:r w:rsidRPr="00D23BA8">
        <w:rPr>
          <w:rFonts w:ascii="Times New Roman" w:hAnsi="Times New Roman" w:cs="Times New Roman"/>
          <w:sz w:val="24"/>
          <w:szCs w:val="24"/>
          <w:lang w:val="fr-BE"/>
        </w:rPr>
        <w:t xml:space="preserve"> à l'avenir</w:t>
      </w:r>
      <w:r>
        <w:rPr>
          <w:rFonts w:ascii="Times New Roman" w:hAnsi="Times New Roman" w:cs="Times New Roman"/>
          <w:sz w:val="24"/>
          <w:szCs w:val="24"/>
          <w:lang w:val="fr-BE"/>
        </w:rPr>
        <w:t>,</w:t>
      </w:r>
      <w:r w:rsidRPr="00D23BA8">
        <w:rPr>
          <w:rFonts w:ascii="Times New Roman" w:hAnsi="Times New Roman" w:cs="Times New Roman"/>
          <w:sz w:val="24"/>
          <w:szCs w:val="24"/>
          <w:lang w:val="fr-BE"/>
        </w:rPr>
        <w:t xml:space="preserve"> le Sahara occidental développait davantage sa production et ses exportations vers l'Union européenne dans le cadre des projets actuellement en considération. Cela aurait aussi un impact sur le nombre d'emplois, pouvant </w:t>
      </w:r>
      <w:r>
        <w:rPr>
          <w:rFonts w:ascii="Times New Roman" w:hAnsi="Times New Roman" w:cs="Times New Roman"/>
          <w:sz w:val="24"/>
          <w:szCs w:val="24"/>
          <w:lang w:val="fr-BE"/>
        </w:rPr>
        <w:t>être</w:t>
      </w:r>
      <w:r w:rsidRPr="00D23BA8">
        <w:rPr>
          <w:rFonts w:ascii="Times New Roman" w:hAnsi="Times New Roman" w:cs="Times New Roman"/>
          <w:sz w:val="24"/>
          <w:szCs w:val="24"/>
          <w:lang w:val="fr-BE"/>
        </w:rPr>
        <w:t xml:space="preserve"> multipli</w:t>
      </w:r>
      <w:r>
        <w:rPr>
          <w:rFonts w:ascii="Times New Roman" w:hAnsi="Times New Roman" w:cs="Times New Roman"/>
          <w:sz w:val="24"/>
          <w:szCs w:val="24"/>
          <w:lang w:val="fr-BE"/>
        </w:rPr>
        <w:t xml:space="preserve">é </w:t>
      </w:r>
      <w:r w:rsidRPr="00D23BA8">
        <w:rPr>
          <w:rFonts w:ascii="Times New Roman" w:hAnsi="Times New Roman" w:cs="Times New Roman"/>
          <w:sz w:val="24"/>
          <w:szCs w:val="24"/>
          <w:lang w:val="fr-BE"/>
        </w:rPr>
        <w:t xml:space="preserve">par cinq </w:t>
      </w:r>
      <w:r>
        <w:rPr>
          <w:rFonts w:ascii="Times New Roman" w:hAnsi="Times New Roman" w:cs="Times New Roman"/>
          <w:sz w:val="24"/>
          <w:szCs w:val="24"/>
          <w:lang w:val="fr-BE"/>
        </w:rPr>
        <w:t>d'après certaines projections.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sidRPr="00D23BA8">
        <w:rPr>
          <w:rFonts w:ascii="Times New Roman" w:hAnsi="Times New Roman" w:cs="Times New Roman"/>
          <w:sz w:val="24"/>
          <w:szCs w:val="24"/>
          <w:lang w:val="fr-BE"/>
        </w:rPr>
        <w:t>Bien que le développement de ces activités ait un impact sur l'utilisation de ressources naturelles, dont l'eau en particulier, il semble qu'il y ait peu d'alternatives aujourd'hui pour permettre le développement économique du territoire concerné.</w:t>
      </w:r>
      <w:r>
        <w:rPr>
          <w:rFonts w:ascii="Times New Roman" w:hAnsi="Times New Roman" w:cs="Times New Roman"/>
          <w:sz w:val="24"/>
          <w:szCs w:val="24"/>
          <w:lang w:val="fr-BE"/>
        </w:rPr>
        <w:t xml:space="preserve"> Des estimations marocaines sur l'utilisation de la nappe, bien que mises en doute par certains, font état d’un impact modeste sur les réserves aquifères.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lang w:val="fr-BE"/>
        </w:rPr>
      </w:pPr>
    </w:p>
    <w:p w:rsidR="00423348" w:rsidRPr="000A15CA"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lang w:val="fr-BE"/>
        </w:rPr>
      </w:pPr>
      <w:r w:rsidRPr="000A15CA">
        <w:rPr>
          <w:rFonts w:ascii="Times New Roman" w:hAnsi="Times New Roman" w:cs="Times New Roman"/>
          <w:b/>
          <w:i/>
          <w:sz w:val="24"/>
          <w:szCs w:val="24"/>
          <w:lang w:val="fr-BE"/>
        </w:rPr>
        <w:t>b)</w:t>
      </w:r>
      <w:r>
        <w:rPr>
          <w:rFonts w:ascii="Times New Roman" w:hAnsi="Times New Roman" w:cs="Times New Roman"/>
          <w:b/>
          <w:i/>
          <w:sz w:val="24"/>
          <w:szCs w:val="24"/>
          <w:lang w:val="fr-BE"/>
        </w:rPr>
        <w:tab/>
        <w:t>S</w:t>
      </w:r>
      <w:r w:rsidRPr="000A15CA">
        <w:rPr>
          <w:rFonts w:ascii="Times New Roman" w:hAnsi="Times New Roman" w:cs="Times New Roman"/>
          <w:b/>
          <w:i/>
          <w:sz w:val="24"/>
          <w:szCs w:val="24"/>
          <w:lang w:val="fr-BE"/>
        </w:rPr>
        <w:t>ecteur des produits de la pêche</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Le rapport montre qu’</w:t>
      </w:r>
      <w:r w:rsidRPr="00216CF4">
        <w:rPr>
          <w:rFonts w:ascii="Times New Roman" w:hAnsi="Times New Roman" w:cs="Times New Roman"/>
          <w:sz w:val="24"/>
          <w:szCs w:val="24"/>
          <w:lang w:val="fr-BE"/>
        </w:rPr>
        <w:t>il existe au Sahara occidental une importante industrie de transformation des produits de la pêche</w:t>
      </w:r>
      <w:r w:rsidRPr="009D1ABB">
        <w:rPr>
          <w:rFonts w:ascii="Times New Roman" w:hAnsi="Times New Roman" w:cs="Times New Roman"/>
          <w:sz w:val="24"/>
          <w:szCs w:val="24"/>
          <w:lang w:val="fr-BE"/>
        </w:rPr>
        <w:t xml:space="preserve">. </w:t>
      </w:r>
      <w:r w:rsidRPr="000A15CA">
        <w:rPr>
          <w:rFonts w:ascii="Times New Roman" w:hAnsi="Times New Roman" w:cs="Times New Roman"/>
          <w:b/>
          <w:i/>
          <w:sz w:val="24"/>
          <w:szCs w:val="24"/>
          <w:lang w:val="fr-BE"/>
        </w:rPr>
        <w:t>Les exportations de produits de la pêche du territoire se sont élevées en 2015 et 2016 entre 100 millions et 200 millions d’euros</w:t>
      </w:r>
      <w:r>
        <w:rPr>
          <w:rFonts w:ascii="Times New Roman" w:hAnsi="Times New Roman" w:cs="Times New Roman"/>
          <w:sz w:val="24"/>
          <w:szCs w:val="24"/>
          <w:lang w:val="fr-BE"/>
        </w:rPr>
        <w:t xml:space="preserve"> d'après des sources différentes</w:t>
      </w:r>
      <w:r w:rsidRPr="009D1ABB">
        <w:rPr>
          <w:rFonts w:ascii="Times New Roman" w:hAnsi="Times New Roman" w:cs="Times New Roman"/>
          <w:sz w:val="24"/>
          <w:szCs w:val="24"/>
          <w:lang w:val="fr-BE"/>
        </w:rPr>
        <w:t xml:space="preserve">. Le </w:t>
      </w:r>
      <w:r w:rsidRPr="000A15CA">
        <w:rPr>
          <w:rFonts w:ascii="Times New Roman" w:hAnsi="Times New Roman" w:cs="Times New Roman"/>
          <w:b/>
          <w:i/>
          <w:sz w:val="24"/>
          <w:szCs w:val="24"/>
          <w:lang w:val="fr-BE"/>
        </w:rPr>
        <w:t>nombre d’emplois dépendant de ces exportations</w:t>
      </w:r>
      <w:r w:rsidRPr="009D1ABB">
        <w:rPr>
          <w:rFonts w:ascii="Times New Roman" w:hAnsi="Times New Roman" w:cs="Times New Roman"/>
          <w:sz w:val="24"/>
          <w:szCs w:val="24"/>
          <w:lang w:val="fr-BE"/>
        </w:rPr>
        <w:t xml:space="preserve">, directement ou indirectement, </w:t>
      </w:r>
      <w:r w:rsidRPr="000A15CA">
        <w:rPr>
          <w:rFonts w:ascii="Times New Roman" w:hAnsi="Times New Roman" w:cs="Times New Roman"/>
          <w:b/>
          <w:i/>
          <w:sz w:val="24"/>
          <w:szCs w:val="24"/>
          <w:lang w:val="fr-BE"/>
        </w:rPr>
        <w:t>était d’environ 45.000</w:t>
      </w:r>
      <w:r w:rsidRPr="009D1ABB">
        <w:rPr>
          <w:rFonts w:ascii="Times New Roman" w:hAnsi="Times New Roman" w:cs="Times New Roman"/>
          <w:sz w:val="24"/>
          <w:szCs w:val="24"/>
          <w:lang w:val="fr-BE"/>
        </w:rPr>
        <w:t xml:space="preserve">. </w:t>
      </w:r>
      <w:r>
        <w:rPr>
          <w:rFonts w:ascii="Times New Roman" w:hAnsi="Times New Roman" w:cs="Times New Roman"/>
          <w:sz w:val="24"/>
          <w:szCs w:val="24"/>
          <w:lang w:val="fr-BE"/>
        </w:rPr>
        <w:t>Comme dans le cas du secteur agricole, l</w:t>
      </w:r>
      <w:r w:rsidRPr="009D1ABB">
        <w:rPr>
          <w:rFonts w:ascii="Times New Roman" w:hAnsi="Times New Roman" w:cs="Times New Roman"/>
          <w:sz w:val="24"/>
          <w:szCs w:val="24"/>
          <w:lang w:val="fr-BE"/>
        </w:rPr>
        <w:t xml:space="preserve">’extension des préférences tarifaires à ces importations aurait un impact important sur l’économie du territoire et donc sur l’emploi. A l’inverse, </w:t>
      </w:r>
      <w:r>
        <w:rPr>
          <w:rFonts w:ascii="Times New Roman" w:hAnsi="Times New Roman" w:cs="Times New Roman"/>
          <w:sz w:val="24"/>
          <w:szCs w:val="24"/>
          <w:lang w:val="fr-BE"/>
        </w:rPr>
        <w:t>le non-octroi</w:t>
      </w:r>
      <w:r w:rsidRPr="009D1ABB">
        <w:rPr>
          <w:rFonts w:ascii="Times New Roman" w:hAnsi="Times New Roman" w:cs="Times New Roman"/>
          <w:sz w:val="24"/>
          <w:szCs w:val="24"/>
          <w:lang w:val="fr-BE"/>
        </w:rPr>
        <w:t xml:space="preserve"> de ces préférences compromettrait les exportations mais aussi l’emploi et faciliterait le transfert de ces activités de transformation vers d'autres </w:t>
      </w:r>
      <w:r>
        <w:rPr>
          <w:rFonts w:ascii="Times New Roman" w:hAnsi="Times New Roman" w:cs="Times New Roman"/>
          <w:sz w:val="24"/>
          <w:szCs w:val="24"/>
          <w:lang w:val="fr-BE"/>
        </w:rPr>
        <w:t>lieux,</w:t>
      </w:r>
      <w:r w:rsidRPr="009D1ABB">
        <w:rPr>
          <w:rFonts w:ascii="Times New Roman" w:hAnsi="Times New Roman" w:cs="Times New Roman"/>
          <w:sz w:val="24"/>
          <w:szCs w:val="24"/>
          <w:lang w:val="fr-BE"/>
        </w:rPr>
        <w:t xml:space="preserve"> probablement vers le Maroc</w:t>
      </w:r>
      <w:r w:rsidRPr="00256AB1">
        <w:rPr>
          <w:rFonts w:ascii="Times New Roman" w:hAnsi="Times New Roman" w:cs="Times New Roman"/>
          <w:sz w:val="24"/>
          <w:szCs w:val="24"/>
          <w:lang w:val="fr-BE"/>
        </w:rPr>
        <w:t>. Ceci mettrait également en cause la viabilité des investissements effectués dans des unités de transformation des produits de la pêche au Sahara occidental, qui ont été cofinancés par l'Union européenne.</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4"/>
          <w:szCs w:val="24"/>
          <w:lang w:val="fr-BE"/>
        </w:rPr>
      </w:pPr>
    </w:p>
    <w:p w:rsidR="00423348" w:rsidRPr="000A15CA"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sz w:val="24"/>
          <w:szCs w:val="24"/>
          <w:lang w:val="fr-BE"/>
        </w:rPr>
      </w:pPr>
      <w:r w:rsidRPr="000A15CA">
        <w:rPr>
          <w:rFonts w:ascii="Times New Roman" w:hAnsi="Times New Roman" w:cs="Times New Roman"/>
          <w:b/>
          <w:i/>
          <w:sz w:val="24"/>
          <w:szCs w:val="24"/>
          <w:lang w:val="fr-BE"/>
        </w:rPr>
        <w:t>c)</w:t>
      </w:r>
      <w:r w:rsidRPr="009F07F8">
        <w:rPr>
          <w:rFonts w:ascii="Times New Roman" w:hAnsi="Times New Roman" w:cs="Times New Roman"/>
          <w:b/>
          <w:i/>
          <w:sz w:val="24"/>
          <w:szCs w:val="24"/>
          <w:lang w:val="fr-BE"/>
        </w:rPr>
        <w:t xml:space="preserve"> </w:t>
      </w:r>
      <w:r>
        <w:rPr>
          <w:rFonts w:ascii="Times New Roman" w:hAnsi="Times New Roman" w:cs="Times New Roman"/>
          <w:b/>
          <w:i/>
          <w:sz w:val="24"/>
          <w:szCs w:val="24"/>
          <w:lang w:val="fr-BE"/>
        </w:rPr>
        <w:tab/>
        <w:t>S</w:t>
      </w:r>
      <w:r w:rsidRPr="000A15CA">
        <w:rPr>
          <w:rFonts w:ascii="Times New Roman" w:hAnsi="Times New Roman" w:cs="Times New Roman"/>
          <w:b/>
          <w:i/>
          <w:sz w:val="24"/>
          <w:szCs w:val="24"/>
          <w:lang w:val="fr-BE"/>
        </w:rPr>
        <w:t>ecteur des phosphates</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sidRPr="009D1ABB">
        <w:rPr>
          <w:rFonts w:ascii="Times New Roman" w:hAnsi="Times New Roman" w:cs="Times New Roman"/>
          <w:sz w:val="24"/>
          <w:szCs w:val="24"/>
          <w:lang w:val="fr-BE"/>
        </w:rPr>
        <w:t>La production de phosphate constitue une source d’activité majeure pour le territoire du Sahara occidental.</w:t>
      </w:r>
      <w:r>
        <w:rPr>
          <w:rFonts w:ascii="Times New Roman" w:hAnsi="Times New Roman" w:cs="Times New Roman"/>
          <w:sz w:val="24"/>
          <w:szCs w:val="24"/>
          <w:lang w:val="fr-BE"/>
        </w:rPr>
        <w:t xml:space="preserve"> Toutefois, en raison de l’absence de droits de douane sur l</w:t>
      </w:r>
      <w:r w:rsidRPr="009D1ABB">
        <w:rPr>
          <w:rFonts w:ascii="Times New Roman" w:hAnsi="Times New Roman" w:cs="Times New Roman"/>
          <w:sz w:val="24"/>
          <w:szCs w:val="24"/>
          <w:lang w:val="fr-BE"/>
        </w:rPr>
        <w:t xml:space="preserve">a majeure partie du phosphate brut </w:t>
      </w:r>
      <w:r>
        <w:rPr>
          <w:rFonts w:ascii="Times New Roman" w:hAnsi="Times New Roman" w:cs="Times New Roman"/>
          <w:sz w:val="24"/>
          <w:szCs w:val="24"/>
          <w:lang w:val="fr-BE"/>
        </w:rPr>
        <w:t xml:space="preserve">produit au Sahara occidental et </w:t>
      </w:r>
      <w:r w:rsidRPr="009D1ABB">
        <w:rPr>
          <w:rFonts w:ascii="Times New Roman" w:hAnsi="Times New Roman" w:cs="Times New Roman"/>
          <w:sz w:val="24"/>
          <w:szCs w:val="24"/>
          <w:lang w:val="fr-BE"/>
        </w:rPr>
        <w:t>importé dans l'Union</w:t>
      </w:r>
      <w:r>
        <w:rPr>
          <w:rFonts w:ascii="Times New Roman" w:hAnsi="Times New Roman" w:cs="Times New Roman"/>
          <w:sz w:val="24"/>
          <w:szCs w:val="24"/>
          <w:lang w:val="fr-BE"/>
        </w:rPr>
        <w:t xml:space="preserve">, </w:t>
      </w:r>
      <w:r w:rsidRPr="00DB3D18">
        <w:rPr>
          <w:rFonts w:ascii="Times New Roman" w:hAnsi="Times New Roman" w:cs="Times New Roman"/>
          <w:b/>
          <w:i/>
          <w:sz w:val="24"/>
          <w:szCs w:val="24"/>
          <w:lang w:val="fr-BE"/>
        </w:rPr>
        <w:t>l'impact d'une non-application de la préférence tarifaire sur la production actuelle de phosphate au Sahara occidental serait extrêmement limité voire nul</w:t>
      </w:r>
      <w:r w:rsidRPr="009D1ABB">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Ce n’est que </w:t>
      </w:r>
      <w:r w:rsidRPr="00DB3D18">
        <w:rPr>
          <w:rFonts w:ascii="Times New Roman" w:hAnsi="Times New Roman" w:cs="Times New Roman"/>
          <w:b/>
          <w:i/>
          <w:sz w:val="24"/>
          <w:szCs w:val="24"/>
          <w:lang w:val="fr-BE"/>
        </w:rPr>
        <w:t>pour certains produits dérivés des phosphates</w:t>
      </w:r>
      <w:r w:rsidRPr="00681B5B">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(acide phosphorique et engrais) </w:t>
      </w:r>
      <w:r w:rsidRPr="00681B5B">
        <w:rPr>
          <w:rFonts w:ascii="Times New Roman" w:hAnsi="Times New Roman" w:cs="Times New Roman"/>
          <w:sz w:val="24"/>
          <w:szCs w:val="24"/>
          <w:lang w:val="fr-BE"/>
        </w:rPr>
        <w:t xml:space="preserve">qui ne sont pas produits actuellement au Sahara occidental </w:t>
      </w:r>
      <w:r>
        <w:rPr>
          <w:rFonts w:ascii="Times New Roman" w:hAnsi="Times New Roman" w:cs="Times New Roman"/>
          <w:sz w:val="24"/>
          <w:szCs w:val="24"/>
          <w:lang w:val="fr-BE"/>
        </w:rPr>
        <w:t xml:space="preserve">que </w:t>
      </w:r>
      <w:r w:rsidRPr="00DB3D18">
        <w:rPr>
          <w:rFonts w:ascii="Times New Roman" w:hAnsi="Times New Roman" w:cs="Times New Roman"/>
          <w:b/>
          <w:i/>
          <w:sz w:val="24"/>
          <w:szCs w:val="24"/>
          <w:lang w:val="fr-BE"/>
        </w:rPr>
        <w:t>l’accord proposé pourrait avoir un impact réel</w:t>
      </w:r>
      <w:r>
        <w:rPr>
          <w:rFonts w:ascii="Times New Roman" w:hAnsi="Times New Roman" w:cs="Times New Roman"/>
          <w:sz w:val="24"/>
          <w:szCs w:val="24"/>
          <w:lang w:val="fr-BE"/>
        </w:rPr>
        <w:t xml:space="preserve"> (le droit de douane applicable sur ces produits est c</w:t>
      </w:r>
      <w:r w:rsidRPr="00681B5B">
        <w:rPr>
          <w:rFonts w:ascii="Times New Roman" w:hAnsi="Times New Roman" w:cs="Times New Roman"/>
          <w:sz w:val="24"/>
          <w:szCs w:val="24"/>
          <w:lang w:val="fr-BE"/>
        </w:rPr>
        <w:t>ompris entre 4,8% et 6,5%</w:t>
      </w:r>
      <w:r>
        <w:rPr>
          <w:rFonts w:ascii="Times New Roman" w:hAnsi="Times New Roman" w:cs="Times New Roman"/>
          <w:sz w:val="24"/>
          <w:szCs w:val="24"/>
          <w:lang w:val="fr-BE"/>
        </w:rPr>
        <w:t xml:space="preserve">). Le </w:t>
      </w:r>
      <w:r w:rsidRPr="00681B5B">
        <w:rPr>
          <w:rFonts w:ascii="Times New Roman" w:hAnsi="Times New Roman" w:cs="Times New Roman"/>
          <w:sz w:val="24"/>
          <w:szCs w:val="24"/>
          <w:lang w:val="fr-BE"/>
        </w:rPr>
        <w:t>groupe OCP</w:t>
      </w:r>
      <w:r>
        <w:rPr>
          <w:rFonts w:ascii="Times New Roman" w:hAnsi="Times New Roman" w:cs="Times New Roman"/>
          <w:sz w:val="24"/>
          <w:szCs w:val="24"/>
          <w:lang w:val="fr-BE"/>
        </w:rPr>
        <w:t xml:space="preserve"> (</w:t>
      </w:r>
      <w:r w:rsidRPr="006166A7">
        <w:rPr>
          <w:rFonts w:ascii="Times New Roman" w:hAnsi="Times New Roman" w:cs="Times New Roman"/>
          <w:sz w:val="24"/>
          <w:szCs w:val="24"/>
          <w:lang w:val="fr-BE"/>
        </w:rPr>
        <w:t>ex Office Chérifien des Phosphates)</w:t>
      </w:r>
      <w:r>
        <w:rPr>
          <w:rFonts w:ascii="Times New Roman" w:hAnsi="Times New Roman" w:cs="Times New Roman"/>
          <w:sz w:val="24"/>
          <w:szCs w:val="24"/>
          <w:lang w:val="fr-BE"/>
        </w:rPr>
        <w:t>, principal employeur du territoire,</w:t>
      </w:r>
      <w:r w:rsidRPr="00681B5B">
        <w:rPr>
          <w:rFonts w:ascii="Times New Roman" w:hAnsi="Times New Roman" w:cs="Times New Roman"/>
          <w:sz w:val="24"/>
          <w:szCs w:val="24"/>
          <w:lang w:val="fr-BE"/>
        </w:rPr>
        <w:t xml:space="preserve"> </w:t>
      </w:r>
      <w:r>
        <w:rPr>
          <w:rFonts w:ascii="Times New Roman" w:hAnsi="Times New Roman" w:cs="Times New Roman"/>
          <w:sz w:val="24"/>
          <w:szCs w:val="24"/>
          <w:lang w:val="fr-BE"/>
        </w:rPr>
        <w:t>prévoit de dé</w:t>
      </w:r>
      <w:r w:rsidRPr="00681B5B">
        <w:rPr>
          <w:rFonts w:ascii="Times New Roman" w:hAnsi="Times New Roman" w:cs="Times New Roman"/>
          <w:sz w:val="24"/>
          <w:szCs w:val="24"/>
          <w:lang w:val="fr-BE"/>
        </w:rPr>
        <w:t>veloppe</w:t>
      </w:r>
      <w:r>
        <w:rPr>
          <w:rFonts w:ascii="Times New Roman" w:hAnsi="Times New Roman" w:cs="Times New Roman"/>
          <w:sz w:val="24"/>
          <w:szCs w:val="24"/>
          <w:lang w:val="fr-BE"/>
        </w:rPr>
        <w:t xml:space="preserve">r </w:t>
      </w:r>
      <w:r w:rsidRPr="00681B5B">
        <w:rPr>
          <w:rFonts w:ascii="Times New Roman" w:hAnsi="Times New Roman" w:cs="Times New Roman"/>
          <w:sz w:val="24"/>
          <w:szCs w:val="24"/>
          <w:lang w:val="fr-BE"/>
        </w:rPr>
        <w:t>un complexe industriel pour la production d’engrais à Laâyoune (acide phosphorique et engrais), mais aussi la construction d’un nouveau quai au port de Laâyoune</w:t>
      </w:r>
      <w:r>
        <w:rPr>
          <w:rFonts w:ascii="Times New Roman" w:hAnsi="Times New Roman" w:cs="Times New Roman"/>
          <w:sz w:val="24"/>
          <w:szCs w:val="24"/>
          <w:lang w:val="fr-BE"/>
        </w:rPr>
        <w:t>. Ces projets seraient compromis en</w:t>
      </w:r>
      <w:r w:rsidRPr="00681B5B">
        <w:rPr>
          <w:rFonts w:ascii="Times New Roman" w:hAnsi="Times New Roman" w:cs="Times New Roman"/>
          <w:sz w:val="24"/>
          <w:szCs w:val="24"/>
          <w:lang w:val="fr-BE"/>
        </w:rPr>
        <w:t xml:space="preserve"> l’absence de traitement tarifaire préférentie</w:t>
      </w:r>
      <w:r>
        <w:rPr>
          <w:rFonts w:ascii="Times New Roman" w:hAnsi="Times New Roman" w:cs="Times New Roman"/>
          <w:sz w:val="24"/>
          <w:szCs w:val="24"/>
          <w:lang w:val="fr-BE"/>
        </w:rPr>
        <w:t>l pour les produits en question, ce qui pourrait avoir un effet négatif sur l’emploi local.</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5.</w:t>
      </w:r>
      <w:r>
        <w:rPr>
          <w:rFonts w:ascii="Times New Roman" w:hAnsi="Times New Roman" w:cs="Times New Roman"/>
          <w:b/>
          <w:sz w:val="24"/>
          <w:szCs w:val="24"/>
          <w:lang w:val="fr-FR"/>
        </w:rPr>
        <w:tab/>
        <w:t>Conclusion</w:t>
      </w: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fr-FR"/>
        </w:rPr>
      </w:pPr>
    </w:p>
    <w:p w:rsidR="00423348" w:rsidRDefault="00423348" w:rsidP="00423348">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Malgré l'impossibilité de distinguer</w:t>
      </w:r>
      <w:r w:rsidRPr="00561E56">
        <w:rPr>
          <w:rFonts w:ascii="Times New Roman" w:hAnsi="Times New Roman" w:cs="Times New Roman"/>
          <w:sz w:val="24"/>
          <w:szCs w:val="24"/>
          <w:lang w:val="fr-BE"/>
        </w:rPr>
        <w:t xml:space="preserve"> clairement l'origine des différents éléments constitutifs de la population du Sahara occidental</w:t>
      </w:r>
      <w:r>
        <w:rPr>
          <w:rFonts w:ascii="Times New Roman" w:hAnsi="Times New Roman" w:cs="Times New Roman"/>
          <w:sz w:val="24"/>
          <w:szCs w:val="24"/>
          <w:lang w:val="fr-BE"/>
        </w:rPr>
        <w:t xml:space="preserve">, il y a des indications suffisantes permettant de conclure que </w:t>
      </w:r>
      <w:r w:rsidRPr="00DB3D18">
        <w:rPr>
          <w:rFonts w:ascii="Times New Roman" w:hAnsi="Times New Roman" w:cs="Times New Roman"/>
          <w:b/>
          <w:i/>
          <w:sz w:val="24"/>
          <w:szCs w:val="24"/>
          <w:lang w:val="fr-BE"/>
        </w:rPr>
        <w:t>l'activité économique générée par les exportations vers l'Union européenne se réalise au bénéfice de l'emploi local et par conséquent</w:t>
      </w:r>
      <w:r>
        <w:rPr>
          <w:rFonts w:ascii="Times New Roman" w:hAnsi="Times New Roman" w:cs="Times New Roman"/>
          <w:b/>
          <w:i/>
          <w:sz w:val="24"/>
          <w:szCs w:val="24"/>
          <w:lang w:val="fr-BE"/>
        </w:rPr>
        <w:t>, peu ou prou,</w:t>
      </w:r>
      <w:r w:rsidRPr="00DB3D18">
        <w:rPr>
          <w:rFonts w:ascii="Times New Roman" w:hAnsi="Times New Roman" w:cs="Times New Roman"/>
          <w:b/>
          <w:i/>
          <w:sz w:val="24"/>
          <w:szCs w:val="24"/>
          <w:lang w:val="fr-BE"/>
        </w:rPr>
        <w:t xml:space="preserve"> </w:t>
      </w:r>
      <w:r>
        <w:rPr>
          <w:rFonts w:ascii="Times New Roman" w:hAnsi="Times New Roman" w:cs="Times New Roman"/>
          <w:b/>
          <w:i/>
          <w:sz w:val="24"/>
          <w:szCs w:val="24"/>
          <w:lang w:val="fr-BE"/>
        </w:rPr>
        <w:t xml:space="preserve">au bénéfice </w:t>
      </w:r>
      <w:r w:rsidRPr="00DB3D18">
        <w:rPr>
          <w:rFonts w:ascii="Times New Roman" w:hAnsi="Times New Roman" w:cs="Times New Roman"/>
          <w:b/>
          <w:i/>
          <w:sz w:val="24"/>
          <w:szCs w:val="24"/>
          <w:lang w:val="fr-BE"/>
        </w:rPr>
        <w:t>des populations locales</w:t>
      </w:r>
      <w:r>
        <w:rPr>
          <w:rFonts w:ascii="Times New Roman" w:hAnsi="Times New Roman" w:cs="Times New Roman"/>
          <w:b/>
          <w:i/>
          <w:sz w:val="24"/>
          <w:szCs w:val="24"/>
          <w:lang w:val="fr-BE"/>
        </w:rPr>
        <w:t xml:space="preserve"> toutes origines confondues</w:t>
      </w:r>
      <w:r>
        <w:rPr>
          <w:rFonts w:ascii="Times New Roman" w:hAnsi="Times New Roman" w:cs="Times New Roman"/>
          <w:sz w:val="24"/>
          <w:szCs w:val="24"/>
          <w:lang w:val="fr-BE"/>
        </w:rPr>
        <w:t>. Cet impact positif serait compromis si les exportations vers l'Union européenne ne bénéficiaient pas des mêmes préférences tarifaires que celles accordées au Maroc.</w:t>
      </w:r>
    </w:p>
    <w:p w:rsidR="004F74F7" w:rsidRDefault="00423348">
      <w:pPr>
        <w:rPr>
          <w:rFonts w:ascii="Times New Roman" w:eastAsia="Calibri" w:hAnsi="Times New Roman" w:cs="Times New Roman"/>
          <w:b/>
          <w:smallCaps/>
          <w:sz w:val="24"/>
          <w:lang w:val="fr-FR"/>
        </w:rPr>
      </w:pPr>
      <w:r>
        <w:rPr>
          <w:rFonts w:ascii="Times New Roman" w:eastAsia="Calibri" w:hAnsi="Times New Roman" w:cs="Times New Roman"/>
          <w:b/>
          <w:smallCaps/>
          <w:sz w:val="24"/>
          <w:lang w:val="fr-FR"/>
        </w:rPr>
        <w:br w:type="page"/>
      </w:r>
      <w:r w:rsidR="004F74F7">
        <w:rPr>
          <w:rFonts w:ascii="Times New Roman" w:eastAsia="Calibri" w:hAnsi="Times New Roman" w:cs="Times New Roman"/>
          <w:b/>
          <w:smallCaps/>
          <w:sz w:val="24"/>
          <w:lang w:val="fr-FR"/>
        </w:rPr>
        <w:br w:type="page"/>
      </w:r>
    </w:p>
    <w:sdt>
      <w:sdtPr>
        <w:rPr>
          <w:b/>
          <w:bCs/>
        </w:rPr>
        <w:id w:val="-938063622"/>
        <w:docPartObj>
          <w:docPartGallery w:val="Table of Contents"/>
          <w:docPartUnique/>
        </w:docPartObj>
      </w:sdtPr>
      <w:sdtEndPr>
        <w:rPr>
          <w:b w:val="0"/>
          <w:bCs w:val="0"/>
          <w:noProof/>
        </w:rPr>
      </w:sdtEndPr>
      <w:sdtContent>
        <w:p w:rsidR="0039572E" w:rsidRDefault="004F74F7">
          <w:pPr>
            <w:pStyle w:val="TOC2"/>
            <w:tabs>
              <w:tab w:val="left" w:pos="660"/>
              <w:tab w:val="right" w:leader="dot" w:pos="9061"/>
            </w:tabs>
          </w:pPr>
          <w:r>
            <w:t>Table des matières</w:t>
          </w:r>
        </w:p>
        <w:p w:rsidR="00002064" w:rsidRDefault="00E34A7F">
          <w:pPr>
            <w:pStyle w:val="TOC1"/>
            <w:tabs>
              <w:tab w:val="left" w:pos="440"/>
              <w:tab w:val="right" w:leader="dot" w:pos="9061"/>
            </w:tabs>
            <w:rPr>
              <w:rFonts w:eastAsiaTheme="minorEastAsia"/>
              <w:noProof/>
              <w:lang w:eastAsia="en-GB"/>
            </w:rPr>
          </w:pPr>
          <w:r>
            <w:fldChar w:fldCharType="begin"/>
          </w:r>
          <w:r>
            <w:instrText xml:space="preserve"> TOC \o "1-3" \h \z \u </w:instrText>
          </w:r>
          <w:r>
            <w:fldChar w:fldCharType="separate"/>
          </w:r>
          <w:hyperlink w:anchor="_Toc514257455" w:history="1">
            <w:r w:rsidR="00002064" w:rsidRPr="0014722D">
              <w:rPr>
                <w:rStyle w:val="Hyperlink"/>
                <w:rFonts w:eastAsia="Calibri"/>
                <w:noProof/>
                <w:lang w:val="fr-FR"/>
              </w:rPr>
              <w:t>1</w:t>
            </w:r>
            <w:r w:rsidR="00002064">
              <w:rPr>
                <w:rFonts w:eastAsiaTheme="minorEastAsia"/>
                <w:noProof/>
                <w:lang w:eastAsia="en-GB"/>
              </w:rPr>
              <w:tab/>
            </w:r>
            <w:r w:rsidR="00002064" w:rsidRPr="0014722D">
              <w:rPr>
                <w:rStyle w:val="Hyperlink"/>
                <w:rFonts w:eastAsia="Calibri"/>
                <w:noProof/>
                <w:lang w:val="fr-FR"/>
              </w:rPr>
              <w:t>INTRODUCTION GENERALE</w:t>
            </w:r>
            <w:r w:rsidR="00002064">
              <w:rPr>
                <w:noProof/>
                <w:webHidden/>
              </w:rPr>
              <w:tab/>
            </w:r>
            <w:r w:rsidR="00002064">
              <w:rPr>
                <w:noProof/>
                <w:webHidden/>
              </w:rPr>
              <w:fldChar w:fldCharType="begin"/>
            </w:r>
            <w:r w:rsidR="00002064">
              <w:rPr>
                <w:noProof/>
                <w:webHidden/>
              </w:rPr>
              <w:instrText xml:space="preserve"> PAGEREF _Toc514257455 \h </w:instrText>
            </w:r>
            <w:r w:rsidR="00002064">
              <w:rPr>
                <w:noProof/>
                <w:webHidden/>
              </w:rPr>
            </w:r>
            <w:r w:rsidR="00002064">
              <w:rPr>
                <w:noProof/>
                <w:webHidden/>
              </w:rPr>
              <w:fldChar w:fldCharType="separate"/>
            </w:r>
            <w:r w:rsidR="001A53C6">
              <w:rPr>
                <w:noProof/>
                <w:webHidden/>
              </w:rPr>
              <w:t>7</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56" w:history="1">
            <w:r w:rsidR="00002064" w:rsidRPr="0014722D">
              <w:rPr>
                <w:rStyle w:val="Hyperlink"/>
                <w:rFonts w:eastAsia="Arial Unicode MS"/>
                <w:noProof/>
                <w:lang w:val="fr-BE"/>
              </w:rPr>
              <w:t>1.1</w:t>
            </w:r>
            <w:r w:rsidR="00002064">
              <w:rPr>
                <w:rFonts w:eastAsiaTheme="minorEastAsia"/>
                <w:noProof/>
                <w:lang w:eastAsia="en-GB"/>
              </w:rPr>
              <w:tab/>
            </w:r>
            <w:r w:rsidR="00002064" w:rsidRPr="0014722D">
              <w:rPr>
                <w:rStyle w:val="Hyperlink"/>
                <w:rFonts w:eastAsia="Arial Unicode MS"/>
                <w:noProof/>
                <w:lang w:val="fr-BE"/>
              </w:rPr>
              <w:t>Contexte</w:t>
            </w:r>
            <w:r w:rsidR="00002064">
              <w:rPr>
                <w:noProof/>
                <w:webHidden/>
              </w:rPr>
              <w:tab/>
            </w:r>
            <w:r w:rsidR="00002064">
              <w:rPr>
                <w:noProof/>
                <w:webHidden/>
              </w:rPr>
              <w:fldChar w:fldCharType="begin"/>
            </w:r>
            <w:r w:rsidR="00002064">
              <w:rPr>
                <w:noProof/>
                <w:webHidden/>
              </w:rPr>
              <w:instrText xml:space="preserve"> PAGEREF _Toc514257456 \h </w:instrText>
            </w:r>
            <w:r w:rsidR="00002064">
              <w:rPr>
                <w:noProof/>
                <w:webHidden/>
              </w:rPr>
            </w:r>
            <w:r w:rsidR="00002064">
              <w:rPr>
                <w:noProof/>
                <w:webHidden/>
              </w:rPr>
              <w:fldChar w:fldCharType="separate"/>
            </w:r>
            <w:r w:rsidR="001A53C6">
              <w:rPr>
                <w:noProof/>
                <w:webHidden/>
              </w:rPr>
              <w:t>7</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57" w:history="1">
            <w:r w:rsidR="00002064" w:rsidRPr="0014722D">
              <w:rPr>
                <w:rStyle w:val="Hyperlink"/>
                <w:rFonts w:eastAsia="Arial Unicode MS"/>
                <w:noProof/>
                <w:lang w:val="fr-BE"/>
              </w:rPr>
              <w:t>1.2</w:t>
            </w:r>
            <w:r w:rsidR="00002064">
              <w:rPr>
                <w:rFonts w:eastAsiaTheme="minorEastAsia"/>
                <w:noProof/>
                <w:lang w:eastAsia="en-GB"/>
              </w:rPr>
              <w:tab/>
            </w:r>
            <w:r w:rsidR="00002064" w:rsidRPr="0014722D">
              <w:rPr>
                <w:rStyle w:val="Hyperlink"/>
                <w:rFonts w:eastAsia="Arial Unicode MS"/>
                <w:noProof/>
                <w:lang w:val="fr-BE"/>
              </w:rPr>
              <w:t>Champ de l’évaluation et questions méthodologiques</w:t>
            </w:r>
            <w:r w:rsidR="00002064">
              <w:rPr>
                <w:noProof/>
                <w:webHidden/>
              </w:rPr>
              <w:tab/>
            </w:r>
            <w:r w:rsidR="00002064">
              <w:rPr>
                <w:noProof/>
                <w:webHidden/>
              </w:rPr>
              <w:fldChar w:fldCharType="begin"/>
            </w:r>
            <w:r w:rsidR="00002064">
              <w:rPr>
                <w:noProof/>
                <w:webHidden/>
              </w:rPr>
              <w:instrText xml:space="preserve"> PAGEREF _Toc514257457 \h </w:instrText>
            </w:r>
            <w:r w:rsidR="00002064">
              <w:rPr>
                <w:noProof/>
                <w:webHidden/>
              </w:rPr>
            </w:r>
            <w:r w:rsidR="00002064">
              <w:rPr>
                <w:noProof/>
                <w:webHidden/>
              </w:rPr>
              <w:fldChar w:fldCharType="separate"/>
            </w:r>
            <w:r w:rsidR="001A53C6">
              <w:rPr>
                <w:noProof/>
                <w:webHidden/>
              </w:rPr>
              <w:t>9</w:t>
            </w:r>
            <w:r w:rsidR="00002064">
              <w:rPr>
                <w:noProof/>
                <w:webHidden/>
              </w:rPr>
              <w:fldChar w:fldCharType="end"/>
            </w:r>
          </w:hyperlink>
        </w:p>
        <w:p w:rsidR="00002064" w:rsidRDefault="00AD61E7">
          <w:pPr>
            <w:pStyle w:val="TOC3"/>
            <w:tabs>
              <w:tab w:val="left" w:pos="1320"/>
              <w:tab w:val="right" w:leader="dot" w:pos="9061"/>
            </w:tabs>
            <w:rPr>
              <w:rFonts w:eastAsiaTheme="minorEastAsia"/>
              <w:noProof/>
              <w:lang w:eastAsia="en-GB"/>
            </w:rPr>
          </w:pPr>
          <w:hyperlink w:anchor="_Toc514257458" w:history="1">
            <w:r w:rsidR="00002064" w:rsidRPr="0014722D">
              <w:rPr>
                <w:rStyle w:val="Hyperlink"/>
                <w:rFonts w:eastAsia="Calibri"/>
                <w:noProof/>
                <w:lang w:val="fr-BE"/>
              </w:rPr>
              <w:t>1.2.1</w:t>
            </w:r>
            <w:r w:rsidR="00002064">
              <w:rPr>
                <w:rFonts w:eastAsiaTheme="minorEastAsia"/>
                <w:noProof/>
                <w:lang w:eastAsia="en-GB"/>
              </w:rPr>
              <w:tab/>
            </w:r>
            <w:r w:rsidR="00002064" w:rsidRPr="0014722D">
              <w:rPr>
                <w:rStyle w:val="Hyperlink"/>
                <w:rFonts w:eastAsia="Calibri"/>
                <w:noProof/>
                <w:lang w:val="fr-BE"/>
              </w:rPr>
              <w:t>Champ de l’étude</w:t>
            </w:r>
            <w:r w:rsidR="00002064">
              <w:rPr>
                <w:noProof/>
                <w:webHidden/>
              </w:rPr>
              <w:tab/>
            </w:r>
            <w:r w:rsidR="00002064">
              <w:rPr>
                <w:noProof/>
                <w:webHidden/>
              </w:rPr>
              <w:fldChar w:fldCharType="begin"/>
            </w:r>
            <w:r w:rsidR="00002064">
              <w:rPr>
                <w:noProof/>
                <w:webHidden/>
              </w:rPr>
              <w:instrText xml:space="preserve"> PAGEREF _Toc514257458 \h </w:instrText>
            </w:r>
            <w:r w:rsidR="00002064">
              <w:rPr>
                <w:noProof/>
                <w:webHidden/>
              </w:rPr>
            </w:r>
            <w:r w:rsidR="00002064">
              <w:rPr>
                <w:noProof/>
                <w:webHidden/>
              </w:rPr>
              <w:fldChar w:fldCharType="separate"/>
            </w:r>
            <w:r w:rsidR="001A53C6">
              <w:rPr>
                <w:noProof/>
                <w:webHidden/>
              </w:rPr>
              <w:t>9</w:t>
            </w:r>
            <w:r w:rsidR="00002064">
              <w:rPr>
                <w:noProof/>
                <w:webHidden/>
              </w:rPr>
              <w:fldChar w:fldCharType="end"/>
            </w:r>
          </w:hyperlink>
        </w:p>
        <w:p w:rsidR="00002064" w:rsidRDefault="00AD61E7">
          <w:pPr>
            <w:pStyle w:val="TOC3"/>
            <w:tabs>
              <w:tab w:val="left" w:pos="1320"/>
              <w:tab w:val="right" w:leader="dot" w:pos="9061"/>
            </w:tabs>
            <w:rPr>
              <w:rFonts w:eastAsiaTheme="minorEastAsia"/>
              <w:noProof/>
              <w:lang w:eastAsia="en-GB"/>
            </w:rPr>
          </w:pPr>
          <w:hyperlink w:anchor="_Toc514257459" w:history="1">
            <w:r w:rsidR="00002064" w:rsidRPr="0014722D">
              <w:rPr>
                <w:rStyle w:val="Hyperlink"/>
                <w:noProof/>
                <w:lang w:val="fr-BE"/>
              </w:rPr>
              <w:t>1.2.2</w:t>
            </w:r>
            <w:r w:rsidR="00002064">
              <w:rPr>
                <w:rFonts w:eastAsiaTheme="minorEastAsia"/>
                <w:noProof/>
                <w:lang w:eastAsia="en-GB"/>
              </w:rPr>
              <w:tab/>
            </w:r>
            <w:r w:rsidR="00002064" w:rsidRPr="0014722D">
              <w:rPr>
                <w:rStyle w:val="Hyperlink"/>
                <w:noProof/>
                <w:lang w:val="fr-BE"/>
              </w:rPr>
              <w:t>Contraintes méthodologiques</w:t>
            </w:r>
            <w:r w:rsidR="00002064">
              <w:rPr>
                <w:noProof/>
                <w:webHidden/>
              </w:rPr>
              <w:tab/>
            </w:r>
            <w:r w:rsidR="00002064">
              <w:rPr>
                <w:noProof/>
                <w:webHidden/>
              </w:rPr>
              <w:fldChar w:fldCharType="begin"/>
            </w:r>
            <w:r w:rsidR="00002064">
              <w:rPr>
                <w:noProof/>
                <w:webHidden/>
              </w:rPr>
              <w:instrText xml:space="preserve"> PAGEREF _Toc514257459 \h </w:instrText>
            </w:r>
            <w:r w:rsidR="00002064">
              <w:rPr>
                <w:noProof/>
                <w:webHidden/>
              </w:rPr>
            </w:r>
            <w:r w:rsidR="00002064">
              <w:rPr>
                <w:noProof/>
                <w:webHidden/>
              </w:rPr>
              <w:fldChar w:fldCharType="separate"/>
            </w:r>
            <w:r w:rsidR="001A53C6">
              <w:rPr>
                <w:noProof/>
                <w:webHidden/>
              </w:rPr>
              <w:t>10</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60" w:history="1">
            <w:r w:rsidR="00002064" w:rsidRPr="0014722D">
              <w:rPr>
                <w:rStyle w:val="Hyperlink"/>
                <w:rFonts w:eastAsia="Calibri"/>
                <w:noProof/>
                <w:lang w:val="fr-FR"/>
              </w:rPr>
              <w:t>1.3</w:t>
            </w:r>
            <w:r w:rsidR="00002064">
              <w:rPr>
                <w:rFonts w:eastAsiaTheme="minorEastAsia"/>
                <w:noProof/>
                <w:lang w:eastAsia="en-GB"/>
              </w:rPr>
              <w:tab/>
            </w:r>
            <w:r w:rsidR="00002064" w:rsidRPr="0014722D">
              <w:rPr>
                <w:rStyle w:val="Hyperlink"/>
                <w:rFonts w:eastAsia="Calibri"/>
                <w:noProof/>
                <w:lang w:val="fr-FR"/>
              </w:rPr>
              <w:t>Consultations avec les populations concernées</w:t>
            </w:r>
            <w:r w:rsidR="00002064">
              <w:rPr>
                <w:noProof/>
                <w:webHidden/>
              </w:rPr>
              <w:tab/>
            </w:r>
            <w:r w:rsidR="00002064">
              <w:rPr>
                <w:noProof/>
                <w:webHidden/>
              </w:rPr>
              <w:fldChar w:fldCharType="begin"/>
            </w:r>
            <w:r w:rsidR="00002064">
              <w:rPr>
                <w:noProof/>
                <w:webHidden/>
              </w:rPr>
              <w:instrText xml:space="preserve"> PAGEREF _Toc514257460 \h </w:instrText>
            </w:r>
            <w:r w:rsidR="00002064">
              <w:rPr>
                <w:noProof/>
                <w:webHidden/>
              </w:rPr>
            </w:r>
            <w:r w:rsidR="00002064">
              <w:rPr>
                <w:noProof/>
                <w:webHidden/>
              </w:rPr>
              <w:fldChar w:fldCharType="separate"/>
            </w:r>
            <w:r w:rsidR="001A53C6">
              <w:rPr>
                <w:noProof/>
                <w:webHidden/>
              </w:rPr>
              <w:t>11</w:t>
            </w:r>
            <w:r w:rsidR="00002064">
              <w:rPr>
                <w:noProof/>
                <w:webHidden/>
              </w:rPr>
              <w:fldChar w:fldCharType="end"/>
            </w:r>
          </w:hyperlink>
        </w:p>
        <w:p w:rsidR="00002064" w:rsidRDefault="00AD61E7">
          <w:pPr>
            <w:pStyle w:val="TOC1"/>
            <w:tabs>
              <w:tab w:val="left" w:pos="440"/>
              <w:tab w:val="right" w:leader="dot" w:pos="9061"/>
            </w:tabs>
            <w:rPr>
              <w:rFonts w:eastAsiaTheme="minorEastAsia"/>
              <w:noProof/>
              <w:lang w:eastAsia="en-GB"/>
            </w:rPr>
          </w:pPr>
          <w:hyperlink w:anchor="_Toc514257461" w:history="1">
            <w:r w:rsidR="00002064" w:rsidRPr="0014722D">
              <w:rPr>
                <w:rStyle w:val="Hyperlink"/>
                <w:noProof/>
              </w:rPr>
              <w:t>2</w:t>
            </w:r>
            <w:r w:rsidR="00002064">
              <w:rPr>
                <w:rFonts w:eastAsiaTheme="minorEastAsia"/>
                <w:noProof/>
                <w:lang w:eastAsia="en-GB"/>
              </w:rPr>
              <w:tab/>
            </w:r>
            <w:r w:rsidR="00002064" w:rsidRPr="0014722D">
              <w:rPr>
                <w:rStyle w:val="Hyperlink"/>
                <w:noProof/>
              </w:rPr>
              <w:t>LES DROITS DE L’HOMME AU SAHARA OCCIDENTAL</w:t>
            </w:r>
            <w:r w:rsidR="00002064">
              <w:rPr>
                <w:noProof/>
                <w:webHidden/>
              </w:rPr>
              <w:tab/>
            </w:r>
            <w:r w:rsidR="00002064">
              <w:rPr>
                <w:noProof/>
                <w:webHidden/>
              </w:rPr>
              <w:fldChar w:fldCharType="begin"/>
            </w:r>
            <w:r w:rsidR="00002064">
              <w:rPr>
                <w:noProof/>
                <w:webHidden/>
              </w:rPr>
              <w:instrText xml:space="preserve"> PAGEREF _Toc514257461 \h </w:instrText>
            </w:r>
            <w:r w:rsidR="00002064">
              <w:rPr>
                <w:noProof/>
                <w:webHidden/>
              </w:rPr>
            </w:r>
            <w:r w:rsidR="00002064">
              <w:rPr>
                <w:noProof/>
                <w:webHidden/>
              </w:rPr>
              <w:fldChar w:fldCharType="separate"/>
            </w:r>
            <w:r w:rsidR="001A53C6">
              <w:rPr>
                <w:noProof/>
                <w:webHidden/>
              </w:rPr>
              <w:t>12</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62" w:history="1">
            <w:r w:rsidR="00002064" w:rsidRPr="0014722D">
              <w:rPr>
                <w:rStyle w:val="Hyperlink"/>
                <w:rFonts w:asciiTheme="majorHAnsi" w:eastAsia="Times New Roman" w:hAnsiTheme="majorHAnsi" w:cstheme="majorBidi"/>
                <w:b/>
                <w:bCs/>
                <w:noProof/>
                <w:lang w:val="fr-BE"/>
              </w:rPr>
              <w:t>2.1</w:t>
            </w:r>
            <w:r w:rsidR="00002064">
              <w:rPr>
                <w:rFonts w:eastAsiaTheme="minorEastAsia"/>
                <w:noProof/>
                <w:lang w:eastAsia="en-GB"/>
              </w:rPr>
              <w:tab/>
            </w:r>
            <w:r w:rsidR="00002064" w:rsidRPr="0014722D">
              <w:rPr>
                <w:rStyle w:val="Hyperlink"/>
                <w:rFonts w:asciiTheme="majorHAnsi" w:eastAsia="Times New Roman" w:hAnsiTheme="majorHAnsi" w:cstheme="majorBidi"/>
                <w:b/>
                <w:bCs/>
                <w:noProof/>
                <w:lang w:val="fr-BE"/>
              </w:rPr>
              <w:t>Situation des droits de l’homme au Sahara occidental</w:t>
            </w:r>
            <w:r w:rsidR="00002064">
              <w:rPr>
                <w:noProof/>
                <w:webHidden/>
              </w:rPr>
              <w:tab/>
            </w:r>
            <w:r w:rsidR="00002064">
              <w:rPr>
                <w:noProof/>
                <w:webHidden/>
              </w:rPr>
              <w:fldChar w:fldCharType="begin"/>
            </w:r>
            <w:r w:rsidR="00002064">
              <w:rPr>
                <w:noProof/>
                <w:webHidden/>
              </w:rPr>
              <w:instrText xml:space="preserve"> PAGEREF _Toc514257462 \h </w:instrText>
            </w:r>
            <w:r w:rsidR="00002064">
              <w:rPr>
                <w:noProof/>
                <w:webHidden/>
              </w:rPr>
            </w:r>
            <w:r w:rsidR="00002064">
              <w:rPr>
                <w:noProof/>
                <w:webHidden/>
              </w:rPr>
              <w:fldChar w:fldCharType="separate"/>
            </w:r>
            <w:r w:rsidR="001A53C6">
              <w:rPr>
                <w:noProof/>
                <w:webHidden/>
              </w:rPr>
              <w:t>12</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63" w:history="1">
            <w:r w:rsidR="00002064" w:rsidRPr="0014722D">
              <w:rPr>
                <w:rStyle w:val="Hyperlink"/>
                <w:rFonts w:eastAsia="Times New Roman"/>
                <w:noProof/>
                <w:lang w:val="fr-BE"/>
              </w:rPr>
              <w:t>2.2</w:t>
            </w:r>
            <w:r w:rsidR="00002064">
              <w:rPr>
                <w:rFonts w:eastAsiaTheme="minorEastAsia"/>
                <w:noProof/>
                <w:lang w:eastAsia="en-GB"/>
              </w:rPr>
              <w:tab/>
            </w:r>
            <w:r w:rsidR="00002064" w:rsidRPr="0014722D">
              <w:rPr>
                <w:rStyle w:val="Hyperlink"/>
                <w:rFonts w:eastAsia="Times New Roman"/>
                <w:noProof/>
                <w:lang w:val="fr-BE"/>
              </w:rPr>
              <w:t>Cadre de fonctionnement de la coopération entre l’Union européenne et le Maroc en matière de droits de l´homme et de démocratie.</w:t>
            </w:r>
            <w:r w:rsidR="00002064">
              <w:rPr>
                <w:noProof/>
                <w:webHidden/>
              </w:rPr>
              <w:tab/>
            </w:r>
            <w:r w:rsidR="00002064">
              <w:rPr>
                <w:noProof/>
                <w:webHidden/>
              </w:rPr>
              <w:fldChar w:fldCharType="begin"/>
            </w:r>
            <w:r w:rsidR="00002064">
              <w:rPr>
                <w:noProof/>
                <w:webHidden/>
              </w:rPr>
              <w:instrText xml:space="preserve"> PAGEREF _Toc514257463 \h </w:instrText>
            </w:r>
            <w:r w:rsidR="00002064">
              <w:rPr>
                <w:noProof/>
                <w:webHidden/>
              </w:rPr>
            </w:r>
            <w:r w:rsidR="00002064">
              <w:rPr>
                <w:noProof/>
                <w:webHidden/>
              </w:rPr>
              <w:fldChar w:fldCharType="separate"/>
            </w:r>
            <w:r w:rsidR="001A53C6">
              <w:rPr>
                <w:noProof/>
                <w:webHidden/>
              </w:rPr>
              <w:t>13</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64" w:history="1">
            <w:r w:rsidR="00002064" w:rsidRPr="0014722D">
              <w:rPr>
                <w:rStyle w:val="Hyperlink"/>
                <w:rFonts w:eastAsia="Times New Roman"/>
                <w:noProof/>
                <w:lang w:val="fr-BE"/>
              </w:rPr>
              <w:t>2.3</w:t>
            </w:r>
            <w:r w:rsidR="00002064">
              <w:rPr>
                <w:rFonts w:eastAsiaTheme="minorEastAsia"/>
                <w:noProof/>
                <w:lang w:eastAsia="en-GB"/>
              </w:rPr>
              <w:tab/>
            </w:r>
            <w:r w:rsidR="00002064" w:rsidRPr="0014722D">
              <w:rPr>
                <w:rStyle w:val="Hyperlink"/>
                <w:rFonts w:eastAsia="Times New Roman"/>
                <w:noProof/>
                <w:lang w:val="fr-BE"/>
              </w:rPr>
              <w:t>Conséquences de la modification des protocoles n° 1 et n° 4 de l´accord d´association sur la situation des droits de l´homme au Sahara Occidental.</w:t>
            </w:r>
            <w:r w:rsidR="00002064">
              <w:rPr>
                <w:noProof/>
                <w:webHidden/>
              </w:rPr>
              <w:tab/>
            </w:r>
            <w:r w:rsidR="00002064">
              <w:rPr>
                <w:noProof/>
                <w:webHidden/>
              </w:rPr>
              <w:fldChar w:fldCharType="begin"/>
            </w:r>
            <w:r w:rsidR="00002064">
              <w:rPr>
                <w:noProof/>
                <w:webHidden/>
              </w:rPr>
              <w:instrText xml:space="preserve"> PAGEREF _Toc514257464 \h </w:instrText>
            </w:r>
            <w:r w:rsidR="00002064">
              <w:rPr>
                <w:noProof/>
                <w:webHidden/>
              </w:rPr>
            </w:r>
            <w:r w:rsidR="00002064">
              <w:rPr>
                <w:noProof/>
                <w:webHidden/>
              </w:rPr>
              <w:fldChar w:fldCharType="separate"/>
            </w:r>
            <w:r w:rsidR="001A53C6">
              <w:rPr>
                <w:noProof/>
                <w:webHidden/>
              </w:rPr>
              <w:t>14</w:t>
            </w:r>
            <w:r w:rsidR="00002064">
              <w:rPr>
                <w:noProof/>
                <w:webHidden/>
              </w:rPr>
              <w:fldChar w:fldCharType="end"/>
            </w:r>
          </w:hyperlink>
        </w:p>
        <w:p w:rsidR="00002064" w:rsidRDefault="00AD61E7">
          <w:pPr>
            <w:pStyle w:val="TOC1"/>
            <w:tabs>
              <w:tab w:val="left" w:pos="440"/>
              <w:tab w:val="right" w:leader="dot" w:pos="9061"/>
            </w:tabs>
            <w:rPr>
              <w:rFonts w:eastAsiaTheme="minorEastAsia"/>
              <w:noProof/>
              <w:lang w:eastAsia="en-GB"/>
            </w:rPr>
          </w:pPr>
          <w:hyperlink w:anchor="_Toc514257465" w:history="1">
            <w:r w:rsidR="00002064" w:rsidRPr="0014722D">
              <w:rPr>
                <w:rStyle w:val="Hyperlink"/>
                <w:rFonts w:eastAsia="Calibri"/>
                <w:noProof/>
              </w:rPr>
              <w:t>3</w:t>
            </w:r>
            <w:r w:rsidR="00002064">
              <w:rPr>
                <w:rFonts w:eastAsiaTheme="minorEastAsia"/>
                <w:noProof/>
                <w:lang w:eastAsia="en-GB"/>
              </w:rPr>
              <w:tab/>
            </w:r>
            <w:r w:rsidR="00002064" w:rsidRPr="0014722D">
              <w:rPr>
                <w:rStyle w:val="Hyperlink"/>
                <w:rFonts w:eastAsia="Calibri"/>
                <w:noProof/>
              </w:rPr>
              <w:t>L’ECONOMIE DU SAHARA OCCIDENTAL – BENEFICES ECONOMIQUES POUR LES POPULATIONS CONCERNEES</w:t>
            </w:r>
            <w:r w:rsidR="00002064">
              <w:rPr>
                <w:noProof/>
                <w:webHidden/>
              </w:rPr>
              <w:tab/>
            </w:r>
            <w:r w:rsidR="00002064">
              <w:rPr>
                <w:noProof/>
                <w:webHidden/>
              </w:rPr>
              <w:fldChar w:fldCharType="begin"/>
            </w:r>
            <w:r w:rsidR="00002064">
              <w:rPr>
                <w:noProof/>
                <w:webHidden/>
              </w:rPr>
              <w:instrText xml:space="preserve"> PAGEREF _Toc514257465 \h </w:instrText>
            </w:r>
            <w:r w:rsidR="00002064">
              <w:rPr>
                <w:noProof/>
                <w:webHidden/>
              </w:rPr>
            </w:r>
            <w:r w:rsidR="00002064">
              <w:rPr>
                <w:noProof/>
                <w:webHidden/>
              </w:rPr>
              <w:fldChar w:fldCharType="separate"/>
            </w:r>
            <w:r w:rsidR="001A53C6">
              <w:rPr>
                <w:noProof/>
                <w:webHidden/>
              </w:rPr>
              <w:t>15</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66" w:history="1">
            <w:r w:rsidR="00002064" w:rsidRPr="0014722D">
              <w:rPr>
                <w:rStyle w:val="Hyperlink"/>
                <w:rFonts w:eastAsia="Calibri"/>
                <w:noProof/>
                <w:lang w:val="fr-FR"/>
              </w:rPr>
              <w:t>3.1</w:t>
            </w:r>
            <w:r w:rsidR="00002064">
              <w:rPr>
                <w:rFonts w:eastAsiaTheme="minorEastAsia"/>
                <w:noProof/>
                <w:lang w:eastAsia="en-GB"/>
              </w:rPr>
              <w:tab/>
            </w:r>
            <w:r w:rsidR="00002064" w:rsidRPr="0014722D">
              <w:rPr>
                <w:rStyle w:val="Hyperlink"/>
                <w:rFonts w:eastAsia="Calibri"/>
                <w:noProof/>
                <w:lang w:val="fr-FR"/>
              </w:rPr>
              <w:t>Aperçu général de l’économie du Sahara occidental et sa nécessaire diversification</w:t>
            </w:r>
            <w:r w:rsidR="00002064">
              <w:rPr>
                <w:noProof/>
                <w:webHidden/>
              </w:rPr>
              <w:tab/>
            </w:r>
            <w:r w:rsidR="00002064">
              <w:rPr>
                <w:noProof/>
                <w:webHidden/>
              </w:rPr>
              <w:fldChar w:fldCharType="begin"/>
            </w:r>
            <w:r w:rsidR="00002064">
              <w:rPr>
                <w:noProof/>
                <w:webHidden/>
              </w:rPr>
              <w:instrText xml:space="preserve"> PAGEREF _Toc514257466 \h </w:instrText>
            </w:r>
            <w:r w:rsidR="00002064">
              <w:rPr>
                <w:noProof/>
                <w:webHidden/>
              </w:rPr>
            </w:r>
            <w:r w:rsidR="00002064">
              <w:rPr>
                <w:noProof/>
                <w:webHidden/>
              </w:rPr>
              <w:fldChar w:fldCharType="separate"/>
            </w:r>
            <w:r w:rsidR="001A53C6">
              <w:rPr>
                <w:noProof/>
                <w:webHidden/>
              </w:rPr>
              <w:t>15</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67" w:history="1">
            <w:r w:rsidR="00002064" w:rsidRPr="0014722D">
              <w:rPr>
                <w:rStyle w:val="Hyperlink"/>
                <w:rFonts w:eastAsia="Calibri"/>
                <w:noProof/>
                <w:lang w:val="fr-FR"/>
              </w:rPr>
              <w:t>3.2</w:t>
            </w:r>
            <w:r w:rsidR="00002064">
              <w:rPr>
                <w:rFonts w:eastAsiaTheme="minorEastAsia"/>
                <w:noProof/>
                <w:lang w:eastAsia="en-GB"/>
              </w:rPr>
              <w:tab/>
            </w:r>
            <w:r w:rsidR="00002064" w:rsidRPr="0014722D">
              <w:rPr>
                <w:rStyle w:val="Hyperlink"/>
                <w:rFonts w:eastAsia="Calibri"/>
                <w:noProof/>
                <w:lang w:val="fr-FR"/>
              </w:rPr>
              <w:t>Intérêts pour les principaux secteurs économiques d’exportation</w:t>
            </w:r>
            <w:r w:rsidR="00002064">
              <w:rPr>
                <w:noProof/>
                <w:webHidden/>
              </w:rPr>
              <w:tab/>
            </w:r>
            <w:r w:rsidR="00002064">
              <w:rPr>
                <w:noProof/>
                <w:webHidden/>
              </w:rPr>
              <w:fldChar w:fldCharType="begin"/>
            </w:r>
            <w:r w:rsidR="00002064">
              <w:rPr>
                <w:noProof/>
                <w:webHidden/>
              </w:rPr>
              <w:instrText xml:space="preserve"> PAGEREF _Toc514257467 \h </w:instrText>
            </w:r>
            <w:r w:rsidR="00002064">
              <w:rPr>
                <w:noProof/>
                <w:webHidden/>
              </w:rPr>
            </w:r>
            <w:r w:rsidR="00002064">
              <w:rPr>
                <w:noProof/>
                <w:webHidden/>
              </w:rPr>
              <w:fldChar w:fldCharType="separate"/>
            </w:r>
            <w:r w:rsidR="001A53C6">
              <w:rPr>
                <w:noProof/>
                <w:webHidden/>
              </w:rPr>
              <w:t>18</w:t>
            </w:r>
            <w:r w:rsidR="00002064">
              <w:rPr>
                <w:noProof/>
                <w:webHidden/>
              </w:rPr>
              <w:fldChar w:fldCharType="end"/>
            </w:r>
          </w:hyperlink>
        </w:p>
        <w:p w:rsidR="00002064" w:rsidRDefault="00AD61E7">
          <w:pPr>
            <w:pStyle w:val="TOC3"/>
            <w:tabs>
              <w:tab w:val="left" w:pos="1320"/>
              <w:tab w:val="right" w:leader="dot" w:pos="9061"/>
            </w:tabs>
            <w:rPr>
              <w:rFonts w:eastAsiaTheme="minorEastAsia"/>
              <w:noProof/>
              <w:lang w:eastAsia="en-GB"/>
            </w:rPr>
          </w:pPr>
          <w:hyperlink w:anchor="_Toc514257468" w:history="1">
            <w:r w:rsidR="00002064" w:rsidRPr="0014722D">
              <w:rPr>
                <w:rStyle w:val="Hyperlink"/>
                <w:rFonts w:eastAsia="Calibri"/>
                <w:noProof/>
                <w:lang w:val="fr-FR"/>
              </w:rPr>
              <w:t>3.2.1</w:t>
            </w:r>
            <w:r w:rsidR="00002064">
              <w:rPr>
                <w:rFonts w:eastAsiaTheme="minorEastAsia"/>
                <w:noProof/>
                <w:lang w:eastAsia="en-GB"/>
              </w:rPr>
              <w:tab/>
            </w:r>
            <w:r w:rsidR="00002064" w:rsidRPr="0014722D">
              <w:rPr>
                <w:rStyle w:val="Hyperlink"/>
                <w:rFonts w:eastAsia="Calibri"/>
                <w:noProof/>
                <w:lang w:val="fr-FR"/>
              </w:rPr>
              <w:t>Le secteur agricole</w:t>
            </w:r>
            <w:r w:rsidR="00002064">
              <w:rPr>
                <w:noProof/>
                <w:webHidden/>
              </w:rPr>
              <w:tab/>
            </w:r>
            <w:r w:rsidR="00002064">
              <w:rPr>
                <w:noProof/>
                <w:webHidden/>
              </w:rPr>
              <w:fldChar w:fldCharType="begin"/>
            </w:r>
            <w:r w:rsidR="00002064">
              <w:rPr>
                <w:noProof/>
                <w:webHidden/>
              </w:rPr>
              <w:instrText xml:space="preserve"> PAGEREF _Toc514257468 \h </w:instrText>
            </w:r>
            <w:r w:rsidR="00002064">
              <w:rPr>
                <w:noProof/>
                <w:webHidden/>
              </w:rPr>
            </w:r>
            <w:r w:rsidR="00002064">
              <w:rPr>
                <w:noProof/>
                <w:webHidden/>
              </w:rPr>
              <w:fldChar w:fldCharType="separate"/>
            </w:r>
            <w:r w:rsidR="001A53C6">
              <w:rPr>
                <w:noProof/>
                <w:webHidden/>
              </w:rPr>
              <w:t>18</w:t>
            </w:r>
            <w:r w:rsidR="00002064">
              <w:rPr>
                <w:noProof/>
                <w:webHidden/>
              </w:rPr>
              <w:fldChar w:fldCharType="end"/>
            </w:r>
          </w:hyperlink>
        </w:p>
        <w:p w:rsidR="00002064" w:rsidRDefault="00AD61E7">
          <w:pPr>
            <w:pStyle w:val="TOC3"/>
            <w:tabs>
              <w:tab w:val="left" w:pos="1320"/>
              <w:tab w:val="right" w:leader="dot" w:pos="9061"/>
            </w:tabs>
            <w:rPr>
              <w:rFonts w:eastAsiaTheme="minorEastAsia"/>
              <w:noProof/>
              <w:lang w:eastAsia="en-GB"/>
            </w:rPr>
          </w:pPr>
          <w:hyperlink w:anchor="_Toc514257469" w:history="1">
            <w:r w:rsidR="00002064" w:rsidRPr="0014722D">
              <w:rPr>
                <w:rStyle w:val="Hyperlink"/>
                <w:rFonts w:eastAsia="Calibri"/>
                <w:noProof/>
                <w:lang w:val="fr-FR"/>
              </w:rPr>
              <w:t>3.2.2</w:t>
            </w:r>
            <w:r w:rsidR="00002064">
              <w:rPr>
                <w:rFonts w:eastAsiaTheme="minorEastAsia"/>
                <w:noProof/>
                <w:lang w:eastAsia="en-GB"/>
              </w:rPr>
              <w:tab/>
            </w:r>
            <w:r w:rsidR="00002064" w:rsidRPr="0014722D">
              <w:rPr>
                <w:rStyle w:val="Hyperlink"/>
                <w:rFonts w:eastAsia="Calibri"/>
                <w:noProof/>
                <w:lang w:val="fr-FR"/>
              </w:rPr>
              <w:t>Le secteur des produits de la pêche</w:t>
            </w:r>
            <w:r w:rsidR="00002064">
              <w:rPr>
                <w:noProof/>
                <w:webHidden/>
              </w:rPr>
              <w:tab/>
            </w:r>
            <w:r w:rsidR="00002064">
              <w:rPr>
                <w:noProof/>
                <w:webHidden/>
              </w:rPr>
              <w:fldChar w:fldCharType="begin"/>
            </w:r>
            <w:r w:rsidR="00002064">
              <w:rPr>
                <w:noProof/>
                <w:webHidden/>
              </w:rPr>
              <w:instrText xml:space="preserve"> PAGEREF _Toc514257469 \h </w:instrText>
            </w:r>
            <w:r w:rsidR="00002064">
              <w:rPr>
                <w:noProof/>
                <w:webHidden/>
              </w:rPr>
            </w:r>
            <w:r w:rsidR="00002064">
              <w:rPr>
                <w:noProof/>
                <w:webHidden/>
              </w:rPr>
              <w:fldChar w:fldCharType="separate"/>
            </w:r>
            <w:r w:rsidR="001A53C6">
              <w:rPr>
                <w:noProof/>
                <w:webHidden/>
              </w:rPr>
              <w:t>22</w:t>
            </w:r>
            <w:r w:rsidR="00002064">
              <w:rPr>
                <w:noProof/>
                <w:webHidden/>
              </w:rPr>
              <w:fldChar w:fldCharType="end"/>
            </w:r>
          </w:hyperlink>
        </w:p>
        <w:p w:rsidR="00002064" w:rsidRDefault="00AD61E7">
          <w:pPr>
            <w:pStyle w:val="TOC3"/>
            <w:tabs>
              <w:tab w:val="left" w:pos="1320"/>
              <w:tab w:val="right" w:leader="dot" w:pos="9061"/>
            </w:tabs>
            <w:rPr>
              <w:rFonts w:eastAsiaTheme="minorEastAsia"/>
              <w:noProof/>
              <w:lang w:eastAsia="en-GB"/>
            </w:rPr>
          </w:pPr>
          <w:hyperlink w:anchor="_Toc514257470" w:history="1">
            <w:r w:rsidR="00002064" w:rsidRPr="0014722D">
              <w:rPr>
                <w:rStyle w:val="Hyperlink"/>
                <w:rFonts w:eastAsia="Calibri"/>
                <w:noProof/>
                <w:lang w:val="fr-FR"/>
              </w:rPr>
              <w:t>3.2.3</w:t>
            </w:r>
            <w:r w:rsidR="00002064">
              <w:rPr>
                <w:rFonts w:eastAsiaTheme="minorEastAsia"/>
                <w:noProof/>
                <w:lang w:eastAsia="en-GB"/>
              </w:rPr>
              <w:tab/>
            </w:r>
            <w:r w:rsidR="00002064" w:rsidRPr="0014722D">
              <w:rPr>
                <w:rStyle w:val="Hyperlink"/>
                <w:rFonts w:eastAsia="Calibri"/>
                <w:noProof/>
                <w:lang w:val="fr-FR"/>
              </w:rPr>
              <w:t>Le secteur des phosphates</w:t>
            </w:r>
            <w:r w:rsidR="00002064">
              <w:rPr>
                <w:noProof/>
                <w:webHidden/>
              </w:rPr>
              <w:tab/>
            </w:r>
            <w:r w:rsidR="00002064">
              <w:rPr>
                <w:noProof/>
                <w:webHidden/>
              </w:rPr>
              <w:fldChar w:fldCharType="begin"/>
            </w:r>
            <w:r w:rsidR="00002064">
              <w:rPr>
                <w:noProof/>
                <w:webHidden/>
              </w:rPr>
              <w:instrText xml:space="preserve"> PAGEREF _Toc514257470 \h </w:instrText>
            </w:r>
            <w:r w:rsidR="00002064">
              <w:rPr>
                <w:noProof/>
                <w:webHidden/>
              </w:rPr>
            </w:r>
            <w:r w:rsidR="00002064">
              <w:rPr>
                <w:noProof/>
                <w:webHidden/>
              </w:rPr>
              <w:fldChar w:fldCharType="separate"/>
            </w:r>
            <w:r w:rsidR="001A53C6">
              <w:rPr>
                <w:noProof/>
                <w:webHidden/>
              </w:rPr>
              <w:t>27</w:t>
            </w:r>
            <w:r w:rsidR="00002064">
              <w:rPr>
                <w:noProof/>
                <w:webHidden/>
              </w:rPr>
              <w:fldChar w:fldCharType="end"/>
            </w:r>
          </w:hyperlink>
        </w:p>
        <w:p w:rsidR="00002064" w:rsidRDefault="00AD61E7">
          <w:pPr>
            <w:pStyle w:val="TOC1"/>
            <w:tabs>
              <w:tab w:val="left" w:pos="440"/>
              <w:tab w:val="right" w:leader="dot" w:pos="9061"/>
            </w:tabs>
            <w:rPr>
              <w:rFonts w:eastAsiaTheme="minorEastAsia"/>
              <w:noProof/>
              <w:lang w:eastAsia="en-GB"/>
            </w:rPr>
          </w:pPr>
          <w:hyperlink w:anchor="_Toc514257471" w:history="1">
            <w:r w:rsidR="00002064" w:rsidRPr="0014722D">
              <w:rPr>
                <w:rStyle w:val="Hyperlink"/>
                <w:rFonts w:eastAsia="Calibri"/>
                <w:noProof/>
                <w:lang w:val="fr-FR"/>
              </w:rPr>
              <w:t>4</w:t>
            </w:r>
            <w:r w:rsidR="00002064">
              <w:rPr>
                <w:rFonts w:eastAsiaTheme="minorEastAsia"/>
                <w:noProof/>
                <w:lang w:eastAsia="en-GB"/>
              </w:rPr>
              <w:tab/>
            </w:r>
            <w:r w:rsidR="00002064" w:rsidRPr="0014722D">
              <w:rPr>
                <w:rStyle w:val="Hyperlink"/>
                <w:rFonts w:eastAsia="Calibri"/>
                <w:noProof/>
                <w:lang w:val="fr-FR"/>
              </w:rPr>
              <w:t>CONSULTATIONS DES POPULATIONS CONCERNEES PAR LA MODIFICATION DES PROTOCOLES N° 1 ET N° 4 DE L’ACCORD D’ASSOCIATION</w:t>
            </w:r>
            <w:r w:rsidR="00002064">
              <w:rPr>
                <w:noProof/>
                <w:webHidden/>
              </w:rPr>
              <w:tab/>
            </w:r>
            <w:r w:rsidR="00002064">
              <w:rPr>
                <w:noProof/>
                <w:webHidden/>
              </w:rPr>
              <w:fldChar w:fldCharType="begin"/>
            </w:r>
            <w:r w:rsidR="00002064">
              <w:rPr>
                <w:noProof/>
                <w:webHidden/>
              </w:rPr>
              <w:instrText xml:space="preserve"> PAGEREF _Toc514257471 \h </w:instrText>
            </w:r>
            <w:r w:rsidR="00002064">
              <w:rPr>
                <w:noProof/>
                <w:webHidden/>
              </w:rPr>
            </w:r>
            <w:r w:rsidR="00002064">
              <w:rPr>
                <w:noProof/>
                <w:webHidden/>
              </w:rPr>
              <w:fldChar w:fldCharType="separate"/>
            </w:r>
            <w:r w:rsidR="001A53C6">
              <w:rPr>
                <w:noProof/>
                <w:webHidden/>
              </w:rPr>
              <w:t>32</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72" w:history="1">
            <w:r w:rsidR="00002064" w:rsidRPr="0014722D">
              <w:rPr>
                <w:rStyle w:val="Hyperlink"/>
                <w:rFonts w:eastAsia="Arial Unicode MS"/>
                <w:noProof/>
                <w:u w:color="000000"/>
                <w:bdr w:val="nil"/>
                <w:lang w:val="fr-BE" w:eastAsia="en-GB"/>
              </w:rPr>
              <w:t>4.1</w:t>
            </w:r>
            <w:r w:rsidR="00002064">
              <w:rPr>
                <w:rFonts w:eastAsiaTheme="minorEastAsia"/>
                <w:noProof/>
                <w:lang w:eastAsia="en-GB"/>
              </w:rPr>
              <w:tab/>
            </w:r>
            <w:r w:rsidR="00002064" w:rsidRPr="0014722D">
              <w:rPr>
                <w:rStyle w:val="Hyperlink"/>
                <w:rFonts w:eastAsia="Arial Unicode MS"/>
                <w:noProof/>
                <w:u w:color="000000"/>
                <w:bdr w:val="nil"/>
                <w:lang w:val="fr-BE" w:eastAsia="en-GB"/>
              </w:rPr>
              <w:t>Objectif et portée de l'exercice de consultation</w:t>
            </w:r>
            <w:r w:rsidR="00002064">
              <w:rPr>
                <w:noProof/>
                <w:webHidden/>
              </w:rPr>
              <w:tab/>
            </w:r>
            <w:r w:rsidR="00002064">
              <w:rPr>
                <w:noProof/>
                <w:webHidden/>
              </w:rPr>
              <w:fldChar w:fldCharType="begin"/>
            </w:r>
            <w:r w:rsidR="00002064">
              <w:rPr>
                <w:noProof/>
                <w:webHidden/>
              </w:rPr>
              <w:instrText xml:space="preserve"> PAGEREF _Toc514257472 \h </w:instrText>
            </w:r>
            <w:r w:rsidR="00002064">
              <w:rPr>
                <w:noProof/>
                <w:webHidden/>
              </w:rPr>
            </w:r>
            <w:r w:rsidR="00002064">
              <w:rPr>
                <w:noProof/>
                <w:webHidden/>
              </w:rPr>
              <w:fldChar w:fldCharType="separate"/>
            </w:r>
            <w:r w:rsidR="001A53C6">
              <w:rPr>
                <w:noProof/>
                <w:webHidden/>
              </w:rPr>
              <w:t>32</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73" w:history="1">
            <w:r w:rsidR="00002064" w:rsidRPr="0014722D">
              <w:rPr>
                <w:rStyle w:val="Hyperlink"/>
                <w:rFonts w:eastAsia="Arial Unicode MS"/>
                <w:noProof/>
                <w:u w:color="000000"/>
                <w:bdr w:val="nil"/>
                <w:lang w:val="en-US" w:eastAsia="en-GB"/>
              </w:rPr>
              <w:t>4.2</w:t>
            </w:r>
            <w:r w:rsidR="00002064">
              <w:rPr>
                <w:rFonts w:eastAsiaTheme="minorEastAsia"/>
                <w:noProof/>
                <w:lang w:eastAsia="en-GB"/>
              </w:rPr>
              <w:tab/>
            </w:r>
            <w:r w:rsidR="00002064" w:rsidRPr="0014722D">
              <w:rPr>
                <w:rStyle w:val="Hyperlink"/>
                <w:rFonts w:eastAsia="Arial Unicode MS"/>
                <w:noProof/>
                <w:u w:color="000000"/>
                <w:bdr w:val="nil"/>
                <w:lang w:val="fr-FR" w:eastAsia="en-GB"/>
              </w:rPr>
              <w:t>Principaux résultats</w:t>
            </w:r>
            <w:r w:rsidR="00002064">
              <w:rPr>
                <w:noProof/>
                <w:webHidden/>
              </w:rPr>
              <w:tab/>
            </w:r>
            <w:r w:rsidR="00002064">
              <w:rPr>
                <w:noProof/>
                <w:webHidden/>
              </w:rPr>
              <w:fldChar w:fldCharType="begin"/>
            </w:r>
            <w:r w:rsidR="00002064">
              <w:rPr>
                <w:noProof/>
                <w:webHidden/>
              </w:rPr>
              <w:instrText xml:space="preserve"> PAGEREF _Toc514257473 \h </w:instrText>
            </w:r>
            <w:r w:rsidR="00002064">
              <w:rPr>
                <w:noProof/>
                <w:webHidden/>
              </w:rPr>
            </w:r>
            <w:r w:rsidR="00002064">
              <w:rPr>
                <w:noProof/>
                <w:webHidden/>
              </w:rPr>
              <w:fldChar w:fldCharType="separate"/>
            </w:r>
            <w:r w:rsidR="001A53C6">
              <w:rPr>
                <w:noProof/>
                <w:webHidden/>
              </w:rPr>
              <w:t>32</w:t>
            </w:r>
            <w:r w:rsidR="00002064">
              <w:rPr>
                <w:noProof/>
                <w:webHidden/>
              </w:rPr>
              <w:fldChar w:fldCharType="end"/>
            </w:r>
          </w:hyperlink>
        </w:p>
        <w:p w:rsidR="00002064" w:rsidRDefault="00AD61E7">
          <w:pPr>
            <w:pStyle w:val="TOC2"/>
            <w:tabs>
              <w:tab w:val="left" w:pos="880"/>
              <w:tab w:val="right" w:leader="dot" w:pos="9061"/>
            </w:tabs>
            <w:rPr>
              <w:rFonts w:eastAsiaTheme="minorEastAsia"/>
              <w:noProof/>
              <w:lang w:eastAsia="en-GB"/>
            </w:rPr>
          </w:pPr>
          <w:hyperlink w:anchor="_Toc514257474" w:history="1">
            <w:r w:rsidR="00002064" w:rsidRPr="0014722D">
              <w:rPr>
                <w:rStyle w:val="Hyperlink"/>
                <w:rFonts w:eastAsia="Arial Unicode MS"/>
                <w:noProof/>
                <w:u w:color="000000"/>
                <w:bdr w:val="nil"/>
                <w:lang w:val="en-US" w:eastAsia="en-GB"/>
              </w:rPr>
              <w:t>4.3</w:t>
            </w:r>
            <w:r w:rsidR="00002064">
              <w:rPr>
                <w:rFonts w:eastAsiaTheme="minorEastAsia"/>
                <w:noProof/>
                <w:lang w:eastAsia="en-GB"/>
              </w:rPr>
              <w:tab/>
            </w:r>
            <w:r w:rsidR="00002064" w:rsidRPr="0014722D">
              <w:rPr>
                <w:rStyle w:val="Hyperlink"/>
                <w:rFonts w:eastAsia="Arial Unicode MS"/>
                <w:noProof/>
                <w:u w:color="000000"/>
                <w:bdr w:val="nil"/>
                <w:lang w:val="en-US" w:eastAsia="en-GB"/>
              </w:rPr>
              <w:t>Conclusion</w:t>
            </w:r>
            <w:r w:rsidR="00002064">
              <w:rPr>
                <w:noProof/>
                <w:webHidden/>
              </w:rPr>
              <w:tab/>
            </w:r>
            <w:r w:rsidR="00002064">
              <w:rPr>
                <w:noProof/>
                <w:webHidden/>
              </w:rPr>
              <w:fldChar w:fldCharType="begin"/>
            </w:r>
            <w:r w:rsidR="00002064">
              <w:rPr>
                <w:noProof/>
                <w:webHidden/>
              </w:rPr>
              <w:instrText xml:space="preserve"> PAGEREF _Toc514257474 \h </w:instrText>
            </w:r>
            <w:r w:rsidR="00002064">
              <w:rPr>
                <w:noProof/>
                <w:webHidden/>
              </w:rPr>
            </w:r>
            <w:r w:rsidR="00002064">
              <w:rPr>
                <w:noProof/>
                <w:webHidden/>
              </w:rPr>
              <w:fldChar w:fldCharType="separate"/>
            </w:r>
            <w:r w:rsidR="001A53C6">
              <w:rPr>
                <w:noProof/>
                <w:webHidden/>
              </w:rPr>
              <w:t>37</w:t>
            </w:r>
            <w:r w:rsidR="00002064">
              <w:rPr>
                <w:noProof/>
                <w:webHidden/>
              </w:rPr>
              <w:fldChar w:fldCharType="end"/>
            </w:r>
          </w:hyperlink>
        </w:p>
        <w:p w:rsidR="00002064" w:rsidRDefault="00AD61E7">
          <w:pPr>
            <w:pStyle w:val="TOC1"/>
            <w:tabs>
              <w:tab w:val="left" w:pos="440"/>
              <w:tab w:val="right" w:leader="dot" w:pos="9061"/>
            </w:tabs>
            <w:rPr>
              <w:rFonts w:eastAsiaTheme="minorEastAsia"/>
              <w:noProof/>
              <w:lang w:eastAsia="en-GB"/>
            </w:rPr>
          </w:pPr>
          <w:hyperlink w:anchor="_Toc514257475" w:history="1">
            <w:r w:rsidR="00002064" w:rsidRPr="0014722D">
              <w:rPr>
                <w:rStyle w:val="Hyperlink"/>
                <w:rFonts w:eastAsia="Calibri"/>
                <w:noProof/>
              </w:rPr>
              <w:t>5</w:t>
            </w:r>
            <w:r w:rsidR="00002064">
              <w:rPr>
                <w:rFonts w:eastAsiaTheme="minorEastAsia"/>
                <w:noProof/>
                <w:lang w:eastAsia="en-GB"/>
              </w:rPr>
              <w:tab/>
            </w:r>
            <w:r w:rsidR="00002064" w:rsidRPr="0014722D">
              <w:rPr>
                <w:rStyle w:val="Hyperlink"/>
                <w:rFonts w:eastAsia="Calibri"/>
                <w:noProof/>
              </w:rPr>
              <w:t>CONCLUSION GENERALE</w:t>
            </w:r>
            <w:r w:rsidR="00002064">
              <w:rPr>
                <w:noProof/>
                <w:webHidden/>
              </w:rPr>
              <w:tab/>
            </w:r>
            <w:r w:rsidR="00002064">
              <w:rPr>
                <w:noProof/>
                <w:webHidden/>
              </w:rPr>
              <w:fldChar w:fldCharType="begin"/>
            </w:r>
            <w:r w:rsidR="00002064">
              <w:rPr>
                <w:noProof/>
                <w:webHidden/>
              </w:rPr>
              <w:instrText xml:space="preserve"> PAGEREF _Toc514257475 \h </w:instrText>
            </w:r>
            <w:r w:rsidR="00002064">
              <w:rPr>
                <w:noProof/>
                <w:webHidden/>
              </w:rPr>
            </w:r>
            <w:r w:rsidR="00002064">
              <w:rPr>
                <w:noProof/>
                <w:webHidden/>
              </w:rPr>
              <w:fldChar w:fldCharType="separate"/>
            </w:r>
            <w:r w:rsidR="001A53C6">
              <w:rPr>
                <w:noProof/>
                <w:webHidden/>
              </w:rPr>
              <w:t>37</w:t>
            </w:r>
            <w:r w:rsidR="00002064">
              <w:rPr>
                <w:noProof/>
                <w:webHidden/>
              </w:rPr>
              <w:fldChar w:fldCharType="end"/>
            </w:r>
          </w:hyperlink>
        </w:p>
        <w:p w:rsidR="00002064" w:rsidRDefault="00AD61E7">
          <w:pPr>
            <w:pStyle w:val="TOC2"/>
            <w:tabs>
              <w:tab w:val="right" w:leader="dot" w:pos="9061"/>
            </w:tabs>
            <w:rPr>
              <w:rFonts w:eastAsiaTheme="minorEastAsia"/>
              <w:noProof/>
              <w:lang w:eastAsia="en-GB"/>
            </w:rPr>
          </w:pPr>
          <w:hyperlink w:anchor="_Toc514257476" w:history="1">
            <w:r w:rsidR="00002064" w:rsidRPr="0014722D">
              <w:rPr>
                <w:rStyle w:val="Hyperlink"/>
                <w:rFonts w:eastAsia="Arial Unicode MS"/>
                <w:noProof/>
                <w:u w:color="000000"/>
                <w:bdr w:val="nil"/>
                <w:lang w:val="fr-BE" w:eastAsia="en-GB"/>
              </w:rPr>
              <w:t>Annexe</w:t>
            </w:r>
            <w:r w:rsidR="00002064">
              <w:rPr>
                <w:noProof/>
                <w:webHidden/>
              </w:rPr>
              <w:tab/>
            </w:r>
            <w:r w:rsidR="00002064">
              <w:rPr>
                <w:noProof/>
                <w:webHidden/>
              </w:rPr>
              <w:fldChar w:fldCharType="begin"/>
            </w:r>
            <w:r w:rsidR="00002064">
              <w:rPr>
                <w:noProof/>
                <w:webHidden/>
              </w:rPr>
              <w:instrText xml:space="preserve"> PAGEREF _Toc514257476 \h </w:instrText>
            </w:r>
            <w:r w:rsidR="00002064">
              <w:rPr>
                <w:noProof/>
                <w:webHidden/>
              </w:rPr>
            </w:r>
            <w:r w:rsidR="00002064">
              <w:rPr>
                <w:noProof/>
                <w:webHidden/>
              </w:rPr>
              <w:fldChar w:fldCharType="separate"/>
            </w:r>
            <w:r w:rsidR="001A53C6">
              <w:rPr>
                <w:noProof/>
                <w:webHidden/>
              </w:rPr>
              <w:t>40</w:t>
            </w:r>
            <w:r w:rsidR="00002064">
              <w:rPr>
                <w:noProof/>
                <w:webHidden/>
              </w:rPr>
              <w:fldChar w:fldCharType="end"/>
            </w:r>
          </w:hyperlink>
        </w:p>
        <w:p w:rsidR="00E34A7F" w:rsidRDefault="00E34A7F" w:rsidP="00561E05">
          <w:r>
            <w:rPr>
              <w:b/>
              <w:bCs/>
              <w:noProof/>
            </w:rPr>
            <w:fldChar w:fldCharType="end"/>
          </w:r>
        </w:p>
      </w:sdtContent>
    </w:sdt>
    <w:p w:rsidR="002060D5" w:rsidRDefault="002060D5">
      <w:pPr>
        <w:rPr>
          <w:rFonts w:ascii="Times New Roman" w:eastAsia="Calibri" w:hAnsi="Times New Roman" w:cs="Times New Roman"/>
          <w:b/>
          <w:smallCaps/>
          <w:sz w:val="24"/>
          <w:lang w:val="fr-BE"/>
        </w:rPr>
      </w:pPr>
      <w:r>
        <w:rPr>
          <w:rFonts w:ascii="Times New Roman" w:eastAsia="Calibri" w:hAnsi="Times New Roman" w:cs="Times New Roman"/>
          <w:b/>
          <w:smallCaps/>
          <w:sz w:val="24"/>
          <w:lang w:val="fr-BE"/>
        </w:rPr>
        <w:br w:type="page"/>
      </w:r>
    </w:p>
    <w:p w:rsidR="00993B80" w:rsidRPr="00FA3118" w:rsidRDefault="00514E29" w:rsidP="00FA3118">
      <w:pPr>
        <w:pStyle w:val="Heading1"/>
        <w:rPr>
          <w:rFonts w:eastAsia="Calibri"/>
          <w:lang w:val="fr-FR"/>
        </w:rPr>
      </w:pPr>
      <w:bookmarkStart w:id="2" w:name="_Toc514257455"/>
      <w:r>
        <w:rPr>
          <w:rFonts w:eastAsia="Calibri"/>
          <w:lang w:val="fr-FR"/>
        </w:rPr>
        <w:t>INTRODUCTION</w:t>
      </w:r>
      <w:r w:rsidR="008B3FF0">
        <w:rPr>
          <w:rFonts w:eastAsia="Calibri"/>
          <w:lang w:val="fr-FR"/>
        </w:rPr>
        <w:t xml:space="preserve"> GENERALE</w:t>
      </w:r>
      <w:bookmarkEnd w:id="2"/>
    </w:p>
    <w:p w:rsidR="00056165" w:rsidRPr="009B3A97" w:rsidRDefault="00056165" w:rsidP="007F56E3">
      <w:pPr>
        <w:pStyle w:val="Heading2"/>
        <w:rPr>
          <w:rFonts w:eastAsia="Arial Unicode MS"/>
          <w:lang w:val="fr-BE"/>
        </w:rPr>
      </w:pPr>
      <w:bookmarkStart w:id="3" w:name="_Toc511381539"/>
      <w:bookmarkStart w:id="4" w:name="_Toc514257456"/>
      <w:r w:rsidRPr="009B3A97">
        <w:rPr>
          <w:rFonts w:eastAsia="Arial Unicode MS"/>
          <w:lang w:val="fr-BE"/>
        </w:rPr>
        <w:t>Contexte</w:t>
      </w:r>
      <w:bookmarkEnd w:id="3"/>
      <w:bookmarkEnd w:id="4"/>
    </w:p>
    <w:p w:rsidR="00892035" w:rsidRDefault="00892035" w:rsidP="0084736B">
      <w:pPr>
        <w:widowControl w:val="0"/>
        <w:spacing w:after="0" w:line="240" w:lineRule="auto"/>
        <w:jc w:val="both"/>
        <w:rPr>
          <w:rFonts w:ascii="Times New Roman" w:eastAsia="Arial Unicode MS" w:hAnsi="Times New Roman" w:cs="Times New Roman"/>
          <w:color w:val="000000" w:themeColor="text1"/>
          <w:sz w:val="24"/>
          <w:lang w:val="fr-BE"/>
        </w:rPr>
      </w:pPr>
    </w:p>
    <w:p w:rsidR="00AC4334" w:rsidRPr="00AC4334" w:rsidRDefault="00AC4334" w:rsidP="0084736B">
      <w:pPr>
        <w:widowControl w:val="0"/>
        <w:spacing w:after="0" w:line="240" w:lineRule="auto"/>
        <w:jc w:val="both"/>
        <w:rPr>
          <w:rFonts w:ascii="Times New Roman" w:eastAsia="Arial Unicode MS" w:hAnsi="Times New Roman" w:cs="Times New Roman"/>
          <w:color w:val="000000" w:themeColor="text1"/>
          <w:sz w:val="24"/>
          <w:lang w:val="fr-BE"/>
        </w:rPr>
      </w:pPr>
      <w:r w:rsidRPr="00A36AAF">
        <w:rPr>
          <w:rFonts w:ascii="Times New Roman" w:eastAsia="Arial Unicode MS" w:hAnsi="Times New Roman" w:cs="Times New Roman"/>
          <w:color w:val="000000" w:themeColor="text1"/>
          <w:sz w:val="24"/>
          <w:lang w:val="fr-BE"/>
        </w:rPr>
        <w:t xml:space="preserve">Le Sahara occidental est un territoire du nord-ouest de l’Afrique, </w:t>
      </w:r>
      <w:r w:rsidR="00A8433C">
        <w:rPr>
          <w:rFonts w:ascii="Times New Roman" w:eastAsia="Arial Unicode MS" w:hAnsi="Times New Roman" w:cs="Times New Roman"/>
          <w:color w:val="000000" w:themeColor="text1"/>
          <w:sz w:val="24"/>
          <w:lang w:val="fr-BE"/>
        </w:rPr>
        <w:t>limitrophe du</w:t>
      </w:r>
      <w:r w:rsidRPr="00A36AAF">
        <w:rPr>
          <w:rFonts w:ascii="Times New Roman" w:eastAsia="Arial Unicode MS" w:hAnsi="Times New Roman" w:cs="Times New Roman"/>
          <w:color w:val="000000" w:themeColor="text1"/>
          <w:sz w:val="24"/>
          <w:lang w:val="fr-BE"/>
        </w:rPr>
        <w:t xml:space="preserve"> Maroc</w:t>
      </w:r>
      <w:r w:rsidR="00A8433C">
        <w:rPr>
          <w:rFonts w:ascii="Times New Roman" w:eastAsia="Arial Unicode MS" w:hAnsi="Times New Roman" w:cs="Times New Roman"/>
          <w:color w:val="000000" w:themeColor="text1"/>
          <w:sz w:val="24"/>
          <w:lang w:val="fr-BE"/>
        </w:rPr>
        <w:t>, de</w:t>
      </w:r>
      <w:r w:rsidRPr="00A36AAF">
        <w:rPr>
          <w:rFonts w:ascii="Times New Roman" w:eastAsia="Arial Unicode MS" w:hAnsi="Times New Roman" w:cs="Times New Roman"/>
          <w:color w:val="000000" w:themeColor="text1"/>
          <w:sz w:val="24"/>
          <w:lang w:val="fr-BE"/>
        </w:rPr>
        <w:t xml:space="preserve"> l’Algérie</w:t>
      </w:r>
      <w:r w:rsidR="00A8433C">
        <w:rPr>
          <w:rFonts w:ascii="Times New Roman" w:eastAsia="Arial Unicode MS" w:hAnsi="Times New Roman" w:cs="Times New Roman"/>
          <w:color w:val="000000" w:themeColor="text1"/>
          <w:sz w:val="24"/>
          <w:lang w:val="fr-BE"/>
        </w:rPr>
        <w:t xml:space="preserve"> et de la</w:t>
      </w:r>
      <w:r w:rsidRPr="00A36AAF">
        <w:rPr>
          <w:rFonts w:ascii="Times New Roman" w:eastAsia="Arial Unicode MS" w:hAnsi="Times New Roman" w:cs="Times New Roman"/>
          <w:color w:val="000000" w:themeColor="text1"/>
          <w:sz w:val="24"/>
          <w:lang w:val="fr-BE"/>
        </w:rPr>
        <w:t xml:space="preserve"> Mauritanie. </w:t>
      </w:r>
      <w:r w:rsidRPr="00AC4334">
        <w:rPr>
          <w:rFonts w:ascii="Times New Roman" w:eastAsia="Arial Unicode MS" w:hAnsi="Times New Roman" w:cs="Times New Roman"/>
          <w:color w:val="000000" w:themeColor="text1"/>
          <w:sz w:val="24"/>
          <w:lang w:val="fr-BE"/>
        </w:rPr>
        <w:t xml:space="preserve">Il </w:t>
      </w:r>
      <w:r w:rsidR="00A8433C">
        <w:rPr>
          <w:rFonts w:ascii="Times New Roman" w:eastAsia="Arial Unicode MS" w:hAnsi="Times New Roman" w:cs="Times New Roman"/>
          <w:color w:val="000000" w:themeColor="text1"/>
          <w:sz w:val="24"/>
          <w:lang w:val="fr-BE"/>
        </w:rPr>
        <w:t>était sous administration espagnole jusqu’en 1976</w:t>
      </w:r>
      <w:r w:rsidRPr="00AC4334">
        <w:rPr>
          <w:rFonts w:ascii="Times New Roman" w:eastAsia="Arial Unicode MS" w:hAnsi="Times New Roman" w:cs="Times New Roman"/>
          <w:color w:val="000000" w:themeColor="text1"/>
          <w:sz w:val="24"/>
          <w:lang w:val="fr-BE"/>
        </w:rPr>
        <w:t xml:space="preserve">. Le 14 décembre 1960, l’Assemblée générale de l’Organisation des Nations unies (ONU) a adopté la résolution 1514 (XV) sur l’octroi de l’indépendance aux pays et aux peuples coloniaux. En 1963, </w:t>
      </w:r>
      <w:r w:rsidR="006A6815" w:rsidRPr="006A6815">
        <w:rPr>
          <w:rFonts w:ascii="Times New Roman" w:eastAsia="Arial Unicode MS" w:hAnsi="Times New Roman" w:cs="Times New Roman"/>
          <w:color w:val="000000"/>
          <w:sz w:val="24"/>
          <w:szCs w:val="24"/>
          <w:u w:color="000000"/>
          <w:bdr w:val="nil"/>
          <w:lang w:val="fr-BE"/>
        </w:rPr>
        <w:t xml:space="preserve">à la demande du Royaume du Maroc et </w:t>
      </w:r>
      <w:r w:rsidRPr="00AC4334">
        <w:rPr>
          <w:rFonts w:ascii="Times New Roman" w:eastAsia="Arial Unicode MS" w:hAnsi="Times New Roman" w:cs="Times New Roman"/>
          <w:color w:val="000000" w:themeColor="text1"/>
          <w:sz w:val="24"/>
          <w:lang w:val="fr-BE"/>
        </w:rPr>
        <w:t xml:space="preserve">à la suite d’une transmission de renseignements par le Royaume d’Espagne en application de l’article 73, </w:t>
      </w:r>
      <w:r w:rsidR="00156148">
        <w:rPr>
          <w:rFonts w:ascii="Times New Roman" w:eastAsia="Arial Unicode MS" w:hAnsi="Times New Roman" w:cs="Times New Roman"/>
          <w:color w:val="000000" w:themeColor="text1"/>
          <w:sz w:val="24"/>
          <w:lang w:val="fr-BE"/>
        </w:rPr>
        <w:t>point</w:t>
      </w:r>
      <w:r w:rsidRPr="00AC4334">
        <w:rPr>
          <w:rFonts w:ascii="Times New Roman" w:eastAsia="Arial Unicode MS" w:hAnsi="Times New Roman" w:cs="Times New Roman"/>
          <w:color w:val="000000" w:themeColor="text1"/>
          <w:sz w:val="24"/>
          <w:lang w:val="fr-BE"/>
        </w:rPr>
        <w:t xml:space="preserve"> e), de la charte des Nations unies, l’ONU a inscrit le Sahara occidental sur sa liste des territoires non autonomes. Il y figure toujours.</w:t>
      </w:r>
    </w:p>
    <w:p w:rsidR="00892035" w:rsidRDefault="00892035" w:rsidP="0084736B">
      <w:pPr>
        <w:widowControl w:val="0"/>
        <w:spacing w:after="0" w:line="240" w:lineRule="auto"/>
        <w:jc w:val="both"/>
        <w:rPr>
          <w:rFonts w:ascii="Times New Roman" w:eastAsia="Arial Unicode MS" w:hAnsi="Times New Roman" w:cs="Times New Roman"/>
          <w:color w:val="000000" w:themeColor="text1"/>
          <w:sz w:val="24"/>
          <w:lang w:val="fr-BE"/>
        </w:rPr>
      </w:pPr>
    </w:p>
    <w:p w:rsidR="00423348" w:rsidRPr="00AC4334" w:rsidRDefault="00423348" w:rsidP="00423348">
      <w:pPr>
        <w:widowControl w:val="0"/>
        <w:spacing w:after="0" w:line="240" w:lineRule="auto"/>
        <w:jc w:val="both"/>
        <w:rPr>
          <w:rFonts w:ascii="Times New Roman" w:eastAsia="Arial Unicode MS" w:hAnsi="Times New Roman" w:cs="Times New Roman"/>
          <w:color w:val="000000" w:themeColor="text1"/>
          <w:sz w:val="24"/>
          <w:lang w:val="fr-BE"/>
        </w:rPr>
      </w:pPr>
      <w:r w:rsidRPr="00AC4334">
        <w:rPr>
          <w:rFonts w:ascii="Times New Roman" w:eastAsia="Arial Unicode MS" w:hAnsi="Times New Roman" w:cs="Times New Roman"/>
          <w:color w:val="000000" w:themeColor="text1"/>
          <w:sz w:val="24"/>
          <w:lang w:val="fr-BE"/>
        </w:rPr>
        <w:t xml:space="preserve">Tant le Royaume du Maroc que le </w:t>
      </w:r>
      <w:r w:rsidRPr="000C79F1">
        <w:rPr>
          <w:rFonts w:ascii="Times New Roman" w:eastAsia="Arial Unicode MS" w:hAnsi="Times New Roman" w:cs="Times New Roman"/>
          <w:color w:val="000000" w:themeColor="text1"/>
          <w:sz w:val="24"/>
          <w:lang w:val="fr-BE"/>
        </w:rPr>
        <w:t>Front populaire pour la libération de la Saguía-el-Hamra et du Río de Oro</w:t>
      </w:r>
      <w:r>
        <w:rPr>
          <w:rFonts w:ascii="Times New Roman" w:eastAsia="Arial Unicode MS" w:hAnsi="Times New Roman" w:cs="Times New Roman"/>
          <w:color w:val="000000" w:themeColor="text1"/>
          <w:sz w:val="24"/>
          <w:lang w:val="fr-BE"/>
        </w:rPr>
        <w:t xml:space="preserve"> (ci-après « </w:t>
      </w:r>
      <w:r w:rsidRPr="000C79F1">
        <w:rPr>
          <w:rFonts w:ascii="Times New Roman" w:eastAsia="Arial Unicode MS" w:hAnsi="Times New Roman" w:cs="Times New Roman"/>
          <w:color w:val="000000" w:themeColor="text1"/>
          <w:sz w:val="24"/>
          <w:lang w:val="fr-BE"/>
        </w:rPr>
        <w:t xml:space="preserve">Front </w:t>
      </w:r>
      <w:r>
        <w:rPr>
          <w:rFonts w:ascii="Times New Roman" w:eastAsia="Arial Unicode MS" w:hAnsi="Times New Roman" w:cs="Times New Roman"/>
          <w:color w:val="000000" w:themeColor="text1"/>
          <w:sz w:val="24"/>
          <w:lang w:val="fr-BE"/>
        </w:rPr>
        <w:t>Polisario »)</w:t>
      </w:r>
      <w:r w:rsidRPr="00AC4334">
        <w:rPr>
          <w:rFonts w:ascii="Times New Roman" w:eastAsia="Arial Unicode MS" w:hAnsi="Times New Roman" w:cs="Times New Roman"/>
          <w:color w:val="000000" w:themeColor="text1"/>
          <w:sz w:val="24"/>
          <w:lang w:val="fr-BE"/>
        </w:rPr>
        <w:t xml:space="preserve"> le revendiquent et l’ONU </w:t>
      </w:r>
      <w:r>
        <w:rPr>
          <w:rFonts w:ascii="Times New Roman" w:eastAsia="Arial Unicode MS" w:hAnsi="Times New Roman" w:cs="Times New Roman"/>
          <w:color w:val="000000" w:themeColor="text1"/>
          <w:sz w:val="24"/>
          <w:lang w:val="fr-BE"/>
        </w:rPr>
        <w:t xml:space="preserve">œuvre </w:t>
      </w:r>
      <w:r w:rsidRPr="00AC4334">
        <w:rPr>
          <w:rFonts w:ascii="Times New Roman" w:eastAsia="Arial Unicode MS" w:hAnsi="Times New Roman" w:cs="Times New Roman"/>
          <w:color w:val="000000" w:themeColor="text1"/>
          <w:sz w:val="24"/>
          <w:lang w:val="fr-BE"/>
        </w:rPr>
        <w:t xml:space="preserve">depuis longtemps en vue d’une résolution pacifique de ce différend. </w:t>
      </w:r>
      <w:r>
        <w:rPr>
          <w:rFonts w:ascii="Times New Roman" w:eastAsia="Arial Unicode MS" w:hAnsi="Times New Roman" w:cs="Times New Roman"/>
          <w:color w:val="000000" w:themeColor="text1"/>
          <w:sz w:val="24"/>
          <w:lang w:val="fr-BE"/>
        </w:rPr>
        <w:t>L</w:t>
      </w:r>
      <w:r w:rsidRPr="00AC4334">
        <w:rPr>
          <w:rFonts w:ascii="Times New Roman" w:eastAsia="Arial Unicode MS" w:hAnsi="Times New Roman" w:cs="Times New Roman"/>
          <w:color w:val="000000" w:themeColor="text1"/>
          <w:sz w:val="24"/>
          <w:lang w:val="fr-BE"/>
        </w:rPr>
        <w:t xml:space="preserve">’Union </w:t>
      </w:r>
      <w:r>
        <w:rPr>
          <w:rFonts w:ascii="Times New Roman" w:eastAsia="Arial Unicode MS" w:hAnsi="Times New Roman" w:cs="Times New Roman"/>
          <w:color w:val="000000" w:themeColor="text1"/>
          <w:sz w:val="24"/>
          <w:lang w:val="fr-BE"/>
        </w:rPr>
        <w:t>européenne et</w:t>
      </w:r>
      <w:r w:rsidRPr="00AC4334">
        <w:rPr>
          <w:rFonts w:ascii="Times New Roman" w:eastAsia="Arial Unicode MS" w:hAnsi="Times New Roman" w:cs="Times New Roman"/>
          <w:color w:val="000000" w:themeColor="text1"/>
          <w:sz w:val="24"/>
          <w:lang w:val="fr-BE"/>
        </w:rPr>
        <w:t xml:space="preserve"> ses États membres s’abstiennent de toute intervention et de prise de parti dans ce différend et, le cas échéant, accepteront toute solution décidée conformément au droit international, sous l’égide de l’ONU. </w:t>
      </w:r>
      <w:r>
        <w:rPr>
          <w:rFonts w:ascii="Times New Roman" w:eastAsia="Arial Unicode MS" w:hAnsi="Times New Roman" w:cs="Times New Roman"/>
          <w:color w:val="000000" w:themeColor="text1"/>
          <w:sz w:val="24"/>
          <w:lang w:val="fr-BE"/>
        </w:rPr>
        <w:t>Ils ne reconnaissent pas la souveraineté du Maroc sur le Sahara occidental mais soutiennent</w:t>
      </w:r>
      <w:r w:rsidRPr="00AC4334">
        <w:rPr>
          <w:rFonts w:ascii="Times New Roman" w:eastAsia="Arial Unicode MS" w:hAnsi="Times New Roman" w:cs="Times New Roman"/>
          <w:color w:val="000000" w:themeColor="text1"/>
          <w:sz w:val="24"/>
          <w:lang w:val="fr-BE"/>
        </w:rPr>
        <w:t xml:space="preserve"> les efforts déployés par le Secrétaire général de</w:t>
      </w:r>
      <w:r w:rsidR="0059134D">
        <w:rPr>
          <w:rFonts w:ascii="Times New Roman" w:eastAsia="Arial Unicode MS" w:hAnsi="Times New Roman" w:cs="Times New Roman"/>
          <w:color w:val="000000" w:themeColor="text1"/>
          <w:sz w:val="24"/>
          <w:lang w:val="fr-BE"/>
        </w:rPr>
        <w:t>s Nations Unies</w:t>
      </w:r>
      <w:r w:rsidRPr="00AC4334">
        <w:rPr>
          <w:rFonts w:ascii="Times New Roman" w:eastAsia="Arial Unicode MS" w:hAnsi="Times New Roman" w:cs="Times New Roman"/>
          <w:color w:val="000000" w:themeColor="text1"/>
          <w:sz w:val="24"/>
          <w:lang w:val="fr-BE"/>
        </w:rPr>
        <w:t xml:space="preserve"> en vue de parvenir à une solution politique juste, durable et mutuellement acceptable, qui permette l’autodétermination du peuple du Sahara occidental.</w:t>
      </w:r>
    </w:p>
    <w:p w:rsidR="00892035" w:rsidRDefault="00892035" w:rsidP="0084736B">
      <w:pPr>
        <w:widowControl w:val="0"/>
        <w:spacing w:after="0" w:line="240" w:lineRule="auto"/>
        <w:jc w:val="both"/>
        <w:rPr>
          <w:rFonts w:ascii="Times New Roman" w:eastAsia="Arial Unicode MS" w:hAnsi="Times New Roman" w:cs="Times New Roman"/>
          <w:color w:val="000000" w:themeColor="text1"/>
          <w:sz w:val="24"/>
          <w:lang w:val="fr-BE"/>
        </w:rPr>
      </w:pPr>
    </w:p>
    <w:p w:rsidR="00C86988" w:rsidRDefault="00C86988" w:rsidP="0084736B">
      <w:pPr>
        <w:widowControl w:val="0"/>
        <w:spacing w:after="0" w:line="240" w:lineRule="auto"/>
        <w:jc w:val="both"/>
        <w:rPr>
          <w:rFonts w:ascii="Times New Roman" w:eastAsia="Arial Unicode MS" w:hAnsi="Times New Roman" w:cs="Times New Roman"/>
          <w:color w:val="000000" w:themeColor="text1"/>
          <w:sz w:val="24"/>
          <w:lang w:val="fr-BE"/>
        </w:rPr>
      </w:pPr>
      <w:r>
        <w:rPr>
          <w:rFonts w:ascii="Times New Roman" w:eastAsia="Arial Unicode MS" w:hAnsi="Times New Roman" w:cs="Times New Roman"/>
          <w:color w:val="000000" w:themeColor="text1"/>
          <w:sz w:val="24"/>
          <w:lang w:val="fr-BE"/>
        </w:rPr>
        <w:t xml:space="preserve">Depuis le retrait de l’Espagne en 1976, aucun renseignement statistique n’est transmis à l’ONU </w:t>
      </w:r>
      <w:r w:rsidR="000C79F1">
        <w:rPr>
          <w:rFonts w:ascii="Times New Roman" w:eastAsia="Arial Unicode MS" w:hAnsi="Times New Roman" w:cs="Times New Roman"/>
          <w:color w:val="000000" w:themeColor="text1"/>
          <w:sz w:val="24"/>
          <w:lang w:val="fr-BE"/>
        </w:rPr>
        <w:t>relatif</w:t>
      </w:r>
      <w:r w:rsidRPr="00C86988">
        <w:rPr>
          <w:rFonts w:ascii="Times New Roman" w:eastAsia="Arial Unicode MS" w:hAnsi="Times New Roman" w:cs="Times New Roman"/>
          <w:color w:val="000000" w:themeColor="text1"/>
          <w:sz w:val="24"/>
          <w:lang w:val="fr-BE"/>
        </w:rPr>
        <w:t xml:space="preserve"> aux conditions économiques, sociales et de l'instruction</w:t>
      </w:r>
      <w:r w:rsidR="000C79F1">
        <w:rPr>
          <w:rFonts w:ascii="Times New Roman" w:eastAsia="Arial Unicode MS" w:hAnsi="Times New Roman" w:cs="Times New Roman"/>
          <w:color w:val="000000" w:themeColor="text1"/>
          <w:sz w:val="24"/>
          <w:lang w:val="fr-BE"/>
        </w:rPr>
        <w:t xml:space="preserve"> dans ce territoire</w:t>
      </w:r>
      <w:r>
        <w:rPr>
          <w:rFonts w:ascii="Times New Roman" w:eastAsia="Arial Unicode MS" w:hAnsi="Times New Roman" w:cs="Times New Roman"/>
          <w:color w:val="000000" w:themeColor="text1"/>
          <w:sz w:val="24"/>
          <w:lang w:val="fr-BE"/>
        </w:rPr>
        <w:t>.</w:t>
      </w:r>
    </w:p>
    <w:p w:rsidR="00892035" w:rsidRDefault="00892035" w:rsidP="0084736B">
      <w:pPr>
        <w:widowControl w:val="0"/>
        <w:spacing w:after="0" w:line="240" w:lineRule="auto"/>
        <w:jc w:val="both"/>
        <w:rPr>
          <w:rFonts w:ascii="Times New Roman" w:eastAsia="Arial Unicode MS" w:hAnsi="Times New Roman" w:cs="Times New Roman"/>
          <w:color w:val="000000" w:themeColor="text1"/>
          <w:sz w:val="24"/>
          <w:lang w:val="fr-BE"/>
        </w:rPr>
      </w:pPr>
    </w:p>
    <w:p w:rsidR="00156148" w:rsidRDefault="00AC4334" w:rsidP="0084736B">
      <w:pPr>
        <w:widowControl w:val="0"/>
        <w:spacing w:after="0" w:line="240" w:lineRule="auto"/>
        <w:jc w:val="both"/>
        <w:rPr>
          <w:rFonts w:ascii="Times New Roman" w:eastAsia="Arial Unicode MS" w:hAnsi="Times New Roman" w:cs="Times New Roman"/>
          <w:color w:val="000000" w:themeColor="text1"/>
          <w:sz w:val="24"/>
          <w:lang w:val="fr-BE"/>
        </w:rPr>
      </w:pPr>
      <w:r w:rsidRPr="00AC4334">
        <w:rPr>
          <w:rFonts w:ascii="Times New Roman" w:eastAsia="Arial Unicode MS" w:hAnsi="Times New Roman" w:cs="Times New Roman"/>
          <w:color w:val="000000" w:themeColor="text1"/>
          <w:sz w:val="24"/>
          <w:lang w:val="fr-BE"/>
        </w:rPr>
        <w:t>Actuellement, la plus grande partie du territoire est contrôlée par le Royaume du Maroc, alors que le Front Polisario contrôle une portion de moindre taille et très peu peuplée, à l’est du territoire. Le territoire contrôlé par le Front Polisario est séparé du territoire contrôlé par le Royaume du Maroc par un mur de sable construit par ce dernier et surveillé par l’armée marocaine. Un nombre important des réfugiés originaires du Sahara occidental vivent dans des camps administrés par le Front Polisario, situés sur le territoire algérien, près du Sahara occidental</w:t>
      </w:r>
      <w:r w:rsidR="00CE0E01">
        <w:rPr>
          <w:rStyle w:val="FootnoteReference"/>
          <w:rFonts w:ascii="Times New Roman" w:eastAsia="Arial Unicode MS" w:hAnsi="Times New Roman" w:cs="Times New Roman"/>
          <w:color w:val="000000" w:themeColor="text1"/>
          <w:sz w:val="24"/>
          <w:lang w:val="fr-BE"/>
        </w:rPr>
        <w:footnoteReference w:id="2"/>
      </w:r>
      <w:r w:rsidRPr="00AC4334">
        <w:rPr>
          <w:rFonts w:ascii="Times New Roman" w:eastAsia="Arial Unicode MS" w:hAnsi="Times New Roman" w:cs="Times New Roman"/>
          <w:color w:val="000000" w:themeColor="text1"/>
          <w:sz w:val="24"/>
          <w:lang w:val="fr-BE"/>
        </w:rPr>
        <w:t>.</w:t>
      </w:r>
    </w:p>
    <w:p w:rsidR="00892035" w:rsidRDefault="00892035" w:rsidP="0084736B">
      <w:pPr>
        <w:widowControl w:val="0"/>
        <w:spacing w:after="0" w:line="240" w:lineRule="auto"/>
        <w:jc w:val="both"/>
        <w:rPr>
          <w:rFonts w:ascii="Times New Roman" w:eastAsia="Arial Unicode MS" w:hAnsi="Times New Roman" w:cs="Times New Roman"/>
          <w:color w:val="000000" w:themeColor="text1"/>
          <w:sz w:val="24"/>
          <w:lang w:val="fr-BE"/>
        </w:rPr>
      </w:pPr>
    </w:p>
    <w:p w:rsidR="00423348" w:rsidRDefault="00423348" w:rsidP="00423348">
      <w:pPr>
        <w:widowControl w:val="0"/>
        <w:spacing w:after="0" w:line="240" w:lineRule="auto"/>
        <w:jc w:val="both"/>
        <w:rPr>
          <w:rFonts w:ascii="Times New Roman" w:eastAsia="Arial Unicode MS" w:hAnsi="Times New Roman" w:cs="Times New Roman"/>
          <w:color w:val="000000" w:themeColor="text1"/>
          <w:sz w:val="24"/>
          <w:lang w:val="fr-BE"/>
        </w:rPr>
      </w:pPr>
      <w:r>
        <w:rPr>
          <w:rFonts w:ascii="Times New Roman" w:eastAsia="Arial Unicode MS" w:hAnsi="Times New Roman" w:cs="Times New Roman"/>
          <w:color w:val="000000" w:themeColor="text1"/>
          <w:sz w:val="24"/>
          <w:lang w:val="fr-BE"/>
        </w:rPr>
        <w:t xml:space="preserve">Depuis que l’Espagne a mis fin à sa présence et le retrait de la Mauritanie, le Royaume du Maroc a, de fait, administré seul la partie du Sahara occidental sous son contrôle. Le </w:t>
      </w:r>
      <w:r w:rsidRPr="00D84186">
        <w:rPr>
          <w:rFonts w:ascii="Times New Roman" w:eastAsia="Arial Unicode MS" w:hAnsi="Times New Roman" w:cs="Times New Roman"/>
          <w:color w:val="000000" w:themeColor="text1"/>
          <w:sz w:val="24"/>
          <w:lang w:val="fr-BE"/>
        </w:rPr>
        <w:t xml:space="preserve">Royaume du Maroc considère que le Sahara occidental fait partie de son territoire. L'Union européenne considère </w:t>
      </w:r>
      <w:r w:rsidRPr="006166A7">
        <w:rPr>
          <w:rFonts w:ascii="Times New Roman" w:eastAsia="Arial Unicode MS" w:hAnsi="Times New Roman" w:cs="Times New Roman"/>
          <w:color w:val="000000" w:themeColor="text1"/>
          <w:sz w:val="24"/>
          <w:lang w:val="fr-BE"/>
        </w:rPr>
        <w:t xml:space="preserve">que </w:t>
      </w:r>
      <w:r w:rsidRPr="00D84186">
        <w:rPr>
          <w:rFonts w:ascii="Times New Roman" w:eastAsia="Arial Unicode MS" w:hAnsi="Times New Roman" w:cs="Times New Roman"/>
          <w:color w:val="000000" w:themeColor="text1"/>
          <w:sz w:val="24"/>
          <w:lang w:val="fr-BE"/>
        </w:rPr>
        <w:t xml:space="preserve">le Maroc </w:t>
      </w:r>
      <w:r w:rsidRPr="007A2DFC">
        <w:rPr>
          <w:rFonts w:ascii="Times New Roman" w:eastAsia="Arial Unicode MS" w:hAnsi="Times New Roman" w:cs="Times New Roman"/>
          <w:color w:val="000000" w:themeColor="text1"/>
          <w:sz w:val="24"/>
          <w:lang w:val="fr-BE"/>
        </w:rPr>
        <w:t>administre</w:t>
      </w:r>
      <w:r>
        <w:rPr>
          <w:rFonts w:ascii="Times New Roman" w:eastAsia="Arial Unicode MS" w:hAnsi="Times New Roman" w:cs="Times New Roman"/>
          <w:color w:val="000000" w:themeColor="text1"/>
          <w:sz w:val="24"/>
          <w:lang w:val="fr-BE"/>
        </w:rPr>
        <w:t xml:space="preserve"> </w:t>
      </w:r>
      <w:r w:rsidRPr="00D84186">
        <w:rPr>
          <w:rFonts w:ascii="Times New Roman" w:eastAsia="Arial Unicode MS" w:hAnsi="Times New Roman" w:cs="Times New Roman"/>
          <w:color w:val="000000" w:themeColor="text1"/>
          <w:sz w:val="24"/>
          <w:lang w:val="fr-BE"/>
        </w:rPr>
        <w:t xml:space="preserve"> ce territoire</w:t>
      </w:r>
      <w:r>
        <w:rPr>
          <w:rFonts w:ascii="Times New Roman" w:eastAsia="Arial Unicode MS" w:hAnsi="Times New Roman" w:cs="Times New Roman"/>
          <w:color w:val="000000" w:themeColor="text1"/>
          <w:sz w:val="24"/>
          <w:lang w:val="fr-BE"/>
        </w:rPr>
        <w:t xml:space="preserve"> non</w:t>
      </w:r>
      <w:r w:rsidR="00EC7C3D">
        <w:rPr>
          <w:rFonts w:ascii="Times New Roman" w:eastAsia="Arial Unicode MS" w:hAnsi="Times New Roman" w:cs="Times New Roman"/>
          <w:color w:val="000000" w:themeColor="text1"/>
          <w:sz w:val="24"/>
          <w:lang w:val="fr-BE"/>
        </w:rPr>
        <w:t>-</w:t>
      </w:r>
      <w:r>
        <w:rPr>
          <w:rFonts w:ascii="Times New Roman" w:eastAsia="Arial Unicode MS" w:hAnsi="Times New Roman" w:cs="Times New Roman"/>
          <w:color w:val="000000" w:themeColor="text1"/>
          <w:sz w:val="24"/>
          <w:lang w:val="fr-BE"/>
        </w:rPr>
        <w:t>autonome</w:t>
      </w:r>
      <w:r w:rsidRPr="00D84186">
        <w:rPr>
          <w:rFonts w:ascii="Times New Roman" w:eastAsia="Arial Unicode MS" w:hAnsi="Times New Roman" w:cs="Times New Roman"/>
          <w:color w:val="000000" w:themeColor="text1"/>
          <w:sz w:val="24"/>
          <w:lang w:val="fr-BE"/>
        </w:rPr>
        <w:t>.</w:t>
      </w:r>
    </w:p>
    <w:p w:rsidR="00423348" w:rsidRDefault="00423348" w:rsidP="0084736B">
      <w:pPr>
        <w:widowControl w:val="0"/>
        <w:spacing w:after="0" w:line="240" w:lineRule="auto"/>
        <w:jc w:val="both"/>
        <w:rPr>
          <w:rFonts w:ascii="Times New Roman" w:eastAsia="Arial Unicode MS" w:hAnsi="Times New Roman" w:cs="Times New Roman"/>
          <w:color w:val="000000" w:themeColor="text1"/>
          <w:sz w:val="24"/>
          <w:lang w:val="fr-BE"/>
        </w:rPr>
      </w:pPr>
    </w:p>
    <w:p w:rsidR="00AC4334" w:rsidRDefault="00AC4334" w:rsidP="0084736B">
      <w:pPr>
        <w:widowControl w:val="0"/>
        <w:spacing w:after="0" w:line="240" w:lineRule="auto"/>
        <w:jc w:val="both"/>
        <w:rPr>
          <w:rFonts w:ascii="Times New Roman" w:eastAsia="Arial Unicode MS" w:hAnsi="Times New Roman" w:cs="Times New Roman"/>
          <w:color w:val="000000" w:themeColor="text1"/>
          <w:sz w:val="24"/>
          <w:lang w:val="fr-BE"/>
        </w:rPr>
      </w:pPr>
      <w:r w:rsidRPr="00AC4334">
        <w:rPr>
          <w:rFonts w:ascii="Times New Roman" w:eastAsia="Arial Unicode MS" w:hAnsi="Times New Roman" w:cs="Times New Roman"/>
          <w:color w:val="000000" w:themeColor="text1"/>
          <w:sz w:val="24"/>
          <w:lang w:val="fr-BE"/>
        </w:rPr>
        <w:t>Dans la suite de ce rapport l</w:t>
      </w:r>
      <w:r w:rsidR="00F408F4">
        <w:rPr>
          <w:rFonts w:ascii="Times New Roman" w:eastAsia="Arial Unicode MS" w:hAnsi="Times New Roman" w:cs="Times New Roman"/>
          <w:color w:val="000000" w:themeColor="text1"/>
          <w:sz w:val="24"/>
          <w:lang w:val="fr-BE"/>
        </w:rPr>
        <w:t>’expression</w:t>
      </w:r>
      <w:r w:rsidRPr="00AC4334">
        <w:rPr>
          <w:rFonts w:ascii="Times New Roman" w:eastAsia="Arial Unicode MS" w:hAnsi="Times New Roman" w:cs="Times New Roman"/>
          <w:color w:val="000000" w:themeColor="text1"/>
          <w:sz w:val="24"/>
          <w:lang w:val="fr-BE"/>
        </w:rPr>
        <w:t xml:space="preserve"> « Sahara occidental » f</w:t>
      </w:r>
      <w:r w:rsidR="00F408F4">
        <w:rPr>
          <w:rFonts w:ascii="Times New Roman" w:eastAsia="Arial Unicode MS" w:hAnsi="Times New Roman" w:cs="Times New Roman"/>
          <w:color w:val="000000" w:themeColor="text1"/>
          <w:sz w:val="24"/>
          <w:lang w:val="fr-BE"/>
        </w:rPr>
        <w:t>ait</w:t>
      </w:r>
      <w:r w:rsidRPr="00AC4334">
        <w:rPr>
          <w:rFonts w:ascii="Times New Roman" w:eastAsia="Arial Unicode MS" w:hAnsi="Times New Roman" w:cs="Times New Roman"/>
          <w:color w:val="000000" w:themeColor="text1"/>
          <w:sz w:val="24"/>
          <w:lang w:val="fr-BE"/>
        </w:rPr>
        <w:t xml:space="preserve"> référence à la partie du territoire </w:t>
      </w:r>
      <w:r w:rsidR="006A6815">
        <w:rPr>
          <w:rFonts w:ascii="Times New Roman" w:eastAsia="Arial Unicode MS" w:hAnsi="Times New Roman" w:cs="Times New Roman"/>
          <w:color w:val="000000" w:themeColor="text1"/>
          <w:sz w:val="24"/>
          <w:lang w:val="fr-BE"/>
        </w:rPr>
        <w:t>administré</w:t>
      </w:r>
      <w:r w:rsidR="004F6981">
        <w:rPr>
          <w:rFonts w:ascii="Times New Roman" w:eastAsia="Arial Unicode MS" w:hAnsi="Times New Roman" w:cs="Times New Roman"/>
          <w:color w:val="000000" w:themeColor="text1"/>
          <w:sz w:val="24"/>
          <w:lang w:val="fr-BE"/>
        </w:rPr>
        <w:t>e</w:t>
      </w:r>
      <w:r w:rsidR="006A6815">
        <w:rPr>
          <w:rFonts w:ascii="Times New Roman" w:eastAsia="Arial Unicode MS" w:hAnsi="Times New Roman" w:cs="Times New Roman"/>
          <w:color w:val="000000" w:themeColor="text1"/>
          <w:sz w:val="24"/>
          <w:lang w:val="fr-BE"/>
        </w:rPr>
        <w:t xml:space="preserve"> de fa</w:t>
      </w:r>
      <w:r w:rsidR="00354661">
        <w:rPr>
          <w:rFonts w:ascii="Times New Roman" w:eastAsia="Arial Unicode MS" w:hAnsi="Times New Roman" w:cs="Times New Roman"/>
          <w:color w:val="000000" w:themeColor="text1"/>
          <w:sz w:val="24"/>
          <w:lang w:val="fr-BE"/>
        </w:rPr>
        <w:t>it</w:t>
      </w:r>
      <w:r w:rsidR="006A6815">
        <w:rPr>
          <w:rFonts w:ascii="Times New Roman" w:eastAsia="Arial Unicode MS" w:hAnsi="Times New Roman" w:cs="Times New Roman"/>
          <w:color w:val="000000" w:themeColor="text1"/>
          <w:sz w:val="24"/>
          <w:lang w:val="fr-BE"/>
        </w:rPr>
        <w:t xml:space="preserve"> par les</w:t>
      </w:r>
      <w:r w:rsidRPr="00AC4334">
        <w:rPr>
          <w:rFonts w:ascii="Times New Roman" w:eastAsia="Arial Unicode MS" w:hAnsi="Times New Roman" w:cs="Times New Roman"/>
          <w:color w:val="000000" w:themeColor="text1"/>
          <w:sz w:val="24"/>
          <w:lang w:val="fr-BE"/>
        </w:rPr>
        <w:t xml:space="preserve"> autorités marocaines.</w:t>
      </w:r>
    </w:p>
    <w:p w:rsidR="00892035" w:rsidRPr="00DD3869" w:rsidRDefault="00892035" w:rsidP="0084736B">
      <w:pPr>
        <w:widowControl w:val="0"/>
        <w:spacing w:after="0" w:line="240" w:lineRule="auto"/>
        <w:jc w:val="both"/>
        <w:rPr>
          <w:rFonts w:ascii="Times New Roman" w:hAnsi="Times New Roman"/>
          <w:color w:val="000000" w:themeColor="text1"/>
          <w:sz w:val="24"/>
          <w:lang w:val="fr-FR"/>
        </w:rPr>
      </w:pPr>
    </w:p>
    <w:p w:rsidR="00F34A4D" w:rsidRPr="00391725" w:rsidRDefault="00AC4334" w:rsidP="0084736B">
      <w:pPr>
        <w:widowControl w:val="0"/>
        <w:spacing w:after="0" w:line="240" w:lineRule="auto"/>
        <w:jc w:val="both"/>
        <w:rPr>
          <w:rFonts w:ascii="Times New Roman" w:eastAsia="Arial Unicode MS" w:hAnsi="Times New Roman" w:cs="Times New Roman"/>
          <w:color w:val="000000" w:themeColor="text1"/>
          <w:sz w:val="24"/>
          <w:lang w:val="fr-BE"/>
        </w:rPr>
      </w:pPr>
      <w:r w:rsidRPr="00391725">
        <w:rPr>
          <w:rFonts w:ascii="Times New Roman" w:eastAsia="Calibri" w:hAnsi="Times New Roman" w:cs="Times New Roman"/>
          <w:color w:val="000000" w:themeColor="text1"/>
          <w:sz w:val="24"/>
          <w:lang w:val="fr-FR" w:eastAsia="fr-FR"/>
        </w:rPr>
        <w:t>Depuis</w:t>
      </w:r>
      <w:r w:rsidRPr="00DD3869">
        <w:rPr>
          <w:rFonts w:ascii="Times New Roman" w:hAnsi="Times New Roman"/>
          <w:color w:val="000000" w:themeColor="text1"/>
          <w:sz w:val="24"/>
          <w:lang w:val="fr-FR"/>
        </w:rPr>
        <w:t xml:space="preserve"> l’entrée en vigueur </w:t>
      </w:r>
      <w:r w:rsidR="004A02C2">
        <w:rPr>
          <w:rFonts w:ascii="Times New Roman" w:eastAsia="Arial Unicode MS" w:hAnsi="Times New Roman" w:cs="Times New Roman"/>
          <w:color w:val="000000" w:themeColor="text1"/>
          <w:sz w:val="24"/>
          <w:lang w:val="fr-BE"/>
        </w:rPr>
        <w:t>de l'</w:t>
      </w:r>
      <w:r w:rsidR="004A02C2" w:rsidRPr="00391725">
        <w:rPr>
          <w:rFonts w:ascii="Times New Roman" w:eastAsia="Arial Unicode MS" w:hAnsi="Times New Roman" w:cs="Times New Roman"/>
          <w:color w:val="000000" w:themeColor="text1"/>
          <w:sz w:val="24"/>
          <w:lang w:val="fr-BE"/>
        </w:rPr>
        <w:t>accord</w:t>
      </w:r>
      <w:r w:rsidR="004A02C2">
        <w:rPr>
          <w:rFonts w:ascii="Times New Roman" w:eastAsia="Arial Unicode MS" w:hAnsi="Times New Roman" w:cs="Times New Roman"/>
          <w:color w:val="000000" w:themeColor="text1"/>
          <w:sz w:val="24"/>
          <w:lang w:val="fr-BE"/>
        </w:rPr>
        <w:t xml:space="preserve"> </w:t>
      </w:r>
      <w:r w:rsidR="004A02C2" w:rsidRPr="00391725">
        <w:rPr>
          <w:rFonts w:ascii="Times New Roman" w:eastAsia="Arial Unicode MS" w:hAnsi="Times New Roman" w:cs="Times New Roman"/>
          <w:color w:val="000000" w:themeColor="text1"/>
          <w:sz w:val="24"/>
          <w:lang w:val="fr-BE"/>
        </w:rPr>
        <w:t>euro-méditerranéen établissant une association entre les Communautés européennes et leurs États membres, d'une part, et le Royaume du Maroc, d'autre part</w:t>
      </w:r>
      <w:r w:rsidR="004A02C2" w:rsidRPr="00391725">
        <w:rPr>
          <w:rFonts w:ascii="Times New Roman" w:eastAsia="Arial Unicode MS" w:hAnsi="Times New Roman" w:cs="Times New Roman"/>
          <w:color w:val="000000" w:themeColor="text1"/>
          <w:sz w:val="24"/>
          <w:vertAlign w:val="superscript"/>
          <w:lang w:val="fr-BE"/>
        </w:rPr>
        <w:footnoteReference w:id="3"/>
      </w:r>
      <w:r w:rsidR="004A02C2" w:rsidRPr="00391725">
        <w:rPr>
          <w:rFonts w:ascii="Times New Roman" w:eastAsia="Arial Unicode MS" w:hAnsi="Times New Roman" w:cs="Times New Roman"/>
          <w:color w:val="000000" w:themeColor="text1"/>
          <w:sz w:val="24"/>
          <w:lang w:val="fr-BE"/>
        </w:rPr>
        <w:t xml:space="preserve"> (ci-après dénommé l’«accord d’association UE-Maro</w:t>
      </w:r>
      <w:r w:rsidR="004A02C2">
        <w:rPr>
          <w:rFonts w:ascii="Times New Roman" w:eastAsia="Arial Unicode MS" w:hAnsi="Times New Roman" w:cs="Times New Roman"/>
          <w:color w:val="000000" w:themeColor="text1"/>
          <w:sz w:val="24"/>
          <w:lang w:val="fr-BE"/>
        </w:rPr>
        <w:t>c» ou l’«accord d’association»),</w:t>
      </w:r>
      <w:r w:rsidR="004A02C2" w:rsidRPr="00391725">
        <w:rPr>
          <w:rFonts w:ascii="Times New Roman" w:eastAsia="Arial Unicode MS" w:hAnsi="Times New Roman" w:cs="Times New Roman"/>
          <w:color w:val="000000" w:themeColor="text1"/>
          <w:sz w:val="24"/>
          <w:lang w:val="fr-BE"/>
        </w:rPr>
        <w:t xml:space="preserve"> </w:t>
      </w:r>
      <w:r w:rsidRPr="00391725">
        <w:rPr>
          <w:rFonts w:ascii="Times New Roman" w:eastAsia="Calibri" w:hAnsi="Times New Roman" w:cs="Times New Roman"/>
          <w:color w:val="000000" w:themeColor="text1"/>
          <w:sz w:val="24"/>
          <w:lang w:val="fr-FR" w:eastAsia="fr-FR"/>
        </w:rPr>
        <w:t xml:space="preserve">les produits provenant du Sahara occidental </w:t>
      </w:r>
      <w:r w:rsidRPr="004414FF">
        <w:rPr>
          <w:rFonts w:ascii="Times New Roman" w:eastAsia="Calibri" w:hAnsi="Times New Roman" w:cs="Times New Roman"/>
          <w:color w:val="000000" w:themeColor="text1"/>
          <w:sz w:val="24"/>
          <w:lang w:val="fr-FR" w:eastAsia="fr-FR"/>
        </w:rPr>
        <w:t xml:space="preserve">bénéficiaient </w:t>
      </w:r>
      <w:r w:rsidRPr="004414FF">
        <w:rPr>
          <w:rFonts w:ascii="Times New Roman" w:eastAsia="Calibri" w:hAnsi="Times New Roman" w:cs="Times New Roman"/>
          <w:i/>
          <w:color w:val="000000" w:themeColor="text1"/>
          <w:sz w:val="24"/>
          <w:lang w:val="fr-FR" w:eastAsia="fr-FR"/>
        </w:rPr>
        <w:t>de facto</w:t>
      </w:r>
      <w:r>
        <w:rPr>
          <w:rFonts w:ascii="Times New Roman" w:eastAsia="Calibri" w:hAnsi="Times New Roman" w:cs="Times New Roman"/>
          <w:color w:val="000000" w:themeColor="text1"/>
          <w:sz w:val="24"/>
          <w:lang w:val="fr-FR" w:eastAsia="fr-FR"/>
        </w:rPr>
        <w:t xml:space="preserve"> </w:t>
      </w:r>
      <w:r w:rsidRPr="00391725">
        <w:rPr>
          <w:rFonts w:ascii="Times New Roman" w:eastAsia="Calibri" w:hAnsi="Times New Roman" w:cs="Times New Roman"/>
          <w:color w:val="000000" w:themeColor="text1"/>
          <w:sz w:val="24"/>
          <w:lang w:val="fr-FR" w:eastAsia="fr-FR"/>
        </w:rPr>
        <w:t>des préférences tarifaires prévues par les dispositions pertinentes de l’accord d’association</w:t>
      </w:r>
      <w:r>
        <w:rPr>
          <w:rFonts w:ascii="Times New Roman" w:eastAsia="Calibri" w:hAnsi="Times New Roman" w:cs="Times New Roman"/>
          <w:color w:val="000000" w:themeColor="text1"/>
          <w:sz w:val="24"/>
          <w:lang w:val="fr-FR" w:eastAsia="fr-FR"/>
        </w:rPr>
        <w:t xml:space="preserve"> car </w:t>
      </w:r>
      <w:r w:rsidRPr="00391725">
        <w:rPr>
          <w:rFonts w:ascii="Times New Roman" w:eastAsia="Calibri" w:hAnsi="Times New Roman" w:cs="Times New Roman"/>
          <w:color w:val="000000" w:themeColor="text1"/>
          <w:sz w:val="24"/>
          <w:lang w:val="fr-FR" w:eastAsia="fr-FR"/>
        </w:rPr>
        <w:t xml:space="preserve">certifiés </w:t>
      </w:r>
      <w:r w:rsidR="00CE0E01">
        <w:rPr>
          <w:rFonts w:ascii="Times New Roman" w:eastAsia="Calibri" w:hAnsi="Times New Roman" w:cs="Times New Roman"/>
          <w:color w:val="000000" w:themeColor="text1"/>
          <w:sz w:val="24"/>
          <w:lang w:val="fr-FR" w:eastAsia="fr-FR"/>
        </w:rPr>
        <w:t>p</w:t>
      </w:r>
      <w:r>
        <w:rPr>
          <w:rFonts w:ascii="Times New Roman" w:eastAsia="Calibri" w:hAnsi="Times New Roman" w:cs="Times New Roman"/>
          <w:color w:val="000000" w:themeColor="text1"/>
          <w:sz w:val="24"/>
          <w:lang w:val="fr-FR" w:eastAsia="fr-FR"/>
        </w:rPr>
        <w:t xml:space="preserve">ar le Maroc </w:t>
      </w:r>
      <w:r w:rsidRPr="00391725">
        <w:rPr>
          <w:rFonts w:ascii="Times New Roman" w:eastAsia="Calibri" w:hAnsi="Times New Roman" w:cs="Times New Roman"/>
          <w:color w:val="000000" w:themeColor="text1"/>
          <w:sz w:val="24"/>
          <w:lang w:val="fr-FR" w:eastAsia="fr-FR"/>
        </w:rPr>
        <w:t xml:space="preserve">d’origine préférentielle marocaine. </w:t>
      </w:r>
      <w:r w:rsidR="0062361F">
        <w:rPr>
          <w:rFonts w:ascii="Times New Roman" w:eastAsia="Calibri" w:hAnsi="Times New Roman" w:cs="Times New Roman"/>
          <w:color w:val="000000" w:themeColor="text1"/>
          <w:sz w:val="24"/>
          <w:lang w:val="fr-FR" w:eastAsia="fr-FR"/>
        </w:rPr>
        <w:t>Le 21 décembre 2016</w:t>
      </w:r>
      <w:r w:rsidR="0062361F" w:rsidRPr="0062361F">
        <w:rPr>
          <w:rFonts w:ascii="Times New Roman" w:eastAsia="Calibri" w:hAnsi="Times New Roman" w:cs="Times New Roman"/>
          <w:color w:val="000000" w:themeColor="text1"/>
          <w:sz w:val="24"/>
          <w:lang w:val="fr-FR" w:eastAsia="fr-FR"/>
        </w:rPr>
        <w:t xml:space="preserve"> </w:t>
      </w:r>
      <w:r w:rsidR="0062361F">
        <w:rPr>
          <w:rFonts w:ascii="Times New Roman" w:eastAsia="Calibri" w:hAnsi="Times New Roman" w:cs="Times New Roman"/>
          <w:color w:val="000000" w:themeColor="text1"/>
          <w:sz w:val="24"/>
          <w:lang w:val="fr-FR" w:eastAsia="fr-FR"/>
        </w:rPr>
        <w:t>cependant</w:t>
      </w:r>
      <w:r w:rsidR="00F34A4D" w:rsidRPr="00391725">
        <w:rPr>
          <w:rFonts w:ascii="Times New Roman" w:eastAsia="Calibri" w:hAnsi="Times New Roman" w:cs="Times New Roman"/>
          <w:color w:val="000000" w:themeColor="text1"/>
          <w:sz w:val="24"/>
          <w:lang w:val="fr-FR" w:eastAsia="fr-FR"/>
        </w:rPr>
        <w:t xml:space="preserve">, </w:t>
      </w:r>
      <w:r w:rsidR="00B81ECC">
        <w:rPr>
          <w:rFonts w:ascii="Times New Roman" w:eastAsia="Calibri" w:hAnsi="Times New Roman" w:cs="Times New Roman"/>
          <w:color w:val="000000" w:themeColor="text1"/>
          <w:sz w:val="24"/>
          <w:lang w:val="fr-FR" w:eastAsia="fr-FR"/>
        </w:rPr>
        <w:t xml:space="preserve">aux termes de son </w:t>
      </w:r>
      <w:r w:rsidR="00F34A4D" w:rsidRPr="00391725">
        <w:rPr>
          <w:rFonts w:ascii="Times New Roman" w:eastAsia="Calibri" w:hAnsi="Times New Roman" w:cs="Times New Roman"/>
          <w:color w:val="000000" w:themeColor="text1"/>
          <w:sz w:val="24"/>
          <w:lang w:val="fr-FR" w:eastAsia="fr-FR"/>
        </w:rPr>
        <w:t>arrêt C-104/16 P</w:t>
      </w:r>
      <w:r w:rsidR="00F34A4D" w:rsidRPr="00391725">
        <w:rPr>
          <w:rFonts w:ascii="Times New Roman" w:eastAsia="Arial Unicode MS" w:hAnsi="Times New Roman" w:cs="Times New Roman"/>
          <w:color w:val="000000" w:themeColor="text1"/>
          <w:sz w:val="24"/>
          <w:vertAlign w:val="superscript"/>
          <w:lang w:val="fr-BE"/>
        </w:rPr>
        <w:footnoteReference w:id="4"/>
      </w:r>
      <w:r w:rsidR="00F34A4D" w:rsidRPr="00391725">
        <w:rPr>
          <w:rFonts w:ascii="Times New Roman" w:eastAsia="Arial Unicode MS" w:hAnsi="Times New Roman" w:cs="Times New Roman"/>
          <w:color w:val="000000" w:themeColor="text1"/>
          <w:sz w:val="24"/>
          <w:lang w:val="fr-BE"/>
        </w:rPr>
        <w:t xml:space="preserve">, </w:t>
      </w:r>
      <w:r w:rsidR="00F34A4D" w:rsidRPr="00391725">
        <w:rPr>
          <w:rFonts w:ascii="Times New Roman" w:eastAsia="Calibri" w:hAnsi="Times New Roman" w:cs="Times New Roman"/>
          <w:color w:val="000000" w:themeColor="text1"/>
          <w:sz w:val="24"/>
          <w:lang w:val="fr-FR" w:eastAsia="fr-FR"/>
        </w:rPr>
        <w:t xml:space="preserve">la Cour de </w:t>
      </w:r>
      <w:r w:rsidR="000C65F5">
        <w:rPr>
          <w:rFonts w:ascii="Times New Roman" w:eastAsia="Calibri" w:hAnsi="Times New Roman" w:cs="Times New Roman"/>
          <w:color w:val="000000" w:themeColor="text1"/>
          <w:sz w:val="24"/>
          <w:lang w:val="fr-FR" w:eastAsia="fr-FR"/>
        </w:rPr>
        <w:t>j</w:t>
      </w:r>
      <w:r w:rsidR="00F34A4D" w:rsidRPr="00391725">
        <w:rPr>
          <w:rFonts w:ascii="Times New Roman" w:eastAsia="Calibri" w:hAnsi="Times New Roman" w:cs="Times New Roman"/>
          <w:color w:val="000000" w:themeColor="text1"/>
          <w:sz w:val="24"/>
          <w:lang w:val="fr-FR" w:eastAsia="fr-FR"/>
        </w:rPr>
        <w:t xml:space="preserve">ustice de l'Union européenne </w:t>
      </w:r>
      <w:r w:rsidR="0062361F">
        <w:rPr>
          <w:rFonts w:ascii="Times New Roman" w:eastAsia="Calibri" w:hAnsi="Times New Roman" w:cs="Times New Roman"/>
          <w:color w:val="000000" w:themeColor="text1"/>
          <w:sz w:val="24"/>
          <w:lang w:val="fr-FR" w:eastAsia="fr-FR"/>
        </w:rPr>
        <w:t xml:space="preserve">a </w:t>
      </w:r>
      <w:r w:rsidR="00F34A4D" w:rsidRPr="00391725">
        <w:rPr>
          <w:rFonts w:ascii="Times New Roman" w:eastAsia="Calibri" w:hAnsi="Times New Roman" w:cs="Times New Roman"/>
          <w:color w:val="000000" w:themeColor="text1"/>
          <w:sz w:val="24"/>
          <w:lang w:val="fr-FR" w:eastAsia="fr-FR"/>
        </w:rPr>
        <w:t>précisé que l</w:t>
      </w:r>
      <w:r w:rsidR="0062361F">
        <w:rPr>
          <w:rFonts w:ascii="Times New Roman" w:eastAsia="Calibri" w:hAnsi="Times New Roman" w:cs="Times New Roman"/>
          <w:color w:val="000000" w:themeColor="text1"/>
          <w:sz w:val="24"/>
          <w:lang w:val="fr-FR" w:eastAsia="fr-FR"/>
        </w:rPr>
        <w:t>e champ d'application d</w:t>
      </w:r>
      <w:r w:rsidR="00B81ECC">
        <w:rPr>
          <w:rFonts w:ascii="Times New Roman" w:eastAsia="Calibri" w:hAnsi="Times New Roman" w:cs="Times New Roman"/>
          <w:color w:val="000000" w:themeColor="text1"/>
          <w:sz w:val="24"/>
          <w:lang w:val="fr-FR" w:eastAsia="fr-FR"/>
        </w:rPr>
        <w:t xml:space="preserve">e cet </w:t>
      </w:r>
      <w:r w:rsidR="00F34A4D" w:rsidRPr="00391725">
        <w:rPr>
          <w:rFonts w:ascii="Times New Roman" w:eastAsia="Calibri" w:hAnsi="Times New Roman" w:cs="Times New Roman"/>
          <w:color w:val="000000" w:themeColor="text1"/>
          <w:sz w:val="24"/>
          <w:lang w:val="fr-FR" w:eastAsia="fr-FR"/>
        </w:rPr>
        <w:t xml:space="preserve">accord couvrait </w:t>
      </w:r>
      <w:r w:rsidR="00B81ECC">
        <w:rPr>
          <w:rFonts w:ascii="Times New Roman" w:eastAsia="Calibri" w:hAnsi="Times New Roman" w:cs="Times New Roman"/>
          <w:color w:val="000000" w:themeColor="text1"/>
          <w:sz w:val="24"/>
          <w:lang w:val="fr-FR" w:eastAsia="fr-FR"/>
        </w:rPr>
        <w:t>uniquement</w:t>
      </w:r>
      <w:r w:rsidR="00B81ECC" w:rsidRPr="00391725">
        <w:rPr>
          <w:rFonts w:ascii="Times New Roman" w:eastAsia="Calibri" w:hAnsi="Times New Roman" w:cs="Times New Roman"/>
          <w:color w:val="000000" w:themeColor="text1"/>
          <w:sz w:val="24"/>
          <w:lang w:val="fr-FR" w:eastAsia="fr-FR"/>
        </w:rPr>
        <w:t xml:space="preserve"> </w:t>
      </w:r>
      <w:r w:rsidR="00F34A4D" w:rsidRPr="00391725">
        <w:rPr>
          <w:rFonts w:ascii="Times New Roman" w:eastAsia="Calibri" w:hAnsi="Times New Roman" w:cs="Times New Roman"/>
          <w:color w:val="000000" w:themeColor="text1"/>
          <w:sz w:val="24"/>
          <w:lang w:val="fr-FR" w:eastAsia="fr-FR"/>
        </w:rPr>
        <w:t>le territoire du Royaume du Maroc</w:t>
      </w:r>
      <w:r w:rsidR="00BC3D49">
        <w:rPr>
          <w:rFonts w:ascii="Times New Roman" w:eastAsia="Calibri" w:hAnsi="Times New Roman" w:cs="Times New Roman"/>
          <w:color w:val="000000" w:themeColor="text1"/>
          <w:sz w:val="24"/>
          <w:lang w:val="fr-FR" w:eastAsia="fr-FR"/>
        </w:rPr>
        <w:t xml:space="preserve"> </w:t>
      </w:r>
      <w:r w:rsidR="003D0E0C">
        <w:rPr>
          <w:rFonts w:ascii="Times New Roman" w:eastAsia="Calibri" w:hAnsi="Times New Roman" w:cs="Times New Roman"/>
          <w:color w:val="000000" w:themeColor="text1"/>
          <w:sz w:val="24"/>
          <w:lang w:val="fr-FR" w:eastAsia="fr-FR"/>
        </w:rPr>
        <w:t xml:space="preserve">; </w:t>
      </w:r>
      <w:r w:rsidR="00B81ECC">
        <w:rPr>
          <w:rFonts w:ascii="Times New Roman" w:eastAsia="Calibri" w:hAnsi="Times New Roman" w:cs="Times New Roman"/>
          <w:color w:val="000000" w:themeColor="text1"/>
          <w:sz w:val="24"/>
          <w:lang w:val="fr-FR" w:eastAsia="fr-FR"/>
        </w:rPr>
        <w:t>celui du</w:t>
      </w:r>
      <w:r w:rsidR="00F34A4D" w:rsidRPr="00391725">
        <w:rPr>
          <w:rFonts w:ascii="Times New Roman" w:eastAsia="Calibri" w:hAnsi="Times New Roman" w:cs="Times New Roman"/>
          <w:color w:val="000000" w:themeColor="text1"/>
          <w:sz w:val="24"/>
          <w:lang w:val="fr-FR" w:eastAsia="fr-FR"/>
        </w:rPr>
        <w:t xml:space="preserve"> Sahara occidental, territoire non autonome</w:t>
      </w:r>
      <w:r w:rsidR="003D0E0C">
        <w:rPr>
          <w:rFonts w:ascii="Times New Roman" w:eastAsia="Calibri" w:hAnsi="Times New Roman" w:cs="Times New Roman"/>
          <w:color w:val="000000" w:themeColor="text1"/>
          <w:sz w:val="24"/>
          <w:lang w:val="fr-FR" w:eastAsia="fr-FR"/>
        </w:rPr>
        <w:t>, en était exclu</w:t>
      </w:r>
      <w:r w:rsidR="008B1C0D">
        <w:rPr>
          <w:rStyle w:val="FootnoteReference"/>
          <w:rFonts w:ascii="Times New Roman" w:eastAsia="Calibri" w:hAnsi="Times New Roman" w:cs="Times New Roman"/>
          <w:color w:val="000000" w:themeColor="text1"/>
          <w:sz w:val="24"/>
          <w:lang w:val="fr-FR" w:eastAsia="fr-FR"/>
        </w:rPr>
        <w:footnoteReference w:id="5"/>
      </w:r>
      <w:r w:rsidR="00F34A4D" w:rsidRPr="00391725">
        <w:rPr>
          <w:rFonts w:ascii="Times New Roman" w:eastAsia="Calibri" w:hAnsi="Times New Roman" w:cs="Times New Roman"/>
          <w:color w:val="000000" w:themeColor="text1"/>
          <w:sz w:val="24"/>
          <w:lang w:val="fr-FR" w:eastAsia="fr-FR"/>
        </w:rPr>
        <w:t xml:space="preserve">. </w:t>
      </w:r>
      <w:r w:rsidR="0062361F">
        <w:rPr>
          <w:rFonts w:ascii="Times New Roman" w:eastAsia="Calibri" w:hAnsi="Times New Roman" w:cs="Times New Roman"/>
          <w:color w:val="000000" w:themeColor="text1"/>
          <w:sz w:val="24"/>
          <w:lang w:val="fr-FR" w:eastAsia="fr-FR"/>
        </w:rPr>
        <w:t xml:space="preserve">En </w:t>
      </w:r>
      <w:r w:rsidR="00B81ECC">
        <w:rPr>
          <w:rFonts w:ascii="Times New Roman" w:eastAsia="Calibri" w:hAnsi="Times New Roman" w:cs="Times New Roman"/>
          <w:color w:val="000000" w:themeColor="text1"/>
          <w:sz w:val="24"/>
          <w:lang w:val="fr-FR" w:eastAsia="fr-FR"/>
        </w:rPr>
        <w:t xml:space="preserve">termes de </w:t>
      </w:r>
      <w:r w:rsidR="0062361F">
        <w:rPr>
          <w:rFonts w:ascii="Times New Roman" w:eastAsia="Calibri" w:hAnsi="Times New Roman" w:cs="Times New Roman"/>
          <w:color w:val="000000" w:themeColor="text1"/>
          <w:sz w:val="24"/>
          <w:lang w:val="fr-FR" w:eastAsia="fr-FR"/>
        </w:rPr>
        <w:t>conséquence</w:t>
      </w:r>
      <w:r w:rsidR="00B81ECC">
        <w:rPr>
          <w:rFonts w:ascii="Times New Roman" w:eastAsia="Calibri" w:hAnsi="Times New Roman" w:cs="Times New Roman"/>
          <w:color w:val="000000" w:themeColor="text1"/>
          <w:sz w:val="24"/>
          <w:lang w:val="fr-FR" w:eastAsia="fr-FR"/>
        </w:rPr>
        <w:t>s immédiates</w:t>
      </w:r>
      <w:r w:rsidR="0062361F">
        <w:rPr>
          <w:rFonts w:ascii="Times New Roman" w:eastAsia="Calibri" w:hAnsi="Times New Roman" w:cs="Times New Roman"/>
          <w:color w:val="000000" w:themeColor="text1"/>
          <w:sz w:val="24"/>
          <w:lang w:val="fr-FR" w:eastAsia="fr-FR"/>
        </w:rPr>
        <w:t xml:space="preserve">, </w:t>
      </w:r>
      <w:r w:rsidR="00B81ECC">
        <w:rPr>
          <w:rFonts w:ascii="Times New Roman" w:eastAsia="Arial Unicode MS" w:hAnsi="Times New Roman" w:cs="Times New Roman"/>
          <w:color w:val="000000" w:themeColor="text1"/>
          <w:sz w:val="24"/>
          <w:lang w:val="fr-BE"/>
        </w:rPr>
        <w:t xml:space="preserve">l'Union a </w:t>
      </w:r>
      <w:r w:rsidR="003D0E0C">
        <w:rPr>
          <w:rFonts w:ascii="Times New Roman" w:eastAsia="Arial Unicode MS" w:hAnsi="Times New Roman" w:cs="Times New Roman"/>
          <w:color w:val="000000" w:themeColor="text1"/>
          <w:sz w:val="24"/>
          <w:lang w:val="fr-BE"/>
        </w:rPr>
        <w:t xml:space="preserve">donc </w:t>
      </w:r>
      <w:r w:rsidR="00B81ECC">
        <w:rPr>
          <w:rFonts w:ascii="Times New Roman" w:eastAsia="Arial Unicode MS" w:hAnsi="Times New Roman" w:cs="Times New Roman"/>
          <w:color w:val="000000" w:themeColor="text1"/>
          <w:sz w:val="24"/>
          <w:lang w:val="fr-BE"/>
        </w:rPr>
        <w:t>cessé d'octroyer les</w:t>
      </w:r>
      <w:r w:rsidR="0062361F">
        <w:rPr>
          <w:rFonts w:ascii="Times New Roman" w:eastAsia="Arial Unicode MS" w:hAnsi="Times New Roman" w:cs="Times New Roman"/>
          <w:color w:val="000000" w:themeColor="text1"/>
          <w:sz w:val="24"/>
          <w:lang w:val="fr-BE"/>
        </w:rPr>
        <w:t xml:space="preserve"> </w:t>
      </w:r>
      <w:r w:rsidR="00F34A4D" w:rsidRPr="00391725">
        <w:rPr>
          <w:rFonts w:ascii="Times New Roman" w:eastAsia="Arial Unicode MS" w:hAnsi="Times New Roman" w:cs="Times New Roman"/>
          <w:color w:val="000000" w:themeColor="text1"/>
          <w:sz w:val="24"/>
          <w:lang w:val="fr-BE"/>
        </w:rPr>
        <w:t xml:space="preserve">préférences </w:t>
      </w:r>
      <w:r w:rsidR="00B81ECC">
        <w:rPr>
          <w:rFonts w:ascii="Times New Roman" w:eastAsia="Arial Unicode MS" w:hAnsi="Times New Roman" w:cs="Times New Roman"/>
          <w:color w:val="000000" w:themeColor="text1"/>
          <w:sz w:val="24"/>
          <w:lang w:val="fr-BE"/>
        </w:rPr>
        <w:t xml:space="preserve">tarifaires mentionnées ci-dessus, ne pouvant envisager </w:t>
      </w:r>
      <w:r w:rsidR="00505DFC">
        <w:rPr>
          <w:rFonts w:ascii="Times New Roman" w:eastAsia="Arial Unicode MS" w:hAnsi="Times New Roman" w:cs="Times New Roman"/>
          <w:color w:val="000000" w:themeColor="text1"/>
          <w:sz w:val="24"/>
          <w:lang w:val="fr-BE"/>
        </w:rPr>
        <w:t xml:space="preserve">un tel octroi </w:t>
      </w:r>
      <w:r w:rsidR="00B81ECC">
        <w:rPr>
          <w:rFonts w:ascii="Times New Roman" w:eastAsia="Arial Unicode MS" w:hAnsi="Times New Roman" w:cs="Times New Roman"/>
          <w:color w:val="000000" w:themeColor="text1"/>
          <w:sz w:val="24"/>
          <w:lang w:val="fr-BE"/>
        </w:rPr>
        <w:t>qu'après</w:t>
      </w:r>
      <w:r w:rsidR="00F34A4D" w:rsidRPr="00391725">
        <w:rPr>
          <w:rFonts w:ascii="Times New Roman" w:eastAsia="Arial Unicode MS" w:hAnsi="Times New Roman" w:cs="Times New Roman"/>
          <w:color w:val="000000" w:themeColor="text1"/>
          <w:sz w:val="24"/>
          <w:lang w:val="fr-BE"/>
        </w:rPr>
        <w:t xml:space="preserve"> </w:t>
      </w:r>
      <w:r w:rsidR="00B81ECC">
        <w:rPr>
          <w:rFonts w:ascii="Times New Roman" w:eastAsia="Arial Unicode MS" w:hAnsi="Times New Roman" w:cs="Times New Roman"/>
          <w:color w:val="000000" w:themeColor="text1"/>
          <w:sz w:val="24"/>
          <w:lang w:val="fr-BE"/>
        </w:rPr>
        <w:t xml:space="preserve">modification des dispositions pertinentes </w:t>
      </w:r>
      <w:r w:rsidR="00AF47A1">
        <w:rPr>
          <w:rFonts w:ascii="Times New Roman" w:eastAsia="Arial Unicode MS" w:hAnsi="Times New Roman" w:cs="Times New Roman"/>
          <w:color w:val="000000" w:themeColor="text1"/>
          <w:sz w:val="24"/>
          <w:lang w:val="fr-BE"/>
        </w:rPr>
        <w:t>des</w:t>
      </w:r>
      <w:r w:rsidR="00B81ECC">
        <w:rPr>
          <w:rFonts w:ascii="Times New Roman" w:eastAsia="Arial Unicode MS" w:hAnsi="Times New Roman" w:cs="Times New Roman"/>
          <w:color w:val="000000" w:themeColor="text1"/>
          <w:sz w:val="24"/>
          <w:lang w:val="fr-BE"/>
        </w:rPr>
        <w:t xml:space="preserve"> </w:t>
      </w:r>
      <w:r w:rsidR="00F34A4D" w:rsidRPr="00391725">
        <w:rPr>
          <w:rFonts w:ascii="Times New Roman" w:eastAsia="Arial Unicode MS" w:hAnsi="Times New Roman" w:cs="Times New Roman"/>
          <w:color w:val="000000" w:themeColor="text1"/>
          <w:sz w:val="24"/>
          <w:lang w:val="fr-BE"/>
        </w:rPr>
        <w:t>protocole</w:t>
      </w:r>
      <w:r w:rsidR="0015348B">
        <w:rPr>
          <w:rFonts w:ascii="Times New Roman" w:eastAsia="Arial Unicode MS" w:hAnsi="Times New Roman" w:cs="Times New Roman"/>
          <w:color w:val="000000" w:themeColor="text1"/>
          <w:sz w:val="24"/>
          <w:lang w:val="fr-BE"/>
        </w:rPr>
        <w:t>s</w:t>
      </w:r>
      <w:r w:rsidR="00F34A4D" w:rsidRPr="00391725">
        <w:rPr>
          <w:rFonts w:ascii="Times New Roman" w:eastAsia="Arial Unicode MS" w:hAnsi="Times New Roman" w:cs="Times New Roman"/>
          <w:color w:val="000000" w:themeColor="text1"/>
          <w:sz w:val="24"/>
          <w:lang w:val="fr-BE"/>
        </w:rPr>
        <w:t xml:space="preserve"> </w:t>
      </w:r>
      <w:r w:rsidR="002F36E2">
        <w:rPr>
          <w:rFonts w:ascii="Times New Roman" w:eastAsia="Arial Unicode MS" w:hAnsi="Times New Roman" w:cs="Times New Roman"/>
          <w:color w:val="000000" w:themeColor="text1"/>
          <w:sz w:val="24"/>
          <w:lang w:val="fr-BE"/>
        </w:rPr>
        <w:t>n°</w:t>
      </w:r>
      <w:r w:rsidR="00F80D5B">
        <w:rPr>
          <w:rFonts w:ascii="Times New Roman" w:eastAsia="Arial Unicode MS" w:hAnsi="Times New Roman" w:cs="Times New Roman"/>
          <w:color w:val="000000" w:themeColor="text1"/>
          <w:sz w:val="24"/>
          <w:lang w:val="fr-BE"/>
        </w:rPr>
        <w:t xml:space="preserve"> </w:t>
      </w:r>
      <w:r w:rsidR="00AF47A1">
        <w:rPr>
          <w:rFonts w:ascii="Times New Roman" w:eastAsia="Arial Unicode MS" w:hAnsi="Times New Roman" w:cs="Times New Roman"/>
          <w:color w:val="000000" w:themeColor="text1"/>
          <w:sz w:val="24"/>
          <w:lang w:val="fr-BE"/>
        </w:rPr>
        <w:t xml:space="preserve">1 (accès au marché de l'Union des produits </w:t>
      </w:r>
      <w:r w:rsidR="0078119C">
        <w:rPr>
          <w:rFonts w:ascii="Times New Roman" w:eastAsia="Arial Unicode MS" w:hAnsi="Times New Roman" w:cs="Times New Roman"/>
          <w:color w:val="000000" w:themeColor="text1"/>
          <w:sz w:val="24"/>
          <w:lang w:val="fr-BE"/>
        </w:rPr>
        <w:t xml:space="preserve">agricoles, produits agricoles transformés, poissons et produits de la pêche </w:t>
      </w:r>
      <w:r w:rsidR="00AF47A1">
        <w:rPr>
          <w:rFonts w:ascii="Times New Roman" w:eastAsia="Arial Unicode MS" w:hAnsi="Times New Roman" w:cs="Times New Roman"/>
          <w:color w:val="000000" w:themeColor="text1"/>
          <w:sz w:val="24"/>
          <w:lang w:val="fr-BE"/>
        </w:rPr>
        <w:t>marocains) et n°</w:t>
      </w:r>
      <w:r w:rsidR="002F36E2">
        <w:rPr>
          <w:rFonts w:ascii="Times New Roman" w:eastAsia="Arial Unicode MS" w:hAnsi="Times New Roman" w:cs="Times New Roman"/>
          <w:color w:val="000000" w:themeColor="text1"/>
          <w:sz w:val="24"/>
          <w:lang w:val="fr-BE"/>
        </w:rPr>
        <w:t xml:space="preserve"> </w:t>
      </w:r>
      <w:r w:rsidR="00F34A4D" w:rsidRPr="00391725">
        <w:rPr>
          <w:rFonts w:ascii="Times New Roman" w:eastAsia="Arial Unicode MS" w:hAnsi="Times New Roman" w:cs="Times New Roman"/>
          <w:color w:val="000000" w:themeColor="text1"/>
          <w:sz w:val="24"/>
          <w:lang w:val="fr-BE"/>
        </w:rPr>
        <w:t xml:space="preserve">4 </w:t>
      </w:r>
      <w:r w:rsidR="00AF47A1">
        <w:rPr>
          <w:rFonts w:ascii="Times New Roman" w:eastAsia="Arial Unicode MS" w:hAnsi="Times New Roman" w:cs="Times New Roman"/>
          <w:color w:val="000000" w:themeColor="text1"/>
          <w:sz w:val="24"/>
          <w:lang w:val="fr-BE"/>
        </w:rPr>
        <w:t>(</w:t>
      </w:r>
      <w:r w:rsidR="00F34A4D" w:rsidRPr="00391725">
        <w:rPr>
          <w:rFonts w:ascii="Times New Roman" w:eastAsia="Arial Unicode MS" w:hAnsi="Times New Roman" w:cs="Times New Roman"/>
          <w:color w:val="000000" w:themeColor="text1"/>
          <w:sz w:val="24"/>
          <w:lang w:val="fr-BE"/>
        </w:rPr>
        <w:t xml:space="preserve">relatif </w:t>
      </w:r>
      <w:r w:rsidR="006543C8">
        <w:rPr>
          <w:rFonts w:ascii="Times New Roman" w:eastAsia="Arial Unicode MS" w:hAnsi="Times New Roman" w:cs="Times New Roman"/>
          <w:color w:val="000000" w:themeColor="text1"/>
          <w:sz w:val="24"/>
          <w:lang w:val="fr-BE"/>
        </w:rPr>
        <w:t>aux</w:t>
      </w:r>
      <w:r w:rsidR="00F34A4D" w:rsidRPr="00391725">
        <w:rPr>
          <w:rFonts w:ascii="Times New Roman" w:eastAsia="Arial Unicode MS" w:hAnsi="Times New Roman" w:cs="Times New Roman"/>
          <w:color w:val="000000" w:themeColor="text1"/>
          <w:sz w:val="24"/>
          <w:lang w:val="fr-BE"/>
        </w:rPr>
        <w:t xml:space="preserve"> </w:t>
      </w:r>
      <w:r w:rsidR="00AF47A1">
        <w:rPr>
          <w:rFonts w:ascii="Times New Roman" w:eastAsia="Arial Unicode MS" w:hAnsi="Times New Roman" w:cs="Times New Roman"/>
          <w:color w:val="000000" w:themeColor="text1"/>
          <w:sz w:val="24"/>
          <w:lang w:val="fr-BE"/>
        </w:rPr>
        <w:t>règle</w:t>
      </w:r>
      <w:r w:rsidR="006543C8">
        <w:rPr>
          <w:rFonts w:ascii="Times New Roman" w:eastAsia="Arial Unicode MS" w:hAnsi="Times New Roman" w:cs="Times New Roman"/>
          <w:color w:val="000000" w:themeColor="text1"/>
          <w:sz w:val="24"/>
          <w:lang w:val="fr-BE"/>
        </w:rPr>
        <w:t>s</w:t>
      </w:r>
      <w:r w:rsidR="00AF47A1">
        <w:rPr>
          <w:rFonts w:ascii="Times New Roman" w:eastAsia="Arial Unicode MS" w:hAnsi="Times New Roman" w:cs="Times New Roman"/>
          <w:color w:val="000000" w:themeColor="text1"/>
          <w:sz w:val="24"/>
          <w:lang w:val="fr-BE"/>
        </w:rPr>
        <w:t xml:space="preserve"> d'origine)</w:t>
      </w:r>
      <w:r w:rsidR="00B81ECC">
        <w:rPr>
          <w:rFonts w:ascii="Times New Roman" w:eastAsia="Arial Unicode MS" w:hAnsi="Times New Roman" w:cs="Times New Roman"/>
          <w:color w:val="000000" w:themeColor="text1"/>
          <w:sz w:val="24"/>
          <w:lang w:val="fr-BE"/>
        </w:rPr>
        <w:t xml:space="preserve">, en établissant </w:t>
      </w:r>
      <w:r w:rsidR="00AF47A1">
        <w:rPr>
          <w:rFonts w:ascii="Times New Roman" w:eastAsia="Arial Unicode MS" w:hAnsi="Times New Roman" w:cs="Times New Roman"/>
          <w:color w:val="000000" w:themeColor="text1"/>
          <w:sz w:val="24"/>
          <w:lang w:val="fr-BE"/>
        </w:rPr>
        <w:t xml:space="preserve">notamment </w:t>
      </w:r>
      <w:r w:rsidR="00B81ECC">
        <w:rPr>
          <w:rFonts w:ascii="Times New Roman" w:eastAsia="Arial Unicode MS" w:hAnsi="Times New Roman" w:cs="Times New Roman"/>
          <w:color w:val="000000" w:themeColor="text1"/>
          <w:sz w:val="24"/>
          <w:lang w:val="fr-BE"/>
        </w:rPr>
        <w:t>clairement</w:t>
      </w:r>
      <w:r w:rsidR="00F34A4D" w:rsidRPr="00391725">
        <w:rPr>
          <w:rFonts w:ascii="Times New Roman" w:eastAsia="Arial Unicode MS" w:hAnsi="Times New Roman" w:cs="Times New Roman"/>
          <w:color w:val="000000" w:themeColor="text1"/>
          <w:sz w:val="24"/>
          <w:lang w:val="fr-BE"/>
        </w:rPr>
        <w:t xml:space="preserve"> </w:t>
      </w:r>
      <w:r w:rsidR="00B81ECC">
        <w:rPr>
          <w:rFonts w:ascii="Times New Roman" w:eastAsia="Arial Unicode MS" w:hAnsi="Times New Roman" w:cs="Times New Roman"/>
          <w:color w:val="000000" w:themeColor="text1"/>
          <w:sz w:val="24"/>
          <w:lang w:val="fr-BE"/>
        </w:rPr>
        <w:t>le principe selon lequel</w:t>
      </w:r>
      <w:r w:rsidR="00F34A4D" w:rsidRPr="00391725">
        <w:rPr>
          <w:rFonts w:ascii="Times New Roman" w:eastAsia="Arial Unicode MS" w:hAnsi="Times New Roman" w:cs="Times New Roman"/>
          <w:color w:val="000000" w:themeColor="text1"/>
          <w:sz w:val="24"/>
          <w:lang w:val="fr-BE"/>
        </w:rPr>
        <w:t xml:space="preserve"> </w:t>
      </w:r>
      <w:r w:rsidR="00450242">
        <w:rPr>
          <w:rFonts w:ascii="Times New Roman" w:eastAsia="Arial Unicode MS" w:hAnsi="Times New Roman" w:cs="Times New Roman"/>
          <w:color w:val="000000" w:themeColor="text1"/>
          <w:sz w:val="24"/>
          <w:lang w:val="fr-BE"/>
        </w:rPr>
        <w:t>l</w:t>
      </w:r>
      <w:r w:rsidR="00F34A4D" w:rsidRPr="00391725">
        <w:rPr>
          <w:rFonts w:ascii="Times New Roman" w:eastAsia="Arial Unicode MS" w:hAnsi="Times New Roman" w:cs="Times New Roman"/>
          <w:color w:val="000000" w:themeColor="text1"/>
          <w:sz w:val="24"/>
          <w:lang w:val="fr-BE"/>
        </w:rPr>
        <w:t xml:space="preserve">es produits du Sahara occidental </w:t>
      </w:r>
      <w:r w:rsidR="003D0E0C">
        <w:rPr>
          <w:rFonts w:ascii="Times New Roman" w:eastAsia="Arial Unicode MS" w:hAnsi="Times New Roman" w:cs="Times New Roman"/>
          <w:color w:val="000000" w:themeColor="text1"/>
          <w:sz w:val="24"/>
          <w:lang w:val="fr-BE"/>
        </w:rPr>
        <w:t>p</w:t>
      </w:r>
      <w:r w:rsidR="006543C8">
        <w:rPr>
          <w:rFonts w:ascii="Times New Roman" w:eastAsia="Arial Unicode MS" w:hAnsi="Times New Roman" w:cs="Times New Roman"/>
          <w:color w:val="000000" w:themeColor="text1"/>
          <w:sz w:val="24"/>
          <w:lang w:val="fr-BE"/>
        </w:rPr>
        <w:t>eu</w:t>
      </w:r>
      <w:r w:rsidR="003D0E0C">
        <w:rPr>
          <w:rFonts w:ascii="Times New Roman" w:eastAsia="Arial Unicode MS" w:hAnsi="Times New Roman" w:cs="Times New Roman"/>
          <w:color w:val="000000" w:themeColor="text1"/>
          <w:sz w:val="24"/>
          <w:lang w:val="fr-BE"/>
        </w:rPr>
        <w:t>vent être</w:t>
      </w:r>
      <w:r w:rsidR="003D0E0C" w:rsidRPr="00391725">
        <w:rPr>
          <w:rFonts w:ascii="Times New Roman" w:eastAsia="Arial Unicode MS" w:hAnsi="Times New Roman" w:cs="Times New Roman"/>
          <w:color w:val="000000" w:themeColor="text1"/>
          <w:sz w:val="24"/>
          <w:lang w:val="fr-BE"/>
        </w:rPr>
        <w:t xml:space="preserve"> </w:t>
      </w:r>
      <w:r w:rsidR="00F34A4D" w:rsidRPr="00391725">
        <w:rPr>
          <w:rFonts w:ascii="Times New Roman" w:eastAsia="Arial Unicode MS" w:hAnsi="Times New Roman" w:cs="Times New Roman"/>
          <w:color w:val="000000" w:themeColor="text1"/>
          <w:sz w:val="24"/>
          <w:lang w:val="fr-BE"/>
        </w:rPr>
        <w:t>traités de la même manière que ceux du Maroc.</w:t>
      </w:r>
    </w:p>
    <w:p w:rsidR="00892035" w:rsidRDefault="00892035" w:rsidP="0084736B">
      <w:pPr>
        <w:widowControl w:val="0"/>
        <w:spacing w:after="0" w:line="240" w:lineRule="auto"/>
        <w:jc w:val="both"/>
        <w:rPr>
          <w:rFonts w:ascii="Times New Roman" w:eastAsia="Calibri" w:hAnsi="Times New Roman" w:cs="Times New Roman"/>
          <w:color w:val="000000" w:themeColor="text1"/>
          <w:sz w:val="24"/>
          <w:lang w:val="fr-BE"/>
        </w:rPr>
      </w:pPr>
    </w:p>
    <w:p w:rsidR="00423348" w:rsidRDefault="00423348" w:rsidP="00423348">
      <w:pPr>
        <w:widowControl w:val="0"/>
        <w:spacing w:after="0" w:line="240" w:lineRule="auto"/>
        <w:jc w:val="both"/>
        <w:rPr>
          <w:rFonts w:ascii="Times New Roman" w:eastAsia="Calibri" w:hAnsi="Times New Roman" w:cs="Times New Roman"/>
          <w:color w:val="000000" w:themeColor="text1"/>
          <w:sz w:val="24"/>
          <w:lang w:val="fr-BE"/>
        </w:rPr>
      </w:pPr>
      <w:r>
        <w:rPr>
          <w:rFonts w:ascii="Times New Roman" w:eastAsia="Calibri" w:hAnsi="Times New Roman" w:cs="Times New Roman"/>
          <w:color w:val="000000" w:themeColor="text1"/>
          <w:sz w:val="24"/>
          <w:lang w:val="fr-BE"/>
        </w:rPr>
        <w:t>A cette fin, l</w:t>
      </w:r>
      <w:r w:rsidRPr="00391725">
        <w:rPr>
          <w:rFonts w:ascii="Times New Roman" w:eastAsia="Calibri" w:hAnsi="Times New Roman" w:cs="Times New Roman"/>
          <w:color w:val="000000" w:themeColor="text1"/>
          <w:sz w:val="24"/>
          <w:lang w:val="fr-BE"/>
        </w:rPr>
        <w:t xml:space="preserve">e 29 </w:t>
      </w:r>
      <w:r>
        <w:rPr>
          <w:rFonts w:ascii="Times New Roman" w:eastAsia="Calibri" w:hAnsi="Times New Roman" w:cs="Times New Roman"/>
          <w:color w:val="000000" w:themeColor="text1"/>
          <w:sz w:val="24"/>
          <w:lang w:val="fr-BE"/>
        </w:rPr>
        <w:t>m</w:t>
      </w:r>
      <w:r w:rsidRPr="00391725">
        <w:rPr>
          <w:rFonts w:ascii="Times New Roman" w:eastAsia="Calibri" w:hAnsi="Times New Roman" w:cs="Times New Roman"/>
          <w:color w:val="000000" w:themeColor="text1"/>
          <w:sz w:val="24"/>
          <w:lang w:val="fr-BE"/>
        </w:rPr>
        <w:t>ai 2017, le Conseil a autoris</w:t>
      </w:r>
      <w:r>
        <w:rPr>
          <w:rFonts w:ascii="Times New Roman" w:eastAsia="Calibri" w:hAnsi="Times New Roman" w:cs="Times New Roman"/>
          <w:color w:val="000000" w:themeColor="text1"/>
          <w:sz w:val="24"/>
          <w:lang w:val="fr-BE"/>
        </w:rPr>
        <w:t>é</w:t>
      </w:r>
      <w:r w:rsidRPr="00391725">
        <w:rPr>
          <w:rFonts w:ascii="Times New Roman" w:eastAsia="Calibri" w:hAnsi="Times New Roman" w:cs="Times New Roman"/>
          <w:color w:val="000000" w:themeColor="text1"/>
          <w:sz w:val="24"/>
          <w:lang w:val="fr-BE"/>
        </w:rPr>
        <w:t xml:space="preserve"> </w:t>
      </w:r>
      <w:r>
        <w:rPr>
          <w:rFonts w:ascii="Times New Roman" w:eastAsia="Calibri" w:hAnsi="Times New Roman" w:cs="Times New Roman"/>
          <w:color w:val="000000" w:themeColor="text1"/>
          <w:sz w:val="24"/>
          <w:lang w:val="fr-BE"/>
        </w:rPr>
        <w:t xml:space="preserve">la </w:t>
      </w:r>
      <w:r w:rsidRPr="00391725">
        <w:rPr>
          <w:rFonts w:ascii="Times New Roman" w:eastAsia="Calibri" w:hAnsi="Times New Roman" w:cs="Times New Roman"/>
          <w:color w:val="000000" w:themeColor="text1"/>
          <w:sz w:val="24"/>
          <w:lang w:val="fr-BE"/>
        </w:rPr>
        <w:t xml:space="preserve">Commission </w:t>
      </w:r>
      <w:r>
        <w:rPr>
          <w:rFonts w:ascii="Times New Roman" w:eastAsia="Calibri" w:hAnsi="Times New Roman" w:cs="Times New Roman"/>
          <w:color w:val="000000" w:themeColor="text1"/>
          <w:sz w:val="24"/>
          <w:lang w:val="fr-BE"/>
        </w:rPr>
        <w:t xml:space="preserve">européenne </w:t>
      </w:r>
      <w:r w:rsidRPr="00391725">
        <w:rPr>
          <w:rFonts w:ascii="Times New Roman" w:eastAsia="Calibri" w:hAnsi="Times New Roman" w:cs="Times New Roman"/>
          <w:color w:val="000000" w:themeColor="text1"/>
          <w:sz w:val="24"/>
          <w:lang w:val="fr-BE"/>
        </w:rPr>
        <w:t xml:space="preserve">à négocier, au nom de l’Union, un accord international </w:t>
      </w:r>
      <w:r>
        <w:rPr>
          <w:rFonts w:ascii="Times New Roman" w:eastAsia="Calibri" w:hAnsi="Times New Roman" w:cs="Times New Roman"/>
          <w:color w:val="000000" w:themeColor="text1"/>
          <w:sz w:val="24"/>
          <w:lang w:val="fr-BE"/>
        </w:rPr>
        <w:t xml:space="preserve">ayant pour objet d'apporter les modifications nécessaires à l'accord d'association, sous forme d'échange de lettres. </w:t>
      </w:r>
      <w:r w:rsidRPr="00391725">
        <w:rPr>
          <w:rFonts w:ascii="Times New Roman" w:eastAsia="Calibri" w:hAnsi="Times New Roman" w:cs="Times New Roman"/>
          <w:color w:val="000000" w:themeColor="text1"/>
          <w:sz w:val="24"/>
          <w:lang w:val="fr-BE"/>
        </w:rPr>
        <w:t xml:space="preserve">Le Conseil a </w:t>
      </w:r>
      <w:r>
        <w:rPr>
          <w:rFonts w:ascii="Times New Roman" w:eastAsia="Calibri" w:hAnsi="Times New Roman" w:cs="Times New Roman"/>
          <w:color w:val="000000" w:themeColor="text1"/>
          <w:sz w:val="24"/>
          <w:lang w:val="fr-BE"/>
        </w:rPr>
        <w:t>cependant assorti cette autorisation de deux conditions: d'une part, avant</w:t>
      </w:r>
      <w:r w:rsidRPr="00391725">
        <w:rPr>
          <w:rFonts w:ascii="Times New Roman" w:eastAsia="Calibri" w:hAnsi="Times New Roman" w:cs="Times New Roman"/>
          <w:color w:val="000000" w:themeColor="text1"/>
          <w:sz w:val="24"/>
          <w:lang w:val="fr-BE"/>
        </w:rPr>
        <w:t xml:space="preserve"> la signature</w:t>
      </w:r>
      <w:r>
        <w:rPr>
          <w:rFonts w:ascii="Times New Roman" w:eastAsia="Calibri" w:hAnsi="Times New Roman" w:cs="Times New Roman"/>
          <w:color w:val="000000" w:themeColor="text1"/>
          <w:sz w:val="24"/>
          <w:lang w:val="fr-BE"/>
        </w:rPr>
        <w:t xml:space="preserve"> de ce nouvel accord</w:t>
      </w:r>
      <w:r w:rsidRPr="00391725">
        <w:rPr>
          <w:rFonts w:ascii="Times New Roman" w:eastAsia="Calibri" w:hAnsi="Times New Roman" w:cs="Times New Roman"/>
          <w:color w:val="000000" w:themeColor="text1"/>
          <w:sz w:val="24"/>
          <w:lang w:val="fr-BE"/>
        </w:rPr>
        <w:t xml:space="preserve">, </w:t>
      </w:r>
      <w:r>
        <w:rPr>
          <w:rFonts w:ascii="Times New Roman" w:eastAsia="Calibri" w:hAnsi="Times New Roman" w:cs="Times New Roman"/>
          <w:color w:val="000000" w:themeColor="text1"/>
          <w:sz w:val="24"/>
          <w:lang w:val="fr-BE"/>
        </w:rPr>
        <w:t xml:space="preserve">la </w:t>
      </w:r>
      <w:r w:rsidRPr="00391725">
        <w:rPr>
          <w:rFonts w:ascii="Times New Roman" w:eastAsia="Calibri" w:hAnsi="Times New Roman" w:cs="Times New Roman"/>
          <w:color w:val="000000" w:themeColor="text1"/>
          <w:sz w:val="24"/>
          <w:lang w:val="fr-BE"/>
        </w:rPr>
        <w:t xml:space="preserve">Commission </w:t>
      </w:r>
      <w:r>
        <w:rPr>
          <w:rFonts w:ascii="Times New Roman" w:eastAsia="Calibri" w:hAnsi="Times New Roman" w:cs="Times New Roman"/>
          <w:color w:val="000000" w:themeColor="text1"/>
          <w:sz w:val="24"/>
          <w:lang w:val="fr-BE"/>
        </w:rPr>
        <w:t>européenne aura</w:t>
      </w:r>
      <w:r w:rsidRPr="00391725">
        <w:rPr>
          <w:rFonts w:ascii="Times New Roman" w:eastAsia="Calibri" w:hAnsi="Times New Roman" w:cs="Times New Roman"/>
          <w:color w:val="000000" w:themeColor="text1"/>
          <w:sz w:val="24"/>
          <w:lang w:val="fr-BE"/>
        </w:rPr>
        <w:t xml:space="preserve"> évalu</w:t>
      </w:r>
      <w:r>
        <w:rPr>
          <w:rFonts w:ascii="Times New Roman" w:eastAsia="Calibri" w:hAnsi="Times New Roman" w:cs="Times New Roman"/>
          <w:color w:val="000000" w:themeColor="text1"/>
          <w:sz w:val="24"/>
          <w:lang w:val="fr-BE"/>
        </w:rPr>
        <w:t>é</w:t>
      </w:r>
      <w:r w:rsidRPr="00391725">
        <w:rPr>
          <w:rFonts w:ascii="Times New Roman" w:eastAsia="Calibri" w:hAnsi="Times New Roman" w:cs="Times New Roman"/>
          <w:color w:val="000000" w:themeColor="text1"/>
          <w:sz w:val="24"/>
          <w:lang w:val="fr-BE"/>
        </w:rPr>
        <w:t xml:space="preserve"> les répercussions potentielles de </w:t>
      </w:r>
      <w:r>
        <w:rPr>
          <w:rFonts w:ascii="Times New Roman" w:eastAsia="Calibri" w:hAnsi="Times New Roman" w:cs="Times New Roman"/>
          <w:color w:val="000000" w:themeColor="text1"/>
          <w:sz w:val="24"/>
          <w:lang w:val="fr-BE"/>
        </w:rPr>
        <w:t xml:space="preserve">celui-ci </w:t>
      </w:r>
      <w:r w:rsidRPr="00391725">
        <w:rPr>
          <w:rFonts w:ascii="Times New Roman" w:eastAsia="Calibri" w:hAnsi="Times New Roman" w:cs="Times New Roman"/>
          <w:color w:val="000000" w:themeColor="text1"/>
          <w:sz w:val="24"/>
          <w:lang w:val="fr-BE"/>
        </w:rPr>
        <w:t xml:space="preserve">sur le développement durable du Sahara occidental, </w:t>
      </w:r>
      <w:r>
        <w:rPr>
          <w:rFonts w:ascii="Times New Roman" w:eastAsia="Calibri" w:hAnsi="Times New Roman" w:cs="Times New Roman"/>
          <w:color w:val="000000" w:themeColor="text1"/>
          <w:sz w:val="24"/>
          <w:lang w:val="fr-BE"/>
        </w:rPr>
        <w:t xml:space="preserve">en mettant notamment en exergue </w:t>
      </w:r>
      <w:r w:rsidRPr="00391725">
        <w:rPr>
          <w:rFonts w:ascii="Times New Roman" w:eastAsia="Calibri" w:hAnsi="Times New Roman" w:cs="Times New Roman"/>
          <w:color w:val="000000" w:themeColor="text1"/>
          <w:sz w:val="24"/>
          <w:lang w:val="fr-BE"/>
        </w:rPr>
        <w:t xml:space="preserve">les avantages pour les populations locales et </w:t>
      </w:r>
      <w:r>
        <w:rPr>
          <w:rFonts w:ascii="Times New Roman" w:eastAsia="Calibri" w:hAnsi="Times New Roman" w:cs="Times New Roman"/>
          <w:color w:val="000000" w:themeColor="text1"/>
          <w:sz w:val="24"/>
          <w:lang w:val="fr-BE"/>
        </w:rPr>
        <w:t xml:space="preserve">l'impact de </w:t>
      </w:r>
      <w:r w:rsidRPr="00391725">
        <w:rPr>
          <w:rFonts w:ascii="Times New Roman" w:eastAsia="Calibri" w:hAnsi="Times New Roman" w:cs="Times New Roman"/>
          <w:color w:val="000000" w:themeColor="text1"/>
          <w:sz w:val="24"/>
          <w:lang w:val="fr-BE"/>
        </w:rPr>
        <w:t xml:space="preserve">l'exploitation des ressources naturelles </w:t>
      </w:r>
      <w:r>
        <w:rPr>
          <w:rFonts w:ascii="Times New Roman" w:eastAsia="Calibri" w:hAnsi="Times New Roman" w:cs="Times New Roman"/>
          <w:color w:val="000000" w:themeColor="text1"/>
          <w:sz w:val="24"/>
          <w:lang w:val="fr-BE"/>
        </w:rPr>
        <w:t xml:space="preserve">sur les </w:t>
      </w:r>
      <w:r w:rsidRPr="00391725">
        <w:rPr>
          <w:rFonts w:ascii="Times New Roman" w:eastAsia="Calibri" w:hAnsi="Times New Roman" w:cs="Times New Roman"/>
          <w:color w:val="000000" w:themeColor="text1"/>
          <w:sz w:val="24"/>
          <w:lang w:val="fr-BE"/>
        </w:rPr>
        <w:t>territoires concernés</w:t>
      </w:r>
      <w:r>
        <w:rPr>
          <w:rFonts w:ascii="Times New Roman" w:eastAsia="Calibri" w:hAnsi="Times New Roman" w:cs="Times New Roman"/>
          <w:color w:val="000000" w:themeColor="text1"/>
          <w:sz w:val="24"/>
          <w:lang w:val="fr-BE"/>
        </w:rPr>
        <w:t xml:space="preserve">; d'autre part, </w:t>
      </w:r>
      <w:r w:rsidRPr="00EC7C3D">
        <w:rPr>
          <w:rFonts w:ascii="Times New Roman" w:eastAsia="Calibri" w:hAnsi="Times New Roman" w:cs="Times New Roman"/>
          <w:color w:val="000000" w:themeColor="text1"/>
          <w:sz w:val="24"/>
          <w:lang w:val="fr-BE"/>
        </w:rPr>
        <w:t>les populations</w:t>
      </w:r>
      <w:r>
        <w:rPr>
          <w:rFonts w:ascii="Times New Roman" w:eastAsia="Calibri" w:hAnsi="Times New Roman" w:cs="Times New Roman"/>
          <w:color w:val="000000" w:themeColor="text1"/>
          <w:sz w:val="24"/>
          <w:lang w:val="fr-BE"/>
        </w:rPr>
        <w:t xml:space="preserve"> concernées par l'accord auront été associées de manière appropriée</w:t>
      </w:r>
      <w:r w:rsidRPr="00391725">
        <w:rPr>
          <w:rFonts w:ascii="Times New Roman" w:eastAsia="Calibri" w:hAnsi="Times New Roman" w:cs="Times New Roman"/>
          <w:color w:val="000000" w:themeColor="text1"/>
          <w:sz w:val="24"/>
          <w:lang w:val="fr-BE"/>
        </w:rPr>
        <w:t>.</w:t>
      </w:r>
    </w:p>
    <w:p w:rsidR="00423348" w:rsidRDefault="00423348" w:rsidP="00423348">
      <w:pPr>
        <w:widowControl w:val="0"/>
        <w:spacing w:after="0" w:line="240" w:lineRule="auto"/>
        <w:jc w:val="both"/>
        <w:rPr>
          <w:rFonts w:ascii="Times New Roman" w:eastAsia="Calibri" w:hAnsi="Times New Roman" w:cs="Times New Roman"/>
          <w:color w:val="000000" w:themeColor="text1"/>
          <w:sz w:val="24"/>
          <w:lang w:val="fr-BE"/>
        </w:rPr>
      </w:pPr>
    </w:p>
    <w:p w:rsidR="00423348" w:rsidRDefault="00423348" w:rsidP="00002064">
      <w:pPr>
        <w:widowControl w:val="0"/>
        <w:spacing w:after="0" w:line="240" w:lineRule="auto"/>
        <w:jc w:val="both"/>
        <w:rPr>
          <w:rFonts w:ascii="Times New Roman" w:eastAsia="Calibri" w:hAnsi="Times New Roman" w:cs="Times New Roman"/>
          <w:color w:val="000000" w:themeColor="text1"/>
          <w:sz w:val="24"/>
          <w:lang w:val="fr-BE"/>
        </w:rPr>
      </w:pPr>
      <w:r w:rsidRPr="000604D5">
        <w:rPr>
          <w:rFonts w:ascii="Times New Roman" w:eastAsia="Calibri" w:hAnsi="Times New Roman" w:cs="Times New Roman"/>
          <w:color w:val="000000" w:themeColor="text1"/>
          <w:sz w:val="24"/>
          <w:lang w:val="fr-BE"/>
        </w:rPr>
        <w:t xml:space="preserve">Certes, si le droit à l'auto-détermination est détenu par le peuple du Sahara occidental, d'une part, </w:t>
      </w:r>
      <w:r w:rsidR="00EC7C3D" w:rsidRPr="000604D5">
        <w:rPr>
          <w:rFonts w:ascii="Times New Roman" w:eastAsia="Calibri" w:hAnsi="Times New Roman" w:cs="Times New Roman"/>
          <w:color w:val="000000" w:themeColor="text1"/>
          <w:sz w:val="24"/>
          <w:lang w:val="fr-BE"/>
        </w:rPr>
        <w:t>il n’appartient</w:t>
      </w:r>
      <w:r w:rsidRPr="000604D5">
        <w:rPr>
          <w:rFonts w:ascii="Times New Roman" w:eastAsia="Calibri" w:hAnsi="Times New Roman" w:cs="Times New Roman"/>
          <w:color w:val="000000" w:themeColor="text1"/>
          <w:sz w:val="24"/>
          <w:lang w:val="fr-BE"/>
        </w:rPr>
        <w:t xml:space="preserve"> à l'Union européenne </w:t>
      </w:r>
      <w:r w:rsidR="00EC7C3D" w:rsidRPr="000604D5">
        <w:rPr>
          <w:rFonts w:ascii="Times New Roman" w:eastAsia="Calibri" w:hAnsi="Times New Roman" w:cs="Times New Roman"/>
          <w:color w:val="000000" w:themeColor="text1"/>
          <w:sz w:val="24"/>
          <w:lang w:val="fr-BE"/>
        </w:rPr>
        <w:t xml:space="preserve">ni </w:t>
      </w:r>
      <w:r w:rsidRPr="000604D5">
        <w:rPr>
          <w:rFonts w:ascii="Times New Roman" w:eastAsia="Calibri" w:hAnsi="Times New Roman" w:cs="Times New Roman"/>
          <w:color w:val="000000" w:themeColor="text1"/>
          <w:sz w:val="24"/>
          <w:lang w:val="fr-BE"/>
        </w:rPr>
        <w:t>de réaliser un recensement de ce peuple</w:t>
      </w:r>
      <w:r w:rsidR="00EC7C3D" w:rsidRPr="000604D5">
        <w:rPr>
          <w:rFonts w:ascii="Times New Roman" w:eastAsia="Calibri" w:hAnsi="Times New Roman" w:cs="Times New Roman"/>
          <w:color w:val="000000" w:themeColor="text1"/>
          <w:sz w:val="24"/>
          <w:lang w:val="fr-BE"/>
        </w:rPr>
        <w:t>, ni de définir qui constitue ce peuple</w:t>
      </w:r>
      <w:r w:rsidR="000604D5" w:rsidRPr="00002064">
        <w:rPr>
          <w:vertAlign w:val="superscript"/>
        </w:rPr>
        <w:footnoteReference w:id="6"/>
      </w:r>
      <w:r w:rsidRPr="000604D5">
        <w:rPr>
          <w:rFonts w:ascii="Times New Roman" w:eastAsia="Calibri" w:hAnsi="Times New Roman" w:cs="Times New Roman"/>
          <w:color w:val="000000" w:themeColor="text1"/>
          <w:sz w:val="24"/>
          <w:lang w:val="fr-BE"/>
        </w:rPr>
        <w:t xml:space="preserve"> et, d'autre part, les documents de l'ONU relatifs aux activités économiques sur des territoire</w:t>
      </w:r>
      <w:r w:rsidR="0055753D">
        <w:rPr>
          <w:rFonts w:ascii="Times New Roman" w:eastAsia="Calibri" w:hAnsi="Times New Roman" w:cs="Times New Roman"/>
          <w:color w:val="000000" w:themeColor="text1"/>
          <w:sz w:val="24"/>
          <w:lang w:val="fr-BE"/>
        </w:rPr>
        <w:t>s</w:t>
      </w:r>
      <w:r w:rsidRPr="000604D5">
        <w:rPr>
          <w:rFonts w:ascii="Times New Roman" w:eastAsia="Calibri" w:hAnsi="Times New Roman" w:cs="Times New Roman"/>
          <w:color w:val="000000" w:themeColor="text1"/>
          <w:sz w:val="24"/>
          <w:lang w:val="fr-BE"/>
        </w:rPr>
        <w:t xml:space="preserve"> non</w:t>
      </w:r>
      <w:r w:rsidR="00EC7C3D" w:rsidRPr="000604D5">
        <w:rPr>
          <w:rFonts w:ascii="Times New Roman" w:eastAsia="Calibri" w:hAnsi="Times New Roman" w:cs="Times New Roman"/>
          <w:color w:val="000000" w:themeColor="text1"/>
          <w:sz w:val="24"/>
          <w:lang w:val="fr-BE"/>
        </w:rPr>
        <w:t>-</w:t>
      </w:r>
      <w:r w:rsidRPr="000604D5">
        <w:rPr>
          <w:rFonts w:ascii="Times New Roman" w:eastAsia="Calibri" w:hAnsi="Times New Roman" w:cs="Times New Roman"/>
          <w:color w:val="000000" w:themeColor="text1"/>
          <w:sz w:val="24"/>
          <w:lang w:val="fr-BE"/>
        </w:rPr>
        <w:t>autonomes se réfèrent aussi, lorsqu'il est question des bénéfices socio-économiques, aux habitants de ces territoires</w:t>
      </w:r>
      <w:r w:rsidRPr="00002064">
        <w:rPr>
          <w:rFonts w:ascii="Times New Roman" w:eastAsia="Calibri" w:hAnsi="Times New Roman" w:cs="Times New Roman"/>
          <w:color w:val="000000" w:themeColor="text1"/>
          <w:sz w:val="24"/>
          <w:vertAlign w:val="superscript"/>
          <w:lang w:val="fr-BE"/>
        </w:rPr>
        <w:footnoteReference w:id="7"/>
      </w:r>
      <w:r w:rsidR="000604D5">
        <w:rPr>
          <w:rFonts w:ascii="Times New Roman" w:eastAsia="Calibri" w:hAnsi="Times New Roman" w:cs="Times New Roman"/>
          <w:color w:val="000000" w:themeColor="text1"/>
          <w:sz w:val="24"/>
          <w:lang w:val="fr-BE"/>
        </w:rPr>
        <w:t>.</w:t>
      </w:r>
      <w:r w:rsidRPr="000604D5">
        <w:rPr>
          <w:rFonts w:ascii="Times New Roman" w:eastAsia="Calibri" w:hAnsi="Times New Roman" w:cs="Times New Roman"/>
          <w:color w:val="000000" w:themeColor="text1"/>
          <w:sz w:val="24"/>
          <w:lang w:val="fr-BE"/>
        </w:rPr>
        <w:t xml:space="preserve"> Tout en ayant à l'esprit ces différences et les difficultés d'examiner l'impact sur un peuple don</w:t>
      </w:r>
      <w:r w:rsidR="00EC7C3D" w:rsidRPr="000604D5">
        <w:rPr>
          <w:rFonts w:ascii="Times New Roman" w:eastAsia="Calibri" w:hAnsi="Times New Roman" w:cs="Times New Roman"/>
          <w:color w:val="000000" w:themeColor="text1"/>
          <w:sz w:val="24"/>
          <w:lang w:val="fr-BE"/>
        </w:rPr>
        <w:t>t</w:t>
      </w:r>
      <w:r w:rsidRPr="000604D5">
        <w:rPr>
          <w:rFonts w:ascii="Times New Roman" w:eastAsia="Calibri" w:hAnsi="Times New Roman" w:cs="Times New Roman"/>
          <w:color w:val="000000" w:themeColor="text1"/>
          <w:sz w:val="24"/>
          <w:lang w:val="fr-BE"/>
        </w:rPr>
        <w:t xml:space="preserve"> les contours restent à définir, compte tenu du fait que les préférences sont étendues aux produits d'un territoire donné</w:t>
      </w:r>
      <w:r w:rsidR="00EC7C3D" w:rsidRPr="000604D5">
        <w:rPr>
          <w:rFonts w:ascii="Times New Roman" w:eastAsia="Calibri" w:hAnsi="Times New Roman" w:cs="Times New Roman"/>
          <w:color w:val="000000" w:themeColor="text1"/>
          <w:sz w:val="24"/>
          <w:lang w:val="fr-BE"/>
        </w:rPr>
        <w:t>,</w:t>
      </w:r>
      <w:r w:rsidRPr="000604D5">
        <w:rPr>
          <w:rFonts w:ascii="Times New Roman" w:eastAsia="Calibri" w:hAnsi="Times New Roman" w:cs="Times New Roman"/>
          <w:color w:val="000000" w:themeColor="text1"/>
          <w:sz w:val="24"/>
          <w:lang w:val="fr-BE"/>
        </w:rPr>
        <w:t xml:space="preserve"> et </w:t>
      </w:r>
      <w:r w:rsidR="000604D5" w:rsidRPr="000604D5">
        <w:rPr>
          <w:rFonts w:ascii="Times New Roman" w:eastAsia="Calibri" w:hAnsi="Times New Roman" w:cs="Times New Roman"/>
          <w:color w:val="000000" w:themeColor="text1"/>
          <w:sz w:val="24"/>
          <w:lang w:val="fr-BE"/>
        </w:rPr>
        <w:t xml:space="preserve">que </w:t>
      </w:r>
      <w:r w:rsidRPr="000604D5">
        <w:rPr>
          <w:rFonts w:ascii="Times New Roman" w:eastAsia="Calibri" w:hAnsi="Times New Roman" w:cs="Times New Roman"/>
          <w:color w:val="000000" w:themeColor="text1"/>
          <w:sz w:val="24"/>
          <w:lang w:val="fr-BE"/>
        </w:rPr>
        <w:t xml:space="preserve">donc les avantages seront, logiquement, liés principalement à ce territoire, l'analyse s'est concentrée sur les bénéfices </w:t>
      </w:r>
      <w:r w:rsidR="000604D5" w:rsidRPr="000604D5">
        <w:rPr>
          <w:rFonts w:ascii="Times New Roman" w:eastAsia="Calibri" w:hAnsi="Times New Roman" w:cs="Times New Roman"/>
          <w:color w:val="000000" w:themeColor="text1"/>
          <w:sz w:val="24"/>
          <w:lang w:val="fr-BE"/>
        </w:rPr>
        <w:t>pour</w:t>
      </w:r>
      <w:r w:rsidRPr="000604D5">
        <w:rPr>
          <w:rFonts w:ascii="Times New Roman" w:eastAsia="Calibri" w:hAnsi="Times New Roman" w:cs="Times New Roman"/>
          <w:color w:val="000000" w:themeColor="text1"/>
          <w:sz w:val="24"/>
          <w:lang w:val="fr-BE"/>
        </w:rPr>
        <w:t xml:space="preserve"> la population </w:t>
      </w:r>
      <w:r w:rsidR="000604D5" w:rsidRPr="000604D5">
        <w:rPr>
          <w:rFonts w:ascii="Times New Roman" w:eastAsia="Calibri" w:hAnsi="Times New Roman" w:cs="Times New Roman"/>
          <w:color w:val="000000" w:themeColor="text1"/>
          <w:sz w:val="24"/>
          <w:lang w:val="fr-BE"/>
        </w:rPr>
        <w:t>du</w:t>
      </w:r>
      <w:r w:rsidRPr="000604D5">
        <w:rPr>
          <w:rFonts w:ascii="Times New Roman" w:eastAsia="Calibri" w:hAnsi="Times New Roman" w:cs="Times New Roman"/>
          <w:color w:val="000000" w:themeColor="text1"/>
          <w:sz w:val="24"/>
          <w:lang w:val="fr-BE"/>
        </w:rPr>
        <w:t xml:space="preserve"> Sahara occidental.</w:t>
      </w:r>
    </w:p>
    <w:p w:rsidR="009B3412" w:rsidRPr="000604D5" w:rsidRDefault="009B3412" w:rsidP="00002064">
      <w:pPr>
        <w:widowControl w:val="0"/>
        <w:spacing w:after="0" w:line="240" w:lineRule="auto"/>
        <w:jc w:val="both"/>
        <w:rPr>
          <w:rFonts w:ascii="Times New Roman" w:eastAsia="Calibri" w:hAnsi="Times New Roman" w:cs="Times New Roman"/>
          <w:color w:val="000000" w:themeColor="text1"/>
          <w:sz w:val="24"/>
          <w:lang w:val="fr-BE"/>
        </w:rPr>
      </w:pPr>
    </w:p>
    <w:p w:rsidR="00D4491E" w:rsidRDefault="00F34A4D" w:rsidP="0084736B">
      <w:pPr>
        <w:widowControl w:val="0"/>
        <w:spacing w:after="0" w:line="240" w:lineRule="auto"/>
        <w:jc w:val="both"/>
        <w:rPr>
          <w:rFonts w:ascii="Times New Roman" w:eastAsia="Calibri" w:hAnsi="Times New Roman" w:cs="Times New Roman"/>
          <w:color w:val="000000" w:themeColor="text1"/>
          <w:sz w:val="24"/>
          <w:lang w:val="fr-BE"/>
        </w:rPr>
      </w:pPr>
      <w:r w:rsidRPr="00391725">
        <w:rPr>
          <w:rFonts w:ascii="Times New Roman" w:eastAsia="Calibri" w:hAnsi="Times New Roman" w:cs="Times New Roman"/>
          <w:color w:val="000000" w:themeColor="text1"/>
          <w:sz w:val="24"/>
          <w:lang w:val="fr-BE"/>
        </w:rPr>
        <w:t xml:space="preserve">Le présent rapport a pour objectif de répondre à </w:t>
      </w:r>
      <w:r w:rsidR="003D0E0C">
        <w:rPr>
          <w:rFonts w:ascii="Times New Roman" w:eastAsia="Calibri" w:hAnsi="Times New Roman" w:cs="Times New Roman"/>
          <w:color w:val="000000" w:themeColor="text1"/>
          <w:sz w:val="24"/>
          <w:lang w:val="fr-BE"/>
        </w:rPr>
        <w:t>ce</w:t>
      </w:r>
      <w:r w:rsidR="00655C70">
        <w:rPr>
          <w:rFonts w:ascii="Times New Roman" w:eastAsia="Calibri" w:hAnsi="Times New Roman" w:cs="Times New Roman"/>
          <w:color w:val="000000" w:themeColor="text1"/>
          <w:sz w:val="24"/>
          <w:lang w:val="fr-BE"/>
        </w:rPr>
        <w:t>s</w:t>
      </w:r>
      <w:r w:rsidR="003D0E0C" w:rsidRPr="00391725">
        <w:rPr>
          <w:rFonts w:ascii="Times New Roman" w:eastAsia="Calibri" w:hAnsi="Times New Roman" w:cs="Times New Roman"/>
          <w:color w:val="000000" w:themeColor="text1"/>
          <w:sz w:val="24"/>
          <w:lang w:val="fr-BE"/>
        </w:rPr>
        <w:t xml:space="preserve"> </w:t>
      </w:r>
      <w:r w:rsidRPr="00391725">
        <w:rPr>
          <w:rFonts w:ascii="Times New Roman" w:eastAsia="Calibri" w:hAnsi="Times New Roman" w:cs="Times New Roman"/>
          <w:color w:val="000000" w:themeColor="text1"/>
          <w:sz w:val="24"/>
          <w:lang w:val="fr-BE"/>
        </w:rPr>
        <w:t>demande</w:t>
      </w:r>
      <w:r w:rsidR="00655C70">
        <w:rPr>
          <w:rFonts w:ascii="Times New Roman" w:eastAsia="Calibri" w:hAnsi="Times New Roman" w:cs="Times New Roman"/>
          <w:color w:val="000000" w:themeColor="text1"/>
          <w:sz w:val="24"/>
          <w:lang w:val="fr-BE"/>
        </w:rPr>
        <w:t>s</w:t>
      </w:r>
      <w:r w:rsidRPr="00391725">
        <w:rPr>
          <w:rFonts w:ascii="Times New Roman" w:eastAsia="Calibri" w:hAnsi="Times New Roman" w:cs="Times New Roman"/>
          <w:color w:val="000000" w:themeColor="text1"/>
          <w:sz w:val="24"/>
          <w:lang w:val="fr-BE"/>
        </w:rPr>
        <w:t xml:space="preserve"> du Conseil. </w:t>
      </w:r>
      <w:r w:rsidR="003D0E0C">
        <w:rPr>
          <w:rFonts w:ascii="Times New Roman" w:eastAsia="Calibri" w:hAnsi="Times New Roman" w:cs="Times New Roman"/>
          <w:color w:val="000000" w:themeColor="text1"/>
          <w:sz w:val="24"/>
          <w:lang w:val="fr-BE"/>
        </w:rPr>
        <w:t>Il</w:t>
      </w:r>
      <w:r w:rsidRPr="00391725">
        <w:rPr>
          <w:rFonts w:ascii="Times New Roman" w:eastAsia="Calibri" w:hAnsi="Times New Roman" w:cs="Times New Roman"/>
          <w:color w:val="000000" w:themeColor="text1"/>
          <w:sz w:val="24"/>
          <w:lang w:val="fr-BE"/>
        </w:rPr>
        <w:t xml:space="preserve"> </w:t>
      </w:r>
      <w:r w:rsidR="003D0E0C">
        <w:rPr>
          <w:rFonts w:ascii="Times New Roman" w:eastAsia="Calibri" w:hAnsi="Times New Roman" w:cs="Times New Roman"/>
          <w:color w:val="000000" w:themeColor="text1"/>
          <w:sz w:val="24"/>
          <w:lang w:val="fr-BE"/>
        </w:rPr>
        <w:t>a été rédigé</w:t>
      </w:r>
      <w:r w:rsidRPr="00391725">
        <w:rPr>
          <w:rFonts w:ascii="Times New Roman" w:eastAsia="Calibri" w:hAnsi="Times New Roman" w:cs="Times New Roman"/>
          <w:color w:val="000000" w:themeColor="text1"/>
          <w:sz w:val="24"/>
          <w:lang w:val="fr-BE"/>
        </w:rPr>
        <w:t xml:space="preserve"> sur </w:t>
      </w:r>
      <w:r w:rsidR="003D0E0C">
        <w:rPr>
          <w:rFonts w:ascii="Times New Roman" w:eastAsia="Calibri" w:hAnsi="Times New Roman" w:cs="Times New Roman"/>
          <w:color w:val="000000" w:themeColor="text1"/>
          <w:sz w:val="24"/>
          <w:lang w:val="fr-BE"/>
        </w:rPr>
        <w:t xml:space="preserve">la </w:t>
      </w:r>
      <w:r w:rsidRPr="00391725">
        <w:rPr>
          <w:rFonts w:ascii="Times New Roman" w:eastAsia="Calibri" w:hAnsi="Times New Roman" w:cs="Times New Roman"/>
          <w:color w:val="000000" w:themeColor="text1"/>
          <w:sz w:val="24"/>
          <w:lang w:val="fr-BE"/>
        </w:rPr>
        <w:t>base</w:t>
      </w:r>
      <w:r w:rsidR="00F67BE0">
        <w:rPr>
          <w:rFonts w:ascii="Times New Roman" w:eastAsia="Calibri" w:hAnsi="Times New Roman" w:cs="Times New Roman"/>
          <w:color w:val="000000" w:themeColor="text1"/>
          <w:sz w:val="24"/>
          <w:lang w:val="fr-BE"/>
        </w:rPr>
        <w:t xml:space="preserve"> </w:t>
      </w:r>
      <w:r w:rsidR="00D4491E">
        <w:rPr>
          <w:rFonts w:ascii="Times New Roman" w:eastAsia="Calibri" w:hAnsi="Times New Roman" w:cs="Times New Roman"/>
          <w:color w:val="000000" w:themeColor="text1"/>
          <w:sz w:val="24"/>
          <w:lang w:val="fr-BE"/>
        </w:rPr>
        <w:t>:</w:t>
      </w:r>
    </w:p>
    <w:p w:rsidR="00892035" w:rsidRDefault="00892035" w:rsidP="0084736B">
      <w:pPr>
        <w:widowControl w:val="0"/>
        <w:spacing w:after="0" w:line="240" w:lineRule="auto"/>
        <w:jc w:val="both"/>
        <w:rPr>
          <w:rFonts w:ascii="Times New Roman" w:eastAsia="Calibri" w:hAnsi="Times New Roman" w:cs="Times New Roman"/>
          <w:color w:val="000000" w:themeColor="text1"/>
          <w:sz w:val="24"/>
          <w:lang w:val="fr-BE"/>
        </w:rPr>
      </w:pPr>
    </w:p>
    <w:p w:rsidR="005E0A8A" w:rsidRDefault="00D4491E" w:rsidP="0084736B">
      <w:pPr>
        <w:pStyle w:val="ListParagraph"/>
        <w:widowControl w:val="0"/>
        <w:numPr>
          <w:ilvl w:val="0"/>
          <w:numId w:val="13"/>
        </w:numPr>
        <w:spacing w:after="0" w:line="240" w:lineRule="auto"/>
        <w:jc w:val="both"/>
        <w:rPr>
          <w:rFonts w:ascii="Times New Roman" w:eastAsia="Calibri" w:hAnsi="Times New Roman" w:cs="Times New Roman"/>
          <w:color w:val="000000" w:themeColor="text1"/>
          <w:sz w:val="24"/>
          <w:lang w:val="fr-BE"/>
        </w:rPr>
      </w:pPr>
      <w:r w:rsidRPr="00E93A36">
        <w:rPr>
          <w:rFonts w:ascii="Times New Roman" w:eastAsia="Calibri" w:hAnsi="Times New Roman" w:cs="Times New Roman"/>
          <w:color w:val="000000" w:themeColor="text1"/>
          <w:sz w:val="24"/>
          <w:lang w:val="fr-BE"/>
        </w:rPr>
        <w:t xml:space="preserve">De </w:t>
      </w:r>
      <w:r w:rsidR="00202DB8" w:rsidRPr="00E93A36">
        <w:rPr>
          <w:rFonts w:ascii="Times New Roman" w:eastAsia="Calibri" w:hAnsi="Times New Roman" w:cs="Times New Roman"/>
          <w:color w:val="000000" w:themeColor="text1"/>
          <w:sz w:val="24"/>
          <w:lang w:val="fr-BE"/>
        </w:rPr>
        <w:t>l'ensemble de</w:t>
      </w:r>
      <w:r w:rsidR="00F34A4D" w:rsidRPr="00E93A36">
        <w:rPr>
          <w:rFonts w:ascii="Times New Roman" w:eastAsia="Calibri" w:hAnsi="Times New Roman" w:cs="Times New Roman"/>
          <w:color w:val="000000" w:themeColor="text1"/>
          <w:sz w:val="24"/>
          <w:lang w:val="fr-BE"/>
        </w:rPr>
        <w:t xml:space="preserve">s données </w:t>
      </w:r>
      <w:r w:rsidR="00281844" w:rsidRPr="00E93A36">
        <w:rPr>
          <w:rFonts w:ascii="Times New Roman" w:eastAsia="Calibri" w:hAnsi="Times New Roman" w:cs="Times New Roman"/>
          <w:color w:val="000000" w:themeColor="text1"/>
          <w:sz w:val="24"/>
          <w:lang w:val="fr-BE"/>
        </w:rPr>
        <w:t xml:space="preserve">statistiques </w:t>
      </w:r>
      <w:r w:rsidR="00F34A4D" w:rsidRPr="00E93A36">
        <w:rPr>
          <w:rFonts w:ascii="Times New Roman" w:eastAsia="Calibri" w:hAnsi="Times New Roman" w:cs="Times New Roman"/>
          <w:color w:val="000000" w:themeColor="text1"/>
          <w:sz w:val="24"/>
          <w:lang w:val="fr-BE"/>
        </w:rPr>
        <w:t>disponibles</w:t>
      </w:r>
      <w:r w:rsidR="00F67BE0">
        <w:rPr>
          <w:rFonts w:ascii="Times New Roman" w:eastAsia="Calibri" w:hAnsi="Times New Roman" w:cs="Times New Roman"/>
          <w:color w:val="000000" w:themeColor="text1"/>
          <w:sz w:val="24"/>
          <w:lang w:val="fr-BE"/>
        </w:rPr>
        <w:t xml:space="preserve"> </w:t>
      </w:r>
      <w:r w:rsidR="005E0A8A">
        <w:rPr>
          <w:rFonts w:ascii="Times New Roman" w:eastAsia="Calibri" w:hAnsi="Times New Roman" w:cs="Times New Roman"/>
          <w:color w:val="000000" w:themeColor="text1"/>
          <w:sz w:val="24"/>
          <w:lang w:val="fr-BE"/>
        </w:rPr>
        <w:t>;</w:t>
      </w:r>
    </w:p>
    <w:p w:rsidR="00D4491E" w:rsidRPr="00E93A36" w:rsidRDefault="000604D5" w:rsidP="000604D5">
      <w:pPr>
        <w:pStyle w:val="ListParagraph"/>
        <w:widowControl w:val="0"/>
        <w:numPr>
          <w:ilvl w:val="0"/>
          <w:numId w:val="13"/>
        </w:numPr>
        <w:spacing w:after="0" w:line="240" w:lineRule="auto"/>
        <w:jc w:val="both"/>
        <w:rPr>
          <w:rFonts w:ascii="Times New Roman" w:eastAsia="Calibri" w:hAnsi="Times New Roman" w:cs="Times New Roman"/>
          <w:color w:val="000000" w:themeColor="text1"/>
          <w:sz w:val="24"/>
          <w:lang w:val="fr-BE"/>
        </w:rPr>
      </w:pPr>
      <w:r>
        <w:rPr>
          <w:rFonts w:ascii="Times New Roman" w:eastAsia="Calibri" w:hAnsi="Times New Roman" w:cs="Times New Roman"/>
          <w:color w:val="000000" w:themeColor="text1"/>
          <w:sz w:val="24"/>
          <w:lang w:val="fr-BE"/>
        </w:rPr>
        <w:t>D</w:t>
      </w:r>
      <w:r w:rsidRPr="000604D5">
        <w:rPr>
          <w:rFonts w:ascii="Times New Roman" w:eastAsia="Calibri" w:hAnsi="Times New Roman" w:cs="Times New Roman"/>
          <w:color w:val="000000" w:themeColor="text1"/>
          <w:sz w:val="24"/>
          <w:lang w:val="fr-BE"/>
        </w:rPr>
        <w:t>es informations échangées entre l'U</w:t>
      </w:r>
      <w:r>
        <w:rPr>
          <w:rFonts w:ascii="Times New Roman" w:eastAsia="Calibri" w:hAnsi="Times New Roman" w:cs="Times New Roman"/>
          <w:color w:val="000000" w:themeColor="text1"/>
          <w:sz w:val="24"/>
          <w:lang w:val="fr-BE"/>
        </w:rPr>
        <w:t>nion européenne</w:t>
      </w:r>
      <w:r w:rsidRPr="000604D5">
        <w:rPr>
          <w:rFonts w:ascii="Times New Roman" w:eastAsia="Calibri" w:hAnsi="Times New Roman" w:cs="Times New Roman"/>
          <w:color w:val="000000" w:themeColor="text1"/>
          <w:sz w:val="24"/>
          <w:lang w:val="fr-BE"/>
        </w:rPr>
        <w:t xml:space="preserve"> et le Maroc</w:t>
      </w:r>
      <w:r w:rsidR="00262BF0">
        <w:rPr>
          <w:rFonts w:ascii="Times New Roman" w:eastAsia="Calibri" w:hAnsi="Times New Roman" w:cs="Times New Roman"/>
          <w:color w:val="000000" w:themeColor="text1"/>
          <w:sz w:val="24"/>
          <w:lang w:val="fr-BE"/>
        </w:rPr>
        <w:t> ;</w:t>
      </w:r>
    </w:p>
    <w:p w:rsidR="00FA3118" w:rsidRPr="008B3FF0" w:rsidRDefault="008B3FF0" w:rsidP="0084736B">
      <w:pPr>
        <w:pStyle w:val="ListParagraph"/>
        <w:widowControl w:val="0"/>
        <w:numPr>
          <w:ilvl w:val="0"/>
          <w:numId w:val="13"/>
        </w:numPr>
        <w:spacing w:after="0" w:line="240" w:lineRule="auto"/>
        <w:jc w:val="both"/>
        <w:rPr>
          <w:rFonts w:ascii="Times New Roman" w:eastAsia="Calibri" w:hAnsi="Times New Roman" w:cs="Times New Roman"/>
          <w:color w:val="000000" w:themeColor="text1"/>
          <w:sz w:val="24"/>
          <w:lang w:val="fr-BE"/>
        </w:rPr>
      </w:pPr>
      <w:r w:rsidRPr="008B3FF0">
        <w:rPr>
          <w:rFonts w:ascii="Times New Roman" w:eastAsia="Calibri" w:hAnsi="Times New Roman" w:cs="Times New Roman"/>
          <w:color w:val="000000" w:themeColor="text1"/>
          <w:sz w:val="24"/>
          <w:lang w:val="fr-BE"/>
        </w:rPr>
        <w:t>Des consultations effectuées avec un large éventail d</w:t>
      </w:r>
      <w:r w:rsidR="005C661E">
        <w:rPr>
          <w:rFonts w:ascii="Times New Roman" w:eastAsia="Calibri" w:hAnsi="Times New Roman" w:cs="Times New Roman"/>
          <w:color w:val="000000" w:themeColor="text1"/>
          <w:sz w:val="24"/>
          <w:lang w:val="fr-BE"/>
        </w:rPr>
        <w:t>’acteurs</w:t>
      </w:r>
      <w:r w:rsidRPr="008B3FF0">
        <w:rPr>
          <w:rFonts w:ascii="Times New Roman" w:eastAsia="Calibri" w:hAnsi="Times New Roman" w:cs="Times New Roman"/>
          <w:color w:val="000000" w:themeColor="text1"/>
          <w:sz w:val="24"/>
          <w:lang w:val="fr-BE"/>
        </w:rPr>
        <w:t xml:space="preserve"> socio-économiques et politiques de la population du Sahara occidental, notamment par le biais </w:t>
      </w:r>
      <w:r>
        <w:rPr>
          <w:rFonts w:ascii="Times New Roman" w:eastAsia="Calibri" w:hAnsi="Times New Roman" w:cs="Times New Roman"/>
          <w:color w:val="000000" w:themeColor="text1"/>
          <w:sz w:val="24"/>
          <w:lang w:val="fr-BE"/>
        </w:rPr>
        <w:t>d</w:t>
      </w:r>
      <w:r w:rsidR="00D4491E" w:rsidRPr="008B3FF0">
        <w:rPr>
          <w:rFonts w:ascii="Times New Roman" w:eastAsia="Calibri" w:hAnsi="Times New Roman" w:cs="Times New Roman"/>
          <w:color w:val="000000" w:themeColor="text1"/>
          <w:sz w:val="24"/>
          <w:lang w:val="fr-BE"/>
        </w:rPr>
        <w:t xml:space="preserve">’entretiens avec des organisations </w:t>
      </w:r>
      <w:r w:rsidR="005C661E">
        <w:rPr>
          <w:rFonts w:ascii="Times New Roman" w:eastAsia="Calibri" w:hAnsi="Times New Roman" w:cs="Times New Roman"/>
          <w:color w:val="000000" w:themeColor="text1"/>
          <w:sz w:val="24"/>
          <w:lang w:val="fr-BE"/>
        </w:rPr>
        <w:t>de</w:t>
      </w:r>
      <w:r w:rsidR="00D4491E" w:rsidRPr="008B3FF0">
        <w:rPr>
          <w:rFonts w:ascii="Times New Roman" w:eastAsia="Calibri" w:hAnsi="Times New Roman" w:cs="Times New Roman"/>
          <w:color w:val="000000" w:themeColor="text1"/>
          <w:sz w:val="24"/>
          <w:lang w:val="fr-BE"/>
        </w:rPr>
        <w:t xml:space="preserve"> la société civile, des parlementaires du Sahara occidental, des opérateurs économiques et enfin des </w:t>
      </w:r>
      <w:r w:rsidR="0078119C" w:rsidRPr="008B3FF0">
        <w:rPr>
          <w:rFonts w:ascii="Times New Roman" w:eastAsia="Calibri" w:hAnsi="Times New Roman" w:cs="Times New Roman"/>
          <w:color w:val="000000" w:themeColor="text1"/>
          <w:sz w:val="24"/>
          <w:lang w:val="fr-BE"/>
        </w:rPr>
        <w:t>représentants du Front Polisario</w:t>
      </w:r>
      <w:r w:rsidR="00262BF0">
        <w:rPr>
          <w:rFonts w:ascii="Times New Roman" w:eastAsia="Calibri" w:hAnsi="Times New Roman" w:cs="Times New Roman"/>
          <w:color w:val="000000" w:themeColor="text1"/>
          <w:sz w:val="24"/>
          <w:lang w:val="fr-BE"/>
        </w:rPr>
        <w:t> ;</w:t>
      </w:r>
      <w:r w:rsidR="00353EAA" w:rsidRPr="008B3FF0">
        <w:rPr>
          <w:rFonts w:ascii="Times New Roman" w:eastAsia="Calibri" w:hAnsi="Times New Roman" w:cs="Times New Roman"/>
          <w:color w:val="000000" w:themeColor="text1"/>
          <w:sz w:val="24"/>
          <w:lang w:val="fr-BE"/>
        </w:rPr>
        <w:t xml:space="preserve"> </w:t>
      </w:r>
    </w:p>
    <w:p w:rsidR="00353EAA" w:rsidRPr="00FA3118" w:rsidRDefault="00353EAA" w:rsidP="0084736B">
      <w:pPr>
        <w:pStyle w:val="ListParagraph"/>
        <w:widowControl w:val="0"/>
        <w:numPr>
          <w:ilvl w:val="0"/>
          <w:numId w:val="13"/>
        </w:numPr>
        <w:spacing w:after="0" w:line="240" w:lineRule="auto"/>
        <w:jc w:val="both"/>
        <w:rPr>
          <w:rFonts w:ascii="Times New Roman" w:eastAsia="Calibri" w:hAnsi="Times New Roman" w:cs="Times New Roman"/>
          <w:color w:val="000000" w:themeColor="text1"/>
          <w:sz w:val="24"/>
          <w:lang w:val="fr-BE"/>
        </w:rPr>
      </w:pPr>
      <w:r w:rsidRPr="00FA3118">
        <w:rPr>
          <w:rFonts w:ascii="Times New Roman" w:eastAsia="Calibri" w:hAnsi="Times New Roman" w:cs="Times New Roman"/>
          <w:color w:val="000000" w:themeColor="text1"/>
          <w:sz w:val="24"/>
          <w:lang w:val="fr-BE"/>
        </w:rPr>
        <w:t xml:space="preserve">Des </w:t>
      </w:r>
      <w:r w:rsidR="005E0A8A" w:rsidRPr="00FA3118">
        <w:rPr>
          <w:rFonts w:ascii="Times New Roman" w:eastAsia="Calibri" w:hAnsi="Times New Roman" w:cs="Times New Roman"/>
          <w:color w:val="000000" w:themeColor="text1"/>
          <w:sz w:val="24"/>
          <w:lang w:val="fr-BE"/>
        </w:rPr>
        <w:t>observations formulées par le</w:t>
      </w:r>
      <w:r w:rsidRPr="00FA3118">
        <w:rPr>
          <w:rFonts w:ascii="Times New Roman" w:eastAsia="Calibri" w:hAnsi="Times New Roman" w:cs="Times New Roman"/>
          <w:color w:val="000000" w:themeColor="text1"/>
          <w:sz w:val="24"/>
          <w:lang w:val="fr-BE"/>
        </w:rPr>
        <w:t xml:space="preserve"> Front Polisario dans </w:t>
      </w:r>
      <w:r w:rsidR="005E0A8A" w:rsidRPr="00FA3118">
        <w:rPr>
          <w:rFonts w:ascii="Times New Roman" w:eastAsia="Calibri" w:hAnsi="Times New Roman" w:cs="Times New Roman"/>
          <w:color w:val="000000" w:themeColor="text1"/>
          <w:sz w:val="24"/>
          <w:lang w:val="fr-BE"/>
        </w:rPr>
        <w:t xml:space="preserve">le cadre de </w:t>
      </w:r>
      <w:r w:rsidRPr="00FA3118">
        <w:rPr>
          <w:rFonts w:ascii="Times New Roman" w:eastAsia="Calibri" w:hAnsi="Times New Roman" w:cs="Times New Roman"/>
          <w:color w:val="000000" w:themeColor="text1"/>
          <w:sz w:val="24"/>
          <w:lang w:val="fr-BE"/>
        </w:rPr>
        <w:t xml:space="preserve">son recours T-512/12 et par Western Sahara Campaign dans </w:t>
      </w:r>
      <w:r w:rsidR="00E400EB" w:rsidRPr="00FA3118">
        <w:rPr>
          <w:rFonts w:ascii="Times New Roman" w:eastAsia="Calibri" w:hAnsi="Times New Roman" w:cs="Times New Roman"/>
          <w:color w:val="000000" w:themeColor="text1"/>
          <w:sz w:val="24"/>
          <w:lang w:val="fr-BE"/>
        </w:rPr>
        <w:t xml:space="preserve">le contentieux national qui a donné lieu à </w:t>
      </w:r>
      <w:r w:rsidRPr="00FA3118">
        <w:rPr>
          <w:rFonts w:ascii="Times New Roman" w:eastAsia="Calibri" w:hAnsi="Times New Roman" w:cs="Times New Roman"/>
          <w:color w:val="000000" w:themeColor="text1"/>
          <w:sz w:val="24"/>
          <w:lang w:val="fr-BE"/>
        </w:rPr>
        <w:t>l’affaire C-266/16</w:t>
      </w:r>
      <w:r w:rsidR="00262BF0">
        <w:rPr>
          <w:rFonts w:ascii="Times New Roman" w:eastAsia="Calibri" w:hAnsi="Times New Roman" w:cs="Times New Roman"/>
          <w:color w:val="000000" w:themeColor="text1"/>
          <w:sz w:val="24"/>
          <w:lang w:val="fr-BE"/>
        </w:rPr>
        <w:t> ;</w:t>
      </w:r>
    </w:p>
    <w:p w:rsidR="00CA5423" w:rsidRPr="00C04BAD" w:rsidRDefault="008775B1" w:rsidP="00C062FA">
      <w:pPr>
        <w:pStyle w:val="ListParagraph"/>
        <w:widowControl w:val="0"/>
        <w:numPr>
          <w:ilvl w:val="0"/>
          <w:numId w:val="13"/>
        </w:numPr>
        <w:spacing w:after="0" w:line="240" w:lineRule="auto"/>
        <w:jc w:val="both"/>
        <w:rPr>
          <w:rFonts w:ascii="Times New Roman" w:eastAsia="Calibri" w:hAnsi="Times New Roman" w:cs="Times New Roman"/>
          <w:color w:val="000000" w:themeColor="text1"/>
          <w:sz w:val="24"/>
          <w:lang w:val="fr-BE"/>
        </w:rPr>
      </w:pPr>
      <w:r w:rsidRPr="00C04BAD">
        <w:rPr>
          <w:rFonts w:ascii="Times New Roman" w:eastAsia="Calibri" w:hAnsi="Times New Roman" w:cs="Times New Roman"/>
          <w:color w:val="000000" w:themeColor="text1"/>
          <w:sz w:val="24"/>
          <w:lang w:val="fr-BE"/>
        </w:rPr>
        <w:t>Les rapports</w:t>
      </w:r>
      <w:r w:rsidR="00A00E69" w:rsidRPr="00C04BAD">
        <w:rPr>
          <w:rFonts w:ascii="Times New Roman" w:eastAsia="Calibri" w:hAnsi="Times New Roman" w:cs="Times New Roman"/>
          <w:color w:val="000000" w:themeColor="text1"/>
          <w:sz w:val="24"/>
          <w:lang w:val="fr-BE"/>
        </w:rPr>
        <w:t xml:space="preserve"> a</w:t>
      </w:r>
      <w:r w:rsidR="00A00E69">
        <w:rPr>
          <w:rFonts w:ascii="Times New Roman" w:eastAsia="Calibri" w:hAnsi="Times New Roman" w:cs="Times New Roman"/>
          <w:color w:val="000000" w:themeColor="text1"/>
          <w:sz w:val="24"/>
          <w:lang w:val="fr-BE"/>
        </w:rPr>
        <w:t xml:space="preserve">nnuels du Secrétaire </w:t>
      </w:r>
      <w:r w:rsidR="00C062FA">
        <w:rPr>
          <w:rFonts w:ascii="Times New Roman" w:eastAsia="Calibri" w:hAnsi="Times New Roman" w:cs="Times New Roman"/>
          <w:color w:val="000000" w:themeColor="text1"/>
          <w:sz w:val="24"/>
          <w:lang w:val="fr-BE"/>
        </w:rPr>
        <w:t>g</w:t>
      </w:r>
      <w:r w:rsidR="00A00E69">
        <w:rPr>
          <w:rFonts w:ascii="Times New Roman" w:eastAsia="Calibri" w:hAnsi="Times New Roman" w:cs="Times New Roman"/>
          <w:color w:val="000000" w:themeColor="text1"/>
          <w:sz w:val="24"/>
          <w:lang w:val="fr-BE"/>
        </w:rPr>
        <w:t xml:space="preserve">énéral </w:t>
      </w:r>
      <w:r w:rsidR="00423348">
        <w:rPr>
          <w:rFonts w:ascii="Times New Roman" w:eastAsia="Calibri" w:hAnsi="Times New Roman" w:cs="Times New Roman"/>
          <w:color w:val="000000" w:themeColor="text1"/>
          <w:sz w:val="24"/>
          <w:lang w:val="fr-BE"/>
        </w:rPr>
        <w:t xml:space="preserve">des Nations Unies </w:t>
      </w:r>
      <w:r w:rsidR="00A00E69">
        <w:rPr>
          <w:rFonts w:ascii="Times New Roman" w:eastAsia="Calibri" w:hAnsi="Times New Roman" w:cs="Times New Roman"/>
          <w:color w:val="000000" w:themeColor="text1"/>
          <w:sz w:val="24"/>
          <w:lang w:val="fr-BE"/>
        </w:rPr>
        <w:t xml:space="preserve">sur la situation concernant le </w:t>
      </w:r>
      <w:r w:rsidR="0041727B">
        <w:rPr>
          <w:rFonts w:ascii="Times New Roman" w:eastAsia="Calibri" w:hAnsi="Times New Roman" w:cs="Times New Roman"/>
          <w:color w:val="000000" w:themeColor="text1"/>
          <w:sz w:val="24"/>
          <w:lang w:val="fr-BE"/>
        </w:rPr>
        <w:t>Sahara</w:t>
      </w:r>
      <w:r w:rsidR="00A00E69">
        <w:rPr>
          <w:rFonts w:ascii="Times New Roman" w:eastAsia="Calibri" w:hAnsi="Times New Roman" w:cs="Times New Roman"/>
          <w:color w:val="000000" w:themeColor="text1"/>
          <w:sz w:val="24"/>
          <w:lang w:val="fr-BE"/>
        </w:rPr>
        <w:t xml:space="preserve"> occidental</w:t>
      </w:r>
      <w:r w:rsidR="00262BF0">
        <w:rPr>
          <w:rFonts w:ascii="Times New Roman" w:eastAsia="Calibri" w:hAnsi="Times New Roman" w:cs="Times New Roman"/>
          <w:color w:val="000000" w:themeColor="text1"/>
          <w:sz w:val="24"/>
          <w:lang w:val="fr-BE"/>
        </w:rPr>
        <w:t xml:space="preserve"> et</w:t>
      </w:r>
      <w:r w:rsidR="00A00E69">
        <w:rPr>
          <w:rFonts w:ascii="Times New Roman" w:eastAsia="Calibri" w:hAnsi="Times New Roman" w:cs="Times New Roman"/>
          <w:color w:val="000000" w:themeColor="text1"/>
          <w:sz w:val="24"/>
          <w:lang w:val="fr-BE"/>
        </w:rPr>
        <w:t xml:space="preserve"> le site Internet</w:t>
      </w:r>
      <w:r w:rsidRPr="00C04BAD">
        <w:rPr>
          <w:rFonts w:ascii="Times New Roman" w:eastAsia="Calibri" w:hAnsi="Times New Roman" w:cs="Times New Roman"/>
          <w:color w:val="000000" w:themeColor="text1"/>
          <w:sz w:val="24"/>
          <w:lang w:val="fr-BE"/>
        </w:rPr>
        <w:t xml:space="preserve"> de la Mission des Nations Unies pour </w:t>
      </w:r>
      <w:r w:rsidR="00C062FA" w:rsidRPr="00C062FA">
        <w:rPr>
          <w:rFonts w:ascii="Times New Roman" w:eastAsia="Calibri" w:hAnsi="Times New Roman" w:cs="Times New Roman"/>
          <w:color w:val="000000" w:themeColor="text1"/>
          <w:sz w:val="24"/>
          <w:lang w:val="fr-BE"/>
        </w:rPr>
        <w:t>l'organisation</w:t>
      </w:r>
      <w:r w:rsidR="00C062FA">
        <w:rPr>
          <w:rFonts w:ascii="Times New Roman" w:eastAsia="Calibri" w:hAnsi="Times New Roman" w:cs="Times New Roman"/>
          <w:color w:val="000000" w:themeColor="text1"/>
          <w:sz w:val="24"/>
          <w:lang w:val="fr-BE"/>
        </w:rPr>
        <w:t xml:space="preserve"> d’</w:t>
      </w:r>
      <w:r w:rsidRPr="00C04BAD">
        <w:rPr>
          <w:rFonts w:ascii="Times New Roman" w:eastAsia="Calibri" w:hAnsi="Times New Roman" w:cs="Times New Roman"/>
          <w:color w:val="000000" w:themeColor="text1"/>
          <w:sz w:val="24"/>
          <w:lang w:val="fr-BE"/>
        </w:rPr>
        <w:t>un r</w:t>
      </w:r>
      <w:r w:rsidR="0059134D">
        <w:rPr>
          <w:rFonts w:ascii="Times New Roman" w:eastAsia="Calibri" w:hAnsi="Times New Roman" w:cs="Times New Roman"/>
          <w:color w:val="000000" w:themeColor="text1"/>
          <w:sz w:val="24"/>
          <w:lang w:val="fr-BE"/>
        </w:rPr>
        <w:t>é</w:t>
      </w:r>
      <w:r w:rsidRPr="00C04BAD">
        <w:rPr>
          <w:rFonts w:ascii="Times New Roman" w:eastAsia="Calibri" w:hAnsi="Times New Roman" w:cs="Times New Roman"/>
          <w:color w:val="000000" w:themeColor="text1"/>
          <w:sz w:val="24"/>
          <w:lang w:val="fr-BE"/>
        </w:rPr>
        <w:t>f</w:t>
      </w:r>
      <w:r w:rsidR="0059134D">
        <w:rPr>
          <w:rFonts w:ascii="Times New Roman" w:eastAsia="Calibri" w:hAnsi="Times New Roman" w:cs="Times New Roman"/>
          <w:color w:val="000000" w:themeColor="text1"/>
          <w:sz w:val="24"/>
          <w:lang w:val="fr-BE"/>
        </w:rPr>
        <w:t>é</w:t>
      </w:r>
      <w:r w:rsidRPr="00C04BAD">
        <w:rPr>
          <w:rFonts w:ascii="Times New Roman" w:eastAsia="Calibri" w:hAnsi="Times New Roman" w:cs="Times New Roman"/>
          <w:color w:val="000000" w:themeColor="text1"/>
          <w:sz w:val="24"/>
          <w:lang w:val="fr-BE"/>
        </w:rPr>
        <w:t>rendum au Sahara occidental</w:t>
      </w:r>
      <w:r>
        <w:rPr>
          <w:rStyle w:val="FootnoteReference"/>
          <w:rFonts w:ascii="Times New Roman" w:eastAsia="Calibri" w:hAnsi="Times New Roman" w:cs="Times New Roman"/>
          <w:color w:val="000000" w:themeColor="text1"/>
          <w:sz w:val="24"/>
        </w:rPr>
        <w:footnoteReference w:id="8"/>
      </w:r>
      <w:r w:rsidR="00262BF0">
        <w:rPr>
          <w:rFonts w:ascii="Times New Roman" w:eastAsia="Calibri" w:hAnsi="Times New Roman" w:cs="Times New Roman"/>
          <w:color w:val="000000" w:themeColor="text1"/>
          <w:sz w:val="24"/>
          <w:lang w:val="fr-BE"/>
        </w:rPr>
        <w:t> ;</w:t>
      </w:r>
      <w:r w:rsidRPr="00C04BAD">
        <w:rPr>
          <w:rFonts w:ascii="Times New Roman" w:eastAsia="Calibri" w:hAnsi="Times New Roman" w:cs="Times New Roman"/>
          <w:color w:val="000000" w:themeColor="text1"/>
          <w:sz w:val="24"/>
          <w:lang w:val="fr-BE"/>
        </w:rPr>
        <w:t xml:space="preserve"> </w:t>
      </w:r>
    </w:p>
    <w:p w:rsidR="000C79F1" w:rsidRDefault="00354661" w:rsidP="0084736B">
      <w:pPr>
        <w:pStyle w:val="ListParagraph"/>
        <w:widowControl w:val="0"/>
        <w:numPr>
          <w:ilvl w:val="0"/>
          <w:numId w:val="13"/>
        </w:numPr>
        <w:spacing w:after="0" w:line="240" w:lineRule="auto"/>
        <w:jc w:val="both"/>
        <w:rPr>
          <w:rFonts w:ascii="Times New Roman" w:eastAsia="Calibri" w:hAnsi="Times New Roman" w:cs="Times New Roman"/>
          <w:color w:val="000000" w:themeColor="text1"/>
          <w:sz w:val="24"/>
          <w:lang w:val="fr-BE"/>
        </w:rPr>
      </w:pPr>
      <w:r>
        <w:rPr>
          <w:rFonts w:ascii="Times New Roman" w:eastAsia="Arial Unicode MS" w:hAnsi="Times New Roman" w:cs="Times New Roman"/>
          <w:sz w:val="24"/>
          <w:szCs w:val="24"/>
          <w:bdr w:val="nil"/>
          <w:lang w:val="fr-FR"/>
        </w:rPr>
        <w:t>D’i</w:t>
      </w:r>
      <w:r w:rsidRPr="00354661">
        <w:rPr>
          <w:rFonts w:ascii="Times New Roman" w:eastAsia="Arial Unicode MS" w:hAnsi="Times New Roman" w:cs="Times New Roman"/>
          <w:sz w:val="24"/>
          <w:szCs w:val="24"/>
          <w:bdr w:val="nil"/>
          <w:lang w:val="fr-FR"/>
        </w:rPr>
        <w:t xml:space="preserve">nformations </w:t>
      </w:r>
      <w:r w:rsidR="007C0B76">
        <w:rPr>
          <w:rFonts w:ascii="Times New Roman" w:eastAsia="Arial Unicode MS" w:hAnsi="Times New Roman" w:cs="Times New Roman"/>
          <w:sz w:val="24"/>
          <w:szCs w:val="24"/>
          <w:bdr w:val="nil"/>
          <w:lang w:val="fr-FR"/>
        </w:rPr>
        <w:t xml:space="preserve">disponibles </w:t>
      </w:r>
      <w:r w:rsidRPr="00354661">
        <w:rPr>
          <w:rFonts w:ascii="Times New Roman" w:eastAsia="Arial Unicode MS" w:hAnsi="Times New Roman" w:cs="Times New Roman"/>
          <w:sz w:val="24"/>
          <w:szCs w:val="24"/>
          <w:bdr w:val="nil"/>
          <w:lang w:val="fr-FR"/>
        </w:rPr>
        <w:t>dans le domain</w:t>
      </w:r>
      <w:r>
        <w:rPr>
          <w:rFonts w:ascii="Times New Roman" w:eastAsia="Arial Unicode MS" w:hAnsi="Times New Roman" w:cs="Times New Roman"/>
          <w:sz w:val="24"/>
          <w:szCs w:val="24"/>
          <w:bdr w:val="nil"/>
          <w:lang w:val="fr-FR"/>
        </w:rPr>
        <w:t>e</w:t>
      </w:r>
      <w:r w:rsidRPr="00354661">
        <w:rPr>
          <w:rFonts w:ascii="Times New Roman" w:eastAsia="Arial Unicode MS" w:hAnsi="Times New Roman" w:cs="Times New Roman"/>
          <w:sz w:val="24"/>
          <w:szCs w:val="24"/>
          <w:bdr w:val="nil"/>
          <w:lang w:val="fr-FR"/>
        </w:rPr>
        <w:t xml:space="preserve"> public</w:t>
      </w:r>
      <w:r w:rsidR="000C79F1">
        <w:rPr>
          <w:rFonts w:ascii="Times New Roman" w:eastAsia="Calibri" w:hAnsi="Times New Roman" w:cs="Times New Roman"/>
          <w:color w:val="000000" w:themeColor="text1"/>
          <w:sz w:val="24"/>
          <w:lang w:val="fr-BE"/>
        </w:rPr>
        <w:t>.</w:t>
      </w:r>
    </w:p>
    <w:p w:rsidR="00892035" w:rsidRDefault="00892035" w:rsidP="0084736B">
      <w:pPr>
        <w:widowControl w:val="0"/>
        <w:spacing w:after="0" w:line="240" w:lineRule="auto"/>
        <w:jc w:val="both"/>
        <w:rPr>
          <w:rFonts w:ascii="Times New Roman" w:eastAsia="Calibri" w:hAnsi="Times New Roman" w:cs="Times New Roman"/>
          <w:color w:val="000000" w:themeColor="text1"/>
          <w:sz w:val="24"/>
          <w:lang w:val="fr-BE"/>
        </w:rPr>
      </w:pPr>
    </w:p>
    <w:p w:rsidR="008A3BD9" w:rsidRPr="008A3BD9" w:rsidRDefault="008A3BD9" w:rsidP="008A3BD9">
      <w:pPr>
        <w:widowControl w:val="0"/>
        <w:spacing w:after="0" w:line="240" w:lineRule="auto"/>
        <w:jc w:val="both"/>
        <w:rPr>
          <w:rFonts w:ascii="Times New Roman" w:eastAsia="Calibri" w:hAnsi="Times New Roman" w:cs="Times New Roman"/>
          <w:color w:val="000000" w:themeColor="text1"/>
          <w:sz w:val="24"/>
          <w:lang w:val="fr-BE"/>
        </w:rPr>
      </w:pPr>
      <w:r w:rsidRPr="008A3BD9">
        <w:rPr>
          <w:rFonts w:ascii="Times New Roman" w:eastAsia="Calibri" w:hAnsi="Times New Roman" w:cs="Times New Roman"/>
          <w:color w:val="000000" w:themeColor="text1"/>
          <w:sz w:val="24"/>
          <w:lang w:val="fr-BE"/>
        </w:rPr>
        <w:t xml:space="preserve">Par ailleurs, les services de la Commission </w:t>
      </w:r>
      <w:r>
        <w:rPr>
          <w:rFonts w:ascii="Times New Roman" w:eastAsia="Calibri" w:hAnsi="Times New Roman" w:cs="Times New Roman"/>
          <w:color w:val="000000" w:themeColor="text1"/>
          <w:sz w:val="24"/>
          <w:lang w:val="fr-BE"/>
        </w:rPr>
        <w:t xml:space="preserve">européenne </w:t>
      </w:r>
      <w:r w:rsidRPr="008A3BD9">
        <w:rPr>
          <w:rFonts w:ascii="Times New Roman" w:eastAsia="Calibri" w:hAnsi="Times New Roman" w:cs="Times New Roman"/>
          <w:color w:val="000000" w:themeColor="text1"/>
          <w:sz w:val="24"/>
          <w:lang w:val="fr-BE"/>
        </w:rPr>
        <w:t>et du Service Européen d</w:t>
      </w:r>
      <w:r>
        <w:rPr>
          <w:rFonts w:ascii="Times New Roman" w:eastAsia="Calibri" w:hAnsi="Times New Roman" w:cs="Times New Roman"/>
          <w:color w:val="000000" w:themeColor="text1"/>
          <w:sz w:val="24"/>
          <w:lang w:val="fr-BE"/>
        </w:rPr>
        <w:t>’</w:t>
      </w:r>
      <w:r w:rsidRPr="008A3BD9">
        <w:rPr>
          <w:rFonts w:ascii="Times New Roman" w:eastAsia="Calibri" w:hAnsi="Times New Roman" w:cs="Times New Roman"/>
          <w:color w:val="000000" w:themeColor="text1"/>
          <w:sz w:val="24"/>
          <w:lang w:val="fr-BE"/>
        </w:rPr>
        <w:t>Action Extérieure</w:t>
      </w:r>
      <w:r w:rsidR="002024CF">
        <w:rPr>
          <w:rFonts w:ascii="Times New Roman" w:eastAsia="Calibri" w:hAnsi="Times New Roman" w:cs="Times New Roman"/>
          <w:color w:val="000000" w:themeColor="text1"/>
          <w:sz w:val="24"/>
          <w:lang w:val="fr-BE"/>
        </w:rPr>
        <w:t xml:space="preserve"> (SEAE)</w:t>
      </w:r>
      <w:r w:rsidRPr="008A3BD9">
        <w:rPr>
          <w:rFonts w:ascii="Times New Roman" w:eastAsia="Calibri" w:hAnsi="Times New Roman" w:cs="Times New Roman"/>
          <w:color w:val="000000" w:themeColor="text1"/>
          <w:sz w:val="24"/>
          <w:lang w:val="fr-BE"/>
        </w:rPr>
        <w:t xml:space="preserve"> ont également maintenu des contacts réguliers avec l'équipe de l'Envoyé Personnel du Secrétaire général de</w:t>
      </w:r>
      <w:r>
        <w:rPr>
          <w:rFonts w:ascii="Times New Roman" w:eastAsia="Calibri" w:hAnsi="Times New Roman" w:cs="Times New Roman"/>
          <w:color w:val="000000" w:themeColor="text1"/>
          <w:sz w:val="24"/>
          <w:lang w:val="fr-BE"/>
        </w:rPr>
        <w:t>s</w:t>
      </w:r>
      <w:r w:rsidRPr="008A3BD9">
        <w:rPr>
          <w:rFonts w:ascii="Times New Roman" w:eastAsia="Calibri" w:hAnsi="Times New Roman" w:cs="Times New Roman"/>
          <w:color w:val="000000" w:themeColor="text1"/>
          <w:sz w:val="24"/>
          <w:lang w:val="fr-BE"/>
        </w:rPr>
        <w:t xml:space="preserve"> Nations unies pour le Sahara Occidental. Ces contacts avaient pour objectif de s’assurer que l’accord proposé viendrait bien à l'appui des efforts du Secrétaire général des Nations unies visant à parvenir à une solution prévoyant l'autodétermination du peuple du Sahara occidental conformément aux principes et objectifs de la Charte des Nations unies. </w:t>
      </w:r>
    </w:p>
    <w:p w:rsidR="008B3FF0" w:rsidRDefault="008B3FF0" w:rsidP="0084736B">
      <w:pPr>
        <w:widowControl w:val="0"/>
        <w:spacing w:after="0" w:line="240" w:lineRule="auto"/>
        <w:jc w:val="both"/>
        <w:rPr>
          <w:rFonts w:ascii="Times New Roman" w:eastAsia="Calibri" w:hAnsi="Times New Roman" w:cs="Times New Roman"/>
          <w:color w:val="000000" w:themeColor="text1"/>
          <w:sz w:val="24"/>
          <w:lang w:val="fr-BE"/>
        </w:rPr>
      </w:pPr>
    </w:p>
    <w:p w:rsidR="00F34A4D" w:rsidRPr="00016D46" w:rsidRDefault="0077531F" w:rsidP="007F56E3">
      <w:pPr>
        <w:pStyle w:val="Heading2"/>
        <w:rPr>
          <w:rFonts w:eastAsia="Arial Unicode MS"/>
          <w:lang w:val="fr-BE"/>
        </w:rPr>
      </w:pPr>
      <w:bookmarkStart w:id="5" w:name="_Toc511381540"/>
      <w:bookmarkStart w:id="6" w:name="_Toc514257457"/>
      <w:r w:rsidRPr="00016D46">
        <w:rPr>
          <w:rFonts w:eastAsia="Arial Unicode MS"/>
          <w:lang w:val="fr-BE"/>
        </w:rPr>
        <w:t>Champ de l’é</w:t>
      </w:r>
      <w:r w:rsidR="004414FF" w:rsidRPr="00016D46">
        <w:rPr>
          <w:rFonts w:eastAsia="Arial Unicode MS"/>
          <w:lang w:val="fr-BE"/>
        </w:rPr>
        <w:t>valuation et</w:t>
      </w:r>
      <w:r w:rsidRPr="00016D46">
        <w:rPr>
          <w:rFonts w:eastAsia="Arial Unicode MS"/>
          <w:lang w:val="fr-BE"/>
        </w:rPr>
        <w:t xml:space="preserve"> </w:t>
      </w:r>
      <w:r w:rsidR="0044246F" w:rsidRPr="00016D46">
        <w:rPr>
          <w:rFonts w:eastAsia="Arial Unicode MS"/>
          <w:lang w:val="fr-BE"/>
        </w:rPr>
        <w:t xml:space="preserve">questions </w:t>
      </w:r>
      <w:r w:rsidR="00F34A4D" w:rsidRPr="00016D46">
        <w:rPr>
          <w:rFonts w:eastAsia="Arial Unicode MS"/>
          <w:lang w:val="fr-BE"/>
        </w:rPr>
        <w:t>méthodologiques</w:t>
      </w:r>
      <w:bookmarkEnd w:id="5"/>
      <w:bookmarkEnd w:id="6"/>
    </w:p>
    <w:p w:rsidR="00592EB9" w:rsidRDefault="00592EB9" w:rsidP="0084736B">
      <w:pPr>
        <w:pStyle w:val="ListParagraph"/>
        <w:widowControl w:val="0"/>
        <w:spacing w:after="0" w:line="240" w:lineRule="auto"/>
        <w:ind w:left="780"/>
        <w:jc w:val="both"/>
        <w:rPr>
          <w:rFonts w:ascii="Times New Roman" w:eastAsia="Calibri" w:hAnsi="Times New Roman" w:cs="Times New Roman"/>
          <w:sz w:val="24"/>
          <w:lang w:val="fr-BE"/>
        </w:rPr>
      </w:pPr>
    </w:p>
    <w:p w:rsidR="00403909" w:rsidRPr="00DE74A4" w:rsidRDefault="00403909" w:rsidP="007F56E3">
      <w:pPr>
        <w:pStyle w:val="Heading3"/>
        <w:rPr>
          <w:rFonts w:eastAsia="Calibri"/>
          <w:lang w:val="fr-BE"/>
        </w:rPr>
      </w:pPr>
      <w:bookmarkStart w:id="7" w:name="_Toc514257458"/>
      <w:r w:rsidRPr="00DE74A4">
        <w:rPr>
          <w:rFonts w:eastAsia="Calibri"/>
          <w:lang w:val="fr-BE"/>
        </w:rPr>
        <w:t>Champ de l’étude</w:t>
      </w:r>
      <w:bookmarkEnd w:id="7"/>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423348" w:rsidRDefault="00423348" w:rsidP="00423348">
      <w:pPr>
        <w:widowControl w:val="0"/>
        <w:spacing w:after="0" w:line="240" w:lineRule="auto"/>
        <w:jc w:val="both"/>
        <w:rPr>
          <w:rFonts w:ascii="Times New Roman" w:eastAsia="Calibri" w:hAnsi="Times New Roman" w:cs="Times New Roman"/>
          <w:sz w:val="24"/>
          <w:lang w:val="fr-BE"/>
        </w:rPr>
      </w:pPr>
      <w:r w:rsidRPr="00F34A4D">
        <w:rPr>
          <w:rFonts w:ascii="Times New Roman" w:eastAsia="Calibri" w:hAnsi="Times New Roman" w:cs="Times New Roman"/>
          <w:sz w:val="24"/>
          <w:lang w:val="fr-BE"/>
        </w:rPr>
        <w:t xml:space="preserve">L’objet de la présente évaluation est de déterminer </w:t>
      </w:r>
      <w:r w:rsidRPr="0077531F">
        <w:rPr>
          <w:rFonts w:ascii="Times New Roman" w:eastAsia="Calibri" w:hAnsi="Times New Roman" w:cs="Times New Roman"/>
          <w:sz w:val="24"/>
          <w:lang w:val="fr-BE"/>
        </w:rPr>
        <w:t xml:space="preserve">les </w:t>
      </w:r>
      <w:r>
        <w:rPr>
          <w:rFonts w:ascii="Times New Roman" w:eastAsia="Calibri" w:hAnsi="Times New Roman" w:cs="Times New Roman"/>
          <w:sz w:val="24"/>
          <w:lang w:val="fr-BE"/>
        </w:rPr>
        <w:t>bénéfices pour le</w:t>
      </w:r>
      <w:r w:rsidR="000604D5">
        <w:rPr>
          <w:rFonts w:ascii="Times New Roman" w:eastAsia="Calibri" w:hAnsi="Times New Roman" w:cs="Times New Roman"/>
          <w:sz w:val="24"/>
          <w:lang w:val="fr-BE"/>
        </w:rPr>
        <w:t>s populations</w:t>
      </w:r>
      <w:r>
        <w:rPr>
          <w:rFonts w:ascii="Times New Roman" w:eastAsia="Calibri" w:hAnsi="Times New Roman" w:cs="Times New Roman"/>
          <w:sz w:val="24"/>
          <w:lang w:val="fr-BE"/>
        </w:rPr>
        <w:t xml:space="preserve"> du Sahara occidental en se fondant sur le</w:t>
      </w:r>
      <w:r w:rsidR="000604D5">
        <w:rPr>
          <w:rFonts w:ascii="Times New Roman" w:eastAsia="Calibri" w:hAnsi="Times New Roman" w:cs="Times New Roman"/>
          <w:sz w:val="24"/>
          <w:lang w:val="fr-BE"/>
        </w:rPr>
        <w:t>s</w:t>
      </w:r>
      <w:r>
        <w:rPr>
          <w:rFonts w:ascii="Times New Roman" w:eastAsia="Calibri" w:hAnsi="Times New Roman" w:cs="Times New Roman"/>
          <w:sz w:val="24"/>
          <w:lang w:val="fr-BE"/>
        </w:rPr>
        <w:t xml:space="preserve"> paramètres pertinents dans le cadre de l'article 73 de la Charte des Nations Unies.  Ainsi, il analysera les </w:t>
      </w:r>
      <w:r w:rsidRPr="0077531F">
        <w:rPr>
          <w:rFonts w:ascii="Times New Roman" w:eastAsia="Calibri" w:hAnsi="Times New Roman" w:cs="Times New Roman"/>
          <w:sz w:val="24"/>
          <w:lang w:val="fr-BE"/>
        </w:rPr>
        <w:t>répercussions potentielles de l'accord sur le développement durable</w:t>
      </w:r>
      <w:r>
        <w:rPr>
          <w:rFonts w:ascii="Times New Roman" w:eastAsia="Calibri" w:hAnsi="Times New Roman" w:cs="Times New Roman"/>
          <w:sz w:val="24"/>
          <w:lang w:val="fr-BE"/>
        </w:rPr>
        <w:t xml:space="preserve"> du Sahara occidental</w:t>
      </w:r>
      <w:r w:rsidRPr="0077531F">
        <w:rPr>
          <w:rFonts w:ascii="Times New Roman" w:eastAsia="Calibri" w:hAnsi="Times New Roman" w:cs="Times New Roman"/>
          <w:sz w:val="24"/>
          <w:lang w:val="fr-BE"/>
        </w:rPr>
        <w:t>, notamment en ce qui concerne les avantages pour les populations concernées et l'exploitation des ressources naturelles des territoires concernés</w:t>
      </w:r>
      <w:r w:rsidRPr="00F34A4D">
        <w:rPr>
          <w:rFonts w:ascii="Times New Roman" w:eastAsia="Calibri" w:hAnsi="Times New Roman" w:cs="Times New Roman"/>
          <w:sz w:val="24"/>
          <w:lang w:val="fr-BE"/>
        </w:rPr>
        <w:t xml:space="preserve">. </w:t>
      </w:r>
      <w:r w:rsidRPr="008A3BD9">
        <w:rPr>
          <w:rFonts w:ascii="Times New Roman" w:eastAsia="Calibri" w:hAnsi="Times New Roman" w:cs="Times New Roman"/>
          <w:sz w:val="24"/>
          <w:lang w:val="fr-BE"/>
        </w:rPr>
        <w:t>Or l'impact effectif sur le développement durable et les populations locales ne peut être évalu</w:t>
      </w:r>
      <w:r>
        <w:rPr>
          <w:rFonts w:ascii="Times New Roman" w:eastAsia="Calibri" w:hAnsi="Times New Roman" w:cs="Times New Roman"/>
          <w:sz w:val="24"/>
          <w:lang w:val="fr-BE"/>
        </w:rPr>
        <w:t>é</w:t>
      </w:r>
      <w:r w:rsidRPr="008A3BD9">
        <w:rPr>
          <w:rFonts w:ascii="Times New Roman" w:eastAsia="Calibri" w:hAnsi="Times New Roman" w:cs="Times New Roman"/>
          <w:sz w:val="24"/>
          <w:lang w:val="fr-BE"/>
        </w:rPr>
        <w:t xml:space="preserve"> que si l’octroi de préférences tarifaires a un effet sur les flux commerciaux entre l’Union et le Sahara occidental.</w:t>
      </w:r>
      <w:r>
        <w:rPr>
          <w:rFonts w:ascii="Times New Roman" w:eastAsia="Calibri" w:hAnsi="Times New Roman" w:cs="Times New Roman"/>
          <w:sz w:val="24"/>
          <w:lang w:val="fr-BE"/>
        </w:rPr>
        <w:t xml:space="preserve"> </w:t>
      </w:r>
      <w:r w:rsidRPr="008A3BD9">
        <w:rPr>
          <w:rFonts w:ascii="Times New Roman" w:eastAsia="Calibri" w:hAnsi="Times New Roman" w:cs="Times New Roman"/>
          <w:sz w:val="24"/>
          <w:lang w:val="fr-BE"/>
        </w:rPr>
        <w:t xml:space="preserve">C'est pourquoi, il convient en premier lieu d’apprécier l’impact des préférences tarifaires sur les flux commerciaux du Sahara occidental vers l’Union européenne. </w:t>
      </w:r>
    </w:p>
    <w:p w:rsidR="00423348" w:rsidRPr="008A3BD9" w:rsidRDefault="00423348" w:rsidP="00423348">
      <w:pPr>
        <w:widowControl w:val="0"/>
        <w:spacing w:after="0" w:line="240" w:lineRule="auto"/>
        <w:jc w:val="both"/>
        <w:rPr>
          <w:rFonts w:ascii="Times New Roman" w:eastAsia="Calibri" w:hAnsi="Times New Roman" w:cs="Times New Roman"/>
          <w:sz w:val="24"/>
          <w:lang w:val="fr-BE"/>
        </w:rPr>
      </w:pPr>
    </w:p>
    <w:p w:rsidR="00F34A4D" w:rsidRDefault="0077531F" w:rsidP="0084736B">
      <w:pPr>
        <w:widowControl w:val="0"/>
        <w:spacing w:after="0" w:line="240" w:lineRule="auto"/>
        <w:jc w:val="both"/>
        <w:rPr>
          <w:rFonts w:ascii="Times New Roman" w:eastAsia="Calibri" w:hAnsi="Times New Roman" w:cs="Times New Roman"/>
          <w:sz w:val="24"/>
          <w:lang w:val="fr-BE"/>
        </w:rPr>
      </w:pPr>
      <w:r>
        <w:rPr>
          <w:rFonts w:ascii="Times New Roman" w:eastAsia="Calibri" w:hAnsi="Times New Roman" w:cs="Times New Roman"/>
          <w:sz w:val="24"/>
          <w:lang w:val="fr-BE"/>
        </w:rPr>
        <w:t>C’est seulement dans un second temps que l’on peut apprécier l’impact effectif sur le développement durable </w:t>
      </w:r>
      <w:r w:rsidR="00B451EA">
        <w:rPr>
          <w:rFonts w:ascii="Times New Roman" w:eastAsia="Calibri" w:hAnsi="Times New Roman" w:cs="Times New Roman"/>
          <w:sz w:val="24"/>
          <w:lang w:val="fr-BE"/>
        </w:rPr>
        <w:t>et les populations locales</w:t>
      </w:r>
      <w:r>
        <w:rPr>
          <w:rFonts w:ascii="Times New Roman" w:eastAsia="Calibri" w:hAnsi="Times New Roman" w:cs="Times New Roman"/>
          <w:sz w:val="24"/>
          <w:lang w:val="fr-BE"/>
        </w:rPr>
        <w:t>; en effet cette question ne se pose que si l’octroi de préférences tarifaires a un effet sur les flux commerciaux entre l’U</w:t>
      </w:r>
      <w:r w:rsidR="00584896">
        <w:rPr>
          <w:rFonts w:ascii="Times New Roman" w:eastAsia="Calibri" w:hAnsi="Times New Roman" w:cs="Times New Roman"/>
          <w:sz w:val="24"/>
          <w:lang w:val="fr-BE"/>
        </w:rPr>
        <w:t>nion</w:t>
      </w:r>
      <w:r>
        <w:rPr>
          <w:rFonts w:ascii="Times New Roman" w:eastAsia="Calibri" w:hAnsi="Times New Roman" w:cs="Times New Roman"/>
          <w:sz w:val="24"/>
          <w:lang w:val="fr-BE"/>
        </w:rPr>
        <w:t xml:space="preserve"> et le Sahara occidental.</w:t>
      </w:r>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DA14AC" w:rsidRDefault="00DA14AC" w:rsidP="0084736B">
      <w:pPr>
        <w:widowControl w:val="0"/>
        <w:spacing w:after="0" w:line="240" w:lineRule="auto"/>
        <w:jc w:val="both"/>
        <w:rPr>
          <w:rFonts w:ascii="Times New Roman" w:eastAsia="Calibri" w:hAnsi="Times New Roman" w:cs="Times New Roman"/>
          <w:sz w:val="24"/>
          <w:lang w:val="fr-BE"/>
        </w:rPr>
      </w:pPr>
      <w:r>
        <w:rPr>
          <w:rFonts w:ascii="Times New Roman" w:eastAsia="Calibri" w:hAnsi="Times New Roman" w:cs="Times New Roman"/>
          <w:sz w:val="24"/>
          <w:lang w:val="fr-BE"/>
        </w:rPr>
        <w:t>Ces préférences prévoient</w:t>
      </w:r>
      <w:r w:rsidR="005F7402">
        <w:rPr>
          <w:rFonts w:ascii="Times New Roman" w:eastAsia="Calibri" w:hAnsi="Times New Roman" w:cs="Times New Roman"/>
          <w:sz w:val="24"/>
          <w:lang w:val="fr-BE"/>
        </w:rPr>
        <w:t>, sous certaines conditions,</w:t>
      </w:r>
      <w:r>
        <w:rPr>
          <w:rFonts w:ascii="Times New Roman" w:eastAsia="Calibri" w:hAnsi="Times New Roman" w:cs="Times New Roman"/>
          <w:sz w:val="24"/>
          <w:lang w:val="fr-BE"/>
        </w:rPr>
        <w:t xml:space="preserve"> l’application d’</w:t>
      </w:r>
      <w:r w:rsidR="005F7402">
        <w:rPr>
          <w:rFonts w:ascii="Times New Roman" w:eastAsia="Calibri" w:hAnsi="Times New Roman" w:cs="Times New Roman"/>
          <w:sz w:val="24"/>
          <w:lang w:val="fr-BE"/>
        </w:rPr>
        <w:t xml:space="preserve">un droit de douane préférentiel </w:t>
      </w:r>
      <w:r w:rsidR="000123EA">
        <w:rPr>
          <w:rFonts w:ascii="Times New Roman" w:eastAsia="Calibri" w:hAnsi="Times New Roman" w:cs="Times New Roman"/>
          <w:sz w:val="24"/>
          <w:lang w:val="fr-BE"/>
        </w:rPr>
        <w:t xml:space="preserve">(droit zéro pour la plupart des produits) </w:t>
      </w:r>
      <w:r w:rsidR="005F7402">
        <w:rPr>
          <w:rFonts w:ascii="Times New Roman" w:eastAsia="Calibri" w:hAnsi="Times New Roman" w:cs="Times New Roman"/>
          <w:sz w:val="24"/>
          <w:lang w:val="fr-BE"/>
        </w:rPr>
        <w:t xml:space="preserve">lors de l’introduction de marchandises </w:t>
      </w:r>
      <w:r w:rsidR="0077531F">
        <w:rPr>
          <w:rFonts w:ascii="Times New Roman" w:eastAsia="Calibri" w:hAnsi="Times New Roman" w:cs="Times New Roman"/>
          <w:sz w:val="24"/>
          <w:lang w:val="fr-BE"/>
        </w:rPr>
        <w:t>dans l’U</w:t>
      </w:r>
      <w:r w:rsidR="00584896">
        <w:rPr>
          <w:rFonts w:ascii="Times New Roman" w:eastAsia="Calibri" w:hAnsi="Times New Roman" w:cs="Times New Roman"/>
          <w:sz w:val="24"/>
          <w:lang w:val="fr-BE"/>
        </w:rPr>
        <w:t>nion</w:t>
      </w:r>
      <w:r w:rsidR="005F7402">
        <w:rPr>
          <w:rFonts w:ascii="Times New Roman" w:eastAsia="Calibri" w:hAnsi="Times New Roman" w:cs="Times New Roman"/>
          <w:sz w:val="24"/>
          <w:lang w:val="fr-BE"/>
        </w:rPr>
        <w:t>. Le droit de douane applicable est dé</w:t>
      </w:r>
      <w:r w:rsidR="00CE0E01">
        <w:rPr>
          <w:rFonts w:ascii="Times New Roman" w:eastAsia="Calibri" w:hAnsi="Times New Roman" w:cs="Times New Roman"/>
          <w:sz w:val="24"/>
          <w:lang w:val="fr-BE"/>
        </w:rPr>
        <w:t xml:space="preserve">terminé en fonction </w:t>
      </w:r>
      <w:r w:rsidR="005F7402">
        <w:rPr>
          <w:rFonts w:ascii="Times New Roman" w:eastAsia="Calibri" w:hAnsi="Times New Roman" w:cs="Times New Roman"/>
          <w:sz w:val="24"/>
          <w:lang w:val="fr-BE"/>
        </w:rPr>
        <w:t>de trois éléments : la position tarifaire dans laquelle est classée la marchandise dans la nomenclature douanière</w:t>
      </w:r>
      <w:r w:rsidR="00B451EA">
        <w:rPr>
          <w:rStyle w:val="FootnoteReference"/>
          <w:rFonts w:ascii="Times New Roman" w:eastAsia="Calibri" w:hAnsi="Times New Roman" w:cs="Times New Roman"/>
          <w:sz w:val="24"/>
          <w:lang w:val="fr-BE"/>
        </w:rPr>
        <w:footnoteReference w:id="9"/>
      </w:r>
      <w:r w:rsidR="005F7402">
        <w:rPr>
          <w:rFonts w:ascii="Times New Roman" w:eastAsia="Calibri" w:hAnsi="Times New Roman" w:cs="Times New Roman"/>
          <w:sz w:val="24"/>
          <w:lang w:val="fr-BE"/>
        </w:rPr>
        <w:t>, l’origine de la marchandise c’est-à-dire le pays dont elle est réputée issue et, enfin, dans certains cas, la valeur de la marchandise. Dans la suite de ce rappor</w:t>
      </w:r>
      <w:r w:rsidR="00CE0E01">
        <w:rPr>
          <w:rFonts w:ascii="Times New Roman" w:eastAsia="Calibri" w:hAnsi="Times New Roman" w:cs="Times New Roman"/>
          <w:sz w:val="24"/>
          <w:lang w:val="fr-BE"/>
        </w:rPr>
        <w:t>t il sera parfois nécessaire</w:t>
      </w:r>
      <w:r w:rsidR="005F7402">
        <w:rPr>
          <w:rFonts w:ascii="Times New Roman" w:eastAsia="Calibri" w:hAnsi="Times New Roman" w:cs="Times New Roman"/>
          <w:sz w:val="24"/>
          <w:lang w:val="fr-BE"/>
        </w:rPr>
        <w:t xml:space="preserve"> de faire référence </w:t>
      </w:r>
      <w:r w:rsidR="005A5F8F">
        <w:rPr>
          <w:rFonts w:ascii="Times New Roman" w:eastAsia="Calibri" w:hAnsi="Times New Roman" w:cs="Times New Roman"/>
          <w:sz w:val="24"/>
          <w:lang w:val="fr-BE"/>
        </w:rPr>
        <w:t xml:space="preserve">de manière détaillée </w:t>
      </w:r>
      <w:r w:rsidR="003E30DB">
        <w:rPr>
          <w:rFonts w:ascii="Times New Roman" w:eastAsia="Calibri" w:hAnsi="Times New Roman" w:cs="Times New Roman"/>
          <w:sz w:val="24"/>
          <w:lang w:val="fr-BE"/>
        </w:rPr>
        <w:t>à ces notions</w:t>
      </w:r>
      <w:r w:rsidR="005F7402">
        <w:rPr>
          <w:rFonts w:ascii="Times New Roman" w:eastAsia="Calibri" w:hAnsi="Times New Roman" w:cs="Times New Roman"/>
          <w:sz w:val="24"/>
          <w:lang w:val="fr-BE"/>
        </w:rPr>
        <w:t>.</w:t>
      </w:r>
    </w:p>
    <w:p w:rsidR="00403909" w:rsidRPr="00C04BAD" w:rsidRDefault="00CB5A6B" w:rsidP="00FC36AF">
      <w:pPr>
        <w:pStyle w:val="Heading3"/>
        <w:rPr>
          <w:lang w:val="fr-BE"/>
        </w:rPr>
      </w:pPr>
      <w:bookmarkStart w:id="8" w:name="_Toc511381541"/>
      <w:bookmarkStart w:id="9" w:name="_Toc514257459"/>
      <w:r>
        <w:rPr>
          <w:lang w:val="fr-BE"/>
        </w:rPr>
        <w:t>Contraintes</w:t>
      </w:r>
      <w:r w:rsidR="00403909" w:rsidRPr="00C04BAD">
        <w:rPr>
          <w:lang w:val="fr-BE"/>
        </w:rPr>
        <w:t xml:space="preserve"> méthodologiques</w:t>
      </w:r>
      <w:bookmarkEnd w:id="8"/>
      <w:bookmarkEnd w:id="9"/>
    </w:p>
    <w:p w:rsidR="009F2925" w:rsidRDefault="009F2925" w:rsidP="0084736B">
      <w:pPr>
        <w:widowControl w:val="0"/>
        <w:spacing w:after="0" w:line="240" w:lineRule="auto"/>
        <w:jc w:val="both"/>
        <w:rPr>
          <w:rFonts w:ascii="Times New Roman" w:eastAsia="Calibri" w:hAnsi="Times New Roman" w:cs="Times New Roman"/>
          <w:color w:val="000000" w:themeColor="text1"/>
          <w:sz w:val="24"/>
          <w:lang w:val="fr-FR" w:eastAsia="fr-FR"/>
        </w:rPr>
      </w:pPr>
    </w:p>
    <w:p w:rsidR="00403909" w:rsidRDefault="0094080B" w:rsidP="0084736B">
      <w:pPr>
        <w:widowControl w:val="0"/>
        <w:spacing w:after="0" w:line="240" w:lineRule="auto"/>
        <w:jc w:val="both"/>
        <w:rPr>
          <w:rFonts w:ascii="Times New Roman" w:eastAsia="Calibri" w:hAnsi="Times New Roman" w:cs="Times New Roman"/>
          <w:color w:val="000000" w:themeColor="text1"/>
          <w:sz w:val="24"/>
          <w:lang w:val="fr-FR" w:eastAsia="fr-FR"/>
        </w:rPr>
      </w:pPr>
      <w:r>
        <w:rPr>
          <w:rFonts w:ascii="Times New Roman" w:eastAsia="Calibri" w:hAnsi="Times New Roman" w:cs="Times New Roman"/>
          <w:color w:val="000000" w:themeColor="text1"/>
          <w:sz w:val="24"/>
          <w:lang w:val="fr-FR" w:eastAsia="fr-FR"/>
        </w:rPr>
        <w:t xml:space="preserve">Les </w:t>
      </w:r>
      <w:r w:rsidR="00CB5A6B">
        <w:rPr>
          <w:rFonts w:ascii="Times New Roman" w:eastAsia="Calibri" w:hAnsi="Times New Roman" w:cs="Times New Roman"/>
          <w:color w:val="000000" w:themeColor="text1"/>
          <w:sz w:val="24"/>
          <w:lang w:val="fr-FR" w:eastAsia="fr-FR"/>
        </w:rPr>
        <w:t>contraintes</w:t>
      </w:r>
      <w:r>
        <w:rPr>
          <w:rFonts w:ascii="Times New Roman" w:eastAsia="Calibri" w:hAnsi="Times New Roman" w:cs="Times New Roman"/>
          <w:color w:val="000000" w:themeColor="text1"/>
          <w:sz w:val="24"/>
          <w:lang w:val="fr-FR" w:eastAsia="fr-FR"/>
        </w:rPr>
        <w:t xml:space="preserve"> méthodologiques sont de différentes natures </w:t>
      </w:r>
      <w:r w:rsidR="0084736B">
        <w:rPr>
          <w:rFonts w:ascii="Times New Roman" w:eastAsia="Calibri" w:hAnsi="Times New Roman" w:cs="Times New Roman"/>
          <w:color w:val="000000" w:themeColor="text1"/>
          <w:sz w:val="24"/>
          <w:lang w:val="fr-FR" w:eastAsia="fr-FR"/>
        </w:rPr>
        <w:t>et tiennent</w:t>
      </w:r>
      <w:r w:rsidR="00403909">
        <w:rPr>
          <w:rFonts w:ascii="Times New Roman" w:eastAsia="Calibri" w:hAnsi="Times New Roman" w:cs="Times New Roman"/>
          <w:color w:val="000000" w:themeColor="text1"/>
          <w:sz w:val="24"/>
          <w:lang w:val="fr-FR" w:eastAsia="fr-FR"/>
        </w:rPr>
        <w:t>:</w:t>
      </w:r>
    </w:p>
    <w:p w:rsidR="0084736B" w:rsidRDefault="0084736B" w:rsidP="0084736B">
      <w:pPr>
        <w:widowControl w:val="0"/>
        <w:spacing w:after="0" w:line="240" w:lineRule="auto"/>
        <w:jc w:val="both"/>
        <w:rPr>
          <w:rFonts w:ascii="Times New Roman" w:eastAsia="Calibri" w:hAnsi="Times New Roman" w:cs="Times New Roman"/>
          <w:color w:val="000000" w:themeColor="text1"/>
          <w:sz w:val="24"/>
          <w:lang w:val="fr-FR" w:eastAsia="fr-FR"/>
        </w:rPr>
      </w:pPr>
    </w:p>
    <w:p w:rsidR="00403909" w:rsidRPr="004414FF" w:rsidRDefault="00403909" w:rsidP="0084736B">
      <w:pPr>
        <w:pStyle w:val="ListParagraph"/>
        <w:widowControl w:val="0"/>
        <w:numPr>
          <w:ilvl w:val="0"/>
          <w:numId w:val="16"/>
        </w:numPr>
        <w:spacing w:after="0" w:line="240" w:lineRule="auto"/>
        <w:jc w:val="both"/>
        <w:rPr>
          <w:rFonts w:ascii="Times New Roman" w:eastAsia="Calibri" w:hAnsi="Times New Roman" w:cs="Times New Roman"/>
          <w:color w:val="000000" w:themeColor="text1"/>
          <w:sz w:val="24"/>
          <w:lang w:val="fr-FR" w:eastAsia="fr-FR"/>
        </w:rPr>
      </w:pPr>
      <w:r w:rsidRPr="004414FF">
        <w:rPr>
          <w:rFonts w:ascii="Times New Roman" w:eastAsia="Calibri" w:hAnsi="Times New Roman" w:cs="Times New Roman"/>
          <w:color w:val="000000" w:themeColor="text1"/>
          <w:sz w:val="24"/>
          <w:lang w:val="fr-FR" w:eastAsia="fr-FR"/>
        </w:rPr>
        <w:t xml:space="preserve">à la qualité des informations </w:t>
      </w:r>
      <w:r w:rsidR="000123EA">
        <w:rPr>
          <w:rFonts w:ascii="Times New Roman" w:eastAsia="Calibri" w:hAnsi="Times New Roman" w:cs="Times New Roman"/>
          <w:color w:val="000000" w:themeColor="text1"/>
          <w:sz w:val="24"/>
          <w:lang w:val="fr-FR" w:eastAsia="fr-FR"/>
        </w:rPr>
        <w:t>disponibles</w:t>
      </w:r>
      <w:r w:rsidRPr="004414FF">
        <w:rPr>
          <w:rFonts w:ascii="Times New Roman" w:eastAsia="Calibri" w:hAnsi="Times New Roman" w:cs="Times New Roman"/>
          <w:color w:val="000000" w:themeColor="text1"/>
          <w:sz w:val="24"/>
          <w:lang w:val="fr-FR" w:eastAsia="fr-FR"/>
        </w:rPr>
        <w:t xml:space="preserve">, </w:t>
      </w:r>
    </w:p>
    <w:p w:rsidR="00403909" w:rsidRPr="004414FF" w:rsidRDefault="00403909" w:rsidP="0084736B">
      <w:pPr>
        <w:pStyle w:val="ListParagraph"/>
        <w:widowControl w:val="0"/>
        <w:numPr>
          <w:ilvl w:val="0"/>
          <w:numId w:val="16"/>
        </w:numPr>
        <w:spacing w:after="0" w:line="240" w:lineRule="auto"/>
        <w:jc w:val="both"/>
        <w:rPr>
          <w:rFonts w:ascii="Times New Roman" w:eastAsia="Calibri" w:hAnsi="Times New Roman" w:cs="Times New Roman"/>
          <w:color w:val="000000" w:themeColor="text1"/>
          <w:sz w:val="24"/>
          <w:lang w:val="fr-FR" w:eastAsia="fr-FR"/>
        </w:rPr>
      </w:pPr>
      <w:r w:rsidRPr="004414FF">
        <w:rPr>
          <w:rFonts w:ascii="Times New Roman" w:eastAsia="Calibri" w:hAnsi="Times New Roman" w:cs="Times New Roman"/>
          <w:color w:val="000000" w:themeColor="text1"/>
          <w:sz w:val="24"/>
          <w:lang w:val="fr-FR" w:eastAsia="fr-FR"/>
        </w:rPr>
        <w:t>à la pratique suivie jusqu’à l’arrêt de la Cour du 21 décembre 2016,</w:t>
      </w:r>
    </w:p>
    <w:p w:rsidR="00403909" w:rsidRPr="004414FF" w:rsidRDefault="00403909" w:rsidP="0084736B">
      <w:pPr>
        <w:pStyle w:val="ListParagraph"/>
        <w:widowControl w:val="0"/>
        <w:numPr>
          <w:ilvl w:val="0"/>
          <w:numId w:val="16"/>
        </w:numPr>
        <w:spacing w:after="0" w:line="240" w:lineRule="auto"/>
        <w:jc w:val="both"/>
        <w:rPr>
          <w:rFonts w:ascii="Times New Roman" w:eastAsia="Calibri" w:hAnsi="Times New Roman" w:cs="Times New Roman"/>
          <w:color w:val="000000" w:themeColor="text1"/>
          <w:sz w:val="24"/>
          <w:lang w:val="fr-FR" w:eastAsia="fr-FR"/>
        </w:rPr>
      </w:pPr>
      <w:r w:rsidRPr="004414FF">
        <w:rPr>
          <w:rFonts w:ascii="Times New Roman" w:eastAsia="Calibri" w:hAnsi="Times New Roman" w:cs="Times New Roman"/>
          <w:color w:val="000000" w:themeColor="text1"/>
          <w:sz w:val="24"/>
          <w:lang w:val="fr-FR" w:eastAsia="fr-FR"/>
        </w:rPr>
        <w:t>à la définition même du champ de l’évaluation,</w:t>
      </w:r>
    </w:p>
    <w:p w:rsidR="004C7658" w:rsidRDefault="004C7658" w:rsidP="004C7658">
      <w:pPr>
        <w:pStyle w:val="ListParagraph"/>
        <w:widowControl w:val="0"/>
        <w:numPr>
          <w:ilvl w:val="0"/>
          <w:numId w:val="16"/>
        </w:numPr>
        <w:pBdr>
          <w:top w:val="nil"/>
          <w:left w:val="nil"/>
          <w:bottom w:val="nil"/>
          <w:right w:val="nil"/>
          <w:between w:val="nil"/>
          <w:bar w:val="nil"/>
        </w:pBdr>
        <w:spacing w:after="0" w:line="240" w:lineRule="auto"/>
        <w:contextualSpacing w:val="0"/>
        <w:jc w:val="both"/>
        <w:rPr>
          <w:rStyle w:val="None"/>
          <w:rFonts w:ascii="Times New Roman" w:eastAsia="Times New Roman" w:hAnsi="Times New Roman" w:cs="Times New Roman"/>
          <w:sz w:val="24"/>
          <w:szCs w:val="24"/>
          <w:lang w:val="fr-FR"/>
        </w:rPr>
      </w:pPr>
      <w:r>
        <w:rPr>
          <w:rStyle w:val="None"/>
          <w:rFonts w:ascii="Times New Roman" w:hAnsi="Times New Roman"/>
          <w:sz w:val="24"/>
          <w:szCs w:val="24"/>
          <w:lang w:val="fr-FR"/>
        </w:rPr>
        <w:t>à la difficulté pour l’Union en tant que partie tierce à évaluer l’impact de l’accord et notamment ses bénéfices pour les populations concernées.</w:t>
      </w:r>
    </w:p>
    <w:p w:rsidR="004C7658" w:rsidRDefault="004C7658" w:rsidP="004C7658">
      <w:pPr>
        <w:pStyle w:val="BodyA"/>
        <w:widowControl w:val="0"/>
        <w:spacing w:after="0" w:line="240" w:lineRule="auto"/>
        <w:jc w:val="both"/>
        <w:rPr>
          <w:rStyle w:val="None"/>
          <w:rFonts w:ascii="Times New Roman" w:eastAsia="Times New Roman" w:hAnsi="Times New Roman" w:cs="Times New Roman"/>
          <w:sz w:val="24"/>
          <w:szCs w:val="24"/>
        </w:rPr>
      </w:pPr>
    </w:p>
    <w:p w:rsidR="009F2925" w:rsidRDefault="009F2925" w:rsidP="0084736B">
      <w:pPr>
        <w:widowControl w:val="0"/>
        <w:spacing w:after="0" w:line="240" w:lineRule="auto"/>
        <w:jc w:val="both"/>
        <w:rPr>
          <w:rFonts w:ascii="Times New Roman" w:eastAsia="Calibri" w:hAnsi="Times New Roman" w:cs="Times New Roman"/>
          <w:color w:val="000000" w:themeColor="text1"/>
          <w:sz w:val="24"/>
          <w:lang w:val="fr-FR" w:eastAsia="fr-FR"/>
        </w:rPr>
      </w:pPr>
    </w:p>
    <w:p w:rsidR="00ED790E" w:rsidRDefault="00CB5A6B" w:rsidP="0084736B">
      <w:pPr>
        <w:widowControl w:val="0"/>
        <w:spacing w:after="0" w:line="240" w:lineRule="auto"/>
        <w:jc w:val="both"/>
        <w:rPr>
          <w:rFonts w:ascii="Times New Roman" w:eastAsia="Calibri" w:hAnsi="Times New Roman" w:cs="Times New Roman"/>
          <w:color w:val="000000" w:themeColor="text1"/>
          <w:sz w:val="24"/>
          <w:lang w:val="fr-FR" w:eastAsia="fr-FR"/>
        </w:rPr>
      </w:pPr>
      <w:r w:rsidRPr="004E2E61">
        <w:rPr>
          <w:rFonts w:ascii="Times New Roman" w:eastAsia="Calibri" w:hAnsi="Times New Roman" w:cs="Times New Roman"/>
          <w:b/>
          <w:i/>
          <w:color w:val="000000" w:themeColor="text1"/>
          <w:sz w:val="24"/>
          <w:lang w:val="fr-FR" w:eastAsia="fr-FR"/>
        </w:rPr>
        <w:t>Les informations disponibles.</w:t>
      </w:r>
      <w:r>
        <w:rPr>
          <w:rFonts w:ascii="Times New Roman" w:eastAsia="Calibri" w:hAnsi="Times New Roman" w:cs="Times New Roman"/>
          <w:color w:val="000000" w:themeColor="text1"/>
          <w:sz w:val="24"/>
          <w:lang w:val="fr-FR" w:eastAsia="fr-FR"/>
        </w:rPr>
        <w:t xml:space="preserve"> </w:t>
      </w:r>
      <w:r w:rsidR="00ED790E">
        <w:rPr>
          <w:rFonts w:ascii="Times New Roman" w:eastAsia="Calibri" w:hAnsi="Times New Roman" w:cs="Times New Roman"/>
          <w:color w:val="000000" w:themeColor="text1"/>
          <w:sz w:val="24"/>
          <w:lang w:val="fr-FR" w:eastAsia="fr-FR"/>
        </w:rPr>
        <w:t>De manière générale, les</w:t>
      </w:r>
      <w:r w:rsidR="00ED790E" w:rsidRPr="006C2037">
        <w:rPr>
          <w:rFonts w:ascii="Times New Roman" w:eastAsia="Calibri" w:hAnsi="Times New Roman" w:cs="Times New Roman"/>
          <w:color w:val="000000" w:themeColor="text1"/>
          <w:sz w:val="24"/>
          <w:lang w:val="fr-FR" w:eastAsia="fr-FR"/>
        </w:rPr>
        <w:t xml:space="preserve"> informations statistiques concernant le Sahara occidental </w:t>
      </w:r>
      <w:r w:rsidR="00ED790E">
        <w:rPr>
          <w:rFonts w:ascii="Times New Roman" w:eastAsia="Calibri" w:hAnsi="Times New Roman" w:cs="Times New Roman"/>
          <w:color w:val="000000" w:themeColor="text1"/>
          <w:sz w:val="24"/>
          <w:lang w:val="fr-FR" w:eastAsia="fr-FR"/>
        </w:rPr>
        <w:t>demeurent</w:t>
      </w:r>
      <w:r w:rsidR="00ED790E" w:rsidRPr="006C2037">
        <w:rPr>
          <w:rFonts w:ascii="Times New Roman" w:eastAsia="Calibri" w:hAnsi="Times New Roman" w:cs="Times New Roman"/>
          <w:color w:val="000000" w:themeColor="text1"/>
          <w:sz w:val="24"/>
          <w:lang w:val="fr-FR" w:eastAsia="fr-FR"/>
        </w:rPr>
        <w:t xml:space="preserve"> incomplètes et hétérogènes. Cela tient évidemment à la situation politique particulière du territoire. A titre d'exemple, si beaucoup d’informations figurent sur les sites de diverses institutions marocaines (</w:t>
      </w:r>
      <w:r w:rsidR="0078119C">
        <w:rPr>
          <w:rFonts w:ascii="Times New Roman" w:eastAsia="Calibri" w:hAnsi="Times New Roman" w:cs="Times New Roman"/>
          <w:color w:val="000000" w:themeColor="text1"/>
          <w:sz w:val="24"/>
          <w:lang w:val="fr-FR" w:eastAsia="fr-FR"/>
        </w:rPr>
        <w:t xml:space="preserve">dont le </w:t>
      </w:r>
      <w:r w:rsidR="0078119C" w:rsidRPr="006C2037">
        <w:rPr>
          <w:rFonts w:ascii="Times New Roman" w:eastAsia="Calibri" w:hAnsi="Times New Roman" w:cs="Times New Roman"/>
          <w:color w:val="000000" w:themeColor="text1"/>
          <w:sz w:val="24"/>
          <w:lang w:val="fr-FR" w:eastAsia="fr-FR"/>
        </w:rPr>
        <w:t>Conseil économique</w:t>
      </w:r>
      <w:r w:rsidR="0059134D">
        <w:rPr>
          <w:rFonts w:ascii="Times New Roman" w:eastAsia="Calibri" w:hAnsi="Times New Roman" w:cs="Times New Roman"/>
          <w:color w:val="000000" w:themeColor="text1"/>
          <w:sz w:val="24"/>
          <w:lang w:val="fr-FR" w:eastAsia="fr-FR"/>
        </w:rPr>
        <w:t>,</w:t>
      </w:r>
      <w:r w:rsidR="0078119C" w:rsidRPr="006C2037">
        <w:rPr>
          <w:rFonts w:ascii="Times New Roman" w:eastAsia="Calibri" w:hAnsi="Times New Roman" w:cs="Times New Roman"/>
          <w:color w:val="000000" w:themeColor="text1"/>
          <w:sz w:val="24"/>
          <w:lang w:val="fr-FR" w:eastAsia="fr-FR"/>
        </w:rPr>
        <w:t xml:space="preserve"> social et environnemental</w:t>
      </w:r>
      <w:r w:rsidR="0078119C">
        <w:rPr>
          <w:rFonts w:ascii="Times New Roman" w:eastAsia="Calibri" w:hAnsi="Times New Roman" w:cs="Times New Roman"/>
          <w:color w:val="000000" w:themeColor="text1"/>
          <w:sz w:val="24"/>
          <w:lang w:val="fr-FR" w:eastAsia="fr-FR"/>
        </w:rPr>
        <w:t xml:space="preserve"> et le</w:t>
      </w:r>
      <w:r w:rsidR="0078119C" w:rsidRPr="006C2037">
        <w:rPr>
          <w:rFonts w:ascii="Times New Roman" w:eastAsia="Calibri" w:hAnsi="Times New Roman" w:cs="Times New Roman"/>
          <w:color w:val="000000" w:themeColor="text1"/>
          <w:sz w:val="24"/>
          <w:lang w:val="fr-FR" w:eastAsia="fr-FR"/>
        </w:rPr>
        <w:t xml:space="preserve"> Haut-Commissariat au Plan)</w:t>
      </w:r>
      <w:r w:rsidR="00ED790E" w:rsidRPr="006C2037">
        <w:rPr>
          <w:rFonts w:ascii="Times New Roman" w:eastAsia="Calibri" w:hAnsi="Times New Roman" w:cs="Times New Roman"/>
          <w:color w:val="000000" w:themeColor="text1"/>
          <w:sz w:val="24"/>
          <w:lang w:val="fr-FR" w:eastAsia="fr-FR"/>
        </w:rPr>
        <w:t xml:space="preserve">, le territoire du Sahara occidental ne </w:t>
      </w:r>
      <w:r w:rsidR="00ED790E" w:rsidRPr="00AF14EC">
        <w:rPr>
          <w:rFonts w:ascii="Times New Roman" w:eastAsia="Calibri" w:hAnsi="Times New Roman" w:cs="Times New Roman"/>
          <w:color w:val="000000" w:themeColor="text1"/>
          <w:sz w:val="24"/>
          <w:lang w:val="fr-FR" w:eastAsia="fr-FR"/>
        </w:rPr>
        <w:t xml:space="preserve">coïncide pas exactement avec le territoire des « provinces du Sud » auquel les autorités marocaines font référence dans leurs publications </w:t>
      </w:r>
      <w:r w:rsidR="0077531F" w:rsidRPr="008C2411">
        <w:rPr>
          <w:rFonts w:ascii="Times New Roman" w:eastAsia="Calibri" w:hAnsi="Times New Roman" w:cs="Times New Roman"/>
          <w:color w:val="000000" w:themeColor="text1"/>
          <w:sz w:val="24"/>
          <w:lang w:val="fr-FR" w:eastAsia="fr-FR"/>
        </w:rPr>
        <w:t>ou dans le</w:t>
      </w:r>
      <w:r w:rsidR="007A2DFC" w:rsidRPr="00002064">
        <w:rPr>
          <w:rFonts w:ascii="Times New Roman" w:eastAsia="Calibri" w:hAnsi="Times New Roman" w:cs="Times New Roman"/>
          <w:color w:val="000000" w:themeColor="text1"/>
          <w:sz w:val="24"/>
          <w:lang w:val="fr-FR" w:eastAsia="fr-FR"/>
        </w:rPr>
        <w:t xml:space="preserve">s informations échangées avec </w:t>
      </w:r>
      <w:r w:rsidR="0094080B" w:rsidRPr="00AF14EC">
        <w:rPr>
          <w:rFonts w:ascii="Times New Roman" w:eastAsia="Calibri" w:hAnsi="Times New Roman" w:cs="Times New Roman"/>
          <w:color w:val="000000" w:themeColor="text1"/>
          <w:sz w:val="24"/>
          <w:lang w:val="fr-FR" w:eastAsia="fr-FR"/>
        </w:rPr>
        <w:t xml:space="preserve"> les services de la Commission européenne</w:t>
      </w:r>
      <w:r w:rsidR="0094080B" w:rsidRPr="008C2411">
        <w:rPr>
          <w:rFonts w:ascii="Times New Roman" w:eastAsia="Calibri" w:hAnsi="Times New Roman" w:cs="Times New Roman"/>
          <w:color w:val="000000" w:themeColor="text1"/>
          <w:sz w:val="24"/>
          <w:lang w:val="fr-FR" w:eastAsia="fr-FR"/>
        </w:rPr>
        <w:t xml:space="preserve"> </w:t>
      </w:r>
      <w:r w:rsidR="00ED790E" w:rsidRPr="008C2411">
        <w:rPr>
          <w:rFonts w:ascii="Times New Roman" w:eastAsia="Calibri" w:hAnsi="Times New Roman" w:cs="Times New Roman"/>
          <w:color w:val="000000" w:themeColor="text1"/>
          <w:sz w:val="24"/>
          <w:lang w:val="fr-FR" w:eastAsia="fr-FR"/>
        </w:rPr>
        <w:t>(régions de La</w:t>
      </w:r>
      <w:r w:rsidR="00F60564" w:rsidRPr="008C2411">
        <w:rPr>
          <w:rFonts w:ascii="Times New Roman" w:eastAsia="Calibri" w:hAnsi="Times New Roman" w:cs="Times New Roman"/>
          <w:color w:val="000000" w:themeColor="text1"/>
          <w:sz w:val="24"/>
          <w:lang w:val="fr-FR" w:eastAsia="fr-FR"/>
        </w:rPr>
        <w:t>â</w:t>
      </w:r>
      <w:r w:rsidR="00ED790E" w:rsidRPr="008C2411">
        <w:rPr>
          <w:rFonts w:ascii="Times New Roman" w:eastAsia="Calibri" w:hAnsi="Times New Roman" w:cs="Times New Roman"/>
          <w:color w:val="000000" w:themeColor="text1"/>
          <w:sz w:val="24"/>
          <w:lang w:val="fr-FR" w:eastAsia="fr-FR"/>
        </w:rPr>
        <w:t xml:space="preserve">youne-Sakia </w:t>
      </w:r>
      <w:r w:rsidR="00994749" w:rsidRPr="008C2411">
        <w:rPr>
          <w:rFonts w:ascii="Times New Roman" w:eastAsia="Calibri" w:hAnsi="Times New Roman" w:cs="Times New Roman"/>
          <w:color w:val="000000" w:themeColor="text1"/>
          <w:sz w:val="24"/>
          <w:lang w:val="fr-FR" w:eastAsia="fr-FR"/>
        </w:rPr>
        <w:t>el H</w:t>
      </w:r>
      <w:r w:rsidR="00ED790E" w:rsidRPr="008C2411">
        <w:rPr>
          <w:rFonts w:ascii="Times New Roman" w:eastAsia="Calibri" w:hAnsi="Times New Roman" w:cs="Times New Roman"/>
          <w:color w:val="000000" w:themeColor="text1"/>
          <w:sz w:val="24"/>
          <w:lang w:val="fr-FR" w:eastAsia="fr-FR"/>
        </w:rPr>
        <w:t>amra, de Dakhla-</w:t>
      </w:r>
      <w:r w:rsidR="00ED790E" w:rsidRPr="006C2037">
        <w:rPr>
          <w:rFonts w:ascii="Times New Roman" w:eastAsia="Calibri" w:hAnsi="Times New Roman" w:cs="Times New Roman"/>
          <w:color w:val="000000" w:themeColor="text1"/>
          <w:sz w:val="24"/>
          <w:lang w:val="fr-FR" w:eastAsia="fr-FR"/>
        </w:rPr>
        <w:t xml:space="preserve">Oued </w:t>
      </w:r>
      <w:r w:rsidR="00994749">
        <w:rPr>
          <w:rFonts w:ascii="Times New Roman" w:eastAsia="Calibri" w:hAnsi="Times New Roman" w:cs="Times New Roman"/>
          <w:color w:val="000000" w:themeColor="text1"/>
          <w:sz w:val="24"/>
          <w:lang w:val="fr-FR" w:eastAsia="fr-FR"/>
        </w:rPr>
        <w:t>ed D</w:t>
      </w:r>
      <w:r w:rsidR="00ED790E" w:rsidRPr="006C2037">
        <w:rPr>
          <w:rFonts w:ascii="Times New Roman" w:eastAsia="Calibri" w:hAnsi="Times New Roman" w:cs="Times New Roman"/>
          <w:color w:val="000000" w:themeColor="text1"/>
          <w:sz w:val="24"/>
          <w:lang w:val="fr-FR" w:eastAsia="fr-FR"/>
        </w:rPr>
        <w:t>ahab et de Guelmi</w:t>
      </w:r>
      <w:r w:rsidR="00B569EB">
        <w:rPr>
          <w:rFonts w:ascii="Times New Roman" w:eastAsia="Calibri" w:hAnsi="Times New Roman" w:cs="Times New Roman"/>
          <w:color w:val="000000" w:themeColor="text1"/>
          <w:sz w:val="24"/>
          <w:lang w:val="fr-FR" w:eastAsia="fr-FR"/>
        </w:rPr>
        <w:t>m</w:t>
      </w:r>
      <w:r w:rsidR="00ED790E" w:rsidRPr="006C2037">
        <w:rPr>
          <w:rFonts w:ascii="Times New Roman" w:eastAsia="Calibri" w:hAnsi="Times New Roman" w:cs="Times New Roman"/>
          <w:color w:val="000000" w:themeColor="text1"/>
          <w:sz w:val="24"/>
          <w:lang w:val="fr-FR" w:eastAsia="fr-FR"/>
        </w:rPr>
        <w:t xml:space="preserve">-Oued Noun). </w:t>
      </w:r>
      <w:r w:rsidR="005A5F8F">
        <w:rPr>
          <w:rFonts w:ascii="Times New Roman" w:eastAsia="Calibri" w:hAnsi="Times New Roman" w:cs="Times New Roman"/>
          <w:color w:val="000000" w:themeColor="text1"/>
          <w:sz w:val="24"/>
          <w:lang w:val="fr-FR" w:eastAsia="fr-FR"/>
        </w:rPr>
        <w:t>Toutefois cet obstacle peut être contourné</w:t>
      </w:r>
      <w:r w:rsidR="0078119C">
        <w:rPr>
          <w:rFonts w:ascii="Times New Roman" w:eastAsia="Calibri" w:hAnsi="Times New Roman" w:cs="Times New Roman"/>
          <w:color w:val="000000" w:themeColor="text1"/>
          <w:sz w:val="24"/>
          <w:lang w:val="fr-FR" w:eastAsia="fr-FR"/>
        </w:rPr>
        <w:t>,</w:t>
      </w:r>
      <w:r w:rsidR="005A5F8F">
        <w:rPr>
          <w:rFonts w:ascii="Times New Roman" w:eastAsia="Calibri" w:hAnsi="Times New Roman" w:cs="Times New Roman"/>
          <w:color w:val="000000" w:themeColor="text1"/>
          <w:sz w:val="24"/>
          <w:lang w:val="fr-FR" w:eastAsia="fr-FR"/>
        </w:rPr>
        <w:t xml:space="preserve"> étant donné que l’activité économique dont il est question dans le présent rapport se concentre dans les régions de </w:t>
      </w:r>
      <w:r w:rsidR="005A5F8F" w:rsidRPr="005A5F8F">
        <w:rPr>
          <w:rFonts w:ascii="Times New Roman" w:eastAsia="Calibri" w:hAnsi="Times New Roman" w:cs="Times New Roman"/>
          <w:color w:val="000000" w:themeColor="text1"/>
          <w:sz w:val="24"/>
          <w:lang w:val="fr-FR" w:eastAsia="fr-FR"/>
        </w:rPr>
        <w:t>La</w:t>
      </w:r>
      <w:r w:rsidR="00F60564">
        <w:rPr>
          <w:rFonts w:ascii="Times New Roman" w:eastAsia="Calibri" w:hAnsi="Times New Roman" w:cs="Times New Roman"/>
          <w:color w:val="000000" w:themeColor="text1"/>
          <w:sz w:val="24"/>
          <w:lang w:val="fr-FR" w:eastAsia="fr-FR"/>
        </w:rPr>
        <w:t>â</w:t>
      </w:r>
      <w:r w:rsidR="005A5F8F" w:rsidRPr="005A5F8F">
        <w:rPr>
          <w:rFonts w:ascii="Times New Roman" w:eastAsia="Calibri" w:hAnsi="Times New Roman" w:cs="Times New Roman"/>
          <w:color w:val="000000" w:themeColor="text1"/>
          <w:sz w:val="24"/>
          <w:lang w:val="fr-FR" w:eastAsia="fr-FR"/>
        </w:rPr>
        <w:t>youne-Sakia</w:t>
      </w:r>
      <w:r w:rsidR="005A5F8F">
        <w:rPr>
          <w:rFonts w:ascii="Times New Roman" w:eastAsia="Calibri" w:hAnsi="Times New Roman" w:cs="Times New Roman"/>
          <w:color w:val="000000" w:themeColor="text1"/>
          <w:sz w:val="24"/>
          <w:lang w:val="fr-FR" w:eastAsia="fr-FR"/>
        </w:rPr>
        <w:t xml:space="preserve"> </w:t>
      </w:r>
      <w:r w:rsidR="00994749">
        <w:rPr>
          <w:rFonts w:ascii="Times New Roman" w:eastAsia="Calibri" w:hAnsi="Times New Roman" w:cs="Times New Roman"/>
          <w:color w:val="000000" w:themeColor="text1"/>
          <w:sz w:val="24"/>
          <w:lang w:val="fr-FR" w:eastAsia="fr-FR"/>
        </w:rPr>
        <w:t>el H</w:t>
      </w:r>
      <w:r w:rsidR="005A5F8F">
        <w:rPr>
          <w:rFonts w:ascii="Times New Roman" w:eastAsia="Calibri" w:hAnsi="Times New Roman" w:cs="Times New Roman"/>
          <w:color w:val="000000" w:themeColor="text1"/>
          <w:sz w:val="24"/>
          <w:lang w:val="fr-FR" w:eastAsia="fr-FR"/>
        </w:rPr>
        <w:t>amra</w:t>
      </w:r>
      <w:r w:rsidR="0078119C">
        <w:rPr>
          <w:rFonts w:ascii="Times New Roman" w:eastAsia="Calibri" w:hAnsi="Times New Roman" w:cs="Times New Roman"/>
          <w:color w:val="000000" w:themeColor="text1"/>
          <w:sz w:val="24"/>
          <w:lang w:val="fr-FR" w:eastAsia="fr-FR"/>
        </w:rPr>
        <w:t xml:space="preserve"> et</w:t>
      </w:r>
      <w:r w:rsidR="005A5F8F">
        <w:rPr>
          <w:rFonts w:ascii="Times New Roman" w:eastAsia="Calibri" w:hAnsi="Times New Roman" w:cs="Times New Roman"/>
          <w:color w:val="000000" w:themeColor="text1"/>
          <w:sz w:val="24"/>
          <w:lang w:val="fr-FR" w:eastAsia="fr-FR"/>
        </w:rPr>
        <w:t xml:space="preserve"> de Dakhla-Oued </w:t>
      </w:r>
      <w:r w:rsidR="00994749">
        <w:rPr>
          <w:rFonts w:ascii="Times New Roman" w:eastAsia="Calibri" w:hAnsi="Times New Roman" w:cs="Times New Roman"/>
          <w:color w:val="000000" w:themeColor="text1"/>
          <w:sz w:val="24"/>
          <w:lang w:val="fr-FR" w:eastAsia="fr-FR"/>
        </w:rPr>
        <w:t>e</w:t>
      </w:r>
      <w:r w:rsidR="005A5F8F">
        <w:rPr>
          <w:rFonts w:ascii="Times New Roman" w:eastAsia="Calibri" w:hAnsi="Times New Roman" w:cs="Times New Roman"/>
          <w:color w:val="000000" w:themeColor="text1"/>
          <w:sz w:val="24"/>
          <w:lang w:val="fr-FR" w:eastAsia="fr-FR"/>
        </w:rPr>
        <w:t>d</w:t>
      </w:r>
      <w:r w:rsidR="00994749">
        <w:rPr>
          <w:rFonts w:ascii="Times New Roman" w:eastAsia="Calibri" w:hAnsi="Times New Roman" w:cs="Times New Roman"/>
          <w:color w:val="000000" w:themeColor="text1"/>
          <w:sz w:val="24"/>
          <w:lang w:val="fr-FR" w:eastAsia="fr-FR"/>
        </w:rPr>
        <w:t xml:space="preserve"> D</w:t>
      </w:r>
      <w:r w:rsidR="005A5F8F">
        <w:rPr>
          <w:rFonts w:ascii="Times New Roman" w:eastAsia="Calibri" w:hAnsi="Times New Roman" w:cs="Times New Roman"/>
          <w:color w:val="000000" w:themeColor="text1"/>
          <w:sz w:val="24"/>
          <w:lang w:val="fr-FR" w:eastAsia="fr-FR"/>
        </w:rPr>
        <w:t>ahab.</w:t>
      </w:r>
      <w:r w:rsidR="009F3D34">
        <w:rPr>
          <w:rFonts w:ascii="Times New Roman" w:eastAsia="Calibri" w:hAnsi="Times New Roman" w:cs="Times New Roman"/>
          <w:color w:val="000000" w:themeColor="text1"/>
          <w:sz w:val="24"/>
          <w:lang w:val="fr-FR" w:eastAsia="fr-FR"/>
        </w:rPr>
        <w:t xml:space="preserve"> </w:t>
      </w:r>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F34A4D" w:rsidRPr="00F34A4D" w:rsidRDefault="00CB5A6B" w:rsidP="0084736B">
      <w:pPr>
        <w:widowControl w:val="0"/>
        <w:spacing w:after="0" w:line="240" w:lineRule="auto"/>
        <w:jc w:val="both"/>
        <w:rPr>
          <w:rFonts w:ascii="Times New Roman" w:eastAsia="Calibri" w:hAnsi="Times New Roman" w:cs="Times New Roman"/>
          <w:sz w:val="24"/>
          <w:lang w:val="fr-BE"/>
        </w:rPr>
      </w:pPr>
      <w:r w:rsidRPr="004E2E61">
        <w:rPr>
          <w:rFonts w:ascii="Times New Roman" w:eastAsia="Calibri" w:hAnsi="Times New Roman" w:cs="Times New Roman"/>
          <w:b/>
          <w:i/>
          <w:color w:val="000000" w:themeColor="text1"/>
          <w:sz w:val="24"/>
          <w:lang w:val="fr-BE" w:eastAsia="fr-FR"/>
        </w:rPr>
        <w:t>L</w:t>
      </w:r>
      <w:r w:rsidRPr="004E2E61">
        <w:rPr>
          <w:rFonts w:ascii="Times New Roman" w:eastAsia="Calibri" w:hAnsi="Times New Roman" w:cs="Times New Roman"/>
          <w:b/>
          <w:i/>
          <w:color w:val="000000" w:themeColor="text1"/>
          <w:sz w:val="24"/>
          <w:lang w:val="fr-FR" w:eastAsia="fr-FR"/>
        </w:rPr>
        <w:t>a pratique suivie jusqu’à l’arrêt de la Cour du 21 décembre 2016.</w:t>
      </w:r>
      <w:r>
        <w:rPr>
          <w:rFonts w:ascii="Times New Roman" w:eastAsia="Calibri" w:hAnsi="Times New Roman" w:cs="Times New Roman"/>
          <w:color w:val="000000" w:themeColor="text1"/>
          <w:sz w:val="24"/>
          <w:lang w:val="fr-FR" w:eastAsia="fr-FR"/>
        </w:rPr>
        <w:t xml:space="preserve"> </w:t>
      </w:r>
      <w:r w:rsidR="00D3778C">
        <w:rPr>
          <w:rFonts w:ascii="Times New Roman" w:eastAsia="Calibri" w:hAnsi="Times New Roman" w:cs="Times New Roman"/>
          <w:sz w:val="24"/>
          <w:lang w:val="fr-BE"/>
        </w:rPr>
        <w:t xml:space="preserve">En ce qui concerne les données </w:t>
      </w:r>
      <w:r w:rsidR="003B1D26">
        <w:rPr>
          <w:rFonts w:ascii="Times New Roman" w:eastAsia="Calibri" w:hAnsi="Times New Roman" w:cs="Times New Roman"/>
          <w:sz w:val="24"/>
          <w:lang w:val="fr-BE"/>
        </w:rPr>
        <w:t>à la disposition des</w:t>
      </w:r>
      <w:r w:rsidR="00D3778C">
        <w:rPr>
          <w:rFonts w:ascii="Times New Roman" w:eastAsia="Calibri" w:hAnsi="Times New Roman" w:cs="Times New Roman"/>
          <w:sz w:val="24"/>
          <w:lang w:val="fr-BE"/>
        </w:rPr>
        <w:t xml:space="preserve"> institutions de l'Union elles-mêmes, les </w:t>
      </w:r>
      <w:r w:rsidR="003B1D26">
        <w:rPr>
          <w:rFonts w:ascii="Times New Roman" w:eastAsia="Calibri" w:hAnsi="Times New Roman" w:cs="Times New Roman"/>
          <w:sz w:val="24"/>
          <w:lang w:val="fr-BE"/>
        </w:rPr>
        <w:t>limites</w:t>
      </w:r>
      <w:r w:rsidR="00D3778C">
        <w:rPr>
          <w:rFonts w:ascii="Times New Roman" w:eastAsia="Calibri" w:hAnsi="Times New Roman" w:cs="Times New Roman"/>
          <w:sz w:val="24"/>
          <w:lang w:val="fr-BE"/>
        </w:rPr>
        <w:t xml:space="preserve"> </w:t>
      </w:r>
      <w:r w:rsidR="003B1D26">
        <w:rPr>
          <w:rFonts w:ascii="Times New Roman" w:eastAsia="Calibri" w:hAnsi="Times New Roman" w:cs="Times New Roman"/>
          <w:sz w:val="24"/>
          <w:lang w:val="fr-BE"/>
        </w:rPr>
        <w:t xml:space="preserve">méthodologiques </w:t>
      </w:r>
      <w:r w:rsidR="00D3778C">
        <w:rPr>
          <w:rFonts w:ascii="Times New Roman" w:eastAsia="Calibri" w:hAnsi="Times New Roman" w:cs="Times New Roman"/>
          <w:sz w:val="24"/>
          <w:lang w:val="fr-BE"/>
        </w:rPr>
        <w:t>sont lié</w:t>
      </w:r>
      <w:r w:rsidR="0078119C">
        <w:rPr>
          <w:rFonts w:ascii="Times New Roman" w:eastAsia="Calibri" w:hAnsi="Times New Roman" w:cs="Times New Roman"/>
          <w:sz w:val="24"/>
          <w:lang w:val="fr-BE"/>
        </w:rPr>
        <w:t>e</w:t>
      </w:r>
      <w:r w:rsidR="00D3778C">
        <w:rPr>
          <w:rFonts w:ascii="Times New Roman" w:eastAsia="Calibri" w:hAnsi="Times New Roman" w:cs="Times New Roman"/>
          <w:sz w:val="24"/>
          <w:lang w:val="fr-BE"/>
        </w:rPr>
        <w:t xml:space="preserve">s à la pratique </w:t>
      </w:r>
      <w:r w:rsidR="003B1D26">
        <w:rPr>
          <w:rFonts w:ascii="Times New Roman" w:eastAsia="Calibri" w:hAnsi="Times New Roman" w:cs="Times New Roman"/>
          <w:sz w:val="24"/>
          <w:lang w:val="fr-BE"/>
        </w:rPr>
        <w:t>ayant</w:t>
      </w:r>
      <w:r w:rsidR="00D3778C">
        <w:rPr>
          <w:rFonts w:ascii="Times New Roman" w:eastAsia="Calibri" w:hAnsi="Times New Roman" w:cs="Times New Roman"/>
          <w:sz w:val="24"/>
          <w:lang w:val="fr-BE"/>
        </w:rPr>
        <w:t xml:space="preserve"> prévalu </w:t>
      </w:r>
      <w:r w:rsidR="00ED790E">
        <w:rPr>
          <w:rFonts w:ascii="Times New Roman" w:eastAsia="Calibri" w:hAnsi="Times New Roman" w:cs="Times New Roman"/>
          <w:sz w:val="24"/>
          <w:lang w:val="fr-BE"/>
        </w:rPr>
        <w:t>j</w:t>
      </w:r>
      <w:r w:rsidR="00F34A4D" w:rsidRPr="00F34A4D">
        <w:rPr>
          <w:rFonts w:ascii="Times New Roman" w:eastAsia="Calibri" w:hAnsi="Times New Roman" w:cs="Times New Roman"/>
          <w:sz w:val="24"/>
          <w:lang w:val="fr-BE"/>
        </w:rPr>
        <w:t xml:space="preserve">usqu’au 21 décembre 2016, date de l’arrêt de la Cour de </w:t>
      </w:r>
      <w:r w:rsidR="000C65F5">
        <w:rPr>
          <w:rFonts w:ascii="Times New Roman" w:eastAsia="Calibri" w:hAnsi="Times New Roman" w:cs="Times New Roman"/>
          <w:sz w:val="24"/>
          <w:lang w:val="fr-BE"/>
        </w:rPr>
        <w:t>j</w:t>
      </w:r>
      <w:r w:rsidR="00F34A4D" w:rsidRPr="00F34A4D">
        <w:rPr>
          <w:rFonts w:ascii="Times New Roman" w:eastAsia="Calibri" w:hAnsi="Times New Roman" w:cs="Times New Roman"/>
          <w:sz w:val="24"/>
          <w:lang w:val="fr-BE"/>
        </w:rPr>
        <w:t>ustice de l’U</w:t>
      </w:r>
      <w:r w:rsidR="00090D82">
        <w:rPr>
          <w:rFonts w:ascii="Times New Roman" w:eastAsia="Calibri" w:hAnsi="Times New Roman" w:cs="Times New Roman"/>
          <w:sz w:val="24"/>
          <w:lang w:val="fr-BE"/>
        </w:rPr>
        <w:t xml:space="preserve">nion </w:t>
      </w:r>
      <w:r w:rsidR="0094080B">
        <w:rPr>
          <w:rFonts w:ascii="Times New Roman" w:eastAsia="Calibri" w:hAnsi="Times New Roman" w:cs="Times New Roman"/>
          <w:sz w:val="24"/>
          <w:lang w:val="fr-BE"/>
        </w:rPr>
        <w:t>e</w:t>
      </w:r>
      <w:r w:rsidR="00090D82">
        <w:rPr>
          <w:rFonts w:ascii="Times New Roman" w:eastAsia="Calibri" w:hAnsi="Times New Roman" w:cs="Times New Roman"/>
          <w:sz w:val="24"/>
          <w:lang w:val="fr-BE"/>
        </w:rPr>
        <w:t>uropéenne</w:t>
      </w:r>
      <w:r w:rsidR="00D3778C">
        <w:rPr>
          <w:rFonts w:ascii="Times New Roman" w:eastAsia="Calibri" w:hAnsi="Times New Roman" w:cs="Times New Roman"/>
          <w:sz w:val="24"/>
          <w:lang w:val="fr-BE"/>
        </w:rPr>
        <w:t>. L</w:t>
      </w:r>
      <w:r w:rsidR="00F34A4D" w:rsidRPr="00F34A4D">
        <w:rPr>
          <w:rFonts w:ascii="Times New Roman" w:eastAsia="Calibri" w:hAnsi="Times New Roman" w:cs="Times New Roman"/>
          <w:sz w:val="24"/>
          <w:lang w:val="fr-BE"/>
        </w:rPr>
        <w:t>es marchandises du Sahara occidental importées dans l’U</w:t>
      </w:r>
      <w:r w:rsidR="00584896">
        <w:rPr>
          <w:rFonts w:ascii="Times New Roman" w:eastAsia="Calibri" w:hAnsi="Times New Roman" w:cs="Times New Roman"/>
          <w:sz w:val="24"/>
          <w:lang w:val="fr-BE"/>
        </w:rPr>
        <w:t>nion</w:t>
      </w:r>
      <w:r w:rsidR="00F34A4D" w:rsidRPr="00F34A4D">
        <w:rPr>
          <w:rFonts w:ascii="Times New Roman" w:eastAsia="Calibri" w:hAnsi="Times New Roman" w:cs="Times New Roman"/>
          <w:sz w:val="24"/>
          <w:lang w:val="fr-BE"/>
        </w:rPr>
        <w:t xml:space="preserve"> </w:t>
      </w:r>
      <w:r w:rsidR="00D3778C">
        <w:rPr>
          <w:rFonts w:ascii="Times New Roman" w:eastAsia="Calibri" w:hAnsi="Times New Roman" w:cs="Times New Roman"/>
          <w:sz w:val="24"/>
          <w:lang w:val="fr-BE"/>
        </w:rPr>
        <w:t>ayant</w:t>
      </w:r>
      <w:r w:rsidR="00ED790E">
        <w:rPr>
          <w:rFonts w:ascii="Times New Roman" w:eastAsia="Calibri" w:hAnsi="Times New Roman" w:cs="Times New Roman"/>
          <w:sz w:val="24"/>
          <w:lang w:val="fr-BE"/>
        </w:rPr>
        <w:t xml:space="preserve"> </w:t>
      </w:r>
      <w:r w:rsidR="00F34A4D" w:rsidRPr="00F34A4D">
        <w:rPr>
          <w:rFonts w:ascii="Times New Roman" w:eastAsia="Calibri" w:hAnsi="Times New Roman" w:cs="Times New Roman"/>
          <w:sz w:val="24"/>
          <w:lang w:val="fr-BE"/>
        </w:rPr>
        <w:t xml:space="preserve">bénéficié </w:t>
      </w:r>
      <w:r w:rsidR="00ED790E" w:rsidRPr="000C705E">
        <w:rPr>
          <w:rFonts w:ascii="Times New Roman" w:eastAsia="Calibri" w:hAnsi="Times New Roman" w:cs="Times New Roman"/>
          <w:i/>
          <w:sz w:val="24"/>
          <w:lang w:val="fr-BE"/>
        </w:rPr>
        <w:t>de facto</w:t>
      </w:r>
      <w:r w:rsidR="00ED790E">
        <w:rPr>
          <w:rFonts w:ascii="Times New Roman" w:eastAsia="Calibri" w:hAnsi="Times New Roman" w:cs="Times New Roman"/>
          <w:sz w:val="24"/>
          <w:lang w:val="fr-BE"/>
        </w:rPr>
        <w:t xml:space="preserve"> </w:t>
      </w:r>
      <w:r w:rsidR="00F34A4D" w:rsidRPr="00F34A4D">
        <w:rPr>
          <w:rFonts w:ascii="Times New Roman" w:eastAsia="Calibri" w:hAnsi="Times New Roman" w:cs="Times New Roman"/>
          <w:sz w:val="24"/>
          <w:lang w:val="fr-BE"/>
        </w:rPr>
        <w:t>des mêmes préférences que les marchandises originaires du Maroc</w:t>
      </w:r>
      <w:r w:rsidR="00D3778C">
        <w:rPr>
          <w:rFonts w:ascii="Times New Roman" w:eastAsia="Calibri" w:hAnsi="Times New Roman" w:cs="Times New Roman"/>
          <w:sz w:val="24"/>
          <w:lang w:val="fr-BE"/>
        </w:rPr>
        <w:t xml:space="preserve">, </w:t>
      </w:r>
      <w:r w:rsidR="00AC2B96">
        <w:rPr>
          <w:rFonts w:ascii="Times New Roman" w:eastAsia="Calibri" w:hAnsi="Times New Roman" w:cs="Times New Roman"/>
          <w:sz w:val="24"/>
          <w:lang w:val="fr-BE"/>
        </w:rPr>
        <w:t>il n'est généralement pas possible de distinguer les importations du Maroc de celles du Sahara occidental</w:t>
      </w:r>
      <w:r w:rsidR="00E22C35">
        <w:rPr>
          <w:rFonts w:ascii="Times New Roman" w:eastAsia="Calibri" w:hAnsi="Times New Roman" w:cs="Times New Roman"/>
          <w:sz w:val="24"/>
          <w:lang w:val="fr-BE"/>
        </w:rPr>
        <w:t xml:space="preserve"> et partant d'évaluer la part des produits originaires du Sahara occidental</w:t>
      </w:r>
      <w:r w:rsidR="00F34A4D" w:rsidRPr="00F34A4D">
        <w:rPr>
          <w:rFonts w:ascii="Times New Roman" w:eastAsia="Calibri" w:hAnsi="Times New Roman" w:cs="Times New Roman"/>
          <w:sz w:val="24"/>
          <w:lang w:val="fr-BE"/>
        </w:rPr>
        <w:t xml:space="preserve"> </w:t>
      </w:r>
      <w:r w:rsidR="00E22C35" w:rsidRPr="00F34A4D">
        <w:rPr>
          <w:rFonts w:ascii="Times New Roman" w:eastAsia="Calibri" w:hAnsi="Times New Roman" w:cs="Times New Roman"/>
          <w:sz w:val="24"/>
          <w:lang w:val="fr-BE"/>
        </w:rPr>
        <w:t>à partir des bases statistiques de l’U</w:t>
      </w:r>
      <w:r w:rsidR="00584896">
        <w:rPr>
          <w:rFonts w:ascii="Times New Roman" w:eastAsia="Calibri" w:hAnsi="Times New Roman" w:cs="Times New Roman"/>
          <w:sz w:val="24"/>
          <w:lang w:val="fr-BE"/>
        </w:rPr>
        <w:t>nion</w:t>
      </w:r>
      <w:r w:rsidR="00E22C35" w:rsidRPr="00F34A4D">
        <w:rPr>
          <w:rFonts w:ascii="Times New Roman" w:eastAsia="Calibri" w:hAnsi="Times New Roman" w:cs="Times New Roman"/>
          <w:sz w:val="24"/>
          <w:lang w:val="fr-BE"/>
        </w:rPr>
        <w:t xml:space="preserve"> sur</w:t>
      </w:r>
      <w:r w:rsidR="00E22C35">
        <w:rPr>
          <w:rFonts w:ascii="Times New Roman" w:eastAsia="Calibri" w:hAnsi="Times New Roman" w:cs="Times New Roman"/>
          <w:sz w:val="24"/>
          <w:lang w:val="fr-BE"/>
        </w:rPr>
        <w:t xml:space="preserve"> le commerce extérieur (par exemple</w:t>
      </w:r>
      <w:r w:rsidR="00E22C35" w:rsidRPr="00F34A4D">
        <w:rPr>
          <w:rFonts w:ascii="Times New Roman" w:eastAsia="Calibri" w:hAnsi="Times New Roman" w:cs="Times New Roman"/>
          <w:sz w:val="24"/>
          <w:lang w:val="fr-BE"/>
        </w:rPr>
        <w:t xml:space="preserve"> </w:t>
      </w:r>
      <w:r w:rsidR="00E22C35">
        <w:rPr>
          <w:rFonts w:ascii="Times New Roman" w:eastAsia="Calibri" w:hAnsi="Times New Roman" w:cs="Times New Roman"/>
          <w:sz w:val="24"/>
          <w:lang w:val="fr-BE"/>
        </w:rPr>
        <w:t xml:space="preserve">la </w:t>
      </w:r>
      <w:r w:rsidR="00E22C35" w:rsidRPr="00F34A4D">
        <w:rPr>
          <w:rFonts w:ascii="Times New Roman" w:eastAsia="Calibri" w:hAnsi="Times New Roman" w:cs="Times New Roman"/>
          <w:sz w:val="24"/>
          <w:lang w:val="fr-BE"/>
        </w:rPr>
        <w:t>base de données COMEXT fournie par Eurostat</w:t>
      </w:r>
      <w:r w:rsidR="00E22C35">
        <w:rPr>
          <w:rFonts w:ascii="Times New Roman" w:eastAsia="Calibri" w:hAnsi="Times New Roman" w:cs="Times New Roman"/>
          <w:sz w:val="24"/>
          <w:lang w:val="fr-BE"/>
        </w:rPr>
        <w:t>)</w:t>
      </w:r>
      <w:r w:rsidR="003B1D26">
        <w:rPr>
          <w:rFonts w:ascii="Times New Roman" w:eastAsia="Calibri" w:hAnsi="Times New Roman" w:cs="Times New Roman"/>
          <w:sz w:val="24"/>
          <w:lang w:val="fr-BE"/>
        </w:rPr>
        <w:t xml:space="preserve">. </w:t>
      </w:r>
      <w:r w:rsidR="00B569EB">
        <w:rPr>
          <w:rFonts w:ascii="Times New Roman" w:eastAsia="Calibri" w:hAnsi="Times New Roman" w:cs="Times New Roman"/>
          <w:sz w:val="24"/>
          <w:lang w:val="fr-BE"/>
        </w:rPr>
        <w:t>C’est seulement</w:t>
      </w:r>
      <w:r w:rsidR="0078119C">
        <w:rPr>
          <w:rFonts w:ascii="Times New Roman" w:eastAsia="Calibri" w:hAnsi="Times New Roman" w:cs="Times New Roman"/>
          <w:sz w:val="24"/>
          <w:lang w:val="fr-BE"/>
        </w:rPr>
        <w:t xml:space="preserve"> pour les produits de la pêche </w:t>
      </w:r>
      <w:r w:rsidR="00B569EB">
        <w:rPr>
          <w:rFonts w:ascii="Times New Roman" w:eastAsia="Calibri" w:hAnsi="Times New Roman" w:cs="Times New Roman"/>
          <w:sz w:val="24"/>
          <w:lang w:val="fr-BE"/>
        </w:rPr>
        <w:t>que</w:t>
      </w:r>
      <w:r w:rsidR="0078119C" w:rsidRPr="00F34A4D">
        <w:rPr>
          <w:rFonts w:ascii="Times New Roman" w:eastAsia="Calibri" w:hAnsi="Times New Roman" w:cs="Times New Roman"/>
          <w:sz w:val="24"/>
          <w:lang w:val="fr-BE"/>
        </w:rPr>
        <w:t xml:space="preserve"> les données tirées du système TRACES (Trade Control and Expert System) géré par la Commission européenne</w:t>
      </w:r>
      <w:r w:rsidR="0078119C">
        <w:rPr>
          <w:rFonts w:ascii="Times New Roman" w:eastAsia="Calibri" w:hAnsi="Times New Roman" w:cs="Times New Roman"/>
          <w:sz w:val="24"/>
          <w:lang w:val="fr-BE"/>
        </w:rPr>
        <w:t>,</w:t>
      </w:r>
      <w:r w:rsidR="0078119C" w:rsidRPr="00F34A4D">
        <w:rPr>
          <w:rFonts w:ascii="Times New Roman" w:eastAsia="Calibri" w:hAnsi="Times New Roman" w:cs="Times New Roman"/>
          <w:sz w:val="24"/>
          <w:lang w:val="fr-BE"/>
        </w:rPr>
        <w:t xml:space="preserve"> </w:t>
      </w:r>
      <w:r w:rsidR="00B569EB">
        <w:rPr>
          <w:rFonts w:ascii="Times New Roman" w:eastAsia="Calibri" w:hAnsi="Times New Roman" w:cs="Times New Roman"/>
          <w:sz w:val="24"/>
          <w:lang w:val="fr-BE"/>
        </w:rPr>
        <w:t xml:space="preserve">permettent </w:t>
      </w:r>
      <w:r w:rsidR="0078119C" w:rsidRPr="00F34A4D">
        <w:rPr>
          <w:rFonts w:ascii="Times New Roman" w:eastAsia="Calibri" w:hAnsi="Times New Roman" w:cs="Times New Roman"/>
          <w:sz w:val="24"/>
          <w:lang w:val="fr-BE"/>
        </w:rPr>
        <w:t>d’estimer la part des produits de la pêche transformés dans le territoire et importés dans l’U</w:t>
      </w:r>
      <w:r w:rsidR="0078119C">
        <w:rPr>
          <w:rFonts w:ascii="Times New Roman" w:eastAsia="Calibri" w:hAnsi="Times New Roman" w:cs="Times New Roman"/>
          <w:sz w:val="24"/>
          <w:lang w:val="fr-BE"/>
        </w:rPr>
        <w:t xml:space="preserve">nion </w:t>
      </w:r>
      <w:r w:rsidR="0078119C" w:rsidRPr="00F34A4D">
        <w:rPr>
          <w:rFonts w:ascii="Times New Roman" w:eastAsia="Calibri" w:hAnsi="Times New Roman" w:cs="Times New Roman"/>
          <w:sz w:val="24"/>
          <w:lang w:val="fr-BE"/>
        </w:rPr>
        <w:t>E</w:t>
      </w:r>
      <w:r w:rsidR="0078119C">
        <w:rPr>
          <w:rFonts w:ascii="Times New Roman" w:eastAsia="Calibri" w:hAnsi="Times New Roman" w:cs="Times New Roman"/>
          <w:sz w:val="24"/>
          <w:lang w:val="fr-BE"/>
        </w:rPr>
        <w:t>uropéenne</w:t>
      </w:r>
      <w:r w:rsidR="0078119C" w:rsidRPr="00F34A4D">
        <w:rPr>
          <w:rFonts w:ascii="Times New Roman" w:eastAsia="Calibri" w:hAnsi="Times New Roman" w:cs="Times New Roman"/>
          <w:sz w:val="24"/>
          <w:lang w:val="fr-BE"/>
        </w:rPr>
        <w:t>.</w:t>
      </w:r>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423348" w:rsidRPr="0078119C" w:rsidRDefault="00423348" w:rsidP="00423348">
      <w:pPr>
        <w:widowControl w:val="0"/>
        <w:spacing w:after="0" w:line="240" w:lineRule="auto"/>
        <w:jc w:val="both"/>
        <w:rPr>
          <w:rFonts w:ascii="Times New Roman" w:eastAsia="Calibri" w:hAnsi="Times New Roman" w:cs="Times New Roman"/>
          <w:sz w:val="24"/>
          <w:lang w:val="fr-BE"/>
        </w:rPr>
      </w:pPr>
      <w:r w:rsidRPr="004E2E61">
        <w:rPr>
          <w:rFonts w:ascii="Times New Roman" w:eastAsia="Calibri" w:hAnsi="Times New Roman" w:cs="Times New Roman"/>
          <w:b/>
          <w:i/>
          <w:color w:val="000000" w:themeColor="text1"/>
          <w:sz w:val="24"/>
          <w:lang w:val="fr-BE" w:eastAsia="fr-FR"/>
        </w:rPr>
        <w:t>L</w:t>
      </w:r>
      <w:r w:rsidRPr="004E2E61">
        <w:rPr>
          <w:rFonts w:ascii="Times New Roman" w:eastAsia="Calibri" w:hAnsi="Times New Roman" w:cs="Times New Roman"/>
          <w:b/>
          <w:i/>
          <w:color w:val="000000" w:themeColor="text1"/>
          <w:sz w:val="24"/>
          <w:lang w:val="fr-FR" w:eastAsia="fr-FR"/>
        </w:rPr>
        <w:t>a définition du champ de l’évaluation.</w:t>
      </w:r>
      <w:r w:rsidRPr="0078119C">
        <w:rPr>
          <w:rFonts w:ascii="Times New Roman" w:eastAsia="Calibri" w:hAnsi="Times New Roman" w:cs="Times New Roman"/>
          <w:sz w:val="24"/>
          <w:lang w:val="fr-BE"/>
        </w:rPr>
        <w:t xml:space="preserve"> </w:t>
      </w:r>
      <w:r>
        <w:rPr>
          <w:rFonts w:ascii="Times New Roman" w:eastAsia="Calibri" w:hAnsi="Times New Roman" w:cs="Times New Roman"/>
          <w:sz w:val="24"/>
          <w:lang w:val="fr-BE"/>
        </w:rPr>
        <w:t>L’expression</w:t>
      </w:r>
      <w:r w:rsidRPr="0078119C">
        <w:rPr>
          <w:rFonts w:ascii="Times New Roman" w:eastAsia="Calibri" w:hAnsi="Times New Roman" w:cs="Times New Roman"/>
          <w:sz w:val="24"/>
          <w:lang w:val="fr-BE"/>
        </w:rPr>
        <w:t xml:space="preserve"> « populations concernées » est sujet</w:t>
      </w:r>
      <w:r>
        <w:rPr>
          <w:rFonts w:ascii="Times New Roman" w:eastAsia="Calibri" w:hAnsi="Times New Roman" w:cs="Times New Roman"/>
          <w:sz w:val="24"/>
          <w:lang w:val="fr-BE"/>
        </w:rPr>
        <w:t>te</w:t>
      </w:r>
      <w:r w:rsidRPr="0078119C">
        <w:rPr>
          <w:rFonts w:ascii="Times New Roman" w:eastAsia="Calibri" w:hAnsi="Times New Roman" w:cs="Times New Roman"/>
          <w:sz w:val="24"/>
          <w:lang w:val="fr-BE"/>
        </w:rPr>
        <w:t xml:space="preserve"> à  interprétations différentes voire divergentes</w:t>
      </w:r>
      <w:r w:rsidR="004130A1">
        <w:rPr>
          <w:rStyle w:val="FootnoteReference"/>
          <w:rFonts w:ascii="Times New Roman" w:eastAsia="Calibri" w:hAnsi="Times New Roman" w:cs="Times New Roman"/>
          <w:sz w:val="24"/>
          <w:lang w:val="fr-BE"/>
        </w:rPr>
        <w:footnoteReference w:id="10"/>
      </w:r>
      <w:r w:rsidRPr="0078119C">
        <w:rPr>
          <w:rFonts w:ascii="Times New Roman" w:eastAsia="Calibri" w:hAnsi="Times New Roman" w:cs="Times New Roman"/>
          <w:sz w:val="24"/>
          <w:lang w:val="fr-BE"/>
        </w:rPr>
        <w:t xml:space="preserve">. </w:t>
      </w:r>
      <w:r>
        <w:rPr>
          <w:rFonts w:ascii="Times New Roman" w:eastAsia="Calibri" w:hAnsi="Times New Roman" w:cs="Times New Roman"/>
          <w:sz w:val="24"/>
          <w:lang w:val="fr-BE"/>
        </w:rPr>
        <w:t>Elle</w:t>
      </w:r>
      <w:r w:rsidRPr="0078119C">
        <w:rPr>
          <w:rFonts w:ascii="Times New Roman" w:eastAsia="Calibri" w:hAnsi="Times New Roman" w:cs="Times New Roman"/>
          <w:sz w:val="24"/>
          <w:lang w:val="fr-BE"/>
        </w:rPr>
        <w:t xml:space="preserve"> peut renvoyer aux populations habitant le territoire ; c’est l’interprétation marocaine, qui ne fait pas de distinction entre les habitants sur une base ethnique/communautaire. </w:t>
      </w:r>
      <w:r>
        <w:rPr>
          <w:rFonts w:ascii="Times New Roman" w:eastAsia="Calibri" w:hAnsi="Times New Roman" w:cs="Times New Roman"/>
          <w:sz w:val="24"/>
          <w:lang w:val="fr-BE"/>
        </w:rPr>
        <w:t>Elle</w:t>
      </w:r>
      <w:r w:rsidRPr="0078119C">
        <w:rPr>
          <w:rFonts w:ascii="Times New Roman" w:eastAsia="Calibri" w:hAnsi="Times New Roman" w:cs="Times New Roman"/>
          <w:sz w:val="24"/>
          <w:lang w:val="fr-BE"/>
        </w:rPr>
        <w:t xml:space="preserve"> peut aussi renvoyer à des habitants déterminés, notamment sur une base ethnique/communautaire (Sahraouis)</w:t>
      </w:r>
      <w:r>
        <w:rPr>
          <w:rFonts w:ascii="Times New Roman" w:eastAsia="Calibri" w:hAnsi="Times New Roman" w:cs="Times New Roman"/>
          <w:sz w:val="24"/>
          <w:lang w:val="fr-BE"/>
        </w:rPr>
        <w:t xml:space="preserve"> </w:t>
      </w:r>
      <w:r w:rsidRPr="0078119C">
        <w:rPr>
          <w:rFonts w:ascii="Times New Roman" w:eastAsia="Calibri" w:hAnsi="Times New Roman" w:cs="Times New Roman"/>
          <w:sz w:val="24"/>
          <w:lang w:val="fr-BE"/>
        </w:rPr>
        <w:t>; dans ce cas, les populations concernées peuvent être au moins en partie des personnes habitant en dehors du Sahara occidental (réfugiés)</w:t>
      </w:r>
      <w:r>
        <w:rPr>
          <w:rFonts w:ascii="Times New Roman" w:eastAsia="Calibri" w:hAnsi="Times New Roman" w:cs="Times New Roman"/>
          <w:sz w:val="24"/>
          <w:lang w:val="fr-BE"/>
        </w:rPr>
        <w:t xml:space="preserve"> et certains habitants actuels établis récemment pourraient ne pas en faire partie</w:t>
      </w:r>
      <w:r w:rsidRPr="0078119C">
        <w:rPr>
          <w:rFonts w:ascii="Times New Roman" w:eastAsia="Calibri" w:hAnsi="Times New Roman" w:cs="Times New Roman"/>
          <w:sz w:val="24"/>
          <w:lang w:val="fr-BE"/>
        </w:rPr>
        <w:t xml:space="preserve">. C’est l’interprétation retenue </w:t>
      </w:r>
      <w:r>
        <w:rPr>
          <w:rFonts w:ascii="Times New Roman" w:eastAsia="Calibri" w:hAnsi="Times New Roman" w:cs="Times New Roman"/>
          <w:sz w:val="24"/>
          <w:lang w:val="fr-BE"/>
        </w:rPr>
        <w:t xml:space="preserve">en particulier </w:t>
      </w:r>
      <w:r w:rsidRPr="0078119C">
        <w:rPr>
          <w:rFonts w:ascii="Times New Roman" w:eastAsia="Calibri" w:hAnsi="Times New Roman" w:cs="Times New Roman"/>
          <w:sz w:val="24"/>
          <w:lang w:val="fr-BE"/>
        </w:rPr>
        <w:t>par le Front Polisario.</w:t>
      </w:r>
      <w:r>
        <w:rPr>
          <w:rFonts w:ascii="Times New Roman" w:eastAsia="Calibri" w:hAnsi="Times New Roman" w:cs="Times New Roman"/>
          <w:sz w:val="24"/>
          <w:lang w:val="fr-BE"/>
        </w:rPr>
        <w:t xml:space="preserve"> Si </w:t>
      </w:r>
      <w:r w:rsidR="0059134D">
        <w:rPr>
          <w:rFonts w:ascii="Times New Roman" w:eastAsia="Calibri" w:hAnsi="Times New Roman" w:cs="Times New Roman"/>
          <w:sz w:val="24"/>
          <w:lang w:val="fr-BE"/>
        </w:rPr>
        <w:t>l’</w:t>
      </w:r>
      <w:r>
        <w:rPr>
          <w:rFonts w:ascii="Times New Roman" w:eastAsia="Calibri" w:hAnsi="Times New Roman" w:cs="Times New Roman"/>
          <w:sz w:val="24"/>
          <w:lang w:val="fr-BE"/>
        </w:rPr>
        <w:t xml:space="preserve">on retient une définition ethnique/communautaire de la population concernée, il convient de rappeler trois faits : (1) la Mission des Nations Unies pour l'organisation d'un référendum au Sahara occidental (MINURSO) a œuvré pendant 13 ans, entre 1991 et 2004, pour définir les personnes pouvant participer à l’exercice du droit à l’autodétermination du peuple du Sahara occidental, sans parvenir à un résultat conclusif ; (2) les populations se définissant comme sahraouies sont établies sur un espace beaucoup plus vaste que le Sahara occidental, qui inclut notamment le sud du Maroc, la Mauritanie, une partie de l'Algérie, </w:t>
      </w:r>
      <w:r w:rsidRPr="00354661">
        <w:rPr>
          <w:rFonts w:ascii="Times New Roman" w:eastAsia="Arial Unicode MS" w:hAnsi="Times New Roman" w:cs="Times New Roman"/>
          <w:sz w:val="24"/>
          <w:szCs w:val="24"/>
          <w:bdr w:val="nil"/>
          <w:lang w:val="fr-BE"/>
        </w:rPr>
        <w:t>a</w:t>
      </w:r>
      <w:r>
        <w:rPr>
          <w:rFonts w:ascii="Times New Roman" w:eastAsia="Arial Unicode MS" w:hAnsi="Times New Roman" w:cs="Times New Roman"/>
          <w:sz w:val="24"/>
          <w:szCs w:val="24"/>
          <w:bdr w:val="nil"/>
          <w:lang w:val="fr-BE"/>
        </w:rPr>
        <w:t>insi que des</w:t>
      </w:r>
      <w:r w:rsidRPr="00354661">
        <w:rPr>
          <w:rFonts w:ascii="Times New Roman" w:eastAsia="Arial Unicode MS" w:hAnsi="Times New Roman" w:cs="Times New Roman"/>
          <w:sz w:val="24"/>
          <w:szCs w:val="24"/>
          <w:bdr w:val="nil"/>
          <w:lang w:val="fr-BE"/>
        </w:rPr>
        <w:t xml:space="preserve"> group</w:t>
      </w:r>
      <w:r>
        <w:rPr>
          <w:rFonts w:ascii="Times New Roman" w:eastAsia="Arial Unicode MS" w:hAnsi="Times New Roman" w:cs="Times New Roman"/>
          <w:sz w:val="24"/>
          <w:szCs w:val="24"/>
          <w:bdr w:val="nil"/>
          <w:lang w:val="fr-BE"/>
        </w:rPr>
        <w:t>e</w:t>
      </w:r>
      <w:r w:rsidRPr="00354661">
        <w:rPr>
          <w:rFonts w:ascii="Times New Roman" w:eastAsia="Arial Unicode MS" w:hAnsi="Times New Roman" w:cs="Times New Roman"/>
          <w:sz w:val="24"/>
          <w:szCs w:val="24"/>
          <w:bdr w:val="nil"/>
          <w:lang w:val="fr-BE"/>
        </w:rPr>
        <w:t xml:space="preserve">s significatifs en Europe et </w:t>
      </w:r>
      <w:r>
        <w:rPr>
          <w:rFonts w:ascii="Times New Roman" w:eastAsia="Arial Unicode MS" w:hAnsi="Times New Roman" w:cs="Times New Roman"/>
          <w:sz w:val="24"/>
          <w:szCs w:val="24"/>
          <w:bdr w:val="nil"/>
          <w:lang w:val="fr-BE"/>
        </w:rPr>
        <w:t xml:space="preserve">en </w:t>
      </w:r>
      <w:r w:rsidRPr="00354661">
        <w:rPr>
          <w:rFonts w:ascii="Times New Roman" w:eastAsia="Arial Unicode MS" w:hAnsi="Times New Roman" w:cs="Times New Roman"/>
          <w:sz w:val="24"/>
          <w:szCs w:val="24"/>
          <w:bdr w:val="nil"/>
          <w:lang w:val="fr-BE"/>
        </w:rPr>
        <w:t>Am</w:t>
      </w:r>
      <w:r>
        <w:rPr>
          <w:rFonts w:ascii="Times New Roman" w:eastAsia="Arial Unicode MS" w:hAnsi="Times New Roman" w:cs="Times New Roman"/>
          <w:sz w:val="24"/>
          <w:szCs w:val="24"/>
          <w:bdr w:val="nil"/>
          <w:lang w:val="fr-BE"/>
        </w:rPr>
        <w:t>é</w:t>
      </w:r>
      <w:r w:rsidRPr="00354661">
        <w:rPr>
          <w:rFonts w:ascii="Times New Roman" w:eastAsia="Arial Unicode MS" w:hAnsi="Times New Roman" w:cs="Times New Roman"/>
          <w:sz w:val="24"/>
          <w:szCs w:val="24"/>
          <w:bdr w:val="nil"/>
          <w:lang w:val="fr-BE"/>
        </w:rPr>
        <w:t xml:space="preserve">rique du Nord, </w:t>
      </w:r>
      <w:r>
        <w:rPr>
          <w:rFonts w:ascii="Times New Roman" w:eastAsia="Calibri" w:hAnsi="Times New Roman" w:cs="Times New Roman"/>
          <w:sz w:val="24"/>
          <w:lang w:val="fr-BE"/>
        </w:rPr>
        <w:t xml:space="preserve">etc. ; (3) ces populations sahraouies, traditionnellement nomades, ont des liens familiaux qui dépassent les frontières de la région. </w:t>
      </w:r>
      <w:r w:rsidRPr="00820F7F">
        <w:rPr>
          <w:rFonts w:ascii="Times New Roman" w:eastAsia="Calibri" w:hAnsi="Times New Roman" w:cs="Times New Roman"/>
          <w:sz w:val="24"/>
          <w:lang w:val="fr-BE"/>
        </w:rPr>
        <w:t>Cela montre les difficultés auxquelles doi</w:t>
      </w:r>
      <w:r>
        <w:rPr>
          <w:rFonts w:ascii="Times New Roman" w:eastAsia="Calibri" w:hAnsi="Times New Roman" w:cs="Times New Roman"/>
          <w:sz w:val="24"/>
          <w:lang w:val="fr-BE"/>
        </w:rPr>
        <w:t>ven</w:t>
      </w:r>
      <w:r w:rsidRPr="00820F7F">
        <w:rPr>
          <w:rFonts w:ascii="Times New Roman" w:eastAsia="Calibri" w:hAnsi="Times New Roman" w:cs="Times New Roman"/>
          <w:sz w:val="24"/>
          <w:lang w:val="fr-BE"/>
        </w:rPr>
        <w:t xml:space="preserve">t faire face </w:t>
      </w:r>
      <w:r>
        <w:rPr>
          <w:rFonts w:ascii="Times New Roman" w:eastAsia="Calibri" w:hAnsi="Times New Roman" w:cs="Times New Roman"/>
          <w:sz w:val="24"/>
          <w:lang w:val="fr-BE"/>
        </w:rPr>
        <w:t>les services de la</w:t>
      </w:r>
      <w:r w:rsidRPr="00820F7F">
        <w:rPr>
          <w:rFonts w:ascii="Times New Roman" w:eastAsia="Calibri" w:hAnsi="Times New Roman" w:cs="Times New Roman"/>
          <w:sz w:val="24"/>
          <w:lang w:val="fr-BE"/>
        </w:rPr>
        <w:t xml:space="preserve"> Commission</w:t>
      </w:r>
      <w:r>
        <w:rPr>
          <w:rFonts w:ascii="Times New Roman" w:eastAsia="Calibri" w:hAnsi="Times New Roman" w:cs="Times New Roman"/>
          <w:sz w:val="24"/>
          <w:lang w:val="fr-BE"/>
        </w:rPr>
        <w:t xml:space="preserve"> européenne</w:t>
      </w:r>
      <w:r w:rsidRPr="00820F7F">
        <w:rPr>
          <w:rFonts w:ascii="Times New Roman" w:eastAsia="Calibri" w:hAnsi="Times New Roman" w:cs="Times New Roman"/>
          <w:sz w:val="24"/>
          <w:lang w:val="fr-BE"/>
        </w:rPr>
        <w:t>, n’ayant aucun moyen</w:t>
      </w:r>
      <w:r>
        <w:rPr>
          <w:rFonts w:ascii="Times New Roman" w:eastAsia="Calibri" w:hAnsi="Times New Roman" w:cs="Times New Roman"/>
          <w:sz w:val="24"/>
          <w:lang w:val="fr-BE"/>
        </w:rPr>
        <w:t xml:space="preserve"> précis et fiable</w:t>
      </w:r>
      <w:r w:rsidRPr="00820F7F">
        <w:rPr>
          <w:rFonts w:ascii="Times New Roman" w:eastAsia="Calibri" w:hAnsi="Times New Roman" w:cs="Times New Roman"/>
          <w:sz w:val="24"/>
          <w:lang w:val="fr-BE"/>
        </w:rPr>
        <w:t xml:space="preserve"> pour déterminer qui </w:t>
      </w:r>
      <w:r>
        <w:rPr>
          <w:rFonts w:ascii="Times New Roman" w:eastAsia="Calibri" w:hAnsi="Times New Roman" w:cs="Times New Roman"/>
          <w:sz w:val="24"/>
          <w:lang w:val="fr-BE"/>
        </w:rPr>
        <w:t>appartient à la « population [s</w:t>
      </w:r>
      <w:r w:rsidRPr="00820F7F">
        <w:rPr>
          <w:rFonts w:ascii="Times New Roman" w:eastAsia="Calibri" w:hAnsi="Times New Roman" w:cs="Times New Roman"/>
          <w:sz w:val="24"/>
          <w:lang w:val="fr-BE"/>
        </w:rPr>
        <w:t>ahraoui</w:t>
      </w:r>
      <w:r>
        <w:rPr>
          <w:rFonts w:ascii="Times New Roman" w:eastAsia="Calibri" w:hAnsi="Times New Roman" w:cs="Times New Roman"/>
          <w:sz w:val="24"/>
          <w:lang w:val="fr-BE"/>
        </w:rPr>
        <w:t>e]</w:t>
      </w:r>
      <w:r w:rsidRPr="00820F7F">
        <w:rPr>
          <w:rFonts w:ascii="Times New Roman" w:eastAsia="Calibri" w:hAnsi="Times New Roman" w:cs="Times New Roman"/>
          <w:sz w:val="24"/>
          <w:lang w:val="fr-BE"/>
        </w:rPr>
        <w:t xml:space="preserve"> </w:t>
      </w:r>
      <w:r>
        <w:rPr>
          <w:rFonts w:ascii="Times New Roman" w:eastAsia="Calibri" w:hAnsi="Times New Roman" w:cs="Times New Roman"/>
          <w:sz w:val="24"/>
          <w:lang w:val="fr-BE"/>
        </w:rPr>
        <w:t>concernée »</w:t>
      </w:r>
      <w:r w:rsidRPr="0078119C">
        <w:rPr>
          <w:rFonts w:ascii="Times New Roman" w:eastAsia="Calibri" w:hAnsi="Times New Roman" w:cs="Times New Roman"/>
          <w:sz w:val="24"/>
          <w:lang w:val="fr-BE"/>
        </w:rPr>
        <w:t>.</w:t>
      </w:r>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003EFF" w:rsidRDefault="009F3D34" w:rsidP="0084736B">
      <w:pPr>
        <w:widowControl w:val="0"/>
        <w:spacing w:after="0" w:line="240" w:lineRule="auto"/>
        <w:jc w:val="both"/>
        <w:rPr>
          <w:rFonts w:ascii="Times New Roman" w:eastAsia="Calibri" w:hAnsi="Times New Roman" w:cs="Times New Roman"/>
          <w:sz w:val="24"/>
          <w:lang w:val="fr-BE"/>
        </w:rPr>
      </w:pPr>
      <w:r>
        <w:rPr>
          <w:rFonts w:ascii="Times New Roman" w:eastAsia="Calibri" w:hAnsi="Times New Roman" w:cs="Times New Roman"/>
          <w:sz w:val="24"/>
          <w:lang w:val="fr-BE"/>
        </w:rPr>
        <w:t>En</w:t>
      </w:r>
      <w:r w:rsidR="00820F7F">
        <w:rPr>
          <w:rFonts w:ascii="Times New Roman" w:eastAsia="Calibri" w:hAnsi="Times New Roman" w:cs="Times New Roman"/>
          <w:sz w:val="24"/>
          <w:lang w:val="fr-BE"/>
        </w:rPr>
        <w:t xml:space="preserve"> outre</w:t>
      </w:r>
      <w:r>
        <w:rPr>
          <w:rFonts w:ascii="Times New Roman" w:eastAsia="Calibri" w:hAnsi="Times New Roman" w:cs="Times New Roman"/>
          <w:sz w:val="24"/>
          <w:lang w:val="fr-BE"/>
        </w:rPr>
        <w:t xml:space="preserve">, </w:t>
      </w:r>
      <w:r w:rsidRPr="009F3D34">
        <w:rPr>
          <w:rFonts w:ascii="Times New Roman" w:eastAsia="Calibri" w:hAnsi="Times New Roman" w:cs="Times New Roman"/>
          <w:sz w:val="24"/>
          <w:lang w:val="fr-BE"/>
        </w:rPr>
        <w:t>les effets des avantages tarifaires sur des ressources naturelles, l'emploi et les droits humains sont très difficile</w:t>
      </w:r>
      <w:r w:rsidR="00722B6C">
        <w:rPr>
          <w:rFonts w:ascii="Times New Roman" w:eastAsia="Calibri" w:hAnsi="Times New Roman" w:cs="Times New Roman"/>
          <w:sz w:val="24"/>
          <w:lang w:val="fr-BE"/>
        </w:rPr>
        <w:t>s</w:t>
      </w:r>
      <w:r w:rsidRPr="009F3D34">
        <w:rPr>
          <w:rFonts w:ascii="Times New Roman" w:eastAsia="Calibri" w:hAnsi="Times New Roman" w:cs="Times New Roman"/>
          <w:sz w:val="24"/>
          <w:lang w:val="fr-BE"/>
        </w:rPr>
        <w:t xml:space="preserve"> à mesurer car </w:t>
      </w:r>
      <w:r w:rsidR="00C81125">
        <w:rPr>
          <w:rFonts w:ascii="Times New Roman" w:eastAsia="Calibri" w:hAnsi="Times New Roman" w:cs="Times New Roman"/>
          <w:sz w:val="24"/>
          <w:lang w:val="fr-BE"/>
        </w:rPr>
        <w:t xml:space="preserve">ils sont de nature </w:t>
      </w:r>
      <w:r w:rsidRPr="009F3D34">
        <w:rPr>
          <w:rFonts w:ascii="Times New Roman" w:eastAsia="Calibri" w:hAnsi="Times New Roman" w:cs="Times New Roman"/>
          <w:sz w:val="24"/>
          <w:lang w:val="fr-BE"/>
        </w:rPr>
        <w:t>indirecte</w:t>
      </w:r>
      <w:r w:rsidR="00C81125">
        <w:rPr>
          <w:rFonts w:ascii="Times New Roman" w:eastAsia="Calibri" w:hAnsi="Times New Roman" w:cs="Times New Roman"/>
          <w:sz w:val="24"/>
          <w:lang w:val="fr-BE"/>
        </w:rPr>
        <w:t>.</w:t>
      </w:r>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0C740F" w:rsidRPr="000C740F" w:rsidRDefault="00CB5A6B" w:rsidP="000C740F">
      <w:pPr>
        <w:widowControl w:val="0"/>
        <w:spacing w:after="0" w:line="240" w:lineRule="auto"/>
        <w:jc w:val="both"/>
        <w:rPr>
          <w:rFonts w:ascii="Times New Roman" w:eastAsia="Calibri" w:hAnsi="Times New Roman" w:cs="Times New Roman"/>
          <w:sz w:val="24"/>
          <w:lang w:val="fr-BE"/>
        </w:rPr>
      </w:pPr>
      <w:r>
        <w:rPr>
          <w:rFonts w:ascii="Times New Roman" w:eastAsia="Calibri" w:hAnsi="Times New Roman" w:cs="Times New Roman"/>
          <w:sz w:val="24"/>
          <w:lang w:val="fr-BE"/>
        </w:rPr>
        <w:t>M</w:t>
      </w:r>
      <w:r w:rsidR="000C740F" w:rsidRPr="000C740F">
        <w:rPr>
          <w:rFonts w:ascii="Times New Roman" w:eastAsia="Calibri" w:hAnsi="Times New Roman" w:cs="Times New Roman"/>
          <w:sz w:val="24"/>
          <w:lang w:val="fr-BE"/>
        </w:rPr>
        <w:t xml:space="preserve">ême si le présent rapport a été établi de la manière la plus objective possible, l’exercice </w:t>
      </w:r>
      <w:r w:rsidR="006C3D2A">
        <w:rPr>
          <w:rFonts w:ascii="Times New Roman" w:eastAsia="Calibri" w:hAnsi="Times New Roman" w:cs="Times New Roman"/>
          <w:sz w:val="24"/>
          <w:lang w:val="fr-BE"/>
        </w:rPr>
        <w:t>a</w:t>
      </w:r>
      <w:r w:rsidR="000C740F" w:rsidRPr="000C740F">
        <w:rPr>
          <w:rFonts w:ascii="Times New Roman" w:eastAsia="Calibri" w:hAnsi="Times New Roman" w:cs="Times New Roman"/>
          <w:sz w:val="24"/>
          <w:lang w:val="fr-BE"/>
        </w:rPr>
        <w:t xml:space="preserve"> ses limites naturelles : d’une part les positions des parties au différend sur le Sahara occidental et son statut sont radicalement </w:t>
      </w:r>
      <w:r w:rsidR="00A57A09" w:rsidRPr="000C740F">
        <w:rPr>
          <w:rFonts w:ascii="Times New Roman" w:eastAsia="Calibri" w:hAnsi="Times New Roman" w:cs="Times New Roman"/>
          <w:sz w:val="24"/>
          <w:lang w:val="fr-BE"/>
        </w:rPr>
        <w:t>di</w:t>
      </w:r>
      <w:r w:rsidR="00A57A09">
        <w:rPr>
          <w:rFonts w:ascii="Times New Roman" w:eastAsia="Calibri" w:hAnsi="Times New Roman" w:cs="Times New Roman"/>
          <w:sz w:val="24"/>
          <w:lang w:val="fr-BE"/>
        </w:rPr>
        <w:t>vergentes</w:t>
      </w:r>
      <w:r w:rsidR="00A57A09" w:rsidRPr="000C740F">
        <w:rPr>
          <w:rFonts w:ascii="Times New Roman" w:eastAsia="Calibri" w:hAnsi="Times New Roman" w:cs="Times New Roman"/>
          <w:sz w:val="24"/>
          <w:lang w:val="fr-BE"/>
        </w:rPr>
        <w:t xml:space="preserve"> </w:t>
      </w:r>
      <w:r w:rsidR="000C740F" w:rsidRPr="000C740F">
        <w:rPr>
          <w:rFonts w:ascii="Times New Roman" w:eastAsia="Calibri" w:hAnsi="Times New Roman" w:cs="Times New Roman"/>
          <w:sz w:val="24"/>
          <w:lang w:val="fr-BE"/>
        </w:rPr>
        <w:t xml:space="preserve">et d’autre part il n’existe pas </w:t>
      </w:r>
      <w:r w:rsidR="000C740F">
        <w:rPr>
          <w:rFonts w:ascii="Times New Roman" w:eastAsia="Calibri" w:hAnsi="Times New Roman" w:cs="Times New Roman"/>
          <w:sz w:val="24"/>
          <w:lang w:val="fr-BE"/>
        </w:rPr>
        <w:t>d’</w:t>
      </w:r>
      <w:r w:rsidR="000C740F" w:rsidRPr="000C740F">
        <w:rPr>
          <w:rFonts w:ascii="Times New Roman" w:eastAsia="Calibri" w:hAnsi="Times New Roman" w:cs="Times New Roman"/>
          <w:sz w:val="24"/>
          <w:lang w:val="fr-BE"/>
        </w:rPr>
        <w:t xml:space="preserve">analyse indépendante mandatée par les Nations Unies des bénéfices des accords internationaux de commerce sur le Sahara occidental. Par ailleurs, l'Union européenne n'a pas de compétence ni de moyens directs d'enquête sur le territoire du Sahara occidental. </w:t>
      </w:r>
    </w:p>
    <w:p w:rsidR="0078119C" w:rsidRDefault="0078119C" w:rsidP="0084736B">
      <w:pPr>
        <w:widowControl w:val="0"/>
        <w:spacing w:after="0" w:line="240" w:lineRule="auto"/>
        <w:jc w:val="both"/>
        <w:rPr>
          <w:rFonts w:ascii="Times New Roman" w:eastAsia="Calibri" w:hAnsi="Times New Roman" w:cs="Times New Roman"/>
          <w:sz w:val="24"/>
          <w:lang w:val="fr-BE"/>
        </w:rPr>
      </w:pPr>
    </w:p>
    <w:p w:rsidR="0078119C" w:rsidRPr="0078119C" w:rsidRDefault="0078119C" w:rsidP="0078119C">
      <w:pPr>
        <w:widowControl w:val="0"/>
        <w:spacing w:after="0" w:line="240" w:lineRule="auto"/>
        <w:jc w:val="both"/>
        <w:rPr>
          <w:rFonts w:ascii="Times New Roman" w:eastAsia="Calibri" w:hAnsi="Times New Roman" w:cs="Times New Roman"/>
          <w:sz w:val="24"/>
          <w:lang w:val="fr-BE"/>
        </w:rPr>
      </w:pPr>
      <w:r w:rsidRPr="0078119C">
        <w:rPr>
          <w:rFonts w:ascii="Times New Roman" w:eastAsia="Calibri" w:hAnsi="Times New Roman" w:cs="Times New Roman"/>
          <w:sz w:val="24"/>
          <w:lang w:val="fr-BE"/>
        </w:rPr>
        <w:t>Quoiqu’il en soit, il a été considéré qu’il fallait d’abord examiner si l’accord avait un effet positif sur les flux commerciaux entre le Sahara occidental et l’U</w:t>
      </w:r>
      <w:r>
        <w:rPr>
          <w:rFonts w:ascii="Times New Roman" w:eastAsia="Calibri" w:hAnsi="Times New Roman" w:cs="Times New Roman"/>
          <w:sz w:val="24"/>
          <w:lang w:val="fr-BE"/>
        </w:rPr>
        <w:t>nion européenne</w:t>
      </w:r>
      <w:r w:rsidRPr="0078119C">
        <w:rPr>
          <w:rFonts w:ascii="Times New Roman" w:eastAsia="Calibri" w:hAnsi="Times New Roman" w:cs="Times New Roman"/>
          <w:sz w:val="24"/>
          <w:lang w:val="fr-BE"/>
        </w:rPr>
        <w:t xml:space="preserve">. Si tel est le cas, les services de la Commission </w:t>
      </w:r>
      <w:r w:rsidR="0094080B">
        <w:rPr>
          <w:rFonts w:ascii="Times New Roman" w:eastAsia="Calibri" w:hAnsi="Times New Roman" w:cs="Times New Roman"/>
          <w:sz w:val="24"/>
          <w:lang w:val="fr-BE"/>
        </w:rPr>
        <w:t xml:space="preserve">européenne </w:t>
      </w:r>
      <w:r w:rsidRPr="0078119C">
        <w:rPr>
          <w:rFonts w:ascii="Times New Roman" w:eastAsia="Calibri" w:hAnsi="Times New Roman" w:cs="Times New Roman"/>
          <w:sz w:val="24"/>
          <w:lang w:val="fr-BE"/>
        </w:rPr>
        <w:t>ont cherché à établir quelles en seraient les conséquences en termes d’emplois et d’exploitation des ressources naturelles. Dans la mesure du possible ils ont également cherché à identifier si l’impact pouvait être différencié en fonction de l'origine des p</w:t>
      </w:r>
      <w:r w:rsidR="00082959">
        <w:rPr>
          <w:rFonts w:ascii="Times New Roman" w:eastAsia="Calibri" w:hAnsi="Times New Roman" w:cs="Times New Roman"/>
          <w:sz w:val="24"/>
          <w:lang w:val="fr-BE"/>
        </w:rPr>
        <w:t>ersonnes concernées</w:t>
      </w:r>
      <w:r w:rsidRPr="0078119C">
        <w:rPr>
          <w:rFonts w:ascii="Times New Roman" w:eastAsia="Calibri" w:hAnsi="Times New Roman" w:cs="Times New Roman"/>
          <w:sz w:val="24"/>
          <w:lang w:val="fr-BE"/>
        </w:rPr>
        <w:t xml:space="preserve"> (autochtones/non-autochtones).</w:t>
      </w:r>
    </w:p>
    <w:p w:rsidR="009F2925" w:rsidRDefault="009F2925" w:rsidP="0084736B">
      <w:pPr>
        <w:widowControl w:val="0"/>
        <w:spacing w:after="0" w:line="240" w:lineRule="auto"/>
        <w:jc w:val="both"/>
        <w:rPr>
          <w:rFonts w:ascii="Times New Roman" w:eastAsia="Calibri" w:hAnsi="Times New Roman" w:cs="Times New Roman"/>
          <w:sz w:val="24"/>
          <w:lang w:val="fr-BE"/>
        </w:rPr>
      </w:pPr>
    </w:p>
    <w:p w:rsidR="0094080B" w:rsidRDefault="0094080B" w:rsidP="0094080B">
      <w:pPr>
        <w:widowControl w:val="0"/>
        <w:spacing w:after="0" w:line="240" w:lineRule="auto"/>
        <w:jc w:val="both"/>
        <w:rPr>
          <w:rFonts w:ascii="Times New Roman" w:eastAsia="Calibri" w:hAnsi="Times New Roman" w:cs="Times New Roman"/>
          <w:sz w:val="24"/>
          <w:lang w:val="fr-BE"/>
        </w:rPr>
      </w:pPr>
      <w:r>
        <w:rPr>
          <w:rFonts w:ascii="Times New Roman" w:eastAsia="Calibri" w:hAnsi="Times New Roman" w:cs="Times New Roman"/>
          <w:sz w:val="24"/>
          <w:lang w:val="fr-BE"/>
        </w:rPr>
        <w:t>Aux fins de la présente analyse, les services de la Commission européenne ont donc croisé l'ensemble des données à leur disposition. Bien qu'incomplètes, c</w:t>
      </w:r>
      <w:r w:rsidRPr="00F34A4D">
        <w:rPr>
          <w:rFonts w:ascii="Times New Roman" w:eastAsia="Calibri" w:hAnsi="Times New Roman" w:cs="Times New Roman"/>
          <w:sz w:val="24"/>
          <w:lang w:val="fr-BE"/>
        </w:rPr>
        <w:t xml:space="preserve">es informations permettent </w:t>
      </w:r>
      <w:r>
        <w:rPr>
          <w:rFonts w:ascii="Times New Roman" w:eastAsia="Calibri" w:hAnsi="Times New Roman" w:cs="Times New Roman"/>
          <w:sz w:val="24"/>
          <w:lang w:val="fr-BE"/>
        </w:rPr>
        <w:t xml:space="preserve">cependant </w:t>
      </w:r>
      <w:r w:rsidRPr="00F34A4D">
        <w:rPr>
          <w:rFonts w:ascii="Times New Roman" w:eastAsia="Calibri" w:hAnsi="Times New Roman" w:cs="Times New Roman"/>
          <w:sz w:val="24"/>
          <w:lang w:val="fr-BE"/>
        </w:rPr>
        <w:t>d’</w:t>
      </w:r>
      <w:r>
        <w:rPr>
          <w:rFonts w:ascii="Times New Roman" w:eastAsia="Calibri" w:hAnsi="Times New Roman" w:cs="Times New Roman"/>
          <w:sz w:val="24"/>
          <w:lang w:val="fr-BE"/>
        </w:rPr>
        <w:t>obtenir</w:t>
      </w:r>
      <w:r w:rsidRPr="00F34A4D">
        <w:rPr>
          <w:rFonts w:ascii="Times New Roman" w:eastAsia="Calibri" w:hAnsi="Times New Roman" w:cs="Times New Roman"/>
          <w:sz w:val="24"/>
          <w:lang w:val="fr-BE"/>
        </w:rPr>
        <w:t xml:space="preserve"> une </w:t>
      </w:r>
      <w:r>
        <w:rPr>
          <w:rFonts w:ascii="Times New Roman" w:eastAsia="Calibri" w:hAnsi="Times New Roman" w:cs="Times New Roman"/>
          <w:sz w:val="24"/>
          <w:lang w:val="fr-BE"/>
        </w:rPr>
        <w:t>approximation</w:t>
      </w:r>
      <w:r w:rsidRPr="00F34A4D">
        <w:rPr>
          <w:rFonts w:ascii="Times New Roman" w:eastAsia="Calibri" w:hAnsi="Times New Roman" w:cs="Times New Roman"/>
          <w:sz w:val="24"/>
          <w:lang w:val="fr-BE"/>
        </w:rPr>
        <w:t xml:space="preserve"> de l’impact d</w:t>
      </w:r>
      <w:r>
        <w:rPr>
          <w:rFonts w:ascii="Times New Roman" w:eastAsia="Calibri" w:hAnsi="Times New Roman" w:cs="Times New Roman"/>
          <w:sz w:val="24"/>
          <w:lang w:val="fr-BE"/>
        </w:rPr>
        <w:t>'une extension des préférences commerciales de l'accord d'association aux exportations du Sahara occidental</w:t>
      </w:r>
      <w:r w:rsidRPr="00F34A4D">
        <w:rPr>
          <w:rFonts w:ascii="Times New Roman" w:eastAsia="Calibri" w:hAnsi="Times New Roman" w:cs="Times New Roman"/>
          <w:sz w:val="24"/>
          <w:lang w:val="fr-BE"/>
        </w:rPr>
        <w:t xml:space="preserve"> ou, dit autrement, d’apprécier l’impact </w:t>
      </w:r>
      <w:r>
        <w:rPr>
          <w:rFonts w:ascii="Times New Roman" w:eastAsia="Calibri" w:hAnsi="Times New Roman" w:cs="Times New Roman"/>
          <w:sz w:val="24"/>
          <w:lang w:val="fr-BE"/>
        </w:rPr>
        <w:t xml:space="preserve">du </w:t>
      </w:r>
      <w:r w:rsidRPr="009B3BBE">
        <w:rPr>
          <w:rFonts w:ascii="Times New Roman" w:eastAsia="Calibri" w:hAnsi="Times New Roman" w:cs="Times New Roman"/>
          <w:sz w:val="24"/>
          <w:lang w:val="fr-BE"/>
        </w:rPr>
        <w:t>non-octroi</w:t>
      </w:r>
      <w:r w:rsidRPr="00F34A4D">
        <w:rPr>
          <w:rFonts w:ascii="Times New Roman" w:eastAsia="Calibri" w:hAnsi="Times New Roman" w:cs="Times New Roman"/>
          <w:sz w:val="24"/>
          <w:lang w:val="fr-BE"/>
        </w:rPr>
        <w:t xml:space="preserve"> d</w:t>
      </w:r>
      <w:r>
        <w:rPr>
          <w:rFonts w:ascii="Times New Roman" w:eastAsia="Calibri" w:hAnsi="Times New Roman" w:cs="Times New Roman"/>
          <w:sz w:val="24"/>
          <w:lang w:val="fr-BE"/>
        </w:rPr>
        <w:t xml:space="preserve">e telles préférences </w:t>
      </w:r>
      <w:r w:rsidRPr="00F34A4D">
        <w:rPr>
          <w:rFonts w:ascii="Times New Roman" w:eastAsia="Calibri" w:hAnsi="Times New Roman" w:cs="Times New Roman"/>
          <w:sz w:val="24"/>
          <w:lang w:val="fr-BE"/>
        </w:rPr>
        <w:t>pour l’économie du territoire</w:t>
      </w:r>
      <w:r>
        <w:rPr>
          <w:rFonts w:ascii="Times New Roman" w:eastAsia="Calibri" w:hAnsi="Times New Roman" w:cs="Times New Roman"/>
          <w:sz w:val="24"/>
          <w:lang w:val="fr-BE"/>
        </w:rPr>
        <w:t>, le développement durable et les populations concernées</w:t>
      </w:r>
      <w:r w:rsidRPr="00F34A4D">
        <w:rPr>
          <w:rFonts w:ascii="Times New Roman" w:eastAsia="Calibri" w:hAnsi="Times New Roman" w:cs="Times New Roman"/>
          <w:sz w:val="24"/>
          <w:lang w:val="fr-BE"/>
        </w:rPr>
        <w:t>.</w:t>
      </w:r>
    </w:p>
    <w:p w:rsidR="009F2925" w:rsidRDefault="009F2925" w:rsidP="0084736B">
      <w:pPr>
        <w:widowControl w:val="0"/>
        <w:spacing w:after="0" w:line="240" w:lineRule="auto"/>
        <w:jc w:val="both"/>
        <w:rPr>
          <w:rFonts w:ascii="Times New Roman" w:eastAsia="Times New Roman" w:hAnsi="Times New Roman" w:cs="Times New Roman"/>
          <w:sz w:val="24"/>
          <w:szCs w:val="20"/>
          <w:lang w:val="fr-BE"/>
        </w:rPr>
      </w:pPr>
    </w:p>
    <w:p w:rsidR="00056165" w:rsidRPr="00F34A4D" w:rsidRDefault="00B90C5C" w:rsidP="0084736B">
      <w:pPr>
        <w:widowControl w:val="0"/>
        <w:spacing w:after="0" w:line="240" w:lineRule="auto"/>
        <w:jc w:val="both"/>
        <w:rPr>
          <w:rFonts w:ascii="Times New Roman" w:eastAsia="Calibri" w:hAnsi="Times New Roman" w:cs="Times New Roman"/>
          <w:sz w:val="24"/>
          <w:lang w:val="fr-BE"/>
        </w:rPr>
      </w:pPr>
      <w:r>
        <w:rPr>
          <w:rFonts w:ascii="Times New Roman" w:eastAsia="Times New Roman" w:hAnsi="Times New Roman" w:cs="Times New Roman"/>
          <w:sz w:val="24"/>
          <w:szCs w:val="20"/>
          <w:lang w:val="fr-BE"/>
        </w:rPr>
        <w:t xml:space="preserve">De l’examen de l’activité économique du Sahara occidental, il résulte que les secteurs ayant un flux d’exportation significatif </w:t>
      </w:r>
      <w:r w:rsidR="005A5F8F">
        <w:rPr>
          <w:rFonts w:ascii="Times New Roman" w:eastAsia="Times New Roman" w:hAnsi="Times New Roman" w:cs="Times New Roman"/>
          <w:sz w:val="24"/>
          <w:szCs w:val="20"/>
          <w:lang w:val="fr-BE"/>
        </w:rPr>
        <w:t>vers l’U</w:t>
      </w:r>
      <w:r w:rsidR="00584896">
        <w:rPr>
          <w:rFonts w:ascii="Times New Roman" w:eastAsia="Times New Roman" w:hAnsi="Times New Roman" w:cs="Times New Roman"/>
          <w:sz w:val="24"/>
          <w:szCs w:val="20"/>
          <w:lang w:val="fr-BE"/>
        </w:rPr>
        <w:t>nion</w:t>
      </w:r>
      <w:r w:rsidR="005A5F8F">
        <w:rPr>
          <w:rFonts w:ascii="Times New Roman" w:eastAsia="Times New Roman" w:hAnsi="Times New Roman" w:cs="Times New Roman"/>
          <w:sz w:val="24"/>
          <w:szCs w:val="20"/>
          <w:lang w:val="fr-BE"/>
        </w:rPr>
        <w:t xml:space="preserve"> </w:t>
      </w:r>
      <w:r>
        <w:rPr>
          <w:rFonts w:ascii="Times New Roman" w:eastAsia="Times New Roman" w:hAnsi="Times New Roman" w:cs="Times New Roman"/>
          <w:sz w:val="24"/>
          <w:szCs w:val="20"/>
          <w:lang w:val="fr-BE"/>
        </w:rPr>
        <w:t>sont le secteur de</w:t>
      </w:r>
      <w:r w:rsidR="00056165" w:rsidRPr="00F34A4D">
        <w:rPr>
          <w:rFonts w:ascii="Times New Roman" w:eastAsia="Times New Roman" w:hAnsi="Times New Roman" w:cs="Times New Roman"/>
          <w:sz w:val="24"/>
          <w:szCs w:val="20"/>
          <w:lang w:val="fr-BE"/>
        </w:rPr>
        <w:t xml:space="preserve"> la pêche </w:t>
      </w:r>
      <w:r>
        <w:rPr>
          <w:rFonts w:ascii="Times New Roman" w:eastAsia="Times New Roman" w:hAnsi="Times New Roman" w:cs="Times New Roman"/>
          <w:sz w:val="24"/>
          <w:szCs w:val="20"/>
          <w:lang w:val="fr-BE"/>
        </w:rPr>
        <w:t>et le secteur agricole</w:t>
      </w:r>
      <w:r w:rsidR="00056165" w:rsidRPr="009F5153">
        <w:rPr>
          <w:rFonts w:ascii="Times New Roman" w:eastAsia="Times New Roman" w:hAnsi="Times New Roman" w:cs="Times New Roman"/>
          <w:sz w:val="24"/>
          <w:szCs w:val="20"/>
          <w:lang w:val="fr-BE"/>
        </w:rPr>
        <w:t>.</w:t>
      </w:r>
      <w:r w:rsidR="005A5F8F">
        <w:rPr>
          <w:rFonts w:ascii="Times New Roman" w:eastAsia="Times New Roman" w:hAnsi="Times New Roman" w:cs="Times New Roman"/>
          <w:sz w:val="24"/>
          <w:szCs w:val="20"/>
          <w:lang w:val="fr-BE"/>
        </w:rPr>
        <w:t xml:space="preserve"> </w:t>
      </w:r>
      <w:r>
        <w:rPr>
          <w:rFonts w:ascii="Times New Roman" w:eastAsia="Times New Roman" w:hAnsi="Times New Roman" w:cs="Times New Roman"/>
          <w:sz w:val="24"/>
          <w:szCs w:val="20"/>
          <w:lang w:val="fr-BE"/>
        </w:rPr>
        <w:t>Les</w:t>
      </w:r>
      <w:r w:rsidR="00056165" w:rsidRPr="009F5153">
        <w:rPr>
          <w:rFonts w:ascii="Times New Roman" w:eastAsia="Times New Roman" w:hAnsi="Times New Roman" w:cs="Times New Roman"/>
          <w:sz w:val="24"/>
          <w:szCs w:val="20"/>
          <w:lang w:val="fr-BE"/>
        </w:rPr>
        <w:t xml:space="preserve"> répercussions potentielles de l'accord sur lesdits secteurs</w:t>
      </w:r>
      <w:r>
        <w:rPr>
          <w:rFonts w:ascii="Times New Roman" w:eastAsia="Times New Roman" w:hAnsi="Times New Roman" w:cs="Times New Roman"/>
          <w:sz w:val="24"/>
          <w:szCs w:val="20"/>
          <w:lang w:val="fr-BE"/>
        </w:rPr>
        <w:t xml:space="preserve"> sont analysées dans </w:t>
      </w:r>
      <w:r w:rsidR="005A5F8F">
        <w:rPr>
          <w:rFonts w:ascii="Times New Roman" w:eastAsia="Times New Roman" w:hAnsi="Times New Roman" w:cs="Times New Roman"/>
          <w:sz w:val="24"/>
          <w:szCs w:val="20"/>
          <w:lang w:val="fr-BE"/>
        </w:rPr>
        <w:t xml:space="preserve">la suite de </w:t>
      </w:r>
      <w:r>
        <w:rPr>
          <w:rFonts w:ascii="Times New Roman" w:eastAsia="Times New Roman" w:hAnsi="Times New Roman" w:cs="Times New Roman"/>
          <w:sz w:val="24"/>
          <w:szCs w:val="20"/>
          <w:lang w:val="fr-BE"/>
        </w:rPr>
        <w:t>ce rapport</w:t>
      </w:r>
      <w:r w:rsidR="00056165" w:rsidRPr="009F5153">
        <w:rPr>
          <w:rFonts w:ascii="Times New Roman" w:eastAsia="Times New Roman" w:hAnsi="Times New Roman" w:cs="Times New Roman"/>
          <w:sz w:val="24"/>
          <w:szCs w:val="20"/>
          <w:lang w:val="fr-BE"/>
        </w:rPr>
        <w:t>.</w:t>
      </w:r>
      <w:r w:rsidR="005A5F8F">
        <w:rPr>
          <w:rFonts w:ascii="Times New Roman" w:eastAsia="Times New Roman" w:hAnsi="Times New Roman" w:cs="Times New Roman"/>
          <w:sz w:val="24"/>
          <w:szCs w:val="20"/>
          <w:lang w:val="fr-BE"/>
        </w:rPr>
        <w:t xml:space="preserve"> Etant donné ses potentialités, le secteur des phosphates a également été </w:t>
      </w:r>
      <w:r w:rsidR="00F408F4">
        <w:rPr>
          <w:rFonts w:ascii="Times New Roman" w:eastAsia="Times New Roman" w:hAnsi="Times New Roman" w:cs="Times New Roman"/>
          <w:sz w:val="24"/>
          <w:szCs w:val="20"/>
          <w:lang w:val="fr-BE"/>
        </w:rPr>
        <w:t>analysé</w:t>
      </w:r>
      <w:r w:rsidR="005A5F8F">
        <w:rPr>
          <w:rFonts w:ascii="Times New Roman" w:eastAsia="Times New Roman" w:hAnsi="Times New Roman" w:cs="Times New Roman"/>
          <w:sz w:val="24"/>
          <w:szCs w:val="20"/>
          <w:lang w:val="fr-BE"/>
        </w:rPr>
        <w:t>.</w:t>
      </w:r>
    </w:p>
    <w:p w:rsidR="00F10CB0" w:rsidRDefault="00F10CB0" w:rsidP="0084736B">
      <w:pPr>
        <w:widowControl w:val="0"/>
        <w:spacing w:after="0" w:line="240" w:lineRule="auto"/>
        <w:rPr>
          <w:rFonts w:ascii="Times New Roman" w:eastAsia="Calibri" w:hAnsi="Times New Roman" w:cs="Times New Roman"/>
          <w:b/>
          <w:smallCaps/>
          <w:sz w:val="24"/>
          <w:lang w:val="fr-FR"/>
        </w:rPr>
      </w:pPr>
    </w:p>
    <w:p w:rsidR="0069749B" w:rsidRDefault="00514E29" w:rsidP="008B3FF0">
      <w:pPr>
        <w:pStyle w:val="Heading2"/>
        <w:rPr>
          <w:rFonts w:eastAsia="Calibri"/>
          <w:lang w:val="fr-FR"/>
        </w:rPr>
      </w:pPr>
      <w:bookmarkStart w:id="10" w:name="_Toc514257460"/>
      <w:r>
        <w:rPr>
          <w:rFonts w:eastAsia="Calibri"/>
          <w:lang w:val="fr-FR"/>
        </w:rPr>
        <w:t>C</w:t>
      </w:r>
      <w:r w:rsidR="00C67DA4">
        <w:rPr>
          <w:rFonts w:eastAsia="Calibri"/>
          <w:lang w:val="fr-FR"/>
        </w:rPr>
        <w:t xml:space="preserve">onsultations avec </w:t>
      </w:r>
      <w:r w:rsidR="009557CD">
        <w:rPr>
          <w:rFonts w:eastAsia="Calibri"/>
          <w:lang w:val="fr-FR"/>
        </w:rPr>
        <w:t>les populations concernées</w:t>
      </w:r>
      <w:bookmarkEnd w:id="10"/>
    </w:p>
    <w:p w:rsidR="008B3FF0" w:rsidRDefault="008B3FF0" w:rsidP="008B3FF0">
      <w:pPr>
        <w:rPr>
          <w:lang w:val="fr-FR"/>
        </w:rPr>
      </w:pPr>
    </w:p>
    <w:p w:rsidR="003E3E81" w:rsidRPr="002060D5" w:rsidRDefault="00354661" w:rsidP="002060D5">
      <w:pPr>
        <w:widowControl w:val="0"/>
        <w:spacing w:after="0" w:line="240" w:lineRule="auto"/>
        <w:jc w:val="both"/>
        <w:rPr>
          <w:rFonts w:ascii="Times New Roman" w:eastAsia="Times New Roman" w:hAnsi="Times New Roman" w:cs="Times New Roman"/>
          <w:sz w:val="24"/>
          <w:szCs w:val="20"/>
          <w:lang w:val="fr-BE"/>
        </w:rPr>
      </w:pPr>
      <w:r w:rsidRPr="002060D5">
        <w:rPr>
          <w:rFonts w:ascii="Times New Roman" w:eastAsia="Times New Roman" w:hAnsi="Times New Roman" w:cs="Times New Roman"/>
          <w:sz w:val="24"/>
          <w:szCs w:val="20"/>
          <w:lang w:val="fr-BE"/>
        </w:rPr>
        <w:t>L'un des objectifs de cette négociation était de veiller à ce que, dans la préparation de la modification des protocoles n° 1 et 4 de l'accord d’association,</w:t>
      </w:r>
      <w:r w:rsidR="004F6981">
        <w:rPr>
          <w:rFonts w:ascii="Times New Roman" w:eastAsia="Times New Roman" w:hAnsi="Times New Roman" w:cs="Times New Roman"/>
          <w:sz w:val="24"/>
          <w:szCs w:val="20"/>
          <w:lang w:val="fr-BE"/>
        </w:rPr>
        <w:t xml:space="preserve"> </w:t>
      </w:r>
      <w:r w:rsidRPr="002060D5">
        <w:rPr>
          <w:rFonts w:ascii="Times New Roman" w:eastAsia="Times New Roman" w:hAnsi="Times New Roman" w:cs="Times New Roman"/>
          <w:sz w:val="24"/>
          <w:szCs w:val="20"/>
          <w:lang w:val="fr-BE"/>
        </w:rPr>
        <w:t xml:space="preserve">"les populations concernées par ce dernier aient été associées de manière appropriée". En l'absence de toute alternative concevable permettant de consulter directement la population du Sahara occidental, les services de la Commission </w:t>
      </w:r>
      <w:r w:rsidR="004F6981">
        <w:rPr>
          <w:rFonts w:ascii="Times New Roman" w:eastAsia="Times New Roman" w:hAnsi="Times New Roman" w:cs="Times New Roman"/>
          <w:sz w:val="24"/>
          <w:szCs w:val="20"/>
          <w:lang w:val="fr-BE"/>
        </w:rPr>
        <w:t>e</w:t>
      </w:r>
      <w:r w:rsidRPr="002060D5">
        <w:rPr>
          <w:rFonts w:ascii="Times New Roman" w:eastAsia="Times New Roman" w:hAnsi="Times New Roman" w:cs="Times New Roman"/>
          <w:sz w:val="24"/>
          <w:szCs w:val="20"/>
          <w:lang w:val="fr-BE"/>
        </w:rPr>
        <w:t xml:space="preserve">uropéenne et le SEAE ont en conséquence tenu des consultations avec un large éventail d'organisations représentatives de la société civile </w:t>
      </w:r>
      <w:r w:rsidR="00C5202A" w:rsidRPr="002060D5">
        <w:rPr>
          <w:rFonts w:ascii="Times New Roman" w:eastAsia="Times New Roman" w:hAnsi="Times New Roman" w:cs="Times New Roman"/>
          <w:sz w:val="24"/>
          <w:szCs w:val="20"/>
          <w:lang w:val="fr-BE"/>
        </w:rPr>
        <w:t>s</w:t>
      </w:r>
      <w:r w:rsidRPr="002060D5">
        <w:rPr>
          <w:rFonts w:ascii="Times New Roman" w:eastAsia="Times New Roman" w:hAnsi="Times New Roman" w:cs="Times New Roman"/>
          <w:sz w:val="24"/>
          <w:szCs w:val="20"/>
          <w:lang w:val="fr-BE"/>
        </w:rPr>
        <w:t xml:space="preserve">ahraouie, </w:t>
      </w:r>
      <w:r w:rsidR="00C5202A" w:rsidRPr="002060D5">
        <w:rPr>
          <w:rFonts w:ascii="Times New Roman" w:eastAsia="Times New Roman" w:hAnsi="Times New Roman" w:cs="Times New Roman"/>
          <w:sz w:val="24"/>
          <w:szCs w:val="20"/>
          <w:lang w:val="fr-BE"/>
        </w:rPr>
        <w:t xml:space="preserve">des </w:t>
      </w:r>
      <w:r w:rsidRPr="002060D5">
        <w:rPr>
          <w:rFonts w:ascii="Times New Roman" w:eastAsia="Times New Roman" w:hAnsi="Times New Roman" w:cs="Times New Roman"/>
          <w:sz w:val="24"/>
          <w:szCs w:val="20"/>
          <w:lang w:val="fr-BE"/>
        </w:rPr>
        <w:t xml:space="preserve">parlementaires, </w:t>
      </w:r>
      <w:r w:rsidR="00C5202A" w:rsidRPr="002060D5">
        <w:rPr>
          <w:rFonts w:ascii="Times New Roman" w:eastAsia="Times New Roman" w:hAnsi="Times New Roman" w:cs="Times New Roman"/>
          <w:sz w:val="24"/>
          <w:szCs w:val="20"/>
          <w:lang w:val="fr-BE"/>
        </w:rPr>
        <w:t xml:space="preserve">des </w:t>
      </w:r>
      <w:r w:rsidRPr="002060D5">
        <w:rPr>
          <w:rFonts w:ascii="Times New Roman" w:eastAsia="Times New Roman" w:hAnsi="Times New Roman" w:cs="Times New Roman"/>
          <w:sz w:val="24"/>
          <w:szCs w:val="20"/>
          <w:lang w:val="fr-BE"/>
        </w:rPr>
        <w:t xml:space="preserve">opérateurs économiques et </w:t>
      </w:r>
      <w:r w:rsidR="00C5202A" w:rsidRPr="002060D5">
        <w:rPr>
          <w:rFonts w:ascii="Times New Roman" w:eastAsia="Times New Roman" w:hAnsi="Times New Roman" w:cs="Times New Roman"/>
          <w:sz w:val="24"/>
          <w:szCs w:val="20"/>
          <w:lang w:val="fr-BE"/>
        </w:rPr>
        <w:t>des</w:t>
      </w:r>
      <w:r w:rsidRPr="002060D5">
        <w:rPr>
          <w:rFonts w:ascii="Times New Roman" w:eastAsia="Times New Roman" w:hAnsi="Times New Roman" w:cs="Times New Roman"/>
          <w:sz w:val="24"/>
          <w:szCs w:val="20"/>
          <w:lang w:val="fr-BE"/>
        </w:rPr>
        <w:t xml:space="preserve"> organisations parmi lesquelles le Front Polisario. La plupart de ces organisations et associations ont partagé leurs vues avec les services de la Commission Européenne et le SEAE, notamment le Front Polisario, et seules certaines d'entre elles </w:t>
      </w:r>
      <w:r w:rsidR="00C5202A" w:rsidRPr="002060D5">
        <w:rPr>
          <w:rFonts w:ascii="Times New Roman" w:eastAsia="Times New Roman" w:hAnsi="Times New Roman" w:cs="Times New Roman"/>
          <w:sz w:val="24"/>
          <w:szCs w:val="20"/>
          <w:lang w:val="fr-BE"/>
        </w:rPr>
        <w:t xml:space="preserve">ont </w:t>
      </w:r>
      <w:r w:rsidRPr="002060D5">
        <w:rPr>
          <w:rFonts w:ascii="Times New Roman" w:eastAsia="Times New Roman" w:hAnsi="Times New Roman" w:cs="Times New Roman"/>
          <w:sz w:val="24"/>
          <w:szCs w:val="20"/>
          <w:lang w:val="fr-BE"/>
        </w:rPr>
        <w:t>déclin</w:t>
      </w:r>
      <w:r w:rsidR="00C5202A" w:rsidRPr="002060D5">
        <w:rPr>
          <w:rFonts w:ascii="Times New Roman" w:eastAsia="Times New Roman" w:hAnsi="Times New Roman" w:cs="Times New Roman"/>
          <w:sz w:val="24"/>
          <w:szCs w:val="20"/>
          <w:lang w:val="fr-BE"/>
        </w:rPr>
        <w:t>é</w:t>
      </w:r>
      <w:r w:rsidRPr="002060D5">
        <w:rPr>
          <w:rFonts w:ascii="Times New Roman" w:eastAsia="Times New Roman" w:hAnsi="Times New Roman" w:cs="Times New Roman"/>
          <w:sz w:val="24"/>
          <w:szCs w:val="20"/>
          <w:lang w:val="fr-BE"/>
        </w:rPr>
        <w:t xml:space="preserve"> les invitations à elles adressées. Ces consultations se sont concentrées sur l'objectif principal d'échanger positions et commentaires sur l'intérêt que pourrait revêtir pour les populations du Sahara occidental et </w:t>
      </w:r>
      <w:r w:rsidR="003B46DB" w:rsidRPr="002060D5">
        <w:rPr>
          <w:rFonts w:ascii="Times New Roman" w:eastAsia="Times New Roman" w:hAnsi="Times New Roman" w:cs="Times New Roman"/>
          <w:sz w:val="24"/>
          <w:szCs w:val="20"/>
          <w:lang w:val="fr-BE"/>
        </w:rPr>
        <w:t>l’économie</w:t>
      </w:r>
      <w:r w:rsidRPr="002060D5">
        <w:rPr>
          <w:rFonts w:ascii="Times New Roman" w:eastAsia="Times New Roman" w:hAnsi="Times New Roman" w:cs="Times New Roman"/>
          <w:sz w:val="24"/>
          <w:szCs w:val="20"/>
          <w:lang w:val="fr-BE"/>
        </w:rPr>
        <w:t xml:space="preserve"> d</w:t>
      </w:r>
      <w:r w:rsidR="00C5202A" w:rsidRPr="002060D5">
        <w:rPr>
          <w:rFonts w:ascii="Times New Roman" w:eastAsia="Times New Roman" w:hAnsi="Times New Roman" w:cs="Times New Roman"/>
          <w:sz w:val="24"/>
          <w:szCs w:val="20"/>
          <w:lang w:val="fr-BE"/>
        </w:rPr>
        <w:t>u territoire</w:t>
      </w:r>
      <w:r w:rsidRPr="002060D5">
        <w:rPr>
          <w:rFonts w:ascii="Times New Roman" w:eastAsia="Times New Roman" w:hAnsi="Times New Roman" w:cs="Times New Roman"/>
          <w:sz w:val="24"/>
          <w:szCs w:val="20"/>
          <w:lang w:val="fr-BE"/>
        </w:rPr>
        <w:t xml:space="preserve"> </w:t>
      </w:r>
      <w:r w:rsidR="004F6981">
        <w:rPr>
          <w:rFonts w:ascii="Times New Roman" w:eastAsia="Times New Roman" w:hAnsi="Times New Roman" w:cs="Times New Roman"/>
          <w:sz w:val="24"/>
          <w:szCs w:val="20"/>
          <w:lang w:val="fr-BE"/>
        </w:rPr>
        <w:t>l’extension du</w:t>
      </w:r>
      <w:r w:rsidRPr="002060D5">
        <w:rPr>
          <w:rFonts w:ascii="Times New Roman" w:eastAsia="Times New Roman" w:hAnsi="Times New Roman" w:cs="Times New Roman"/>
          <w:sz w:val="24"/>
          <w:szCs w:val="20"/>
          <w:lang w:val="fr-BE"/>
        </w:rPr>
        <w:t xml:space="preserve"> traitement préférentiel </w:t>
      </w:r>
      <w:r w:rsidR="00C5202A" w:rsidRPr="002060D5">
        <w:rPr>
          <w:rFonts w:ascii="Times New Roman" w:eastAsia="Times New Roman" w:hAnsi="Times New Roman" w:cs="Times New Roman"/>
          <w:sz w:val="24"/>
          <w:szCs w:val="20"/>
          <w:lang w:val="fr-BE"/>
        </w:rPr>
        <w:t xml:space="preserve">accordé aux produits marocains </w:t>
      </w:r>
      <w:r w:rsidRPr="002060D5">
        <w:rPr>
          <w:rFonts w:ascii="Times New Roman" w:eastAsia="Times New Roman" w:hAnsi="Times New Roman" w:cs="Times New Roman"/>
          <w:sz w:val="24"/>
          <w:szCs w:val="20"/>
          <w:lang w:val="fr-BE"/>
        </w:rPr>
        <w:t xml:space="preserve">aux produits du Sahara occidental </w:t>
      </w:r>
      <w:r w:rsidR="00C5202A" w:rsidRPr="002060D5">
        <w:rPr>
          <w:rFonts w:ascii="Times New Roman" w:eastAsia="Times New Roman" w:hAnsi="Times New Roman" w:cs="Times New Roman"/>
          <w:sz w:val="24"/>
          <w:szCs w:val="20"/>
          <w:lang w:val="fr-BE"/>
        </w:rPr>
        <w:t xml:space="preserve">lors de leur importation dans </w:t>
      </w:r>
      <w:r w:rsidRPr="002060D5">
        <w:rPr>
          <w:rFonts w:ascii="Times New Roman" w:eastAsia="Times New Roman" w:hAnsi="Times New Roman" w:cs="Times New Roman"/>
          <w:sz w:val="24"/>
          <w:szCs w:val="20"/>
          <w:lang w:val="fr-BE"/>
        </w:rPr>
        <w:t>l'U</w:t>
      </w:r>
      <w:r w:rsidR="00C5202A" w:rsidRPr="002060D5">
        <w:rPr>
          <w:rFonts w:ascii="Times New Roman" w:eastAsia="Times New Roman" w:hAnsi="Times New Roman" w:cs="Times New Roman"/>
          <w:sz w:val="24"/>
          <w:szCs w:val="20"/>
          <w:lang w:val="fr-BE"/>
        </w:rPr>
        <w:t>nion européenne</w:t>
      </w:r>
      <w:r w:rsidRPr="002060D5">
        <w:rPr>
          <w:rFonts w:ascii="Times New Roman" w:eastAsia="Times New Roman" w:hAnsi="Times New Roman" w:cs="Times New Roman"/>
          <w:sz w:val="24"/>
          <w:szCs w:val="20"/>
          <w:lang w:val="fr-BE"/>
        </w:rPr>
        <w:t>.</w:t>
      </w:r>
    </w:p>
    <w:p w:rsidR="00FA3118" w:rsidRPr="00514E29" w:rsidRDefault="00514E29" w:rsidP="00514E29">
      <w:pPr>
        <w:pStyle w:val="Heading1"/>
      </w:pPr>
      <w:bookmarkStart w:id="11" w:name="_Toc514257461"/>
      <w:r w:rsidRPr="00514E29">
        <w:rPr>
          <w:rStyle w:val="Heading1Char"/>
          <w:b/>
          <w:bCs/>
        </w:rPr>
        <w:t>LES DROITS DE L’HOMME AU SAHARA OCCIDENTAL</w:t>
      </w:r>
      <w:bookmarkEnd w:id="11"/>
    </w:p>
    <w:p w:rsidR="00FA3118" w:rsidRDefault="00FA3118" w:rsidP="00FA3118">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keepNext/>
        <w:keepLines/>
        <w:numPr>
          <w:ilvl w:val="1"/>
          <w:numId w:val="23"/>
        </w:numPr>
        <w:spacing w:before="200" w:after="0"/>
        <w:outlineLvl w:val="1"/>
        <w:rPr>
          <w:rFonts w:asciiTheme="majorHAnsi" w:eastAsia="Times New Roman" w:hAnsiTheme="majorHAnsi" w:cstheme="majorBidi"/>
          <w:b/>
          <w:bCs/>
          <w:color w:val="4F81BD" w:themeColor="accent1"/>
          <w:sz w:val="26"/>
          <w:szCs w:val="26"/>
          <w:lang w:val="fr-BE"/>
        </w:rPr>
      </w:pPr>
      <w:bookmarkStart w:id="12" w:name="_Toc514257462"/>
      <w:r w:rsidRPr="009277F0">
        <w:rPr>
          <w:rFonts w:asciiTheme="majorHAnsi" w:eastAsia="Times New Roman" w:hAnsiTheme="majorHAnsi" w:cstheme="majorBidi"/>
          <w:b/>
          <w:bCs/>
          <w:color w:val="4F81BD" w:themeColor="accent1"/>
          <w:sz w:val="26"/>
          <w:szCs w:val="26"/>
          <w:lang w:val="fr-BE"/>
        </w:rPr>
        <w:t>Situation des droits de l’homme au Sahara occidental</w:t>
      </w:r>
      <w:bookmarkEnd w:id="12"/>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r w:rsidRPr="009277F0">
        <w:rPr>
          <w:rFonts w:ascii="Times New Roman" w:eastAsia="Times New Roman" w:hAnsi="Times New Roman" w:cs="Times New Roman"/>
          <w:sz w:val="24"/>
          <w:szCs w:val="24"/>
          <w:lang w:val="fr-BE"/>
        </w:rPr>
        <w:t xml:space="preserve">De manière générale, la situation des droits de l'homme au Sahara occidental correspond à la situation des droits de l'homme au Maroc. Les mécanismes et les lois régissant la protection sont les mêmes. Néanmoins, il existe des spécificités au Sahara occidental en lien avec le </w:t>
      </w:r>
      <w:r w:rsidR="008E5625">
        <w:rPr>
          <w:rFonts w:ascii="Times New Roman" w:eastAsia="Times New Roman" w:hAnsi="Times New Roman" w:cs="Times New Roman"/>
          <w:sz w:val="24"/>
          <w:szCs w:val="24"/>
          <w:lang w:val="fr-BE"/>
        </w:rPr>
        <w:t>différend</w:t>
      </w:r>
      <w:r w:rsidRPr="009277F0">
        <w:rPr>
          <w:rFonts w:ascii="Times New Roman" w:eastAsia="Times New Roman" w:hAnsi="Times New Roman" w:cs="Times New Roman"/>
          <w:sz w:val="24"/>
          <w:szCs w:val="24"/>
          <w:lang w:val="fr-BE"/>
        </w:rPr>
        <w:t xml:space="preserve"> politique, notamment en ce qui concerne les libertés d'expression, de manifestation et d'association. En effet, toute « atteinte à l'intégrité territoriale », c’est-à-dire également l'indépendantisme pro-Polisario, est prohibée sous peine d'amende voire de prison. </w:t>
      </w: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r w:rsidRPr="009277F0">
        <w:rPr>
          <w:rFonts w:ascii="Times New Roman" w:eastAsia="Times New Roman" w:hAnsi="Times New Roman" w:cs="Times New Roman"/>
          <w:sz w:val="24"/>
          <w:szCs w:val="24"/>
          <w:lang w:val="fr-BE"/>
        </w:rPr>
        <w:t>Dans le cadre de l’affaire T-512/12, le Front Polisario a fait état notamment de violations des droits de l’homme par le Maroc à l’encontre de civils sahraouis à l’occasion de manifestations de protestation. Selon certaines organisations de la société civile et organisations non-gouvernementales</w:t>
      </w:r>
      <w:r w:rsidRPr="009277F0">
        <w:rPr>
          <w:rFonts w:ascii="Times New Roman" w:eastAsia="Times New Roman" w:hAnsi="Times New Roman" w:cs="Times New Roman"/>
          <w:sz w:val="24"/>
          <w:szCs w:val="24"/>
          <w:vertAlign w:val="superscript"/>
          <w:lang w:val="fr-BE"/>
        </w:rPr>
        <w:footnoteReference w:id="11"/>
      </w:r>
      <w:r w:rsidRPr="009277F0">
        <w:rPr>
          <w:rFonts w:ascii="Times New Roman" w:eastAsia="Times New Roman" w:hAnsi="Times New Roman" w:cs="Times New Roman"/>
          <w:sz w:val="24"/>
          <w:szCs w:val="24"/>
          <w:lang w:val="fr-BE"/>
        </w:rPr>
        <w:t xml:space="preserve">, les manquements concernant la situation des droits socio-économiques ainsi que des droits civils et politiques seraient plus souvent invoqués au Sahara occidental qu’au Maroc. Cet aspect a été aussi souligné dans le dernier rapport du Secrétaire </w:t>
      </w:r>
      <w:r w:rsidR="0059134D">
        <w:rPr>
          <w:rFonts w:ascii="Times New Roman" w:eastAsia="Times New Roman" w:hAnsi="Times New Roman" w:cs="Times New Roman"/>
          <w:sz w:val="24"/>
          <w:szCs w:val="24"/>
          <w:lang w:val="fr-BE"/>
        </w:rPr>
        <w:t>g</w:t>
      </w:r>
      <w:r w:rsidRPr="009277F0">
        <w:rPr>
          <w:rFonts w:ascii="Times New Roman" w:eastAsia="Times New Roman" w:hAnsi="Times New Roman" w:cs="Times New Roman"/>
          <w:sz w:val="24"/>
          <w:szCs w:val="24"/>
          <w:lang w:val="fr-BE"/>
        </w:rPr>
        <w:t>énéral des Nations Unies concernant le Sahara Occidental</w:t>
      </w:r>
      <w:r w:rsidRPr="009277F0">
        <w:rPr>
          <w:rFonts w:ascii="Times New Roman" w:eastAsia="Times New Roman" w:hAnsi="Times New Roman" w:cs="Times New Roman"/>
          <w:sz w:val="24"/>
          <w:szCs w:val="24"/>
          <w:vertAlign w:val="superscript"/>
          <w:lang w:val="fr-BE"/>
        </w:rPr>
        <w:footnoteReference w:id="12"/>
      </w:r>
      <w:r w:rsidRPr="009277F0">
        <w:rPr>
          <w:rFonts w:ascii="Times New Roman" w:eastAsia="Times New Roman" w:hAnsi="Times New Roman" w:cs="Times New Roman"/>
          <w:sz w:val="24"/>
          <w:szCs w:val="24"/>
          <w:lang w:val="fr-BE"/>
        </w:rPr>
        <w:t xml:space="preserve">. Compte tenu de la nature propre du </w:t>
      </w:r>
      <w:r w:rsidR="008E5625">
        <w:rPr>
          <w:rFonts w:ascii="Times New Roman" w:eastAsia="Times New Roman" w:hAnsi="Times New Roman" w:cs="Times New Roman"/>
          <w:sz w:val="24"/>
          <w:szCs w:val="24"/>
          <w:lang w:val="fr-BE"/>
        </w:rPr>
        <w:t>différend</w:t>
      </w:r>
      <w:r w:rsidRPr="009277F0">
        <w:rPr>
          <w:rFonts w:ascii="Times New Roman" w:eastAsia="Times New Roman" w:hAnsi="Times New Roman" w:cs="Times New Roman"/>
          <w:sz w:val="24"/>
          <w:szCs w:val="24"/>
          <w:lang w:val="fr-BE"/>
        </w:rPr>
        <w:t>, certaines organisations sahraouies font état en particulier d’atteintes à la liberté d'expression, de manifestation et d'association. À cet égard, lesdites organisations sahraouies ont fait état de difficultés à mener leurs activités en raison de l'absence de reconnaissance juridique. Malgré un climat de réforme encourageant au cours des dernières années, certaines pratiques répressives demeurent et certains acteurs de la société civile continuent de subir des entraves à leur action quotidienne.</w:t>
      </w: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r w:rsidRPr="009277F0">
        <w:rPr>
          <w:rFonts w:ascii="Times New Roman" w:eastAsia="Times New Roman" w:hAnsi="Times New Roman" w:cs="Times New Roman"/>
          <w:sz w:val="24"/>
          <w:szCs w:val="24"/>
          <w:lang w:val="fr-BE"/>
        </w:rPr>
        <w:t>Les autorités ont fait des efforts ces dernières années pour répondre à certaines inquiétudes de la communauté internationale et de la société civile, mais les moyens pour mesurer de tels efforts et vérifier leur impact sur la situation des droits de l'homme restent à renforcer. Une avancée importante accomplie au cours des dernières années a été la reconnaissance par le Maroc de l'Association Sahraouie des Victimes des violations graves des Droits de l’Homme (ASVDH), première association sahraouie à être enregistrée. Le renforcement des commissions régionales du Conseil national des droits de l'homme (CNDH), fonctionnant à Dakhla et Laâyoune a également contribué à une amélioration dans le suivi de la situation des droits de l´homme dans le territoire.</w:t>
      </w: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r w:rsidRPr="009277F0">
        <w:rPr>
          <w:rFonts w:ascii="Times New Roman" w:eastAsia="Times New Roman" w:hAnsi="Times New Roman" w:cs="Times New Roman"/>
          <w:sz w:val="24"/>
          <w:szCs w:val="24"/>
          <w:lang w:val="fr-BE"/>
        </w:rPr>
        <w:t>Le Maroc a été soumis à son troisième Examen Périodique Universel dans le cadre du Conseil des droits de l’homme des Nations Unies en septembre 2017, au cours duquel le Maroc a reçu 244 recommandations. Celles-ci concernaient principalement l’abolition de la peine de mort, le renforcement de la lutte contre la violence à l’égard des femmes, le respect de l’égalité femmes/hommes, la suppression des discriminations à l’égard des enfants nés hors mariage ou la suppression de la criminalisation des relations entre adultes consentant de même sexe. Ce dernier Examen Périodique Universel a mis en lumière certains défis quant à la prépondérance du droit international en matière de droits de l'homme sur le droit interne.</w:t>
      </w:r>
    </w:p>
    <w:p w:rsidR="009277F0" w:rsidRPr="00FA3118" w:rsidRDefault="009277F0" w:rsidP="00FA3118">
      <w:pPr>
        <w:spacing w:after="0" w:line="240" w:lineRule="auto"/>
        <w:jc w:val="both"/>
        <w:rPr>
          <w:rFonts w:ascii="Times New Roman" w:eastAsia="Times New Roman" w:hAnsi="Times New Roman" w:cs="Times New Roman"/>
          <w:sz w:val="24"/>
          <w:szCs w:val="24"/>
          <w:lang w:val="fr-BE"/>
        </w:rPr>
      </w:pPr>
    </w:p>
    <w:p w:rsidR="00FA3118" w:rsidRPr="00FA3118" w:rsidRDefault="00FA3118" w:rsidP="00514E29">
      <w:pPr>
        <w:pStyle w:val="Heading2"/>
        <w:rPr>
          <w:rFonts w:eastAsia="Times New Roman"/>
          <w:lang w:val="fr-BE"/>
        </w:rPr>
      </w:pPr>
      <w:bookmarkStart w:id="13" w:name="_Toc514257463"/>
      <w:r w:rsidRPr="00FA3118">
        <w:rPr>
          <w:rFonts w:eastAsia="Times New Roman"/>
          <w:lang w:val="fr-BE"/>
        </w:rPr>
        <w:t xml:space="preserve">Cadre de fonctionnement de </w:t>
      </w:r>
      <w:r w:rsidR="006A40D3">
        <w:rPr>
          <w:rFonts w:eastAsia="Times New Roman"/>
          <w:lang w:val="fr-BE"/>
        </w:rPr>
        <w:t>la</w:t>
      </w:r>
      <w:r w:rsidRPr="00FA3118">
        <w:rPr>
          <w:rFonts w:eastAsia="Times New Roman"/>
          <w:lang w:val="fr-BE"/>
        </w:rPr>
        <w:t xml:space="preserve"> coopération </w:t>
      </w:r>
      <w:r w:rsidR="00DF5067">
        <w:rPr>
          <w:rFonts w:eastAsia="Times New Roman"/>
          <w:lang w:val="fr-BE"/>
        </w:rPr>
        <w:t>entre l’</w:t>
      </w:r>
      <w:r w:rsidR="006A40D3">
        <w:rPr>
          <w:rFonts w:eastAsia="Times New Roman"/>
          <w:lang w:val="fr-BE"/>
        </w:rPr>
        <w:t>U</w:t>
      </w:r>
      <w:r w:rsidR="00DF5067">
        <w:rPr>
          <w:rFonts w:eastAsia="Times New Roman"/>
          <w:lang w:val="fr-BE"/>
        </w:rPr>
        <w:t xml:space="preserve">nion européenne et le </w:t>
      </w:r>
      <w:r w:rsidRPr="00FA3118">
        <w:rPr>
          <w:rFonts w:eastAsia="Times New Roman"/>
          <w:lang w:val="fr-BE"/>
        </w:rPr>
        <w:t>M</w:t>
      </w:r>
      <w:r w:rsidR="006A40D3">
        <w:rPr>
          <w:rFonts w:eastAsia="Times New Roman"/>
          <w:lang w:val="fr-BE"/>
        </w:rPr>
        <w:t>aroc en matière de droits de l´</w:t>
      </w:r>
      <w:r w:rsidR="00E349EA">
        <w:rPr>
          <w:rFonts w:eastAsia="Times New Roman"/>
          <w:lang w:val="fr-BE"/>
        </w:rPr>
        <w:t>h</w:t>
      </w:r>
      <w:r w:rsidRPr="00FA3118">
        <w:rPr>
          <w:rFonts w:eastAsia="Times New Roman"/>
          <w:lang w:val="fr-BE"/>
        </w:rPr>
        <w:t xml:space="preserve">omme et </w:t>
      </w:r>
      <w:r w:rsidR="006A40D3">
        <w:rPr>
          <w:rFonts w:eastAsia="Times New Roman"/>
          <w:lang w:val="fr-BE"/>
        </w:rPr>
        <w:t xml:space="preserve">de </w:t>
      </w:r>
      <w:r w:rsidRPr="00FA3118">
        <w:rPr>
          <w:rFonts w:eastAsia="Times New Roman"/>
          <w:lang w:val="fr-BE"/>
        </w:rPr>
        <w:t>démocratie.</w:t>
      </w:r>
      <w:bookmarkEnd w:id="13"/>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Le Sahara </w:t>
      </w:r>
      <w:r w:rsidRPr="009277F0">
        <w:rPr>
          <w:rFonts w:ascii="Times New Roman" w:eastAsia="Times New Roman" w:hAnsi="Times New Roman" w:cs="Times New Roman"/>
          <w:sz w:val="24"/>
          <w:szCs w:val="24"/>
          <w:lang w:val="fr-BE"/>
        </w:rPr>
        <w:t>occidental fait depuis longtemps l'objet d</w:t>
      </w:r>
      <w:r w:rsidR="004517A1">
        <w:rPr>
          <w:rFonts w:ascii="Times New Roman" w:eastAsia="Times New Roman" w:hAnsi="Times New Roman" w:cs="Times New Roman"/>
          <w:sz w:val="24"/>
          <w:szCs w:val="24"/>
          <w:lang w:val="fr-BE"/>
        </w:rPr>
        <w:t>’</w:t>
      </w:r>
      <w:r w:rsidRPr="009277F0">
        <w:rPr>
          <w:rFonts w:ascii="Times New Roman" w:eastAsia="Times New Roman" w:hAnsi="Times New Roman" w:cs="Times New Roman"/>
          <w:sz w:val="24"/>
          <w:szCs w:val="24"/>
          <w:lang w:val="fr-BE"/>
        </w:rPr>
        <w:t>u</w:t>
      </w:r>
      <w:r w:rsidR="004517A1">
        <w:rPr>
          <w:rFonts w:ascii="Times New Roman" w:eastAsia="Times New Roman" w:hAnsi="Times New Roman" w:cs="Times New Roman"/>
          <w:sz w:val="24"/>
          <w:szCs w:val="24"/>
          <w:lang w:val="fr-BE"/>
        </w:rPr>
        <w:t>n</w:t>
      </w:r>
      <w:r w:rsidRPr="009277F0">
        <w:rPr>
          <w:rFonts w:ascii="Times New Roman" w:eastAsia="Times New Roman" w:hAnsi="Times New Roman" w:cs="Times New Roman"/>
          <w:sz w:val="24"/>
          <w:szCs w:val="24"/>
          <w:lang w:val="fr-BE"/>
        </w:rPr>
        <w:t xml:space="preserve"> dialogue </w:t>
      </w:r>
      <w:r w:rsidR="004517A1" w:rsidRPr="009277F0">
        <w:rPr>
          <w:rFonts w:ascii="Times New Roman" w:eastAsia="Times New Roman" w:hAnsi="Times New Roman" w:cs="Times New Roman"/>
          <w:sz w:val="24"/>
          <w:szCs w:val="24"/>
          <w:lang w:val="fr-BE"/>
        </w:rPr>
        <w:t>entre l</w:t>
      </w:r>
      <w:r w:rsidR="004517A1">
        <w:rPr>
          <w:rFonts w:ascii="Times New Roman" w:eastAsia="Times New Roman" w:hAnsi="Times New Roman" w:cs="Times New Roman"/>
          <w:sz w:val="24"/>
          <w:szCs w:val="24"/>
          <w:lang w:val="fr-BE"/>
        </w:rPr>
        <w:t>’</w:t>
      </w:r>
      <w:r w:rsidR="004517A1" w:rsidRPr="009277F0">
        <w:rPr>
          <w:rFonts w:ascii="Times New Roman" w:eastAsia="Times New Roman" w:hAnsi="Times New Roman" w:cs="Times New Roman"/>
          <w:sz w:val="24"/>
          <w:szCs w:val="24"/>
          <w:lang w:val="fr-BE"/>
        </w:rPr>
        <w:t>U</w:t>
      </w:r>
      <w:r w:rsidR="004517A1">
        <w:rPr>
          <w:rFonts w:ascii="Times New Roman" w:eastAsia="Times New Roman" w:hAnsi="Times New Roman" w:cs="Times New Roman"/>
          <w:sz w:val="24"/>
          <w:szCs w:val="24"/>
          <w:lang w:val="fr-BE"/>
        </w:rPr>
        <w:t>nion européenne</w:t>
      </w:r>
      <w:r w:rsidR="004517A1" w:rsidRPr="009277F0">
        <w:rPr>
          <w:rFonts w:ascii="Times New Roman" w:eastAsia="Times New Roman" w:hAnsi="Times New Roman" w:cs="Times New Roman"/>
          <w:sz w:val="24"/>
          <w:szCs w:val="24"/>
          <w:lang w:val="fr-BE"/>
        </w:rPr>
        <w:t xml:space="preserve"> et le Maroc </w:t>
      </w:r>
      <w:r w:rsidRPr="009277F0">
        <w:rPr>
          <w:rFonts w:ascii="Times New Roman" w:eastAsia="Times New Roman" w:hAnsi="Times New Roman" w:cs="Times New Roman"/>
          <w:sz w:val="24"/>
          <w:szCs w:val="24"/>
          <w:lang w:val="fr-BE"/>
        </w:rPr>
        <w:t>en matière de droits de l'homme et démocratie</w:t>
      </w:r>
      <w:r w:rsidR="004517A1">
        <w:rPr>
          <w:rFonts w:ascii="Times New Roman" w:eastAsia="Times New Roman" w:hAnsi="Times New Roman" w:cs="Times New Roman"/>
          <w:sz w:val="24"/>
          <w:szCs w:val="24"/>
          <w:lang w:val="fr-BE"/>
        </w:rPr>
        <w:t xml:space="preserve">, </w:t>
      </w:r>
      <w:r w:rsidRPr="009277F0">
        <w:rPr>
          <w:rFonts w:ascii="Times New Roman" w:eastAsia="Times New Roman" w:hAnsi="Times New Roman" w:cs="Times New Roman"/>
          <w:sz w:val="24"/>
          <w:szCs w:val="24"/>
          <w:lang w:val="fr-BE"/>
        </w:rPr>
        <w:t>dans le cadre de l'accord d'association dont l’article 2 prévoit que « [l]e respect des principes démocratiques et des droits fondamentaux de l'homme, tels qu'énoncés dans la déclaration universelle des droits de l'homme, inspire les politiques internes et internationales de la Communauté et du Maroc et constitue un élément essentiel du présent accord ».</w:t>
      </w: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94080B" w:rsidRPr="00FA3118" w:rsidRDefault="006A40D3" w:rsidP="0094080B">
      <w:pPr>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Les</w:t>
      </w:r>
      <w:r w:rsidR="00FA3118" w:rsidRPr="00FA3118">
        <w:rPr>
          <w:rFonts w:ascii="Times New Roman" w:eastAsia="Times New Roman" w:hAnsi="Times New Roman" w:cs="Times New Roman"/>
          <w:sz w:val="24"/>
          <w:szCs w:val="24"/>
          <w:lang w:val="fr-BE"/>
        </w:rPr>
        <w:t xml:space="preserve"> relations</w:t>
      </w:r>
      <w:r>
        <w:rPr>
          <w:rFonts w:ascii="Times New Roman" w:eastAsia="Times New Roman" w:hAnsi="Times New Roman" w:cs="Times New Roman"/>
          <w:sz w:val="24"/>
          <w:szCs w:val="24"/>
          <w:lang w:val="fr-BE"/>
        </w:rPr>
        <w:t xml:space="preserve"> </w:t>
      </w:r>
      <w:r w:rsidR="00D84186">
        <w:rPr>
          <w:rFonts w:ascii="Times New Roman" w:eastAsia="Times New Roman" w:hAnsi="Times New Roman" w:cs="Times New Roman"/>
          <w:sz w:val="24"/>
          <w:szCs w:val="24"/>
          <w:lang w:val="fr-BE"/>
        </w:rPr>
        <w:t>entre l’</w:t>
      </w:r>
      <w:r>
        <w:rPr>
          <w:rFonts w:ascii="Times New Roman" w:eastAsia="Times New Roman" w:hAnsi="Times New Roman" w:cs="Times New Roman"/>
          <w:sz w:val="24"/>
          <w:szCs w:val="24"/>
          <w:lang w:val="fr-BE"/>
        </w:rPr>
        <w:t>U</w:t>
      </w:r>
      <w:r w:rsidR="00D84186">
        <w:rPr>
          <w:rFonts w:ascii="Times New Roman" w:eastAsia="Times New Roman" w:hAnsi="Times New Roman" w:cs="Times New Roman"/>
          <w:sz w:val="24"/>
          <w:szCs w:val="24"/>
          <w:lang w:val="fr-BE"/>
        </w:rPr>
        <w:t xml:space="preserve">nion européenne et le </w:t>
      </w:r>
      <w:r>
        <w:rPr>
          <w:rFonts w:ascii="Times New Roman" w:eastAsia="Times New Roman" w:hAnsi="Times New Roman" w:cs="Times New Roman"/>
          <w:sz w:val="24"/>
          <w:szCs w:val="24"/>
          <w:lang w:val="fr-BE"/>
        </w:rPr>
        <w:t xml:space="preserve">Maroc </w:t>
      </w:r>
      <w:r w:rsidR="00FA3118" w:rsidRPr="00FA3118">
        <w:rPr>
          <w:rFonts w:ascii="Times New Roman" w:eastAsia="Times New Roman" w:hAnsi="Times New Roman" w:cs="Times New Roman"/>
          <w:sz w:val="24"/>
          <w:szCs w:val="24"/>
          <w:lang w:val="fr-BE"/>
        </w:rPr>
        <w:t>en matière de droits de l'</w:t>
      </w:r>
      <w:r w:rsidR="00E349EA">
        <w:rPr>
          <w:rFonts w:ascii="Times New Roman" w:eastAsia="Times New Roman" w:hAnsi="Times New Roman" w:cs="Times New Roman"/>
          <w:sz w:val="24"/>
          <w:szCs w:val="24"/>
          <w:lang w:val="fr-BE"/>
        </w:rPr>
        <w:t>h</w:t>
      </w:r>
      <w:r w:rsidR="00FA3118" w:rsidRPr="00FA3118">
        <w:rPr>
          <w:rFonts w:ascii="Times New Roman" w:eastAsia="Times New Roman" w:hAnsi="Times New Roman" w:cs="Times New Roman"/>
          <w:sz w:val="24"/>
          <w:szCs w:val="24"/>
          <w:lang w:val="fr-BE"/>
        </w:rPr>
        <w:t xml:space="preserve">omme ont été accompagnées par un dialogue </w:t>
      </w:r>
      <w:r w:rsidRPr="00FA3118">
        <w:rPr>
          <w:rFonts w:ascii="Times New Roman" w:eastAsia="Times New Roman" w:hAnsi="Times New Roman" w:cs="Times New Roman"/>
          <w:sz w:val="24"/>
          <w:szCs w:val="24"/>
          <w:lang w:val="fr-BE"/>
        </w:rPr>
        <w:t>régulier</w:t>
      </w:r>
      <w:r>
        <w:rPr>
          <w:rFonts w:ascii="Times New Roman" w:eastAsia="Times New Roman" w:hAnsi="Times New Roman" w:cs="Times New Roman"/>
          <w:sz w:val="24"/>
          <w:szCs w:val="24"/>
          <w:lang w:val="fr-BE"/>
        </w:rPr>
        <w:t xml:space="preserve"> sur les plans</w:t>
      </w:r>
      <w:r w:rsidRPr="00FA3118">
        <w:rPr>
          <w:rFonts w:ascii="Times New Roman" w:eastAsia="Times New Roman" w:hAnsi="Times New Roman" w:cs="Times New Roman"/>
          <w:sz w:val="24"/>
          <w:szCs w:val="24"/>
          <w:lang w:val="fr-BE"/>
        </w:rPr>
        <w:t xml:space="preserve"> </w:t>
      </w:r>
      <w:r w:rsidR="00FA3118" w:rsidRPr="00FA3118">
        <w:rPr>
          <w:rFonts w:ascii="Times New Roman" w:eastAsia="Times New Roman" w:hAnsi="Times New Roman" w:cs="Times New Roman"/>
          <w:sz w:val="24"/>
          <w:szCs w:val="24"/>
          <w:lang w:val="fr-BE"/>
        </w:rPr>
        <w:t>politique et technique, mené à haut niveau lors</w:t>
      </w:r>
      <w:r>
        <w:rPr>
          <w:rFonts w:ascii="Times New Roman" w:eastAsia="Times New Roman" w:hAnsi="Times New Roman" w:cs="Times New Roman"/>
          <w:sz w:val="24"/>
          <w:szCs w:val="24"/>
          <w:lang w:val="fr-BE"/>
        </w:rPr>
        <w:t xml:space="preserve"> de réunions</w:t>
      </w:r>
      <w:r w:rsidR="00FA3118" w:rsidRPr="00FA3118">
        <w:rPr>
          <w:rFonts w:ascii="Times New Roman" w:eastAsia="Times New Roman" w:hAnsi="Times New Roman" w:cs="Times New Roman"/>
          <w:sz w:val="24"/>
          <w:szCs w:val="24"/>
          <w:lang w:val="fr-BE"/>
        </w:rPr>
        <w:t xml:space="preserve"> du Conseil d'</w:t>
      </w:r>
      <w:r w:rsidR="0065586D">
        <w:rPr>
          <w:rFonts w:ascii="Times New Roman" w:eastAsia="Times New Roman" w:hAnsi="Times New Roman" w:cs="Times New Roman"/>
          <w:sz w:val="24"/>
          <w:szCs w:val="24"/>
          <w:lang w:val="fr-BE"/>
        </w:rPr>
        <w:t>a</w:t>
      </w:r>
      <w:r w:rsidR="00FA3118" w:rsidRPr="00FA3118">
        <w:rPr>
          <w:rFonts w:ascii="Times New Roman" w:eastAsia="Times New Roman" w:hAnsi="Times New Roman" w:cs="Times New Roman"/>
          <w:sz w:val="24"/>
          <w:szCs w:val="24"/>
          <w:lang w:val="fr-BE"/>
        </w:rPr>
        <w:t>ssociation, de visites officielles de hauts responsables, ou au niveau technique lo</w:t>
      </w:r>
      <w:r>
        <w:rPr>
          <w:rFonts w:ascii="Times New Roman" w:eastAsia="Times New Roman" w:hAnsi="Times New Roman" w:cs="Times New Roman"/>
          <w:sz w:val="24"/>
          <w:szCs w:val="24"/>
          <w:lang w:val="fr-BE"/>
        </w:rPr>
        <w:t>rs du sous-comité "Droits de l'</w:t>
      </w:r>
      <w:r w:rsidR="00E349EA">
        <w:rPr>
          <w:rFonts w:ascii="Times New Roman" w:eastAsia="Times New Roman" w:hAnsi="Times New Roman" w:cs="Times New Roman"/>
          <w:sz w:val="24"/>
          <w:szCs w:val="24"/>
          <w:lang w:val="fr-BE"/>
        </w:rPr>
        <w:t>h</w:t>
      </w:r>
      <w:r w:rsidR="00FA3118" w:rsidRPr="00FA3118">
        <w:rPr>
          <w:rFonts w:ascii="Times New Roman" w:eastAsia="Times New Roman" w:hAnsi="Times New Roman" w:cs="Times New Roman"/>
          <w:sz w:val="24"/>
          <w:szCs w:val="24"/>
          <w:lang w:val="fr-BE"/>
        </w:rPr>
        <w:t>omme, démocratie et gouvernance"</w:t>
      </w:r>
      <w:r w:rsidR="00E349EA">
        <w:rPr>
          <w:rStyle w:val="FootnoteReference"/>
          <w:rFonts w:ascii="Times New Roman" w:eastAsia="Times New Roman" w:hAnsi="Times New Roman" w:cs="Times New Roman"/>
          <w:sz w:val="24"/>
          <w:szCs w:val="24"/>
          <w:lang w:val="fr-BE"/>
        </w:rPr>
        <w:footnoteReference w:id="13"/>
      </w:r>
      <w:r w:rsidR="00FA3118" w:rsidRPr="00FA3118">
        <w:rPr>
          <w:rFonts w:ascii="Times New Roman" w:eastAsia="Times New Roman" w:hAnsi="Times New Roman" w:cs="Times New Roman"/>
          <w:sz w:val="24"/>
          <w:szCs w:val="24"/>
          <w:lang w:val="fr-BE"/>
        </w:rPr>
        <w:t xml:space="preserve">, </w:t>
      </w:r>
      <w:r w:rsidR="0094080B" w:rsidRPr="00FA3118">
        <w:rPr>
          <w:rFonts w:ascii="Times New Roman" w:eastAsia="Times New Roman" w:hAnsi="Times New Roman" w:cs="Times New Roman"/>
          <w:sz w:val="24"/>
          <w:szCs w:val="24"/>
          <w:lang w:val="fr-BE"/>
        </w:rPr>
        <w:t>qui se réunissait, depuis sa création, annuelle</w:t>
      </w:r>
      <w:r w:rsidR="0094080B">
        <w:rPr>
          <w:rFonts w:ascii="Times New Roman" w:eastAsia="Times New Roman" w:hAnsi="Times New Roman" w:cs="Times New Roman"/>
          <w:sz w:val="24"/>
          <w:szCs w:val="24"/>
          <w:lang w:val="fr-BE"/>
        </w:rPr>
        <w:t>ment</w:t>
      </w:r>
      <w:r w:rsidR="0094080B" w:rsidRPr="00FA3118">
        <w:rPr>
          <w:rFonts w:ascii="Times New Roman" w:eastAsia="Times New Roman" w:hAnsi="Times New Roman" w:cs="Times New Roman"/>
          <w:sz w:val="24"/>
          <w:szCs w:val="24"/>
          <w:lang w:val="fr-BE"/>
        </w:rPr>
        <w:t>.</w:t>
      </w:r>
    </w:p>
    <w:p w:rsidR="0094080B" w:rsidRPr="00FA3118" w:rsidRDefault="0094080B" w:rsidP="0094080B">
      <w:pPr>
        <w:spacing w:after="0" w:line="240" w:lineRule="auto"/>
        <w:jc w:val="both"/>
        <w:rPr>
          <w:rFonts w:ascii="Times New Roman" w:eastAsia="Times New Roman" w:hAnsi="Times New Roman" w:cs="Times New Roman"/>
          <w:sz w:val="24"/>
          <w:szCs w:val="24"/>
          <w:lang w:val="fr-BE"/>
        </w:rPr>
      </w:pPr>
    </w:p>
    <w:p w:rsidR="0061353A" w:rsidRPr="00FA3118" w:rsidRDefault="0094080B" w:rsidP="0061353A">
      <w:pPr>
        <w:spacing w:after="0" w:line="240" w:lineRule="auto"/>
        <w:jc w:val="both"/>
        <w:rPr>
          <w:rFonts w:ascii="Times New Roman" w:eastAsia="Times New Roman" w:hAnsi="Times New Roman" w:cs="Times New Roman"/>
          <w:sz w:val="24"/>
          <w:szCs w:val="24"/>
          <w:lang w:val="fr-BE"/>
        </w:rPr>
      </w:pPr>
      <w:r w:rsidRPr="00FA3118">
        <w:rPr>
          <w:rFonts w:ascii="Times New Roman" w:eastAsia="Times New Roman" w:hAnsi="Times New Roman" w:cs="Times New Roman"/>
          <w:sz w:val="24"/>
          <w:szCs w:val="24"/>
          <w:lang w:val="fr-BE"/>
        </w:rPr>
        <w:t>Même si les con</w:t>
      </w:r>
      <w:r>
        <w:rPr>
          <w:rFonts w:ascii="Times New Roman" w:eastAsia="Times New Roman" w:hAnsi="Times New Roman" w:cs="Times New Roman"/>
          <w:sz w:val="24"/>
          <w:szCs w:val="24"/>
          <w:lang w:val="fr-BE"/>
        </w:rPr>
        <w:t xml:space="preserve">tacts informels à ce sujet </w:t>
      </w:r>
      <w:r w:rsidRPr="00FA3118">
        <w:rPr>
          <w:rFonts w:ascii="Times New Roman" w:eastAsia="Times New Roman" w:hAnsi="Times New Roman" w:cs="Times New Roman"/>
          <w:sz w:val="24"/>
          <w:szCs w:val="24"/>
          <w:lang w:val="fr-BE"/>
        </w:rPr>
        <w:t xml:space="preserve">ont </w:t>
      </w:r>
      <w:r>
        <w:rPr>
          <w:rFonts w:ascii="Times New Roman" w:eastAsia="Times New Roman" w:hAnsi="Times New Roman" w:cs="Times New Roman"/>
          <w:sz w:val="24"/>
          <w:szCs w:val="24"/>
          <w:lang w:val="fr-BE"/>
        </w:rPr>
        <w:t>perduré</w:t>
      </w:r>
      <w:r w:rsidRPr="00FA3118">
        <w:rPr>
          <w:rFonts w:ascii="Times New Roman" w:eastAsia="Times New Roman" w:hAnsi="Times New Roman" w:cs="Times New Roman"/>
          <w:sz w:val="24"/>
          <w:szCs w:val="24"/>
          <w:lang w:val="fr-BE"/>
        </w:rPr>
        <w:t xml:space="preserve"> au cours des dernières années, les </w:t>
      </w:r>
      <w:r>
        <w:rPr>
          <w:rFonts w:ascii="Times New Roman" w:eastAsia="Times New Roman" w:hAnsi="Times New Roman" w:cs="Times New Roman"/>
          <w:sz w:val="24"/>
          <w:szCs w:val="24"/>
          <w:lang w:val="fr-BE"/>
        </w:rPr>
        <w:t xml:space="preserve">difficultés rencontrées </w:t>
      </w:r>
      <w:r w:rsidRPr="00DF5067">
        <w:rPr>
          <w:rFonts w:ascii="Times New Roman" w:eastAsia="Times New Roman" w:hAnsi="Times New Roman" w:cs="Times New Roman"/>
          <w:sz w:val="24"/>
          <w:szCs w:val="24"/>
          <w:lang w:val="fr-BE"/>
        </w:rPr>
        <w:t xml:space="preserve">dans </w:t>
      </w:r>
      <w:r w:rsidR="009B32A7" w:rsidRPr="00DF5067">
        <w:rPr>
          <w:rFonts w:ascii="Times New Roman" w:eastAsia="Times New Roman" w:hAnsi="Times New Roman" w:cs="Times New Roman"/>
          <w:sz w:val="24"/>
          <w:szCs w:val="24"/>
          <w:lang w:val="fr-BE"/>
        </w:rPr>
        <w:t>les</w:t>
      </w:r>
      <w:r w:rsidRPr="00FA3118">
        <w:rPr>
          <w:rFonts w:ascii="Times New Roman" w:eastAsia="Times New Roman" w:hAnsi="Times New Roman" w:cs="Times New Roman"/>
          <w:sz w:val="24"/>
          <w:szCs w:val="24"/>
          <w:lang w:val="fr-BE"/>
        </w:rPr>
        <w:t xml:space="preserve"> relations bilatérales depuis l´arrêt du Tribunal du 10 décembre 2015 (affaire T-512/12) ont rendu </w:t>
      </w:r>
      <w:r>
        <w:rPr>
          <w:rFonts w:ascii="Times New Roman" w:eastAsia="Times New Roman" w:hAnsi="Times New Roman" w:cs="Times New Roman"/>
          <w:sz w:val="24"/>
          <w:szCs w:val="24"/>
          <w:lang w:val="fr-BE"/>
        </w:rPr>
        <w:t>impossible</w:t>
      </w:r>
      <w:r w:rsidRPr="00FA3118">
        <w:rPr>
          <w:rFonts w:ascii="Times New Roman" w:eastAsia="Times New Roman" w:hAnsi="Times New Roman" w:cs="Times New Roman"/>
          <w:sz w:val="24"/>
          <w:szCs w:val="24"/>
          <w:lang w:val="fr-BE"/>
        </w:rPr>
        <w:t xml:space="preserve"> la tenue </w:t>
      </w:r>
      <w:r>
        <w:rPr>
          <w:rFonts w:ascii="Times New Roman" w:eastAsia="Times New Roman" w:hAnsi="Times New Roman" w:cs="Times New Roman"/>
          <w:sz w:val="24"/>
          <w:szCs w:val="24"/>
          <w:lang w:val="fr-BE"/>
        </w:rPr>
        <w:t xml:space="preserve">officielle </w:t>
      </w:r>
      <w:r w:rsidRPr="00FA3118">
        <w:rPr>
          <w:rFonts w:ascii="Times New Roman" w:eastAsia="Times New Roman" w:hAnsi="Times New Roman" w:cs="Times New Roman"/>
          <w:sz w:val="24"/>
          <w:szCs w:val="24"/>
          <w:lang w:val="fr-BE"/>
        </w:rPr>
        <w:t xml:space="preserve">de </w:t>
      </w:r>
      <w:r w:rsidR="0061353A">
        <w:rPr>
          <w:rFonts w:ascii="Times New Roman" w:eastAsia="Times New Roman" w:hAnsi="Times New Roman" w:cs="Times New Roman"/>
          <w:sz w:val="24"/>
          <w:szCs w:val="24"/>
          <w:lang w:val="fr-BE"/>
        </w:rPr>
        <w:t xml:space="preserve">ce </w:t>
      </w:r>
      <w:r>
        <w:rPr>
          <w:rFonts w:ascii="Times New Roman" w:eastAsia="Times New Roman" w:hAnsi="Times New Roman" w:cs="Times New Roman"/>
          <w:sz w:val="24"/>
          <w:szCs w:val="24"/>
          <w:lang w:val="fr-BE"/>
        </w:rPr>
        <w:t xml:space="preserve">genre de </w:t>
      </w:r>
      <w:r w:rsidRPr="00FA3118">
        <w:rPr>
          <w:rFonts w:ascii="Times New Roman" w:eastAsia="Times New Roman" w:hAnsi="Times New Roman" w:cs="Times New Roman"/>
          <w:sz w:val="24"/>
          <w:szCs w:val="24"/>
          <w:lang w:val="fr-BE"/>
        </w:rPr>
        <w:t xml:space="preserve">réunions. </w:t>
      </w:r>
      <w:r w:rsidR="0061353A">
        <w:rPr>
          <w:rFonts w:ascii="Times New Roman" w:eastAsia="Times New Roman" w:hAnsi="Times New Roman" w:cs="Times New Roman"/>
          <w:sz w:val="24"/>
          <w:szCs w:val="24"/>
          <w:lang w:val="fr-BE"/>
        </w:rPr>
        <w:t>Dans le sillage de la normalisation en cours et dans une perspective de relance des relations bilatérales, l</w:t>
      </w:r>
      <w:r w:rsidR="0054543F">
        <w:rPr>
          <w:rFonts w:ascii="Times New Roman" w:eastAsia="Times New Roman" w:hAnsi="Times New Roman" w:cs="Times New Roman"/>
          <w:sz w:val="24"/>
          <w:szCs w:val="24"/>
          <w:lang w:val="fr-BE"/>
        </w:rPr>
        <w:t>’</w:t>
      </w:r>
      <w:r w:rsidR="0061353A" w:rsidRPr="00FA3118">
        <w:rPr>
          <w:rFonts w:ascii="Times New Roman" w:eastAsia="Times New Roman" w:hAnsi="Times New Roman" w:cs="Times New Roman"/>
          <w:sz w:val="24"/>
          <w:szCs w:val="24"/>
          <w:lang w:val="fr-BE"/>
        </w:rPr>
        <w:t>Union européenne compte relancer ce dialogue avant la fin de l</w:t>
      </w:r>
      <w:r w:rsidR="0054543F">
        <w:rPr>
          <w:rFonts w:ascii="Times New Roman" w:eastAsia="Times New Roman" w:hAnsi="Times New Roman" w:cs="Times New Roman"/>
          <w:sz w:val="24"/>
          <w:szCs w:val="24"/>
          <w:lang w:val="fr-BE"/>
        </w:rPr>
        <w:t>’</w:t>
      </w:r>
      <w:r w:rsidR="0061353A" w:rsidRPr="00FA3118">
        <w:rPr>
          <w:rFonts w:ascii="Times New Roman" w:eastAsia="Times New Roman" w:hAnsi="Times New Roman" w:cs="Times New Roman"/>
          <w:sz w:val="24"/>
          <w:szCs w:val="24"/>
          <w:lang w:val="fr-BE"/>
        </w:rPr>
        <w:t>année 2018.</w:t>
      </w:r>
    </w:p>
    <w:p w:rsidR="00FA3118" w:rsidRDefault="00FA3118" w:rsidP="0094080B">
      <w:pPr>
        <w:spacing w:after="0" w:line="240" w:lineRule="auto"/>
        <w:jc w:val="both"/>
        <w:rPr>
          <w:rFonts w:ascii="Times New Roman" w:eastAsia="Times New Roman" w:hAnsi="Times New Roman" w:cs="Times New Roman"/>
          <w:sz w:val="24"/>
          <w:szCs w:val="24"/>
          <w:lang w:val="fr-BE"/>
        </w:rPr>
      </w:pP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r w:rsidRPr="009277F0">
        <w:rPr>
          <w:rFonts w:ascii="Times New Roman" w:eastAsia="Times New Roman" w:hAnsi="Times New Roman" w:cs="Times New Roman"/>
          <w:sz w:val="24"/>
          <w:szCs w:val="24"/>
          <w:lang w:val="fr-BE"/>
        </w:rPr>
        <w:t>Au cours des échanges susmentionnés ont été évoqués les progrès dans la mise en œuvre des réformes concernant les différents droits individuels et collectifs, mais aussi les programmes financés par l'Union en matière de droits de l'homme et de gouvernance. Ont également été soulevées dans ce cadre les questions relatives à certains cas individuels de violations alléguées de droits de l'homme, ce dernier point revêtant une pertinence particulière dans le cadre du Sahara occidental.</w:t>
      </w:r>
    </w:p>
    <w:p w:rsidR="009277F0" w:rsidRPr="009277F0" w:rsidRDefault="009277F0" w:rsidP="009277F0">
      <w:pPr>
        <w:spacing w:after="0" w:line="240" w:lineRule="auto"/>
        <w:jc w:val="both"/>
        <w:rPr>
          <w:rFonts w:ascii="Times New Roman" w:eastAsia="Times New Roman" w:hAnsi="Times New Roman" w:cs="Times New Roman"/>
          <w:sz w:val="24"/>
          <w:szCs w:val="24"/>
          <w:lang w:val="fr-BE"/>
        </w:rPr>
      </w:pPr>
    </w:p>
    <w:p w:rsidR="009277F0" w:rsidRPr="000132F0" w:rsidRDefault="009277F0" w:rsidP="009277F0">
      <w:pPr>
        <w:spacing w:after="0" w:line="240" w:lineRule="auto"/>
        <w:jc w:val="both"/>
        <w:rPr>
          <w:rFonts w:ascii="Times New Roman" w:eastAsia="Times New Roman" w:hAnsi="Times New Roman" w:cs="Times New Roman"/>
          <w:strike/>
          <w:sz w:val="24"/>
          <w:szCs w:val="24"/>
          <w:lang w:val="fr-BE"/>
        </w:rPr>
      </w:pPr>
      <w:r w:rsidRPr="004130A1">
        <w:rPr>
          <w:rFonts w:ascii="Times New Roman" w:eastAsia="Times New Roman" w:hAnsi="Times New Roman" w:cs="Times New Roman"/>
          <w:sz w:val="24"/>
          <w:szCs w:val="24"/>
          <w:lang w:val="fr-BE"/>
        </w:rPr>
        <w:t>Dans le cadre de son dialogue politique, l'Union européenne souligne régulièrement l'importance du respect de l'État de droit, notamment dans le domaine de la justice. Ce dialogue va de pair avec un important soutien de l'Union européenne à la réforme du système judiciaire marocain, lequel vise à améliorer l'accès à la justice, à assurer une meilleure protection judiciaire des droits et libertés publiques ainsi qu’à renforcer l'efficacité du système judiciaire. Ce dialogue institutionnel de nature politique et technique va de</w:t>
      </w:r>
      <w:r w:rsidRPr="00D934F5">
        <w:rPr>
          <w:rFonts w:ascii="Times New Roman" w:eastAsia="Times New Roman" w:hAnsi="Times New Roman" w:cs="Times New Roman"/>
          <w:sz w:val="24"/>
          <w:szCs w:val="24"/>
          <w:lang w:val="fr-BE"/>
        </w:rPr>
        <w:t xml:space="preserve"> pair avec le dialogue avec la société civile.</w:t>
      </w:r>
    </w:p>
    <w:p w:rsidR="004517A1" w:rsidRPr="009277F0" w:rsidRDefault="004517A1" w:rsidP="009277F0">
      <w:pPr>
        <w:spacing w:after="0" w:line="240" w:lineRule="auto"/>
        <w:jc w:val="both"/>
        <w:rPr>
          <w:rFonts w:ascii="Times New Roman" w:eastAsia="Times New Roman" w:hAnsi="Times New Roman" w:cs="Times New Roman"/>
          <w:sz w:val="24"/>
          <w:szCs w:val="24"/>
          <w:lang w:val="fr-BE"/>
        </w:rPr>
      </w:pPr>
    </w:p>
    <w:p w:rsidR="0082406E" w:rsidRPr="00FA3118" w:rsidRDefault="0082406E" w:rsidP="0082406E">
      <w:pPr>
        <w:spacing w:after="0" w:line="240" w:lineRule="auto"/>
        <w:jc w:val="both"/>
        <w:rPr>
          <w:rFonts w:ascii="Times New Roman" w:eastAsia="Times New Roman" w:hAnsi="Times New Roman" w:cs="Times New Roman"/>
          <w:sz w:val="24"/>
          <w:szCs w:val="24"/>
          <w:lang w:val="fr-BE"/>
        </w:rPr>
      </w:pPr>
      <w:r w:rsidRPr="00FA3118">
        <w:rPr>
          <w:rFonts w:ascii="Times New Roman" w:eastAsia="Times New Roman" w:hAnsi="Times New Roman" w:cs="Times New Roman"/>
          <w:sz w:val="24"/>
          <w:szCs w:val="24"/>
          <w:lang w:val="fr-BE"/>
        </w:rPr>
        <w:t>La Délégation de l'Union européenne au Maroc entretient des contacts fréquents avec le Conseil National des Droits de l'Homme (CNDH). Cette institution indépendante exerce un rôle important de suivi  de la situation des droits de l'</w:t>
      </w:r>
      <w:r w:rsidR="00E349EA">
        <w:rPr>
          <w:rFonts w:ascii="Times New Roman" w:eastAsia="Times New Roman" w:hAnsi="Times New Roman" w:cs="Times New Roman"/>
          <w:sz w:val="24"/>
          <w:szCs w:val="24"/>
          <w:lang w:val="fr-BE"/>
        </w:rPr>
        <w:t>h</w:t>
      </w:r>
      <w:r w:rsidRPr="00FA3118">
        <w:rPr>
          <w:rFonts w:ascii="Times New Roman" w:eastAsia="Times New Roman" w:hAnsi="Times New Roman" w:cs="Times New Roman"/>
          <w:sz w:val="24"/>
          <w:szCs w:val="24"/>
          <w:lang w:val="fr-BE"/>
        </w:rPr>
        <w:t xml:space="preserve">omme au Maroc, notamment à travers ses commissions régionales au Sahara occidental. L'Union </w:t>
      </w:r>
      <w:r>
        <w:rPr>
          <w:rFonts w:ascii="Times New Roman" w:eastAsia="Times New Roman" w:hAnsi="Times New Roman" w:cs="Times New Roman"/>
          <w:sz w:val="24"/>
          <w:szCs w:val="24"/>
          <w:lang w:val="fr-BE"/>
        </w:rPr>
        <w:t xml:space="preserve">européenne </w:t>
      </w:r>
      <w:r w:rsidRPr="00FA3118">
        <w:rPr>
          <w:rFonts w:ascii="Times New Roman" w:eastAsia="Times New Roman" w:hAnsi="Times New Roman" w:cs="Times New Roman"/>
          <w:sz w:val="24"/>
          <w:szCs w:val="24"/>
          <w:lang w:val="fr-BE"/>
        </w:rPr>
        <w:t>soutient le CNDH à travers un programme consacré au renforcement de sa capacité institutionnelle</w:t>
      </w:r>
      <w:r>
        <w:rPr>
          <w:rFonts w:ascii="Times New Roman" w:eastAsia="Times New Roman" w:hAnsi="Times New Roman" w:cs="Times New Roman"/>
          <w:sz w:val="24"/>
          <w:szCs w:val="24"/>
          <w:lang w:val="fr-BE"/>
        </w:rPr>
        <w:t>, y compris</w:t>
      </w:r>
      <w:r w:rsidRPr="00FA3118">
        <w:rPr>
          <w:rFonts w:ascii="Times New Roman" w:eastAsia="Times New Roman" w:hAnsi="Times New Roman" w:cs="Times New Roman"/>
          <w:sz w:val="24"/>
          <w:szCs w:val="24"/>
          <w:lang w:val="fr-BE"/>
        </w:rPr>
        <w:t xml:space="preserve"> celle de ses commissions régionales</w:t>
      </w:r>
      <w:r w:rsidR="00D84186" w:rsidRPr="004E2E61">
        <w:rPr>
          <w:lang w:val="fr-BE"/>
        </w:rPr>
        <w:t xml:space="preserve"> </w:t>
      </w:r>
      <w:r w:rsidR="00D84186" w:rsidRPr="00D84186">
        <w:rPr>
          <w:rFonts w:ascii="Times New Roman" w:eastAsia="Times New Roman" w:hAnsi="Times New Roman" w:cs="Times New Roman"/>
          <w:sz w:val="24"/>
          <w:szCs w:val="24"/>
          <w:lang w:val="fr-BE"/>
        </w:rPr>
        <w:t>à Dakhla et Laâyoune</w:t>
      </w:r>
      <w:r w:rsidRPr="00FA3118">
        <w:rPr>
          <w:rFonts w:ascii="Times New Roman" w:eastAsia="Times New Roman" w:hAnsi="Times New Roman" w:cs="Times New Roman"/>
          <w:sz w:val="24"/>
          <w:szCs w:val="24"/>
          <w:lang w:val="fr-BE"/>
        </w:rPr>
        <w:t>.</w:t>
      </w: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82406E" w:rsidRPr="00FA3118" w:rsidRDefault="0082406E" w:rsidP="0082406E">
      <w:pPr>
        <w:spacing w:after="0" w:line="240" w:lineRule="auto"/>
        <w:jc w:val="both"/>
        <w:rPr>
          <w:rFonts w:ascii="Times New Roman" w:eastAsia="Times New Roman" w:hAnsi="Times New Roman" w:cs="Times New Roman"/>
          <w:sz w:val="24"/>
          <w:szCs w:val="24"/>
          <w:lang w:val="fr-BE"/>
        </w:rPr>
      </w:pPr>
      <w:r w:rsidRPr="00FA3118">
        <w:rPr>
          <w:rFonts w:ascii="Times New Roman" w:eastAsia="Times New Roman" w:hAnsi="Times New Roman" w:cs="Times New Roman"/>
          <w:sz w:val="24"/>
          <w:szCs w:val="24"/>
          <w:lang w:val="fr-BE"/>
        </w:rPr>
        <w:t>L'Union</w:t>
      </w:r>
      <w:r>
        <w:rPr>
          <w:rFonts w:ascii="Times New Roman" w:eastAsia="Times New Roman" w:hAnsi="Times New Roman" w:cs="Times New Roman"/>
          <w:sz w:val="24"/>
          <w:szCs w:val="24"/>
          <w:lang w:val="fr-BE"/>
        </w:rPr>
        <w:t xml:space="preserve"> européenne</w:t>
      </w:r>
      <w:r w:rsidRPr="00FA3118">
        <w:rPr>
          <w:rFonts w:ascii="Times New Roman" w:eastAsia="Times New Roman" w:hAnsi="Times New Roman" w:cs="Times New Roman"/>
          <w:sz w:val="24"/>
          <w:szCs w:val="24"/>
          <w:lang w:val="fr-BE"/>
        </w:rPr>
        <w:t xml:space="preserve"> est aussi en contact régulier avec d'autres acteurs, </w:t>
      </w:r>
      <w:r>
        <w:rPr>
          <w:rFonts w:ascii="Times New Roman" w:eastAsia="Times New Roman" w:hAnsi="Times New Roman" w:cs="Times New Roman"/>
          <w:sz w:val="24"/>
          <w:szCs w:val="24"/>
          <w:lang w:val="fr-BE"/>
        </w:rPr>
        <w:t>notamment</w:t>
      </w:r>
      <w:r w:rsidRPr="00FA3118">
        <w:rPr>
          <w:rFonts w:ascii="Times New Roman" w:eastAsia="Times New Roman" w:hAnsi="Times New Roman" w:cs="Times New Roman"/>
          <w:sz w:val="24"/>
          <w:szCs w:val="24"/>
          <w:lang w:val="fr-BE"/>
        </w:rPr>
        <w:t xml:space="preserve"> les organisations internationales et les pays tiers qui </w:t>
      </w:r>
      <w:r>
        <w:rPr>
          <w:rFonts w:ascii="Times New Roman" w:eastAsia="Times New Roman" w:hAnsi="Times New Roman" w:cs="Times New Roman"/>
          <w:sz w:val="24"/>
          <w:szCs w:val="24"/>
          <w:lang w:val="fr-BE"/>
        </w:rPr>
        <w:t>se rendent</w:t>
      </w:r>
      <w:r w:rsidRPr="00FA3118">
        <w:rPr>
          <w:rFonts w:ascii="Times New Roman" w:eastAsia="Times New Roman" w:hAnsi="Times New Roman" w:cs="Times New Roman"/>
          <w:sz w:val="24"/>
          <w:szCs w:val="24"/>
          <w:lang w:val="fr-BE"/>
        </w:rPr>
        <w:t xml:space="preserve"> régulièrement </w:t>
      </w:r>
      <w:r>
        <w:rPr>
          <w:rFonts w:ascii="Times New Roman" w:eastAsia="Times New Roman" w:hAnsi="Times New Roman" w:cs="Times New Roman"/>
          <w:sz w:val="24"/>
          <w:szCs w:val="24"/>
          <w:lang w:val="fr-BE"/>
        </w:rPr>
        <w:t>au</w:t>
      </w:r>
      <w:r w:rsidRPr="00FA3118">
        <w:rPr>
          <w:rFonts w:ascii="Times New Roman" w:eastAsia="Times New Roman" w:hAnsi="Times New Roman" w:cs="Times New Roman"/>
          <w:sz w:val="24"/>
          <w:szCs w:val="24"/>
          <w:lang w:val="fr-BE"/>
        </w:rPr>
        <w:t xml:space="preserve"> Sahara occidental et fournissent des informations détaillées sur la situation. </w:t>
      </w:r>
      <w:r>
        <w:rPr>
          <w:rFonts w:ascii="Times New Roman" w:eastAsia="Times New Roman" w:hAnsi="Times New Roman" w:cs="Times New Roman"/>
          <w:sz w:val="24"/>
          <w:szCs w:val="24"/>
          <w:lang w:val="fr-BE"/>
        </w:rPr>
        <w:t>Pour sa part, l</w:t>
      </w:r>
      <w:r w:rsidRPr="00FA3118">
        <w:rPr>
          <w:rFonts w:ascii="Times New Roman" w:eastAsia="Times New Roman" w:hAnsi="Times New Roman" w:cs="Times New Roman"/>
          <w:sz w:val="24"/>
          <w:szCs w:val="24"/>
          <w:lang w:val="fr-BE"/>
        </w:rPr>
        <w:t>a Délégation de l</w:t>
      </w:r>
      <w:r w:rsidR="0054543F">
        <w:rPr>
          <w:rFonts w:ascii="Times New Roman" w:eastAsia="Times New Roman" w:hAnsi="Times New Roman" w:cs="Times New Roman"/>
          <w:sz w:val="24"/>
          <w:szCs w:val="24"/>
          <w:lang w:val="fr-BE"/>
        </w:rPr>
        <w:t>’</w:t>
      </w:r>
      <w:r w:rsidRPr="00FA3118">
        <w:rPr>
          <w:rFonts w:ascii="Times New Roman" w:eastAsia="Times New Roman" w:hAnsi="Times New Roman" w:cs="Times New Roman"/>
          <w:sz w:val="24"/>
          <w:szCs w:val="24"/>
          <w:lang w:val="fr-BE"/>
        </w:rPr>
        <w:t>Union européenne s'</w:t>
      </w:r>
      <w:r>
        <w:rPr>
          <w:rFonts w:ascii="Times New Roman" w:eastAsia="Times New Roman" w:hAnsi="Times New Roman" w:cs="Times New Roman"/>
          <w:sz w:val="24"/>
          <w:szCs w:val="24"/>
          <w:lang w:val="fr-BE"/>
        </w:rPr>
        <w:t>était</w:t>
      </w:r>
      <w:r w:rsidRPr="00FA3118">
        <w:rPr>
          <w:rFonts w:ascii="Times New Roman" w:eastAsia="Times New Roman" w:hAnsi="Times New Roman" w:cs="Times New Roman"/>
          <w:sz w:val="24"/>
          <w:szCs w:val="24"/>
          <w:lang w:val="fr-BE"/>
        </w:rPr>
        <w:t xml:space="preserve"> également rendue au Sahara occidental en 2015</w:t>
      </w:r>
      <w:r>
        <w:rPr>
          <w:rFonts w:ascii="Times New Roman" w:eastAsia="Times New Roman" w:hAnsi="Times New Roman" w:cs="Times New Roman"/>
          <w:sz w:val="24"/>
          <w:szCs w:val="24"/>
          <w:lang w:val="fr-BE"/>
        </w:rPr>
        <w:t>, antérieurement à la césure intervenue dans les relations bilatérales</w:t>
      </w:r>
      <w:r w:rsidRPr="00FA3118">
        <w:rPr>
          <w:rFonts w:ascii="Times New Roman" w:eastAsia="Times New Roman" w:hAnsi="Times New Roman" w:cs="Times New Roman"/>
          <w:sz w:val="24"/>
          <w:szCs w:val="24"/>
          <w:lang w:val="fr-BE"/>
        </w:rPr>
        <w:t>.</w:t>
      </w: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r w:rsidRPr="00FA3118">
        <w:rPr>
          <w:rFonts w:ascii="Times New Roman" w:eastAsia="Times New Roman" w:hAnsi="Times New Roman" w:cs="Times New Roman"/>
          <w:sz w:val="24"/>
          <w:szCs w:val="24"/>
          <w:lang w:val="fr-BE"/>
        </w:rPr>
        <w:t>Finalement, l'Union</w:t>
      </w:r>
      <w:r w:rsidR="006A40D3">
        <w:rPr>
          <w:rFonts w:ascii="Times New Roman" w:eastAsia="Times New Roman" w:hAnsi="Times New Roman" w:cs="Times New Roman"/>
          <w:sz w:val="24"/>
          <w:szCs w:val="24"/>
          <w:lang w:val="fr-BE"/>
        </w:rPr>
        <w:t xml:space="preserve"> européenne </w:t>
      </w:r>
      <w:r w:rsidRPr="00FA3118">
        <w:rPr>
          <w:rFonts w:ascii="Times New Roman" w:eastAsia="Times New Roman" w:hAnsi="Times New Roman" w:cs="Times New Roman"/>
          <w:sz w:val="24"/>
          <w:szCs w:val="24"/>
          <w:lang w:val="fr-BE"/>
        </w:rPr>
        <w:t xml:space="preserve">consulte les rapports des agences de l'ONU pour la protection des </w:t>
      </w:r>
      <w:r w:rsidR="006A40D3">
        <w:rPr>
          <w:rFonts w:ascii="Times New Roman" w:eastAsia="Times New Roman" w:hAnsi="Times New Roman" w:cs="Times New Roman"/>
          <w:sz w:val="24"/>
          <w:szCs w:val="24"/>
          <w:lang w:val="fr-BE"/>
        </w:rPr>
        <w:t>droits de l'</w:t>
      </w:r>
      <w:r w:rsidR="00E349EA">
        <w:rPr>
          <w:rFonts w:ascii="Times New Roman" w:eastAsia="Times New Roman" w:hAnsi="Times New Roman" w:cs="Times New Roman"/>
          <w:sz w:val="24"/>
          <w:szCs w:val="24"/>
          <w:lang w:val="fr-BE"/>
        </w:rPr>
        <w:t>h</w:t>
      </w:r>
      <w:r w:rsidRPr="00FA3118">
        <w:rPr>
          <w:rFonts w:ascii="Times New Roman" w:eastAsia="Times New Roman" w:hAnsi="Times New Roman" w:cs="Times New Roman"/>
          <w:sz w:val="24"/>
          <w:szCs w:val="24"/>
          <w:lang w:val="fr-BE"/>
        </w:rPr>
        <w:t>omme qui ont visité le Sahara Occidental, y compris le Haut-Commissaire des</w:t>
      </w:r>
      <w:r w:rsidR="006A40D3">
        <w:rPr>
          <w:rFonts w:ascii="Times New Roman" w:eastAsia="Times New Roman" w:hAnsi="Times New Roman" w:cs="Times New Roman"/>
          <w:sz w:val="24"/>
          <w:szCs w:val="24"/>
          <w:lang w:val="fr-BE"/>
        </w:rPr>
        <w:t xml:space="preserve"> Nations Unies aux droits de l'</w:t>
      </w:r>
      <w:r w:rsidR="00E349EA">
        <w:rPr>
          <w:rFonts w:ascii="Times New Roman" w:eastAsia="Times New Roman" w:hAnsi="Times New Roman" w:cs="Times New Roman"/>
          <w:sz w:val="24"/>
          <w:szCs w:val="24"/>
          <w:lang w:val="fr-BE"/>
        </w:rPr>
        <w:t>h</w:t>
      </w:r>
      <w:r w:rsidRPr="00FA3118">
        <w:rPr>
          <w:rFonts w:ascii="Times New Roman" w:eastAsia="Times New Roman" w:hAnsi="Times New Roman" w:cs="Times New Roman"/>
          <w:sz w:val="24"/>
          <w:szCs w:val="24"/>
          <w:lang w:val="fr-BE"/>
        </w:rPr>
        <w:t>omme et le Rapporteur spécial des Nations Unies sur la torture.</w:t>
      </w: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FA3118" w:rsidRPr="00FA3118" w:rsidRDefault="006A40D3" w:rsidP="00514E29">
      <w:pPr>
        <w:pStyle w:val="Heading2"/>
        <w:rPr>
          <w:rFonts w:eastAsia="Times New Roman"/>
          <w:lang w:val="fr-BE"/>
        </w:rPr>
      </w:pPr>
      <w:bookmarkStart w:id="14" w:name="_Toc514257464"/>
      <w:r>
        <w:rPr>
          <w:rFonts w:eastAsia="Times New Roman"/>
          <w:lang w:val="fr-BE"/>
        </w:rPr>
        <w:t xml:space="preserve">Conséquences </w:t>
      </w:r>
      <w:r w:rsidR="00FA3118" w:rsidRPr="00FA3118">
        <w:rPr>
          <w:rFonts w:eastAsia="Times New Roman"/>
          <w:lang w:val="fr-BE"/>
        </w:rPr>
        <w:t>de</w:t>
      </w:r>
      <w:r w:rsidR="008B3FF0">
        <w:rPr>
          <w:rFonts w:eastAsia="Times New Roman"/>
          <w:lang w:val="fr-BE"/>
        </w:rPr>
        <w:t xml:space="preserve"> </w:t>
      </w:r>
      <w:r w:rsidR="007C0B76">
        <w:rPr>
          <w:rFonts w:eastAsia="Times New Roman"/>
          <w:lang w:val="fr-BE"/>
        </w:rPr>
        <w:t>la modification</w:t>
      </w:r>
      <w:r w:rsidR="00F10CA6">
        <w:rPr>
          <w:rFonts w:eastAsia="Times New Roman"/>
          <w:lang w:val="fr-BE"/>
        </w:rPr>
        <w:t xml:space="preserve"> </w:t>
      </w:r>
      <w:r w:rsidR="00FA3118" w:rsidRPr="00FA3118">
        <w:rPr>
          <w:rFonts w:eastAsia="Times New Roman"/>
          <w:lang w:val="fr-BE"/>
        </w:rPr>
        <w:t>des protocoles n° 1 et n° 4 de l´</w:t>
      </w:r>
      <w:r w:rsidR="00A84BE0">
        <w:rPr>
          <w:rFonts w:eastAsia="Times New Roman"/>
          <w:lang w:val="fr-BE"/>
        </w:rPr>
        <w:t>a</w:t>
      </w:r>
      <w:r w:rsidR="00FA3118" w:rsidRPr="00FA3118">
        <w:rPr>
          <w:rFonts w:eastAsia="Times New Roman"/>
          <w:lang w:val="fr-BE"/>
        </w:rPr>
        <w:t>ccord d´</w:t>
      </w:r>
      <w:r w:rsidR="00A84BE0">
        <w:rPr>
          <w:rFonts w:eastAsia="Times New Roman"/>
          <w:lang w:val="fr-BE"/>
        </w:rPr>
        <w:t>a</w:t>
      </w:r>
      <w:r w:rsidR="00FA3118" w:rsidRPr="00FA3118">
        <w:rPr>
          <w:rFonts w:eastAsia="Times New Roman"/>
          <w:lang w:val="fr-BE"/>
        </w:rPr>
        <w:t xml:space="preserve">ssociation sur la situation des </w:t>
      </w:r>
      <w:r w:rsidR="00E349EA">
        <w:rPr>
          <w:rFonts w:eastAsia="Times New Roman"/>
          <w:lang w:val="fr-BE"/>
        </w:rPr>
        <w:t>d</w:t>
      </w:r>
      <w:r w:rsidR="00FA3118" w:rsidRPr="00FA3118">
        <w:rPr>
          <w:rFonts w:eastAsia="Times New Roman"/>
          <w:lang w:val="fr-BE"/>
        </w:rPr>
        <w:t>roits de l´</w:t>
      </w:r>
      <w:r w:rsidR="00E349EA">
        <w:rPr>
          <w:rFonts w:eastAsia="Times New Roman"/>
          <w:lang w:val="fr-BE"/>
        </w:rPr>
        <w:t>h</w:t>
      </w:r>
      <w:r w:rsidR="00FA3118" w:rsidRPr="00FA3118">
        <w:rPr>
          <w:rFonts w:eastAsia="Times New Roman"/>
          <w:lang w:val="fr-BE"/>
        </w:rPr>
        <w:t>omme au Sahara Occidental.</w:t>
      </w:r>
      <w:bookmarkEnd w:id="14"/>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F10CA6" w:rsidRPr="00F10CA6" w:rsidRDefault="00F10CA6" w:rsidP="00F10CA6">
      <w:pPr>
        <w:spacing w:after="0" w:line="240" w:lineRule="auto"/>
        <w:jc w:val="both"/>
        <w:rPr>
          <w:rFonts w:ascii="Times New Roman" w:eastAsia="Times New Roman" w:hAnsi="Times New Roman" w:cs="Times New Roman"/>
          <w:sz w:val="24"/>
          <w:szCs w:val="24"/>
          <w:lang w:val="fr-BE"/>
        </w:rPr>
      </w:pPr>
      <w:r w:rsidRPr="00F10CA6">
        <w:rPr>
          <w:rFonts w:ascii="Times New Roman" w:eastAsia="Times New Roman" w:hAnsi="Times New Roman" w:cs="Times New Roman"/>
          <w:sz w:val="24"/>
          <w:szCs w:val="24"/>
          <w:lang w:val="fr-BE"/>
        </w:rPr>
        <w:t>Le développement économique qu'induit l</w:t>
      </w:r>
      <w:r w:rsidR="007C0B76">
        <w:rPr>
          <w:rFonts w:ascii="Times New Roman" w:eastAsia="Times New Roman" w:hAnsi="Times New Roman" w:cs="Times New Roman"/>
          <w:sz w:val="24"/>
          <w:szCs w:val="24"/>
          <w:lang w:val="fr-BE"/>
        </w:rPr>
        <w:t>a modification</w:t>
      </w:r>
      <w:r w:rsidRPr="00F10CA6">
        <w:rPr>
          <w:rFonts w:ascii="Times New Roman" w:eastAsia="Times New Roman" w:hAnsi="Times New Roman" w:cs="Times New Roman"/>
          <w:sz w:val="24"/>
          <w:szCs w:val="24"/>
          <w:lang w:val="fr-BE"/>
        </w:rPr>
        <w:t xml:space="preserve"> des protocoles n° 1 et n° 4 de l´</w:t>
      </w:r>
      <w:r w:rsidR="00A84BE0">
        <w:rPr>
          <w:rFonts w:ascii="Times New Roman" w:eastAsia="Times New Roman" w:hAnsi="Times New Roman" w:cs="Times New Roman"/>
          <w:sz w:val="24"/>
          <w:szCs w:val="24"/>
          <w:lang w:val="fr-BE"/>
        </w:rPr>
        <w:t>a</w:t>
      </w:r>
      <w:r w:rsidRPr="00F10CA6">
        <w:rPr>
          <w:rFonts w:ascii="Times New Roman" w:eastAsia="Times New Roman" w:hAnsi="Times New Roman" w:cs="Times New Roman"/>
          <w:sz w:val="24"/>
          <w:szCs w:val="24"/>
          <w:lang w:val="fr-BE"/>
        </w:rPr>
        <w:t>ccord d´</w:t>
      </w:r>
      <w:r w:rsidR="00A84BE0">
        <w:rPr>
          <w:rFonts w:ascii="Times New Roman" w:eastAsia="Times New Roman" w:hAnsi="Times New Roman" w:cs="Times New Roman"/>
          <w:sz w:val="24"/>
          <w:szCs w:val="24"/>
          <w:lang w:val="fr-BE"/>
        </w:rPr>
        <w:t>a</w:t>
      </w:r>
      <w:r w:rsidRPr="00F10CA6">
        <w:rPr>
          <w:rFonts w:ascii="Times New Roman" w:eastAsia="Times New Roman" w:hAnsi="Times New Roman" w:cs="Times New Roman"/>
          <w:sz w:val="24"/>
          <w:szCs w:val="24"/>
          <w:lang w:val="fr-BE"/>
        </w:rPr>
        <w:t xml:space="preserve">ssociation entre l'Union et le Maroc, en permettant notamment un meilleur accès au marché européen et la promotion des investissements étrangers au Sahara occidental, ne devrait pouvoir que favoriser le développement des droits socio-économiques comme l'accès à l´emploi ou aux prestations sociales. Dans une perspective de plus long terme, l'ouverture sur le monde extérieur et la multiplication des échanges, commerciaux et autres, qui accompagneront la modification devraient être porteurs d'une évolution socio-économique </w:t>
      </w:r>
      <w:r w:rsidR="00BE4603">
        <w:rPr>
          <w:rFonts w:ascii="Times New Roman" w:eastAsia="Times New Roman" w:hAnsi="Times New Roman" w:cs="Times New Roman"/>
          <w:sz w:val="24"/>
          <w:szCs w:val="24"/>
          <w:lang w:val="fr-BE"/>
        </w:rPr>
        <w:t xml:space="preserve">et </w:t>
      </w:r>
      <w:r w:rsidR="00BE4603" w:rsidRPr="00FA3118">
        <w:rPr>
          <w:rFonts w:ascii="Times New Roman" w:eastAsia="Times New Roman" w:hAnsi="Times New Roman" w:cs="Times New Roman"/>
          <w:sz w:val="24"/>
          <w:szCs w:val="24"/>
          <w:lang w:val="fr-BE"/>
        </w:rPr>
        <w:t xml:space="preserve">culturelle </w:t>
      </w:r>
      <w:r w:rsidR="00BE4603">
        <w:rPr>
          <w:rFonts w:ascii="Times New Roman" w:eastAsia="Times New Roman" w:hAnsi="Times New Roman" w:cs="Times New Roman"/>
          <w:sz w:val="24"/>
          <w:szCs w:val="24"/>
          <w:lang w:val="fr-BE"/>
        </w:rPr>
        <w:t>propre à</w:t>
      </w:r>
      <w:r w:rsidR="00BE4603" w:rsidRPr="00FA3118">
        <w:rPr>
          <w:rFonts w:ascii="Times New Roman" w:eastAsia="Times New Roman" w:hAnsi="Times New Roman" w:cs="Times New Roman"/>
          <w:sz w:val="24"/>
          <w:szCs w:val="24"/>
          <w:lang w:val="fr-BE"/>
        </w:rPr>
        <w:t xml:space="preserve"> contribuer à l'élargissement et la consolidation de la classe moyenne </w:t>
      </w:r>
      <w:r w:rsidR="00BE4603">
        <w:rPr>
          <w:rFonts w:ascii="Times New Roman" w:eastAsia="Times New Roman" w:hAnsi="Times New Roman" w:cs="Times New Roman"/>
          <w:sz w:val="24"/>
          <w:szCs w:val="24"/>
          <w:lang w:val="fr-BE"/>
        </w:rPr>
        <w:t>ainsi qu'à une meilleure circulation</w:t>
      </w:r>
      <w:r w:rsidR="00BE4603" w:rsidRPr="00FA3118">
        <w:rPr>
          <w:rFonts w:ascii="Times New Roman" w:eastAsia="Times New Roman" w:hAnsi="Times New Roman" w:cs="Times New Roman"/>
          <w:sz w:val="24"/>
          <w:szCs w:val="24"/>
          <w:lang w:val="fr-BE"/>
        </w:rPr>
        <w:t xml:space="preserve"> des élites. L'impulsion donnée à l'activité privée et à la liberté d'entreprendre pourrait </w:t>
      </w:r>
      <w:r w:rsidR="00BE4603">
        <w:rPr>
          <w:rFonts w:ascii="Times New Roman" w:eastAsia="Times New Roman" w:hAnsi="Times New Roman" w:cs="Times New Roman"/>
          <w:sz w:val="24"/>
          <w:szCs w:val="24"/>
          <w:lang w:val="fr-BE"/>
        </w:rPr>
        <w:t>être de nature à atténuer</w:t>
      </w:r>
      <w:r w:rsidR="00BE4603" w:rsidRPr="00FA3118">
        <w:rPr>
          <w:rFonts w:ascii="Times New Roman" w:eastAsia="Times New Roman" w:hAnsi="Times New Roman" w:cs="Times New Roman"/>
          <w:sz w:val="24"/>
          <w:szCs w:val="24"/>
          <w:lang w:val="fr-BE"/>
        </w:rPr>
        <w:t xml:space="preserve"> la logique de dépendance </w:t>
      </w:r>
      <w:r w:rsidRPr="00F10CA6">
        <w:rPr>
          <w:rFonts w:ascii="Times New Roman" w:eastAsia="Times New Roman" w:hAnsi="Times New Roman" w:cs="Times New Roman"/>
          <w:sz w:val="24"/>
          <w:szCs w:val="24"/>
          <w:lang w:val="fr-BE"/>
        </w:rPr>
        <w:t>vis-à-vis du pouvoir central qui risque à long terme d'hypothéquer le développement socio-politique du territoire.</w:t>
      </w:r>
    </w:p>
    <w:p w:rsidR="00FA3118" w:rsidRPr="00FA3118" w:rsidRDefault="00FA3118" w:rsidP="00FA3118">
      <w:pPr>
        <w:spacing w:after="0" w:line="240" w:lineRule="auto"/>
        <w:jc w:val="both"/>
        <w:rPr>
          <w:rFonts w:ascii="Times New Roman" w:eastAsia="Times New Roman" w:hAnsi="Times New Roman" w:cs="Times New Roman"/>
          <w:sz w:val="24"/>
          <w:szCs w:val="24"/>
          <w:lang w:val="fr-BE"/>
        </w:rPr>
      </w:pPr>
    </w:p>
    <w:p w:rsidR="00BE4603" w:rsidRDefault="00BE4603" w:rsidP="00BE4603">
      <w:pPr>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Alors que la temporisation intervenue</w:t>
      </w:r>
      <w:r w:rsidRPr="00FA3118">
        <w:rPr>
          <w:rFonts w:ascii="Times New Roman" w:eastAsia="Times New Roman" w:hAnsi="Times New Roman" w:cs="Times New Roman"/>
          <w:sz w:val="24"/>
          <w:szCs w:val="24"/>
          <w:lang w:val="fr-BE"/>
        </w:rPr>
        <w:t xml:space="preserve"> dans </w:t>
      </w:r>
      <w:r w:rsidR="004E2E61">
        <w:rPr>
          <w:rFonts w:ascii="Times New Roman" w:eastAsia="Times New Roman" w:hAnsi="Times New Roman" w:cs="Times New Roman"/>
          <w:sz w:val="24"/>
          <w:szCs w:val="24"/>
          <w:lang w:val="fr-BE"/>
        </w:rPr>
        <w:t>les</w:t>
      </w:r>
      <w:r w:rsidRPr="00FA3118">
        <w:rPr>
          <w:rFonts w:ascii="Times New Roman" w:eastAsia="Times New Roman" w:hAnsi="Times New Roman" w:cs="Times New Roman"/>
          <w:sz w:val="24"/>
          <w:szCs w:val="24"/>
          <w:lang w:val="fr-BE"/>
        </w:rPr>
        <w:t xml:space="preserve"> relations bilatérales </w:t>
      </w:r>
      <w:r w:rsidR="00D84186">
        <w:rPr>
          <w:rFonts w:ascii="Times New Roman" w:eastAsia="Times New Roman" w:hAnsi="Times New Roman" w:cs="Times New Roman"/>
          <w:sz w:val="24"/>
          <w:szCs w:val="24"/>
          <w:lang w:val="fr-BE"/>
        </w:rPr>
        <w:t xml:space="preserve">entre l’Union européenne et le Maroc </w:t>
      </w:r>
      <w:r w:rsidRPr="00FA3118">
        <w:rPr>
          <w:rFonts w:ascii="Times New Roman" w:eastAsia="Times New Roman" w:hAnsi="Times New Roman" w:cs="Times New Roman"/>
          <w:sz w:val="24"/>
          <w:szCs w:val="24"/>
          <w:lang w:val="fr-BE"/>
        </w:rPr>
        <w:t xml:space="preserve">depuis l´arrêt du Tribunal du 10 décembre 2015 (affaire T-512/12) </w:t>
      </w:r>
      <w:r>
        <w:rPr>
          <w:rFonts w:ascii="Times New Roman" w:eastAsia="Times New Roman" w:hAnsi="Times New Roman" w:cs="Times New Roman"/>
          <w:sz w:val="24"/>
          <w:szCs w:val="24"/>
          <w:lang w:val="fr-BE"/>
        </w:rPr>
        <w:t>avait</w:t>
      </w:r>
      <w:r w:rsidRPr="00FA3118">
        <w:rPr>
          <w:rFonts w:ascii="Times New Roman" w:eastAsia="Times New Roman" w:hAnsi="Times New Roman" w:cs="Times New Roman"/>
          <w:sz w:val="24"/>
          <w:szCs w:val="24"/>
          <w:lang w:val="fr-BE"/>
        </w:rPr>
        <w:t xml:space="preserve"> rendu plus difficile la tenue </w:t>
      </w:r>
      <w:r>
        <w:rPr>
          <w:rFonts w:ascii="Times New Roman" w:eastAsia="Times New Roman" w:hAnsi="Times New Roman" w:cs="Times New Roman"/>
          <w:sz w:val="24"/>
          <w:szCs w:val="24"/>
          <w:lang w:val="fr-BE"/>
        </w:rPr>
        <w:t xml:space="preserve">régulière </w:t>
      </w:r>
      <w:r w:rsidRPr="00FA3118">
        <w:rPr>
          <w:rFonts w:ascii="Times New Roman" w:eastAsia="Times New Roman" w:hAnsi="Times New Roman" w:cs="Times New Roman"/>
          <w:sz w:val="24"/>
          <w:szCs w:val="24"/>
          <w:lang w:val="fr-BE"/>
        </w:rPr>
        <w:t>des dialog</w:t>
      </w:r>
      <w:r>
        <w:rPr>
          <w:rFonts w:ascii="Times New Roman" w:eastAsia="Times New Roman" w:hAnsi="Times New Roman" w:cs="Times New Roman"/>
          <w:sz w:val="24"/>
          <w:szCs w:val="24"/>
          <w:lang w:val="fr-BE"/>
        </w:rPr>
        <w:t>ues concernant les droits de l´</w:t>
      </w:r>
      <w:r w:rsidR="00E349EA">
        <w:rPr>
          <w:rFonts w:ascii="Times New Roman" w:eastAsia="Times New Roman" w:hAnsi="Times New Roman" w:cs="Times New Roman"/>
          <w:sz w:val="24"/>
          <w:szCs w:val="24"/>
          <w:lang w:val="fr-BE"/>
        </w:rPr>
        <w:t>h</w:t>
      </w:r>
      <w:r w:rsidRPr="00FA3118">
        <w:rPr>
          <w:rFonts w:ascii="Times New Roman" w:eastAsia="Times New Roman" w:hAnsi="Times New Roman" w:cs="Times New Roman"/>
          <w:sz w:val="24"/>
          <w:szCs w:val="24"/>
          <w:lang w:val="fr-BE"/>
        </w:rPr>
        <w:t>omme, l</w:t>
      </w:r>
      <w:r>
        <w:rPr>
          <w:rFonts w:ascii="Times New Roman" w:eastAsia="Times New Roman" w:hAnsi="Times New Roman" w:cs="Times New Roman"/>
          <w:sz w:val="24"/>
          <w:szCs w:val="24"/>
          <w:lang w:val="fr-BE"/>
        </w:rPr>
        <w:t xml:space="preserve">'esprit de concertation renforcée qui a présidé à la normalisation des rapports contractuels </w:t>
      </w:r>
      <w:r w:rsidR="00BF4353">
        <w:rPr>
          <w:rFonts w:ascii="Times New Roman" w:eastAsia="Times New Roman" w:hAnsi="Times New Roman" w:cs="Times New Roman"/>
          <w:sz w:val="24"/>
          <w:szCs w:val="24"/>
          <w:lang w:val="fr-BE"/>
        </w:rPr>
        <w:t>entre l’</w:t>
      </w:r>
      <w:r>
        <w:rPr>
          <w:rFonts w:ascii="Times New Roman" w:eastAsia="Times New Roman" w:hAnsi="Times New Roman" w:cs="Times New Roman"/>
          <w:sz w:val="24"/>
          <w:szCs w:val="24"/>
          <w:lang w:val="fr-BE"/>
        </w:rPr>
        <w:t>U</w:t>
      </w:r>
      <w:r w:rsidR="00BF4353">
        <w:rPr>
          <w:rFonts w:ascii="Times New Roman" w:eastAsia="Times New Roman" w:hAnsi="Times New Roman" w:cs="Times New Roman"/>
          <w:sz w:val="24"/>
          <w:szCs w:val="24"/>
          <w:lang w:val="fr-BE"/>
        </w:rPr>
        <w:t xml:space="preserve">nion </w:t>
      </w:r>
      <w:r w:rsidR="00BF4353" w:rsidRPr="008C2411">
        <w:rPr>
          <w:rFonts w:ascii="Times New Roman" w:eastAsia="Times New Roman" w:hAnsi="Times New Roman" w:cs="Times New Roman"/>
          <w:sz w:val="24"/>
          <w:szCs w:val="24"/>
          <w:lang w:val="fr-BE"/>
        </w:rPr>
        <w:t xml:space="preserve">européenne et le </w:t>
      </w:r>
      <w:r w:rsidRPr="008C2411">
        <w:rPr>
          <w:rFonts w:ascii="Times New Roman" w:eastAsia="Times New Roman" w:hAnsi="Times New Roman" w:cs="Times New Roman"/>
          <w:sz w:val="24"/>
          <w:szCs w:val="24"/>
          <w:lang w:val="fr-BE"/>
        </w:rPr>
        <w:t>Maroc contribuera à la relance de ce dialogue d</w:t>
      </w:r>
      <w:r w:rsidR="00C41486" w:rsidRPr="008C2411">
        <w:rPr>
          <w:rFonts w:ascii="Times New Roman" w:eastAsia="Times New Roman" w:hAnsi="Times New Roman" w:cs="Times New Roman"/>
          <w:sz w:val="24"/>
          <w:szCs w:val="24"/>
          <w:lang w:val="fr-BE"/>
        </w:rPr>
        <w:t>’</w:t>
      </w:r>
      <w:r w:rsidRPr="008C2411">
        <w:rPr>
          <w:rFonts w:ascii="Times New Roman" w:eastAsia="Times New Roman" w:hAnsi="Times New Roman" w:cs="Times New Roman"/>
          <w:sz w:val="24"/>
          <w:szCs w:val="24"/>
          <w:lang w:val="fr-BE"/>
        </w:rPr>
        <w:t>une façon régulière. À cet égard,  le cadre de référence dans lequel s'inscrit la modification des protocoles (l</w:t>
      </w:r>
      <w:r w:rsidR="00D84186" w:rsidRPr="008C2411">
        <w:rPr>
          <w:rFonts w:ascii="Times New Roman" w:eastAsia="Times New Roman" w:hAnsi="Times New Roman" w:cs="Times New Roman"/>
          <w:sz w:val="24"/>
          <w:szCs w:val="24"/>
          <w:lang w:val="fr-BE"/>
        </w:rPr>
        <w:t>’</w:t>
      </w:r>
      <w:r w:rsidRPr="008C2411">
        <w:rPr>
          <w:rFonts w:ascii="Times New Roman" w:eastAsia="Times New Roman" w:hAnsi="Times New Roman" w:cs="Times New Roman"/>
          <w:sz w:val="24"/>
          <w:szCs w:val="24"/>
          <w:lang w:val="fr-BE"/>
        </w:rPr>
        <w:t>article 2 de l</w:t>
      </w:r>
      <w:r w:rsidR="00D84186" w:rsidRPr="008C2411">
        <w:rPr>
          <w:rFonts w:ascii="Times New Roman" w:eastAsia="Times New Roman" w:hAnsi="Times New Roman" w:cs="Times New Roman"/>
          <w:sz w:val="24"/>
          <w:szCs w:val="24"/>
          <w:lang w:val="fr-BE"/>
        </w:rPr>
        <w:t>’</w:t>
      </w:r>
      <w:r w:rsidRPr="008C2411">
        <w:rPr>
          <w:rFonts w:ascii="Times New Roman" w:eastAsia="Times New Roman" w:hAnsi="Times New Roman" w:cs="Times New Roman"/>
          <w:sz w:val="24"/>
          <w:szCs w:val="24"/>
          <w:lang w:val="fr-BE"/>
        </w:rPr>
        <w:t>accord d</w:t>
      </w:r>
      <w:r w:rsidR="00D84186" w:rsidRPr="008C2411">
        <w:rPr>
          <w:rFonts w:ascii="Times New Roman" w:eastAsia="Times New Roman" w:hAnsi="Times New Roman" w:cs="Times New Roman"/>
          <w:sz w:val="24"/>
          <w:szCs w:val="24"/>
          <w:lang w:val="fr-BE"/>
        </w:rPr>
        <w:t>’</w:t>
      </w:r>
      <w:r w:rsidRPr="008C2411">
        <w:rPr>
          <w:rFonts w:ascii="Times New Roman" w:eastAsia="Times New Roman" w:hAnsi="Times New Roman" w:cs="Times New Roman"/>
          <w:sz w:val="24"/>
          <w:szCs w:val="24"/>
          <w:lang w:val="fr-BE"/>
        </w:rPr>
        <w:t>association qui garantit le respect des principes démocratiques et des droits fondamentaux) ne peut que renforcer le suivi du respect des droits de l</w:t>
      </w:r>
      <w:r w:rsidR="00D84186" w:rsidRPr="008C2411">
        <w:rPr>
          <w:rFonts w:ascii="Times New Roman" w:eastAsia="Times New Roman" w:hAnsi="Times New Roman" w:cs="Times New Roman"/>
          <w:sz w:val="24"/>
          <w:szCs w:val="24"/>
          <w:lang w:val="fr-BE"/>
        </w:rPr>
        <w:t>’</w:t>
      </w:r>
      <w:r w:rsidR="00E349EA" w:rsidRPr="008C2411">
        <w:rPr>
          <w:rFonts w:ascii="Times New Roman" w:eastAsia="Times New Roman" w:hAnsi="Times New Roman" w:cs="Times New Roman"/>
          <w:sz w:val="24"/>
          <w:szCs w:val="24"/>
          <w:lang w:val="fr-BE"/>
        </w:rPr>
        <w:t>h</w:t>
      </w:r>
      <w:r w:rsidRPr="008C2411">
        <w:rPr>
          <w:rFonts w:ascii="Times New Roman" w:eastAsia="Times New Roman" w:hAnsi="Times New Roman" w:cs="Times New Roman"/>
          <w:sz w:val="24"/>
          <w:szCs w:val="24"/>
          <w:lang w:val="fr-BE"/>
        </w:rPr>
        <w:t>omme au Sahara occidental, notamment dans leurs aspects socio-économiques. En outre, la mise en œuvre dans le cadre</w:t>
      </w:r>
      <w:r w:rsidRPr="00FA3118">
        <w:rPr>
          <w:rFonts w:ascii="Times New Roman" w:eastAsia="Times New Roman" w:hAnsi="Times New Roman" w:cs="Times New Roman"/>
          <w:sz w:val="24"/>
          <w:szCs w:val="24"/>
          <w:lang w:val="fr-BE"/>
        </w:rPr>
        <w:t xml:space="preserve"> de l</w:t>
      </w:r>
      <w:r>
        <w:rPr>
          <w:rFonts w:ascii="Times New Roman" w:eastAsia="Times New Roman" w:hAnsi="Times New Roman" w:cs="Times New Roman"/>
          <w:sz w:val="24"/>
          <w:szCs w:val="24"/>
          <w:lang w:val="fr-BE"/>
        </w:rPr>
        <w:t>a modification</w:t>
      </w:r>
      <w:r w:rsidRPr="00FA3118">
        <w:rPr>
          <w:rFonts w:ascii="Times New Roman" w:eastAsia="Times New Roman" w:hAnsi="Times New Roman" w:cs="Times New Roman"/>
          <w:sz w:val="24"/>
          <w:szCs w:val="24"/>
          <w:lang w:val="fr-BE"/>
        </w:rPr>
        <w:t xml:space="preserve"> </w:t>
      </w:r>
      <w:r w:rsidR="00D84186">
        <w:rPr>
          <w:rFonts w:ascii="Times New Roman" w:eastAsia="Times New Roman" w:hAnsi="Times New Roman" w:cs="Times New Roman"/>
          <w:sz w:val="24"/>
          <w:szCs w:val="24"/>
          <w:lang w:val="fr-BE"/>
        </w:rPr>
        <w:t xml:space="preserve">de l’accord </w:t>
      </w:r>
      <w:r w:rsidRPr="00FA3118">
        <w:rPr>
          <w:rFonts w:ascii="Times New Roman" w:eastAsia="Times New Roman" w:hAnsi="Times New Roman" w:cs="Times New Roman"/>
          <w:sz w:val="24"/>
          <w:szCs w:val="24"/>
          <w:lang w:val="fr-BE"/>
        </w:rPr>
        <w:t>d'un mécanisme d'échange d'information régulier concernant l'exploitation durable des ressources naturelles sera de nature à favoriser une répartition socialement plus équitable des dividendes du développement. Sur cette base, des projets de coopération spécifiques destinés aux segments de la population bénéficiant le moins de l</w:t>
      </w:r>
      <w:r>
        <w:rPr>
          <w:rFonts w:ascii="Times New Roman" w:eastAsia="Times New Roman" w:hAnsi="Times New Roman" w:cs="Times New Roman"/>
          <w:sz w:val="24"/>
          <w:szCs w:val="24"/>
          <w:lang w:val="fr-BE"/>
        </w:rPr>
        <w:t xml:space="preserve">a </w:t>
      </w:r>
      <w:r w:rsidR="00D84186">
        <w:rPr>
          <w:rFonts w:ascii="Times New Roman" w:eastAsia="Times New Roman" w:hAnsi="Times New Roman" w:cs="Times New Roman"/>
          <w:sz w:val="24"/>
          <w:szCs w:val="24"/>
          <w:lang w:val="fr-BE"/>
        </w:rPr>
        <w:t xml:space="preserve">modification de l’accord </w:t>
      </w:r>
      <w:r w:rsidRPr="00FA3118">
        <w:rPr>
          <w:rFonts w:ascii="Times New Roman" w:eastAsia="Times New Roman" w:hAnsi="Times New Roman" w:cs="Times New Roman"/>
          <w:sz w:val="24"/>
          <w:szCs w:val="24"/>
          <w:lang w:val="fr-BE"/>
        </w:rPr>
        <w:t>(par exemple les populations nomades) pourront être plus facilement identifiés.</w:t>
      </w:r>
    </w:p>
    <w:p w:rsidR="00F6556A" w:rsidRDefault="00F6556A" w:rsidP="00BE4603">
      <w:pPr>
        <w:spacing w:after="0" w:line="240" w:lineRule="auto"/>
        <w:jc w:val="both"/>
        <w:rPr>
          <w:rFonts w:ascii="Times New Roman" w:eastAsia="Times New Roman" w:hAnsi="Times New Roman" w:cs="Times New Roman"/>
          <w:sz w:val="24"/>
          <w:szCs w:val="24"/>
          <w:lang w:val="fr-BE"/>
        </w:rPr>
      </w:pPr>
    </w:p>
    <w:p w:rsidR="00FA3118" w:rsidRDefault="00F6556A" w:rsidP="002060D5">
      <w:pPr>
        <w:widowControl w:val="0"/>
        <w:spacing w:after="0" w:line="240" w:lineRule="auto"/>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De manière générale, </w:t>
      </w:r>
      <w:r w:rsidR="004C3A5C">
        <w:rPr>
          <w:rFonts w:ascii="Times New Roman" w:eastAsia="Times New Roman" w:hAnsi="Times New Roman" w:cs="Times New Roman"/>
          <w:sz w:val="24"/>
          <w:szCs w:val="24"/>
          <w:lang w:val="fr-BE"/>
        </w:rPr>
        <w:t>e</w:t>
      </w:r>
      <w:r w:rsidRPr="00F6556A">
        <w:rPr>
          <w:rFonts w:ascii="Times New Roman" w:eastAsia="Calibri" w:hAnsi="Times New Roman" w:cs="Times New Roman"/>
          <w:sz w:val="24"/>
          <w:lang w:val="fr-BE" w:eastAsia="fr-FR"/>
        </w:rPr>
        <w:t>n ce qui concerne l'impact attendu d'une extension des préférences tarifaires aux produits du Sahara occidental sur la situation des droits de l'</w:t>
      </w:r>
      <w:r w:rsidR="004C3A5C">
        <w:rPr>
          <w:rFonts w:ascii="Times New Roman" w:eastAsia="Calibri" w:hAnsi="Times New Roman" w:cs="Times New Roman"/>
          <w:sz w:val="24"/>
          <w:lang w:val="fr-BE" w:eastAsia="fr-FR"/>
        </w:rPr>
        <w:t>h</w:t>
      </w:r>
      <w:r w:rsidRPr="00F6556A">
        <w:rPr>
          <w:rFonts w:ascii="Times New Roman" w:eastAsia="Calibri" w:hAnsi="Times New Roman" w:cs="Times New Roman"/>
          <w:sz w:val="24"/>
          <w:lang w:val="fr-BE" w:eastAsia="fr-FR"/>
        </w:rPr>
        <w:t>omme dans ce territoire, il convient de raisonner par analogie avec l'effet de l'accord d'</w:t>
      </w:r>
      <w:r w:rsidR="004C3A5C">
        <w:rPr>
          <w:rFonts w:ascii="Times New Roman" w:eastAsia="Calibri" w:hAnsi="Times New Roman" w:cs="Times New Roman"/>
          <w:sz w:val="24"/>
          <w:lang w:val="fr-BE" w:eastAsia="fr-FR"/>
        </w:rPr>
        <w:t>a</w:t>
      </w:r>
      <w:r w:rsidRPr="00F6556A">
        <w:rPr>
          <w:rFonts w:ascii="Times New Roman" w:eastAsia="Calibri" w:hAnsi="Times New Roman" w:cs="Times New Roman"/>
          <w:sz w:val="24"/>
          <w:lang w:val="fr-BE" w:eastAsia="fr-FR"/>
        </w:rPr>
        <w:t>ssociation UE-Maroc sur la situation des droits de l'</w:t>
      </w:r>
      <w:r w:rsidR="004C3A5C">
        <w:rPr>
          <w:rFonts w:ascii="Times New Roman" w:eastAsia="Calibri" w:hAnsi="Times New Roman" w:cs="Times New Roman"/>
          <w:sz w:val="24"/>
          <w:lang w:val="fr-BE" w:eastAsia="fr-FR"/>
        </w:rPr>
        <w:t>h</w:t>
      </w:r>
      <w:r w:rsidRPr="00F6556A">
        <w:rPr>
          <w:rFonts w:ascii="Times New Roman" w:eastAsia="Calibri" w:hAnsi="Times New Roman" w:cs="Times New Roman"/>
          <w:sz w:val="24"/>
          <w:lang w:val="fr-BE" w:eastAsia="fr-FR"/>
        </w:rPr>
        <w:t>omme au Maroc. Dans la mesure où l'accord encourage une convergence réglementaire vers les normes de l'U</w:t>
      </w:r>
      <w:r w:rsidR="004C3A5C">
        <w:rPr>
          <w:rFonts w:ascii="Times New Roman" w:eastAsia="Calibri" w:hAnsi="Times New Roman" w:cs="Times New Roman"/>
          <w:sz w:val="24"/>
          <w:lang w:val="fr-BE" w:eastAsia="fr-FR"/>
        </w:rPr>
        <w:t>nion européenne</w:t>
      </w:r>
      <w:r w:rsidRPr="00F6556A">
        <w:rPr>
          <w:rFonts w:ascii="Times New Roman" w:eastAsia="Calibri" w:hAnsi="Times New Roman" w:cs="Times New Roman"/>
          <w:sz w:val="24"/>
          <w:lang w:val="fr-BE" w:eastAsia="fr-FR"/>
        </w:rPr>
        <w:t xml:space="preserve"> dans divers domaines, l'on constate un effet indirect positif, en ce qui concerne </w:t>
      </w:r>
      <w:r w:rsidR="004C3A5C">
        <w:rPr>
          <w:rFonts w:ascii="Times New Roman" w:eastAsia="Calibri" w:hAnsi="Times New Roman" w:cs="Times New Roman"/>
          <w:sz w:val="24"/>
          <w:lang w:val="fr-BE" w:eastAsia="fr-FR"/>
        </w:rPr>
        <w:t xml:space="preserve">notamment </w:t>
      </w:r>
      <w:r w:rsidRPr="00F6556A">
        <w:rPr>
          <w:rFonts w:ascii="Times New Roman" w:eastAsia="Calibri" w:hAnsi="Times New Roman" w:cs="Times New Roman"/>
          <w:sz w:val="24"/>
          <w:lang w:val="fr-BE" w:eastAsia="fr-FR"/>
        </w:rPr>
        <w:t>les conditions de travail (par exemple les mesures de sécurité), la législation du travail (par exemple la protection de l'enfance), les mesures phytosanitaires</w:t>
      </w:r>
      <w:r w:rsidR="004C3A5C">
        <w:rPr>
          <w:rFonts w:ascii="Times New Roman" w:eastAsia="Calibri" w:hAnsi="Times New Roman" w:cs="Times New Roman"/>
          <w:sz w:val="24"/>
          <w:lang w:val="fr-BE" w:eastAsia="fr-FR"/>
        </w:rPr>
        <w:t xml:space="preserve"> ou encore</w:t>
      </w:r>
      <w:r w:rsidRPr="00F6556A">
        <w:rPr>
          <w:rFonts w:ascii="Times New Roman" w:eastAsia="Calibri" w:hAnsi="Times New Roman" w:cs="Times New Roman"/>
          <w:sz w:val="24"/>
          <w:lang w:val="fr-BE" w:eastAsia="fr-FR"/>
        </w:rPr>
        <w:t xml:space="preserve"> la protection des consommateurs.</w:t>
      </w:r>
    </w:p>
    <w:p w:rsidR="00FA3118" w:rsidRDefault="00FA3118" w:rsidP="00FC36AF">
      <w:pPr>
        <w:spacing w:after="0" w:line="240" w:lineRule="auto"/>
        <w:jc w:val="both"/>
        <w:rPr>
          <w:rFonts w:ascii="Times New Roman" w:eastAsia="Times New Roman" w:hAnsi="Times New Roman" w:cs="Times New Roman"/>
          <w:sz w:val="24"/>
          <w:szCs w:val="24"/>
          <w:lang w:val="fr-BE"/>
        </w:rPr>
      </w:pPr>
    </w:p>
    <w:p w:rsidR="009F2925" w:rsidRDefault="008B3FF0" w:rsidP="00FC36AF">
      <w:pPr>
        <w:pStyle w:val="Heading1"/>
        <w:rPr>
          <w:rFonts w:eastAsia="Calibri"/>
        </w:rPr>
      </w:pPr>
      <w:bookmarkStart w:id="15" w:name="_Toc514257465"/>
      <w:r>
        <w:rPr>
          <w:rFonts w:eastAsia="Calibri"/>
        </w:rPr>
        <w:t>L’ECONOMIE DU SAHARA OCCIDENTAL</w:t>
      </w:r>
      <w:r w:rsidR="00514E29">
        <w:rPr>
          <w:rFonts w:eastAsia="Calibri"/>
        </w:rPr>
        <w:t xml:space="preserve"> – BENEFICES ECONOMIQUES POUR LES POPULATIONS CONCERNEES</w:t>
      </w:r>
      <w:bookmarkEnd w:id="15"/>
      <w:r w:rsidR="00FC36AF">
        <w:rPr>
          <w:rFonts w:eastAsia="Calibri"/>
        </w:rPr>
        <w:t xml:space="preserve"> </w:t>
      </w:r>
    </w:p>
    <w:p w:rsidR="00FC36AF" w:rsidRPr="00C04BAD" w:rsidRDefault="00FC36AF" w:rsidP="0084736B">
      <w:pPr>
        <w:widowControl w:val="0"/>
        <w:spacing w:after="0" w:line="240" w:lineRule="auto"/>
        <w:rPr>
          <w:rFonts w:ascii="Times New Roman" w:eastAsia="Calibri" w:hAnsi="Times New Roman" w:cs="Times New Roman"/>
          <w:b/>
          <w:smallCaps/>
          <w:sz w:val="24"/>
          <w:lang w:val="fr-BE"/>
        </w:rPr>
      </w:pPr>
    </w:p>
    <w:p w:rsidR="005D04F1" w:rsidRPr="00592EB9" w:rsidRDefault="000E5F58" w:rsidP="004B36F8">
      <w:pPr>
        <w:pStyle w:val="Heading2"/>
        <w:jc w:val="both"/>
        <w:rPr>
          <w:rFonts w:eastAsia="Calibri"/>
          <w:lang w:val="fr-FR"/>
        </w:rPr>
      </w:pPr>
      <w:bookmarkStart w:id="16" w:name="_Toc514257466"/>
      <w:r w:rsidRPr="00592EB9">
        <w:rPr>
          <w:rFonts w:eastAsia="Calibri"/>
          <w:lang w:val="fr-FR"/>
        </w:rPr>
        <w:t xml:space="preserve">Aperçu général </w:t>
      </w:r>
      <w:r w:rsidR="00514E29">
        <w:rPr>
          <w:rFonts w:eastAsia="Calibri"/>
          <w:lang w:val="fr-FR"/>
        </w:rPr>
        <w:t>de</w:t>
      </w:r>
      <w:r w:rsidRPr="00592EB9">
        <w:rPr>
          <w:rFonts w:eastAsia="Calibri"/>
          <w:lang w:val="fr-FR"/>
        </w:rPr>
        <w:t xml:space="preserve"> l</w:t>
      </w:r>
      <w:r w:rsidR="005D04F1" w:rsidRPr="00592EB9">
        <w:rPr>
          <w:rFonts w:eastAsia="Calibri"/>
          <w:lang w:val="fr-FR"/>
        </w:rPr>
        <w:t>’économie du Sahara occidental et sa nécessaire diversification</w:t>
      </w:r>
      <w:bookmarkEnd w:id="16"/>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5D04F1" w:rsidRPr="00391725"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Pr>
          <w:rFonts w:ascii="Times New Roman" w:eastAsia="MS Mincho" w:hAnsi="Times New Roman" w:cs="Times New Roman"/>
          <w:color w:val="000000" w:themeColor="text1"/>
          <w:sz w:val="24"/>
          <w:szCs w:val="24"/>
          <w:lang w:val="fr-BE" w:eastAsia="nl-BE"/>
        </w:rPr>
        <w:t>Encore marqué par son déficit historique de développement et longtemps demeuré en marge des courants économiques et commerciaux internationaux, l</w:t>
      </w:r>
      <w:r w:rsidRPr="00391725">
        <w:rPr>
          <w:rFonts w:ascii="Times New Roman" w:eastAsia="MS Mincho" w:hAnsi="Times New Roman" w:cs="Times New Roman"/>
          <w:color w:val="000000" w:themeColor="text1"/>
          <w:sz w:val="24"/>
          <w:szCs w:val="24"/>
          <w:lang w:val="fr-BE" w:eastAsia="nl-BE"/>
        </w:rPr>
        <w:t xml:space="preserve">e Sahara occidental est un territoire de 266 000 km², principalement désertique, avec une population d’environ </w:t>
      </w:r>
      <w:r>
        <w:rPr>
          <w:rFonts w:ascii="Times New Roman" w:eastAsia="MS Mincho" w:hAnsi="Times New Roman" w:cs="Times New Roman"/>
          <w:color w:val="000000" w:themeColor="text1"/>
          <w:sz w:val="24"/>
          <w:szCs w:val="24"/>
          <w:lang w:val="fr-BE" w:eastAsia="nl-BE"/>
        </w:rPr>
        <w:t xml:space="preserve">584 </w:t>
      </w:r>
      <w:r w:rsidRPr="00391725">
        <w:rPr>
          <w:rFonts w:ascii="Times New Roman" w:eastAsia="MS Mincho" w:hAnsi="Times New Roman" w:cs="Times New Roman"/>
          <w:color w:val="000000" w:themeColor="text1"/>
          <w:sz w:val="24"/>
          <w:szCs w:val="24"/>
          <w:lang w:val="fr-BE" w:eastAsia="nl-BE"/>
        </w:rPr>
        <w:t>000 habitants</w:t>
      </w:r>
      <w:r>
        <w:rPr>
          <w:rStyle w:val="FootnoteReference"/>
          <w:rFonts w:ascii="Times New Roman" w:eastAsia="MS Mincho" w:hAnsi="Times New Roman" w:cs="Times New Roman"/>
          <w:color w:val="000000" w:themeColor="text1"/>
          <w:sz w:val="24"/>
          <w:szCs w:val="24"/>
          <w:lang w:val="fr-BE" w:eastAsia="nl-BE"/>
        </w:rPr>
        <w:footnoteReference w:id="14"/>
      </w:r>
      <w:r w:rsidRPr="00391725">
        <w:rPr>
          <w:rFonts w:ascii="Times New Roman" w:eastAsia="MS Mincho" w:hAnsi="Times New Roman" w:cs="Times New Roman"/>
          <w:color w:val="000000" w:themeColor="text1"/>
          <w:sz w:val="24"/>
          <w:szCs w:val="24"/>
          <w:lang w:val="fr-BE" w:eastAsia="nl-BE"/>
        </w:rPr>
        <w:t>.</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5D04F1"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391725">
        <w:rPr>
          <w:rFonts w:ascii="Times New Roman" w:eastAsia="MS Mincho" w:hAnsi="Times New Roman" w:cs="Times New Roman"/>
          <w:color w:val="000000" w:themeColor="text1"/>
          <w:sz w:val="24"/>
          <w:szCs w:val="24"/>
          <w:lang w:val="fr-BE" w:eastAsia="nl-BE"/>
        </w:rPr>
        <w:t xml:space="preserve">Selon les informations disponibles, le Sahara occidental est une petite économie de marché dont </w:t>
      </w:r>
      <w:r w:rsidRPr="004A3D28">
        <w:rPr>
          <w:rFonts w:ascii="Times New Roman" w:eastAsia="MS Mincho" w:hAnsi="Times New Roman" w:cs="Times New Roman"/>
          <w:color w:val="000000" w:themeColor="text1"/>
          <w:sz w:val="24"/>
          <w:szCs w:val="24"/>
          <w:lang w:val="fr-BE" w:eastAsia="nl-BE"/>
        </w:rPr>
        <w:t xml:space="preserve">l’activité s’articule autour de </w:t>
      </w:r>
      <w:r w:rsidRPr="00391725">
        <w:rPr>
          <w:rFonts w:ascii="Times New Roman" w:eastAsia="MS Mincho" w:hAnsi="Times New Roman" w:cs="Times New Roman"/>
          <w:color w:val="000000" w:themeColor="text1"/>
          <w:sz w:val="24"/>
          <w:szCs w:val="24"/>
          <w:lang w:val="fr-BE" w:eastAsia="nl-BE"/>
        </w:rPr>
        <w:t>la pêche</w:t>
      </w:r>
      <w:r>
        <w:rPr>
          <w:rFonts w:ascii="Times New Roman" w:eastAsia="MS Mincho" w:hAnsi="Times New Roman" w:cs="Times New Roman"/>
          <w:color w:val="000000" w:themeColor="text1"/>
          <w:sz w:val="24"/>
          <w:szCs w:val="24"/>
          <w:lang w:val="fr-BE" w:eastAsia="nl-BE"/>
        </w:rPr>
        <w:t xml:space="preserve"> </w:t>
      </w:r>
      <w:r w:rsidRPr="004A3D28">
        <w:rPr>
          <w:rFonts w:ascii="Times New Roman" w:eastAsia="MS Mincho" w:hAnsi="Times New Roman" w:cs="Times New Roman"/>
          <w:color w:val="000000" w:themeColor="text1"/>
          <w:sz w:val="24"/>
          <w:szCs w:val="24"/>
          <w:lang w:val="fr-BE" w:eastAsia="nl-BE"/>
        </w:rPr>
        <w:t>et la transformation des produits de la pêche</w:t>
      </w:r>
      <w:r w:rsidRPr="00391725">
        <w:rPr>
          <w:rFonts w:ascii="Times New Roman" w:eastAsia="MS Mincho" w:hAnsi="Times New Roman" w:cs="Times New Roman"/>
          <w:color w:val="000000" w:themeColor="text1"/>
          <w:sz w:val="24"/>
          <w:szCs w:val="24"/>
          <w:lang w:val="fr-BE" w:eastAsia="nl-BE"/>
        </w:rPr>
        <w:t xml:space="preserve">, les mines de phosphate, </w:t>
      </w:r>
      <w:r w:rsidRPr="0060724A">
        <w:rPr>
          <w:rFonts w:ascii="Times New Roman" w:eastAsia="MS Mincho" w:hAnsi="Times New Roman" w:cs="Times New Roman"/>
          <w:color w:val="000000" w:themeColor="text1"/>
          <w:sz w:val="24"/>
          <w:szCs w:val="24"/>
          <w:lang w:val="fr-BE" w:eastAsia="nl-BE"/>
        </w:rPr>
        <w:t>l’agriculture</w:t>
      </w:r>
      <w:r w:rsidRPr="00391725">
        <w:rPr>
          <w:rFonts w:ascii="Times New Roman" w:eastAsia="MS Mincho" w:hAnsi="Times New Roman" w:cs="Times New Roman"/>
          <w:color w:val="000000" w:themeColor="text1"/>
          <w:sz w:val="24"/>
          <w:szCs w:val="24"/>
          <w:lang w:val="fr-BE" w:eastAsia="nl-BE"/>
        </w:rPr>
        <w:t xml:space="preserve"> </w:t>
      </w:r>
      <w:r>
        <w:rPr>
          <w:rFonts w:ascii="Times New Roman" w:eastAsia="MS Mincho" w:hAnsi="Times New Roman" w:cs="Times New Roman"/>
          <w:color w:val="000000" w:themeColor="text1"/>
          <w:sz w:val="24"/>
          <w:szCs w:val="24"/>
          <w:lang w:val="fr-BE" w:eastAsia="nl-BE"/>
        </w:rPr>
        <w:t xml:space="preserve">(notamment : </w:t>
      </w:r>
      <w:r w:rsidRPr="009F5153">
        <w:rPr>
          <w:rFonts w:ascii="Times New Roman" w:eastAsia="MS Mincho" w:hAnsi="Times New Roman" w:cs="Times New Roman"/>
          <w:color w:val="000000" w:themeColor="text1"/>
          <w:sz w:val="24"/>
          <w:szCs w:val="24"/>
          <w:lang w:val="fr-BE" w:eastAsia="nl-BE"/>
        </w:rPr>
        <w:t>fruits et légumes</w:t>
      </w:r>
      <w:r w:rsidR="00F23392">
        <w:rPr>
          <w:rFonts w:ascii="Times New Roman" w:eastAsia="MS Mincho" w:hAnsi="Times New Roman" w:cs="Times New Roman"/>
          <w:color w:val="000000" w:themeColor="text1"/>
          <w:sz w:val="24"/>
          <w:szCs w:val="24"/>
          <w:lang w:val="fr-BE" w:eastAsia="nl-BE"/>
        </w:rPr>
        <w:t xml:space="preserve"> de la catégorie "primeurs" </w:t>
      </w:r>
      <w:r>
        <w:rPr>
          <w:rFonts w:ascii="Times New Roman" w:eastAsia="MS Mincho" w:hAnsi="Times New Roman" w:cs="Times New Roman"/>
          <w:color w:val="000000" w:themeColor="text1"/>
          <w:sz w:val="24"/>
          <w:szCs w:val="24"/>
          <w:lang w:val="fr-BE" w:eastAsia="nl-BE"/>
        </w:rPr>
        <w:t>et</w:t>
      </w:r>
      <w:r w:rsidRPr="00391725">
        <w:rPr>
          <w:rFonts w:ascii="Times New Roman" w:eastAsia="MS Mincho" w:hAnsi="Times New Roman" w:cs="Times New Roman"/>
          <w:color w:val="000000" w:themeColor="text1"/>
          <w:sz w:val="24"/>
          <w:szCs w:val="24"/>
          <w:lang w:val="fr-BE" w:eastAsia="nl-BE"/>
        </w:rPr>
        <w:t xml:space="preserve"> nomadisme pastoral</w:t>
      </w:r>
      <w:r>
        <w:rPr>
          <w:rFonts w:ascii="Times New Roman" w:eastAsia="MS Mincho" w:hAnsi="Times New Roman" w:cs="Times New Roman"/>
          <w:color w:val="000000" w:themeColor="text1"/>
          <w:sz w:val="24"/>
          <w:szCs w:val="24"/>
          <w:lang w:val="fr-BE" w:eastAsia="nl-BE"/>
        </w:rPr>
        <w:t xml:space="preserve">), </w:t>
      </w:r>
      <w:r w:rsidRPr="004A3D28">
        <w:rPr>
          <w:rFonts w:ascii="Times New Roman" w:eastAsia="MS Mincho" w:hAnsi="Times New Roman" w:cs="Times New Roman"/>
          <w:color w:val="000000" w:themeColor="text1"/>
          <w:sz w:val="24"/>
          <w:szCs w:val="24"/>
          <w:lang w:val="fr-BE" w:eastAsia="nl-BE"/>
        </w:rPr>
        <w:t>le commerce et l’artisanat. D’autres secteurs sont encore embryonnaires à l’instar du tourisme et des énergies renouvelables.</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2717F1"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6F440A">
        <w:rPr>
          <w:rFonts w:ascii="Times New Roman" w:eastAsia="MS Mincho" w:hAnsi="Times New Roman" w:cs="Times New Roman"/>
          <w:color w:val="000000" w:themeColor="text1"/>
          <w:sz w:val="24"/>
          <w:szCs w:val="24"/>
          <w:lang w:val="fr-BE" w:eastAsia="nl-BE"/>
        </w:rPr>
        <w:t>Dans un schéma de développement fondé sur un rapport étroit entre centre et périphérie, le gouvernement central marocain a un poids prépondérant dans la politique de développement de l’économie du Sahara occidental, et joue un rôle important en matière d’emploi, de développement des infrastructures et de redistribution sociale sur le territoire. Ce rôle d'impulsion de l'</w:t>
      </w:r>
      <w:r>
        <w:rPr>
          <w:rFonts w:ascii="Times New Roman" w:eastAsia="MS Mincho" w:hAnsi="Times New Roman" w:cs="Times New Roman"/>
          <w:color w:val="000000" w:themeColor="text1"/>
          <w:sz w:val="24"/>
          <w:szCs w:val="24"/>
          <w:lang w:val="fr-BE" w:eastAsia="nl-BE"/>
        </w:rPr>
        <w:t>E</w:t>
      </w:r>
      <w:r w:rsidRPr="006F440A">
        <w:rPr>
          <w:rFonts w:ascii="Times New Roman" w:eastAsia="MS Mincho" w:hAnsi="Times New Roman" w:cs="Times New Roman"/>
          <w:color w:val="000000" w:themeColor="text1"/>
          <w:sz w:val="24"/>
          <w:szCs w:val="24"/>
          <w:lang w:val="fr-BE" w:eastAsia="nl-BE"/>
        </w:rPr>
        <w:t>tat central s'est encore accéléré au cours de la dernière décennie, permettant au S</w:t>
      </w:r>
      <w:r w:rsidR="00233BF2">
        <w:rPr>
          <w:rFonts w:ascii="Times New Roman" w:eastAsia="MS Mincho" w:hAnsi="Times New Roman" w:cs="Times New Roman"/>
          <w:color w:val="000000" w:themeColor="text1"/>
          <w:sz w:val="24"/>
          <w:szCs w:val="24"/>
          <w:lang w:val="fr-BE" w:eastAsia="nl-BE"/>
        </w:rPr>
        <w:t>ahara occidental</w:t>
      </w:r>
      <w:r w:rsidRPr="006F440A">
        <w:rPr>
          <w:rFonts w:ascii="Times New Roman" w:eastAsia="MS Mincho" w:hAnsi="Times New Roman" w:cs="Times New Roman"/>
          <w:color w:val="000000" w:themeColor="text1"/>
          <w:sz w:val="24"/>
          <w:szCs w:val="24"/>
          <w:lang w:val="fr-BE" w:eastAsia="nl-BE"/>
        </w:rPr>
        <w:t xml:space="preserve"> de combler une partie de son retard par rapport aux régions les plus développées du Maroc. </w:t>
      </w:r>
      <w:r>
        <w:rPr>
          <w:rFonts w:ascii="Times New Roman" w:eastAsia="MS Mincho" w:hAnsi="Times New Roman" w:cs="Times New Roman"/>
          <w:color w:val="000000" w:themeColor="text1"/>
          <w:sz w:val="24"/>
          <w:szCs w:val="24"/>
          <w:lang w:val="fr-BE" w:eastAsia="nl-BE"/>
        </w:rPr>
        <w:t xml:space="preserve">La Direction des Etudes et des Prévisions Financières </w:t>
      </w:r>
      <w:r w:rsidR="000F6708">
        <w:rPr>
          <w:rFonts w:ascii="Times New Roman" w:eastAsia="MS Mincho" w:hAnsi="Times New Roman" w:cs="Times New Roman"/>
          <w:color w:val="000000" w:themeColor="text1"/>
          <w:sz w:val="24"/>
          <w:szCs w:val="24"/>
          <w:lang w:val="fr-BE" w:eastAsia="nl-BE"/>
        </w:rPr>
        <w:t>du ministère de l’économie et des finances marocain</w:t>
      </w:r>
      <w:r w:rsidR="00460ECD">
        <w:rPr>
          <w:rFonts w:ascii="Times New Roman" w:eastAsia="MS Mincho" w:hAnsi="Times New Roman" w:cs="Times New Roman"/>
          <w:color w:val="000000" w:themeColor="text1"/>
          <w:sz w:val="24"/>
          <w:szCs w:val="24"/>
          <w:lang w:val="fr-BE" w:eastAsia="nl-BE"/>
        </w:rPr>
        <w:t xml:space="preserve"> </w:t>
      </w:r>
      <w:r>
        <w:rPr>
          <w:rFonts w:ascii="Times New Roman" w:eastAsia="MS Mincho" w:hAnsi="Times New Roman" w:cs="Times New Roman"/>
          <w:color w:val="000000" w:themeColor="text1"/>
          <w:sz w:val="24"/>
          <w:szCs w:val="24"/>
          <w:lang w:val="fr-BE" w:eastAsia="nl-BE"/>
        </w:rPr>
        <w:t>souligne ainsi que d</w:t>
      </w:r>
      <w:r w:rsidRPr="00D51F57">
        <w:rPr>
          <w:rFonts w:ascii="Times New Roman" w:eastAsia="MS Mincho" w:hAnsi="Times New Roman" w:cs="Times New Roman"/>
          <w:color w:val="000000" w:themeColor="text1"/>
          <w:sz w:val="24"/>
          <w:szCs w:val="24"/>
          <w:lang w:val="fr-BE" w:eastAsia="nl-BE"/>
        </w:rPr>
        <w:t xml:space="preserve">urant la période 2007-2014, </w:t>
      </w:r>
      <w:r>
        <w:rPr>
          <w:rFonts w:ascii="Times New Roman" w:eastAsia="MS Mincho" w:hAnsi="Times New Roman" w:cs="Times New Roman"/>
          <w:color w:val="000000" w:themeColor="text1"/>
          <w:sz w:val="24"/>
          <w:szCs w:val="24"/>
          <w:lang w:val="fr-BE" w:eastAsia="nl-BE"/>
        </w:rPr>
        <w:t>les régions de</w:t>
      </w:r>
      <w:r w:rsidRPr="00D51F57">
        <w:rPr>
          <w:rFonts w:ascii="Times New Roman" w:eastAsia="MS Mincho" w:hAnsi="Times New Roman" w:cs="Times New Roman"/>
          <w:color w:val="000000" w:themeColor="text1"/>
          <w:sz w:val="24"/>
          <w:szCs w:val="24"/>
          <w:lang w:val="fr-BE" w:eastAsia="nl-BE"/>
        </w:rPr>
        <w:t xml:space="preserve"> </w:t>
      </w:r>
      <w:r w:rsidR="00082959" w:rsidRPr="00082959">
        <w:rPr>
          <w:rFonts w:ascii="Times New Roman" w:eastAsia="MS Mincho" w:hAnsi="Times New Roman" w:cs="Times New Roman"/>
          <w:color w:val="000000" w:themeColor="text1"/>
          <w:sz w:val="24"/>
          <w:szCs w:val="24"/>
          <w:lang w:val="fr-BE" w:eastAsia="nl-BE"/>
        </w:rPr>
        <w:t xml:space="preserve">Dakhla-Oued </w:t>
      </w:r>
      <w:r w:rsidR="00994749">
        <w:rPr>
          <w:rFonts w:ascii="Times New Roman" w:eastAsia="MS Mincho" w:hAnsi="Times New Roman" w:cs="Times New Roman"/>
          <w:color w:val="000000" w:themeColor="text1"/>
          <w:sz w:val="24"/>
          <w:szCs w:val="24"/>
          <w:lang w:val="fr-BE" w:eastAsia="nl-BE"/>
        </w:rPr>
        <w:t>ed D</w:t>
      </w:r>
      <w:r w:rsidR="00082959" w:rsidRPr="00082959">
        <w:rPr>
          <w:rFonts w:ascii="Times New Roman" w:eastAsia="MS Mincho" w:hAnsi="Times New Roman" w:cs="Times New Roman"/>
          <w:color w:val="000000" w:themeColor="text1"/>
          <w:sz w:val="24"/>
          <w:szCs w:val="24"/>
          <w:lang w:val="fr-BE" w:eastAsia="nl-BE"/>
        </w:rPr>
        <w:t xml:space="preserve">ahab </w:t>
      </w:r>
      <w:r>
        <w:rPr>
          <w:rFonts w:ascii="Times New Roman" w:eastAsia="MS Mincho" w:hAnsi="Times New Roman" w:cs="Times New Roman"/>
          <w:color w:val="000000" w:themeColor="text1"/>
          <w:sz w:val="24"/>
          <w:szCs w:val="24"/>
          <w:lang w:val="fr-BE" w:eastAsia="nl-BE"/>
        </w:rPr>
        <w:t>et</w:t>
      </w:r>
      <w:r w:rsidRPr="00D51F57">
        <w:rPr>
          <w:rFonts w:ascii="Times New Roman" w:eastAsia="MS Mincho" w:hAnsi="Times New Roman" w:cs="Times New Roman"/>
          <w:color w:val="000000" w:themeColor="text1"/>
          <w:sz w:val="24"/>
          <w:szCs w:val="24"/>
          <w:lang w:val="fr-BE" w:eastAsia="nl-BE"/>
        </w:rPr>
        <w:t xml:space="preserve"> </w:t>
      </w:r>
      <w:r w:rsidR="00082959" w:rsidRPr="006C2037">
        <w:rPr>
          <w:rFonts w:ascii="Times New Roman" w:eastAsia="Calibri" w:hAnsi="Times New Roman" w:cs="Times New Roman"/>
          <w:color w:val="000000" w:themeColor="text1"/>
          <w:sz w:val="24"/>
          <w:lang w:val="fr-FR" w:eastAsia="fr-FR"/>
        </w:rPr>
        <w:t>La</w:t>
      </w:r>
      <w:r w:rsidR="00082959">
        <w:rPr>
          <w:rFonts w:ascii="Times New Roman" w:eastAsia="Calibri" w:hAnsi="Times New Roman" w:cs="Times New Roman"/>
          <w:color w:val="000000" w:themeColor="text1"/>
          <w:sz w:val="24"/>
          <w:lang w:val="fr-FR" w:eastAsia="fr-FR"/>
        </w:rPr>
        <w:t>â</w:t>
      </w:r>
      <w:r w:rsidR="00082959" w:rsidRPr="006C2037">
        <w:rPr>
          <w:rFonts w:ascii="Times New Roman" w:eastAsia="Calibri" w:hAnsi="Times New Roman" w:cs="Times New Roman"/>
          <w:color w:val="000000" w:themeColor="text1"/>
          <w:sz w:val="24"/>
          <w:lang w:val="fr-FR" w:eastAsia="fr-FR"/>
        </w:rPr>
        <w:t xml:space="preserve">youne-Sakia </w:t>
      </w:r>
      <w:r w:rsidR="00994749">
        <w:rPr>
          <w:rFonts w:ascii="Times New Roman" w:eastAsia="Calibri" w:hAnsi="Times New Roman" w:cs="Times New Roman"/>
          <w:color w:val="000000" w:themeColor="text1"/>
          <w:sz w:val="24"/>
          <w:lang w:val="fr-FR" w:eastAsia="fr-FR"/>
        </w:rPr>
        <w:t>el H</w:t>
      </w:r>
      <w:r w:rsidR="00082959" w:rsidRPr="006C2037">
        <w:rPr>
          <w:rFonts w:ascii="Times New Roman" w:eastAsia="Calibri" w:hAnsi="Times New Roman" w:cs="Times New Roman"/>
          <w:color w:val="000000" w:themeColor="text1"/>
          <w:sz w:val="24"/>
          <w:lang w:val="fr-FR" w:eastAsia="fr-FR"/>
        </w:rPr>
        <w:t>amra</w:t>
      </w:r>
      <w:r w:rsidR="0034628F">
        <w:rPr>
          <w:rFonts w:ascii="Times New Roman" w:eastAsia="Calibri" w:hAnsi="Times New Roman" w:cs="Times New Roman"/>
          <w:color w:val="000000" w:themeColor="text1"/>
          <w:sz w:val="24"/>
          <w:lang w:val="fr-FR" w:eastAsia="fr-FR"/>
        </w:rPr>
        <w:t xml:space="preserve"> </w:t>
      </w:r>
      <w:r>
        <w:rPr>
          <w:rFonts w:ascii="Times New Roman" w:eastAsia="MS Mincho" w:hAnsi="Times New Roman" w:cs="Times New Roman"/>
          <w:color w:val="000000" w:themeColor="text1"/>
          <w:sz w:val="24"/>
          <w:szCs w:val="24"/>
          <w:lang w:val="fr-BE" w:eastAsia="nl-BE"/>
        </w:rPr>
        <w:t xml:space="preserve">ont </w:t>
      </w:r>
      <w:r w:rsidRPr="00D51F57">
        <w:rPr>
          <w:rFonts w:ascii="Times New Roman" w:eastAsia="MS Mincho" w:hAnsi="Times New Roman" w:cs="Times New Roman"/>
          <w:color w:val="000000" w:themeColor="text1"/>
          <w:sz w:val="24"/>
          <w:szCs w:val="24"/>
          <w:lang w:val="fr-BE" w:eastAsia="nl-BE"/>
        </w:rPr>
        <w:t xml:space="preserve">enregistré une croissance régionale supérieure à </w:t>
      </w:r>
      <w:r>
        <w:rPr>
          <w:rFonts w:ascii="Times New Roman" w:eastAsia="MS Mincho" w:hAnsi="Times New Roman" w:cs="Times New Roman"/>
          <w:color w:val="000000" w:themeColor="text1"/>
          <w:sz w:val="24"/>
          <w:szCs w:val="24"/>
          <w:lang w:val="fr-BE" w:eastAsia="nl-BE"/>
        </w:rPr>
        <w:t xml:space="preserve">la croissance </w:t>
      </w:r>
      <w:r w:rsidRPr="00D51F57">
        <w:rPr>
          <w:rFonts w:ascii="Times New Roman" w:eastAsia="MS Mincho" w:hAnsi="Times New Roman" w:cs="Times New Roman"/>
          <w:color w:val="000000" w:themeColor="text1"/>
          <w:sz w:val="24"/>
          <w:szCs w:val="24"/>
          <w:lang w:val="fr-BE" w:eastAsia="nl-BE"/>
        </w:rPr>
        <w:t xml:space="preserve">nationale de 4,9 points en 2011-2014 et 5,6 points en 2007-2010. </w:t>
      </w:r>
      <w:r>
        <w:rPr>
          <w:rFonts w:ascii="Times New Roman" w:eastAsia="MS Mincho" w:hAnsi="Times New Roman" w:cs="Times New Roman"/>
          <w:color w:val="000000" w:themeColor="text1"/>
          <w:sz w:val="24"/>
          <w:szCs w:val="24"/>
          <w:lang w:val="fr-BE" w:eastAsia="nl-BE"/>
        </w:rPr>
        <w:t>Elle souligne également que c</w:t>
      </w:r>
      <w:r w:rsidRPr="00D51F57">
        <w:rPr>
          <w:rFonts w:ascii="Times New Roman" w:eastAsia="MS Mincho" w:hAnsi="Times New Roman" w:cs="Times New Roman"/>
          <w:color w:val="000000" w:themeColor="text1"/>
          <w:sz w:val="24"/>
          <w:szCs w:val="24"/>
          <w:lang w:val="fr-BE" w:eastAsia="nl-BE"/>
        </w:rPr>
        <w:t>e constat est dû aux investissements publics consentis dans les régions du sud pour en faire des régions compétitives sur le plan national</w:t>
      </w:r>
      <w:r>
        <w:rPr>
          <w:rStyle w:val="FootnoteReference"/>
          <w:rFonts w:ascii="Times New Roman" w:eastAsia="MS Mincho" w:hAnsi="Times New Roman" w:cs="Times New Roman"/>
          <w:color w:val="000000" w:themeColor="text1"/>
          <w:sz w:val="24"/>
          <w:szCs w:val="24"/>
          <w:lang w:val="fr-BE" w:eastAsia="nl-BE"/>
        </w:rPr>
        <w:footnoteReference w:id="15"/>
      </w:r>
      <w:r w:rsidRPr="00D51F57">
        <w:rPr>
          <w:rFonts w:ascii="Times New Roman" w:eastAsia="MS Mincho" w:hAnsi="Times New Roman" w:cs="Times New Roman"/>
          <w:color w:val="000000" w:themeColor="text1"/>
          <w:sz w:val="24"/>
          <w:szCs w:val="24"/>
          <w:lang w:val="fr-BE" w:eastAsia="nl-BE"/>
        </w:rPr>
        <w:t>.</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476E31" w:rsidRPr="00476E31" w:rsidRDefault="00BD2999"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Pr>
          <w:rFonts w:ascii="Times New Roman" w:eastAsia="MS Mincho" w:hAnsi="Times New Roman" w:cs="Times New Roman"/>
          <w:color w:val="000000" w:themeColor="text1"/>
          <w:sz w:val="24"/>
          <w:szCs w:val="24"/>
          <w:lang w:val="fr-BE" w:eastAsia="nl-BE"/>
        </w:rPr>
        <w:t>De même, le Conseil économique, social et environnemental</w:t>
      </w:r>
      <w:r w:rsidR="00B37645">
        <w:rPr>
          <w:rFonts w:ascii="Times New Roman" w:eastAsia="MS Mincho" w:hAnsi="Times New Roman" w:cs="Times New Roman"/>
          <w:color w:val="000000" w:themeColor="text1"/>
          <w:sz w:val="24"/>
          <w:szCs w:val="24"/>
          <w:lang w:val="fr-BE" w:eastAsia="nl-BE"/>
        </w:rPr>
        <w:t xml:space="preserve"> </w:t>
      </w:r>
      <w:r w:rsidR="002717F1">
        <w:rPr>
          <w:rFonts w:ascii="Times New Roman" w:eastAsia="MS Mincho" w:hAnsi="Times New Roman" w:cs="Times New Roman"/>
          <w:color w:val="000000" w:themeColor="text1"/>
          <w:sz w:val="24"/>
          <w:szCs w:val="24"/>
          <w:lang w:val="fr-BE" w:eastAsia="nl-BE"/>
        </w:rPr>
        <w:t xml:space="preserve">du Maroc </w:t>
      </w:r>
      <w:r w:rsidR="00B37645">
        <w:rPr>
          <w:rFonts w:ascii="Times New Roman" w:eastAsia="MS Mincho" w:hAnsi="Times New Roman" w:cs="Times New Roman"/>
          <w:color w:val="000000" w:themeColor="text1"/>
          <w:sz w:val="24"/>
          <w:szCs w:val="24"/>
          <w:lang w:val="fr-BE" w:eastAsia="nl-BE"/>
        </w:rPr>
        <w:t>indique dans un rapport de mars 2013</w:t>
      </w:r>
      <w:r w:rsidR="00476E31">
        <w:rPr>
          <w:rStyle w:val="FootnoteReference"/>
          <w:rFonts w:ascii="Times New Roman" w:eastAsia="MS Mincho" w:hAnsi="Times New Roman" w:cs="Times New Roman"/>
          <w:color w:val="000000" w:themeColor="text1"/>
          <w:sz w:val="24"/>
          <w:szCs w:val="24"/>
          <w:lang w:val="fr-BE" w:eastAsia="nl-BE"/>
        </w:rPr>
        <w:footnoteReference w:id="16"/>
      </w:r>
      <w:r w:rsidR="00476E31">
        <w:rPr>
          <w:rFonts w:ascii="Times New Roman" w:eastAsia="MS Mincho" w:hAnsi="Times New Roman" w:cs="Times New Roman"/>
          <w:color w:val="000000" w:themeColor="text1"/>
          <w:sz w:val="24"/>
          <w:szCs w:val="24"/>
          <w:lang w:val="fr-BE" w:eastAsia="nl-BE"/>
        </w:rPr>
        <w:t xml:space="preserve"> que « l</w:t>
      </w:r>
      <w:r w:rsidR="00476E31" w:rsidRPr="00476E31">
        <w:rPr>
          <w:rFonts w:ascii="Times New Roman" w:eastAsia="MS Mincho" w:hAnsi="Times New Roman" w:cs="Times New Roman"/>
          <w:color w:val="000000" w:themeColor="text1"/>
          <w:sz w:val="24"/>
          <w:szCs w:val="24"/>
          <w:lang w:val="fr-BE" w:eastAsia="nl-BE"/>
        </w:rPr>
        <w:t>e PIB des trois régions du sud était en 2010 de 21,7 milliards de</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dirhams, soit 3,5% de la richesse nati</w:t>
      </w:r>
      <w:r w:rsidR="00476E31">
        <w:rPr>
          <w:rFonts w:ascii="Times New Roman" w:eastAsia="MS Mincho" w:hAnsi="Times New Roman" w:cs="Times New Roman"/>
          <w:color w:val="000000" w:themeColor="text1"/>
          <w:sz w:val="24"/>
          <w:szCs w:val="24"/>
          <w:lang w:val="fr-BE" w:eastAsia="nl-BE"/>
        </w:rPr>
        <w:t>onale annuellement produite ». Il ajoute que « </w:t>
      </w:r>
      <w:r w:rsidR="00476E31" w:rsidRPr="00476E31">
        <w:rPr>
          <w:rFonts w:ascii="Times New Roman" w:eastAsia="MS Mincho" w:hAnsi="Times New Roman" w:cs="Times New Roman"/>
          <w:color w:val="000000" w:themeColor="text1"/>
          <w:sz w:val="24"/>
          <w:szCs w:val="24"/>
          <w:lang w:val="fr-BE" w:eastAsia="nl-BE"/>
        </w:rPr>
        <w:t xml:space="preserve">Alors que le chômage </w:t>
      </w:r>
      <w:r w:rsidR="00476E31" w:rsidRPr="00460ECD">
        <w:rPr>
          <w:rFonts w:ascii="Times New Roman" w:eastAsia="MS Mincho" w:hAnsi="Times New Roman" w:cs="Times New Roman"/>
          <w:i/>
          <w:color w:val="000000" w:themeColor="text1"/>
          <w:sz w:val="24"/>
          <w:szCs w:val="24"/>
          <w:lang w:val="fr-BE" w:eastAsia="nl-BE"/>
        </w:rPr>
        <w:t xml:space="preserve">[selon une enquête du </w:t>
      </w:r>
      <w:r w:rsidR="00CE2C00" w:rsidRPr="00460ECD">
        <w:rPr>
          <w:rFonts w:ascii="Times New Roman" w:eastAsia="MS Mincho" w:hAnsi="Times New Roman" w:cs="Times New Roman"/>
          <w:i/>
          <w:color w:val="000000" w:themeColor="text1"/>
          <w:sz w:val="24"/>
          <w:szCs w:val="24"/>
          <w:lang w:val="fr-BE" w:eastAsia="nl-BE"/>
        </w:rPr>
        <w:t>Haut-Commissariat</w:t>
      </w:r>
      <w:r w:rsidR="00476E31" w:rsidRPr="00460ECD">
        <w:rPr>
          <w:rFonts w:ascii="Times New Roman" w:eastAsia="MS Mincho" w:hAnsi="Times New Roman" w:cs="Times New Roman"/>
          <w:i/>
          <w:color w:val="000000" w:themeColor="text1"/>
          <w:sz w:val="24"/>
          <w:szCs w:val="24"/>
          <w:lang w:val="fr-BE" w:eastAsia="nl-BE"/>
        </w:rPr>
        <w:t xml:space="preserve"> au Plan 2007/2011]</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y concerne 15,2% de la population active, contre 8,9% au niveau national</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(avec un taux de 35,1% pour les femmes contre 10,2% au niveau national),</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les régions de Laâyoune et de Dakhla figurent parmi les régions les moins</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pauvres du pays (avec des taux de pauvreté respectivement de 2,2% et 2,6%</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contre 8,9 % au niveau national)</w:t>
      </w:r>
      <w:r w:rsidR="00476E31">
        <w:rPr>
          <w:rFonts w:ascii="Times New Roman" w:eastAsia="MS Mincho" w:hAnsi="Times New Roman" w:cs="Times New Roman"/>
          <w:color w:val="000000" w:themeColor="text1"/>
          <w:sz w:val="24"/>
          <w:szCs w:val="24"/>
          <w:lang w:val="fr-BE" w:eastAsia="nl-BE"/>
        </w:rPr>
        <w:t> »</w:t>
      </w:r>
      <w:r w:rsidR="00476E31" w:rsidRPr="00476E31">
        <w:rPr>
          <w:rFonts w:ascii="Times New Roman" w:eastAsia="MS Mincho" w:hAnsi="Times New Roman" w:cs="Times New Roman"/>
          <w:color w:val="000000" w:themeColor="text1"/>
          <w:sz w:val="24"/>
          <w:szCs w:val="24"/>
          <w:lang w:val="fr-BE" w:eastAsia="nl-BE"/>
        </w:rPr>
        <w:t>.</w:t>
      </w:r>
      <w:r w:rsidR="00476E31">
        <w:rPr>
          <w:rFonts w:ascii="Times New Roman" w:eastAsia="MS Mincho" w:hAnsi="Times New Roman" w:cs="Times New Roman"/>
          <w:color w:val="000000" w:themeColor="text1"/>
          <w:sz w:val="24"/>
          <w:szCs w:val="24"/>
          <w:lang w:val="fr-BE" w:eastAsia="nl-BE"/>
        </w:rPr>
        <w:t xml:space="preserve"> Enfin il souligne également que d’une part « le secteur privé y est atone » et d’autre part que « </w:t>
      </w:r>
      <w:r w:rsidR="00476E31" w:rsidRPr="00476E31">
        <w:rPr>
          <w:rFonts w:ascii="Times New Roman" w:eastAsia="MS Mincho" w:hAnsi="Times New Roman" w:cs="Times New Roman"/>
          <w:color w:val="000000" w:themeColor="text1"/>
          <w:sz w:val="24"/>
          <w:szCs w:val="24"/>
          <w:lang w:val="fr-BE" w:eastAsia="nl-BE"/>
        </w:rPr>
        <w:t>L’État, via ses fonctions de souveraineté, et en appui</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sur les investissements publics, sur les dépenses de l’administration et sur la</w:t>
      </w:r>
      <w:r w:rsidR="00476E31">
        <w:rPr>
          <w:rFonts w:ascii="Times New Roman" w:eastAsia="MS Mincho" w:hAnsi="Times New Roman" w:cs="Times New Roman"/>
          <w:color w:val="000000" w:themeColor="text1"/>
          <w:sz w:val="24"/>
          <w:szCs w:val="24"/>
          <w:lang w:val="fr-BE" w:eastAsia="nl-BE"/>
        </w:rPr>
        <w:t xml:space="preserve"> </w:t>
      </w:r>
      <w:r w:rsidR="00476E31" w:rsidRPr="00476E31">
        <w:rPr>
          <w:rFonts w:ascii="Times New Roman" w:eastAsia="MS Mincho" w:hAnsi="Times New Roman" w:cs="Times New Roman"/>
          <w:color w:val="000000" w:themeColor="text1"/>
          <w:sz w:val="24"/>
          <w:szCs w:val="24"/>
          <w:lang w:val="fr-BE" w:eastAsia="nl-BE"/>
        </w:rPr>
        <w:t>distribution des aides sociales a été l’acteur central de cette transformation</w:t>
      </w:r>
      <w:r w:rsidR="00476E31">
        <w:rPr>
          <w:rFonts w:ascii="Times New Roman" w:eastAsia="MS Mincho" w:hAnsi="Times New Roman" w:cs="Times New Roman"/>
          <w:color w:val="000000" w:themeColor="text1"/>
          <w:sz w:val="24"/>
          <w:szCs w:val="24"/>
          <w:lang w:val="fr-BE" w:eastAsia="nl-BE"/>
        </w:rPr>
        <w:t> ».</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5D04F1" w:rsidRPr="006F440A"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6F440A">
        <w:rPr>
          <w:rFonts w:ascii="Times New Roman" w:eastAsia="MS Mincho" w:hAnsi="Times New Roman" w:cs="Times New Roman"/>
          <w:color w:val="000000" w:themeColor="text1"/>
          <w:sz w:val="24"/>
          <w:szCs w:val="24"/>
          <w:lang w:val="fr-BE" w:eastAsia="nl-BE"/>
        </w:rPr>
        <w:t>Aucune ressource pétrolière conséquente en termes commerciaux n’a encore été trouvée au Sahara occidental et, malgré un relatif tassement, certaines campagnes de prospection sont toujours en cours. Compte tenu de l'étroitesse du marché intérieur du S</w:t>
      </w:r>
      <w:r w:rsidR="00233BF2">
        <w:rPr>
          <w:rFonts w:ascii="Times New Roman" w:eastAsia="MS Mincho" w:hAnsi="Times New Roman" w:cs="Times New Roman"/>
          <w:color w:val="000000" w:themeColor="text1"/>
          <w:sz w:val="24"/>
          <w:szCs w:val="24"/>
          <w:lang w:val="fr-BE" w:eastAsia="nl-BE"/>
        </w:rPr>
        <w:t>ahara occidental</w:t>
      </w:r>
      <w:r w:rsidRPr="006F440A">
        <w:rPr>
          <w:rFonts w:ascii="Times New Roman" w:eastAsia="MS Mincho" w:hAnsi="Times New Roman" w:cs="Times New Roman"/>
          <w:color w:val="000000" w:themeColor="text1"/>
          <w:sz w:val="24"/>
          <w:szCs w:val="24"/>
          <w:lang w:val="fr-BE" w:eastAsia="nl-BE"/>
        </w:rPr>
        <w:t xml:space="preserve"> et de la concentration de la production sur un nombre très limité de produits, le défi majeur de l’économie du </w:t>
      </w:r>
      <w:r w:rsidR="00233BF2">
        <w:rPr>
          <w:rFonts w:ascii="Times New Roman" w:eastAsia="MS Mincho" w:hAnsi="Times New Roman" w:cs="Times New Roman"/>
          <w:color w:val="000000" w:themeColor="text1"/>
          <w:sz w:val="24"/>
          <w:szCs w:val="24"/>
          <w:lang w:val="fr-BE" w:eastAsia="nl-BE"/>
        </w:rPr>
        <w:t>territoire</w:t>
      </w:r>
      <w:r w:rsidRPr="006F440A">
        <w:rPr>
          <w:rFonts w:ascii="Times New Roman" w:eastAsia="MS Mincho" w:hAnsi="Times New Roman" w:cs="Times New Roman"/>
          <w:color w:val="000000" w:themeColor="text1"/>
          <w:sz w:val="24"/>
          <w:szCs w:val="24"/>
          <w:lang w:val="fr-BE" w:eastAsia="nl-BE"/>
        </w:rPr>
        <w:t xml:space="preserve"> est la </w:t>
      </w:r>
      <w:r w:rsidRPr="00821A5A">
        <w:rPr>
          <w:rFonts w:ascii="Times New Roman" w:eastAsia="MS Mincho" w:hAnsi="Times New Roman" w:cs="Times New Roman"/>
          <w:color w:val="000000" w:themeColor="text1"/>
          <w:sz w:val="24"/>
          <w:szCs w:val="24"/>
          <w:lang w:val="fr-BE" w:eastAsia="nl-BE"/>
        </w:rPr>
        <w:t>diversification de ses activités</w:t>
      </w:r>
      <w:r w:rsidRPr="006F440A">
        <w:rPr>
          <w:rFonts w:ascii="Times New Roman" w:eastAsia="MS Mincho" w:hAnsi="Times New Roman" w:cs="Times New Roman"/>
          <w:color w:val="000000" w:themeColor="text1"/>
          <w:sz w:val="24"/>
          <w:szCs w:val="24"/>
          <w:lang w:val="fr-BE" w:eastAsia="nl-BE"/>
        </w:rPr>
        <w:t xml:space="preserve"> vers des secteurs</w:t>
      </w:r>
      <w:r>
        <w:rPr>
          <w:rFonts w:ascii="Times New Roman" w:eastAsia="MS Mincho" w:hAnsi="Times New Roman" w:cs="Times New Roman"/>
          <w:color w:val="000000" w:themeColor="text1"/>
          <w:sz w:val="24"/>
          <w:szCs w:val="24"/>
          <w:lang w:val="fr-BE" w:eastAsia="nl-BE"/>
        </w:rPr>
        <w:t xml:space="preserve"> </w:t>
      </w:r>
      <w:r w:rsidRPr="006F440A">
        <w:rPr>
          <w:rFonts w:ascii="Times New Roman" w:eastAsia="MS Mincho" w:hAnsi="Times New Roman" w:cs="Times New Roman"/>
          <w:color w:val="000000" w:themeColor="text1"/>
          <w:sz w:val="24"/>
          <w:szCs w:val="24"/>
          <w:lang w:val="fr-BE" w:eastAsia="nl-BE"/>
        </w:rPr>
        <w:t>créateurs d'emploi et de revenu pour le territoire et l'ensemble de sa population, diversification économique qui est la clé même d</w:t>
      </w:r>
      <w:r w:rsidR="00233BF2">
        <w:rPr>
          <w:rFonts w:ascii="Times New Roman" w:eastAsia="MS Mincho" w:hAnsi="Times New Roman" w:cs="Times New Roman"/>
          <w:color w:val="000000" w:themeColor="text1"/>
          <w:sz w:val="24"/>
          <w:szCs w:val="24"/>
          <w:lang w:val="fr-BE" w:eastAsia="nl-BE"/>
        </w:rPr>
        <w:t>e son</w:t>
      </w:r>
      <w:r w:rsidRPr="006F440A">
        <w:rPr>
          <w:rFonts w:ascii="Times New Roman" w:eastAsia="MS Mincho" w:hAnsi="Times New Roman" w:cs="Times New Roman"/>
          <w:color w:val="000000" w:themeColor="text1"/>
          <w:sz w:val="24"/>
          <w:szCs w:val="24"/>
          <w:lang w:val="fr-BE" w:eastAsia="nl-BE"/>
        </w:rPr>
        <w:t xml:space="preserve"> désenclavement commercial. </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0F6708"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6F440A">
        <w:rPr>
          <w:rFonts w:ascii="Times New Roman" w:eastAsia="MS Mincho" w:hAnsi="Times New Roman" w:cs="Times New Roman"/>
          <w:color w:val="000000" w:themeColor="text1"/>
          <w:sz w:val="24"/>
          <w:szCs w:val="24"/>
          <w:lang w:val="fr-BE" w:eastAsia="nl-BE"/>
        </w:rPr>
        <w:t xml:space="preserve">Cette ouverture économique internationale et la diversification qu'elle induit sont d'autant plus importantes que l'économie du </w:t>
      </w:r>
      <w:r w:rsidR="00476E31">
        <w:rPr>
          <w:rFonts w:ascii="Times New Roman" w:eastAsia="MS Mincho" w:hAnsi="Times New Roman" w:cs="Times New Roman"/>
          <w:color w:val="000000" w:themeColor="text1"/>
          <w:sz w:val="24"/>
          <w:szCs w:val="24"/>
          <w:lang w:val="fr-BE" w:eastAsia="nl-BE"/>
        </w:rPr>
        <w:t>territoire</w:t>
      </w:r>
      <w:r w:rsidRPr="006F440A">
        <w:rPr>
          <w:rFonts w:ascii="Times New Roman" w:eastAsia="MS Mincho" w:hAnsi="Times New Roman" w:cs="Times New Roman"/>
          <w:color w:val="000000" w:themeColor="text1"/>
          <w:sz w:val="24"/>
          <w:szCs w:val="24"/>
          <w:lang w:val="fr-BE" w:eastAsia="nl-BE"/>
        </w:rPr>
        <w:t xml:space="preserve"> évolue dans un contexte régional maghrébin largement figé et marqué par la stagnation à un niveau extrêmement faible du commerce intra-régional, l'absence de coopération transfrontalière ainsi que la fermeture persistante de certaines frontières. </w:t>
      </w:r>
    </w:p>
    <w:p w:rsidR="000F6708" w:rsidRDefault="000F6708"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5D04F1" w:rsidRPr="006F440A"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6F440A">
        <w:rPr>
          <w:rFonts w:ascii="Times New Roman" w:eastAsia="MS Mincho" w:hAnsi="Times New Roman" w:cs="Times New Roman"/>
          <w:color w:val="000000" w:themeColor="text1"/>
          <w:sz w:val="24"/>
          <w:szCs w:val="24"/>
          <w:lang w:val="fr-BE" w:eastAsia="nl-BE"/>
        </w:rPr>
        <w:t xml:space="preserve">En novembre 2015 le gouvernement du Maroc a annoncé une série d’investissements afin de diversifier l’activité alors que la confédération générale des entreprises marocaines prévoyait une initiative de l’ordre de 609 millions de dollars d'investissements pour la région en mars 2015. Selon les chiffres annoncés par la Commission Nationale des Investissements lors de sa réunion de janvier </w:t>
      </w:r>
      <w:r w:rsidR="008A27BB">
        <w:rPr>
          <w:rFonts w:ascii="Times New Roman" w:eastAsia="MS Mincho" w:hAnsi="Times New Roman" w:cs="Times New Roman"/>
          <w:color w:val="000000" w:themeColor="text1"/>
          <w:sz w:val="24"/>
          <w:szCs w:val="24"/>
          <w:lang w:val="fr-BE" w:eastAsia="nl-BE"/>
        </w:rPr>
        <w:t xml:space="preserve">2018 </w:t>
      </w:r>
      <w:r w:rsidRPr="006F440A">
        <w:rPr>
          <w:rFonts w:ascii="Times New Roman" w:eastAsia="MS Mincho" w:hAnsi="Times New Roman" w:cs="Times New Roman"/>
          <w:color w:val="000000" w:themeColor="text1"/>
          <w:sz w:val="24"/>
          <w:szCs w:val="24"/>
          <w:lang w:val="fr-BE" w:eastAsia="nl-BE"/>
        </w:rPr>
        <w:t>sous l'autorité du Chef du Gouvernement, l'année 2018 devrait voir la majeure partie des investissements prévus par le Maroc se concentrer sur le S</w:t>
      </w:r>
      <w:r w:rsidR="008A27BB">
        <w:rPr>
          <w:rFonts w:ascii="Times New Roman" w:eastAsia="MS Mincho" w:hAnsi="Times New Roman" w:cs="Times New Roman"/>
          <w:color w:val="000000" w:themeColor="text1"/>
          <w:sz w:val="24"/>
          <w:szCs w:val="24"/>
          <w:lang w:val="fr-BE" w:eastAsia="nl-BE"/>
        </w:rPr>
        <w:t>ahara occidental</w:t>
      </w:r>
      <w:r w:rsidRPr="006F440A">
        <w:rPr>
          <w:rFonts w:ascii="Times New Roman" w:eastAsia="MS Mincho" w:hAnsi="Times New Roman" w:cs="Times New Roman"/>
          <w:color w:val="000000" w:themeColor="text1"/>
          <w:sz w:val="24"/>
          <w:szCs w:val="24"/>
          <w:lang w:val="fr-BE" w:eastAsia="nl-BE"/>
        </w:rPr>
        <w:t xml:space="preserve"> pour un montant avoisinant 1</w:t>
      </w:r>
      <w:r>
        <w:rPr>
          <w:rFonts w:ascii="Times New Roman" w:eastAsia="MS Mincho" w:hAnsi="Times New Roman" w:cs="Times New Roman"/>
          <w:color w:val="000000" w:themeColor="text1"/>
          <w:sz w:val="24"/>
          <w:szCs w:val="24"/>
          <w:lang w:val="fr-BE" w:eastAsia="nl-BE"/>
        </w:rPr>
        <w:t>,</w:t>
      </w:r>
      <w:r w:rsidRPr="006F440A">
        <w:rPr>
          <w:rFonts w:ascii="Times New Roman" w:eastAsia="MS Mincho" w:hAnsi="Times New Roman" w:cs="Times New Roman"/>
          <w:color w:val="000000" w:themeColor="text1"/>
          <w:sz w:val="24"/>
          <w:szCs w:val="24"/>
          <w:lang w:val="fr-BE" w:eastAsia="nl-BE"/>
        </w:rPr>
        <w:t xml:space="preserve">5 </w:t>
      </w:r>
      <w:r>
        <w:rPr>
          <w:rFonts w:ascii="Times New Roman" w:eastAsia="MS Mincho" w:hAnsi="Times New Roman" w:cs="Times New Roman"/>
          <w:color w:val="000000" w:themeColor="text1"/>
          <w:sz w:val="24"/>
          <w:szCs w:val="24"/>
          <w:lang w:val="fr-BE" w:eastAsia="nl-BE"/>
        </w:rPr>
        <w:t>milliard</w:t>
      </w:r>
      <w:r w:rsidRPr="006F440A">
        <w:rPr>
          <w:rFonts w:ascii="Times New Roman" w:eastAsia="MS Mincho" w:hAnsi="Times New Roman" w:cs="Times New Roman"/>
          <w:color w:val="000000" w:themeColor="text1"/>
          <w:sz w:val="24"/>
          <w:szCs w:val="24"/>
          <w:lang w:val="fr-BE" w:eastAsia="nl-BE"/>
        </w:rPr>
        <w:t xml:space="preserve"> d'</w:t>
      </w:r>
      <w:r w:rsidR="008A27BB">
        <w:rPr>
          <w:rFonts w:ascii="Times New Roman" w:eastAsia="MS Mincho" w:hAnsi="Times New Roman" w:cs="Times New Roman"/>
          <w:color w:val="000000" w:themeColor="text1"/>
          <w:sz w:val="24"/>
          <w:szCs w:val="24"/>
          <w:lang w:val="fr-BE" w:eastAsia="nl-BE"/>
        </w:rPr>
        <w:t>e</w:t>
      </w:r>
      <w:r w:rsidRPr="006F440A">
        <w:rPr>
          <w:rFonts w:ascii="Times New Roman" w:eastAsia="MS Mincho" w:hAnsi="Times New Roman" w:cs="Times New Roman"/>
          <w:color w:val="000000" w:themeColor="text1"/>
          <w:sz w:val="24"/>
          <w:szCs w:val="24"/>
          <w:lang w:val="fr-BE" w:eastAsia="nl-BE"/>
        </w:rPr>
        <w:t>uros et une création d'emploi</w:t>
      </w:r>
      <w:r>
        <w:rPr>
          <w:rFonts w:ascii="Times New Roman" w:eastAsia="MS Mincho" w:hAnsi="Times New Roman" w:cs="Times New Roman"/>
          <w:color w:val="000000" w:themeColor="text1"/>
          <w:sz w:val="24"/>
          <w:szCs w:val="24"/>
          <w:lang w:val="fr-BE" w:eastAsia="nl-BE"/>
        </w:rPr>
        <w:t>s</w:t>
      </w:r>
      <w:r w:rsidRPr="006F440A">
        <w:rPr>
          <w:rFonts w:ascii="Times New Roman" w:eastAsia="MS Mincho" w:hAnsi="Times New Roman" w:cs="Times New Roman"/>
          <w:color w:val="000000" w:themeColor="text1"/>
          <w:sz w:val="24"/>
          <w:szCs w:val="24"/>
          <w:lang w:val="fr-BE" w:eastAsia="nl-BE"/>
        </w:rPr>
        <w:t xml:space="preserve"> espérée proche de 3.000 postes.  </w:t>
      </w:r>
    </w:p>
    <w:p w:rsidR="009F2925" w:rsidRDefault="009F2925" w:rsidP="0084736B">
      <w:pPr>
        <w:widowControl w:val="0"/>
        <w:shd w:val="clear" w:color="auto" w:fill="FFFFFF"/>
        <w:spacing w:after="0" w:line="240" w:lineRule="auto"/>
        <w:rPr>
          <w:rFonts w:ascii="Verdana" w:eastAsia="Times New Roman" w:hAnsi="Verdana" w:cs="Arial"/>
          <w:color w:val="222222"/>
          <w:sz w:val="20"/>
          <w:szCs w:val="20"/>
          <w:lang w:val="fr-BE" w:eastAsia="en-GB"/>
        </w:rPr>
      </w:pPr>
    </w:p>
    <w:p w:rsidR="0069749B" w:rsidRPr="00CD68C4" w:rsidRDefault="0069749B" w:rsidP="0084736B">
      <w:pPr>
        <w:widowControl w:val="0"/>
        <w:shd w:val="clear" w:color="auto" w:fill="FFFFFF"/>
        <w:spacing w:after="0" w:line="240" w:lineRule="auto"/>
        <w:rPr>
          <w:rFonts w:ascii="Verdana" w:eastAsia="Times New Roman" w:hAnsi="Verdana" w:cs="Arial"/>
          <w:b/>
          <w:color w:val="FF0000"/>
          <w:sz w:val="20"/>
          <w:szCs w:val="20"/>
          <w:lang w:val="fr-FR" w:eastAsia="en-GB"/>
        </w:rPr>
      </w:pPr>
    </w:p>
    <w:p w:rsidR="0069749B" w:rsidRPr="003E3E81" w:rsidRDefault="0069749B" w:rsidP="00C04BAD">
      <w:pPr>
        <w:widowControl w:val="0"/>
        <w:shd w:val="clear" w:color="auto" w:fill="FFFFFF"/>
        <w:spacing w:after="0" w:line="240" w:lineRule="auto"/>
        <w:jc w:val="center"/>
        <w:rPr>
          <w:rFonts w:ascii="Verdana" w:eastAsia="Times New Roman" w:hAnsi="Verdana" w:cs="Arial"/>
          <w:sz w:val="20"/>
          <w:szCs w:val="20"/>
          <w:lang w:eastAsia="en-GB"/>
        </w:rPr>
      </w:pPr>
      <w:r w:rsidRPr="00CD68C4">
        <w:rPr>
          <w:rFonts w:ascii="Verdana" w:eastAsia="Times New Roman" w:hAnsi="Verdana" w:cs="Arial"/>
          <w:sz w:val="20"/>
          <w:szCs w:val="20"/>
          <w:lang w:val="fr-FR" w:eastAsia="en-GB"/>
        </w:rPr>
        <w:t>Investissements</w:t>
      </w:r>
      <w:r w:rsidRPr="003E3E81">
        <w:rPr>
          <w:rFonts w:ascii="Verdana" w:eastAsia="Times New Roman" w:hAnsi="Verdana" w:cs="Arial"/>
          <w:sz w:val="20"/>
          <w:szCs w:val="20"/>
          <w:lang w:eastAsia="en-GB"/>
        </w:rPr>
        <w:t xml:space="preserve"> 2018 du</w:t>
      </w:r>
      <w:r w:rsidRPr="00CD68C4">
        <w:rPr>
          <w:rFonts w:ascii="Verdana" w:eastAsia="Times New Roman" w:hAnsi="Verdana" w:cs="Arial"/>
          <w:sz w:val="20"/>
          <w:szCs w:val="20"/>
          <w:lang w:val="fr-FR" w:eastAsia="en-GB"/>
        </w:rPr>
        <w:t xml:space="preserve"> Maroc</w:t>
      </w:r>
      <w:r w:rsidRPr="003E3E81">
        <w:rPr>
          <w:rFonts w:ascii="Verdana" w:eastAsia="Times New Roman" w:hAnsi="Verdana" w:cs="Arial"/>
          <w:sz w:val="20"/>
          <w:szCs w:val="20"/>
          <w:lang w:eastAsia="en-GB"/>
        </w:rPr>
        <w:t xml:space="preserve"> </w:t>
      </w:r>
    </w:p>
    <w:p w:rsidR="00FF4565" w:rsidRDefault="0069749B" w:rsidP="00C04BAD">
      <w:pPr>
        <w:widowControl w:val="0"/>
        <w:shd w:val="clear" w:color="auto" w:fill="FFFFFF"/>
        <w:spacing w:after="0" w:line="240" w:lineRule="auto"/>
        <w:jc w:val="center"/>
        <w:rPr>
          <w:rFonts w:ascii="Verdana" w:eastAsia="Times New Roman" w:hAnsi="Verdana" w:cs="Arial"/>
          <w:color w:val="222222"/>
          <w:sz w:val="20"/>
          <w:szCs w:val="20"/>
          <w:lang w:eastAsia="en-GB"/>
        </w:rPr>
      </w:pPr>
      <w:r>
        <w:rPr>
          <w:rFonts w:ascii="Verdana" w:eastAsia="Times New Roman" w:hAnsi="Verdana" w:cs="Arial"/>
          <w:noProof/>
          <w:color w:val="222222"/>
          <w:sz w:val="20"/>
          <w:szCs w:val="20"/>
          <w:lang w:eastAsia="en-GB"/>
        </w:rPr>
        <w:drawing>
          <wp:inline distT="0" distB="0" distL="0" distR="0" wp14:anchorId="68F7E8E9" wp14:editId="09AF2716">
            <wp:extent cx="3592286" cy="266949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 investissements marocains 2018.jpg"/>
                    <pic:cNvPicPr/>
                  </pic:nvPicPr>
                  <pic:blipFill>
                    <a:blip r:embed="rId16">
                      <a:extLst>
                        <a:ext uri="{28A0092B-C50C-407E-A947-70E740481C1C}">
                          <a14:useLocalDpi xmlns:a14="http://schemas.microsoft.com/office/drawing/2010/main" val="0"/>
                        </a:ext>
                      </a:extLst>
                    </a:blip>
                    <a:stretch>
                      <a:fillRect/>
                    </a:stretch>
                  </pic:blipFill>
                  <pic:spPr>
                    <a:xfrm>
                      <a:off x="0" y="0"/>
                      <a:ext cx="3594427" cy="2671088"/>
                    </a:xfrm>
                    <a:prstGeom prst="rect">
                      <a:avLst/>
                    </a:prstGeom>
                  </pic:spPr>
                </pic:pic>
              </a:graphicData>
            </a:graphic>
          </wp:inline>
        </w:drawing>
      </w:r>
    </w:p>
    <w:p w:rsidR="0069749B" w:rsidRPr="00DB3D18" w:rsidRDefault="0069749B" w:rsidP="00C04BAD">
      <w:pPr>
        <w:widowControl w:val="0"/>
        <w:shd w:val="clear" w:color="auto" w:fill="FFFFFF"/>
        <w:spacing w:after="0" w:line="240" w:lineRule="auto"/>
        <w:jc w:val="center"/>
        <w:rPr>
          <w:rFonts w:ascii="Verdana" w:eastAsia="Times New Roman" w:hAnsi="Verdana" w:cs="Arial"/>
          <w:color w:val="222222"/>
          <w:sz w:val="20"/>
          <w:szCs w:val="20"/>
          <w:lang w:eastAsia="en-GB"/>
        </w:rPr>
      </w:pPr>
    </w:p>
    <w:p w:rsidR="005D04F1" w:rsidRPr="00801C89" w:rsidRDefault="003155B5" w:rsidP="0084736B">
      <w:pPr>
        <w:widowControl w:val="0"/>
        <w:shd w:val="clear" w:color="auto" w:fill="FFFFFF"/>
        <w:spacing w:after="0" w:line="240" w:lineRule="auto"/>
        <w:rPr>
          <w:rFonts w:ascii="Verdana" w:eastAsia="Times New Roman" w:hAnsi="Verdana" w:cs="Arial"/>
          <w:color w:val="222222"/>
          <w:sz w:val="20"/>
          <w:szCs w:val="20"/>
          <w:lang w:val="fr-BE" w:eastAsia="en-GB"/>
        </w:rPr>
      </w:pPr>
      <w:r w:rsidRPr="00801C89">
        <w:rPr>
          <w:rFonts w:ascii="Verdana" w:eastAsia="Times New Roman" w:hAnsi="Verdana" w:cs="Arial"/>
          <w:color w:val="222222"/>
          <w:sz w:val="20"/>
          <w:szCs w:val="20"/>
          <w:lang w:val="fr-BE" w:eastAsia="en-GB"/>
        </w:rPr>
        <w:t xml:space="preserve"> </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5D04F1" w:rsidRDefault="005D04F1"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6F440A">
        <w:rPr>
          <w:rFonts w:ascii="Times New Roman" w:eastAsia="MS Mincho" w:hAnsi="Times New Roman" w:cs="Times New Roman"/>
          <w:color w:val="000000" w:themeColor="text1"/>
          <w:sz w:val="24"/>
          <w:szCs w:val="24"/>
          <w:lang w:val="fr-BE" w:eastAsia="nl-BE"/>
        </w:rPr>
        <w:t xml:space="preserve">Les investissements déjà réalisés ou planifiés par le Maroc </w:t>
      </w:r>
      <w:r w:rsidR="008A27BB">
        <w:rPr>
          <w:rFonts w:ascii="Times New Roman" w:eastAsia="MS Mincho" w:hAnsi="Times New Roman" w:cs="Times New Roman"/>
          <w:color w:val="000000" w:themeColor="text1"/>
          <w:sz w:val="24"/>
          <w:szCs w:val="24"/>
          <w:lang w:val="fr-BE" w:eastAsia="nl-BE"/>
        </w:rPr>
        <w:t>dans le territoire</w:t>
      </w:r>
      <w:r w:rsidRPr="006F440A">
        <w:rPr>
          <w:rFonts w:ascii="Times New Roman" w:eastAsia="MS Mincho" w:hAnsi="Times New Roman" w:cs="Times New Roman"/>
          <w:color w:val="000000" w:themeColor="text1"/>
          <w:sz w:val="24"/>
          <w:szCs w:val="24"/>
          <w:lang w:val="fr-BE" w:eastAsia="nl-BE"/>
        </w:rPr>
        <w:t xml:space="preserve"> contrastent toutefois de manière notable avec le relatif effacement des investissements internationaux et l'attitude d'attentisme qui semble en entraver l'expansion. </w:t>
      </w:r>
    </w:p>
    <w:p w:rsidR="009F2925" w:rsidRDefault="009F2925"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0F6708" w:rsidRDefault="000F6708"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AB438A">
        <w:rPr>
          <w:rFonts w:ascii="Times New Roman" w:eastAsia="MS Mincho" w:hAnsi="Times New Roman" w:cs="Times New Roman"/>
          <w:color w:val="000000" w:themeColor="text1"/>
          <w:sz w:val="24"/>
          <w:szCs w:val="24"/>
          <w:lang w:val="fr-BE" w:eastAsia="nl-BE"/>
        </w:rPr>
        <w:t>Un argument majeur des opposants à la couverture du Sahara occidental par l’accord d’association est le fait que le Maroc multiplierait les investissements structurants dans le territoire avec comme but politique l’annexion par la transformation de l’identité du territoire. Il aurait à cette fin mis en œuvre une pratique administrative et économique d’ensemble</w:t>
      </w:r>
      <w:r w:rsidRPr="00AB438A">
        <w:rPr>
          <w:rStyle w:val="FootnoteReference"/>
          <w:rFonts w:ascii="Times New Roman" w:eastAsia="MS Mincho" w:hAnsi="Times New Roman" w:cs="Times New Roman"/>
          <w:color w:val="000000" w:themeColor="text1"/>
          <w:sz w:val="24"/>
          <w:szCs w:val="24"/>
          <w:lang w:val="fr-BE" w:eastAsia="nl-BE"/>
        </w:rPr>
        <w:footnoteReference w:id="17"/>
      </w:r>
      <w:r>
        <w:rPr>
          <w:rFonts w:ascii="Times New Roman" w:eastAsia="MS Mincho" w:hAnsi="Times New Roman" w:cs="Times New Roman"/>
          <w:color w:val="000000" w:themeColor="text1"/>
          <w:sz w:val="24"/>
          <w:szCs w:val="24"/>
          <w:lang w:val="fr-BE" w:eastAsia="nl-BE"/>
        </w:rPr>
        <w:t>.</w:t>
      </w:r>
      <w:r w:rsidRPr="00AB438A">
        <w:rPr>
          <w:rFonts w:ascii="Times New Roman" w:eastAsia="MS Mincho" w:hAnsi="Times New Roman" w:cs="Times New Roman"/>
          <w:color w:val="000000" w:themeColor="text1"/>
          <w:sz w:val="24"/>
          <w:szCs w:val="24"/>
          <w:lang w:val="fr-BE" w:eastAsia="nl-BE"/>
        </w:rPr>
        <w:t xml:space="preserve"> Dans ce sens, le Front Polisario qualifie l’exploitation des ressources naturelles du Sahara occidental sous contrôle marocain de « spoliation économique dont le but est la modification de la structure de la société sahraouie »</w:t>
      </w:r>
      <w:r w:rsidRPr="00AB438A">
        <w:rPr>
          <w:rStyle w:val="FootnoteReference"/>
          <w:rFonts w:ascii="Times New Roman" w:eastAsia="MS Mincho" w:hAnsi="Times New Roman" w:cs="Times New Roman"/>
          <w:color w:val="000000" w:themeColor="text1"/>
          <w:sz w:val="24"/>
          <w:szCs w:val="24"/>
          <w:lang w:val="fr-BE" w:eastAsia="nl-BE"/>
        </w:rPr>
        <w:footnoteReference w:id="18"/>
      </w:r>
      <w:r w:rsidR="0084736B">
        <w:rPr>
          <w:rFonts w:ascii="Times New Roman" w:eastAsia="MS Mincho" w:hAnsi="Times New Roman" w:cs="Times New Roman"/>
          <w:color w:val="000000" w:themeColor="text1"/>
          <w:sz w:val="24"/>
          <w:szCs w:val="24"/>
          <w:lang w:val="fr-BE" w:eastAsia="nl-BE"/>
        </w:rPr>
        <w:t>.</w:t>
      </w:r>
    </w:p>
    <w:p w:rsidR="0084736B" w:rsidRPr="00AB438A" w:rsidRDefault="0084736B"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0F6708" w:rsidRPr="00AB438A" w:rsidRDefault="000F6708"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AB438A">
        <w:rPr>
          <w:rFonts w:ascii="Times New Roman" w:eastAsia="MS Mincho" w:hAnsi="Times New Roman" w:cs="Times New Roman"/>
          <w:color w:val="000000" w:themeColor="text1"/>
          <w:sz w:val="24"/>
          <w:szCs w:val="24"/>
          <w:lang w:val="fr-BE" w:eastAsia="nl-BE"/>
        </w:rPr>
        <w:t xml:space="preserve">Dans le même sens, en ce qui concerne la population, il est soutenu que le Maroc a poursuivi une politique d’installation de </w:t>
      </w:r>
      <w:r w:rsidR="00AF781B">
        <w:rPr>
          <w:rFonts w:ascii="Times New Roman" w:eastAsia="MS Mincho" w:hAnsi="Times New Roman" w:cs="Times New Roman"/>
          <w:color w:val="000000" w:themeColor="text1"/>
          <w:sz w:val="24"/>
          <w:szCs w:val="24"/>
          <w:lang w:val="fr-BE" w:eastAsia="nl-BE"/>
        </w:rPr>
        <w:t>personnes provenant du Maroc</w:t>
      </w:r>
      <w:r w:rsidRPr="00AB438A">
        <w:rPr>
          <w:rFonts w:ascii="Times New Roman" w:eastAsia="MS Mincho" w:hAnsi="Times New Roman" w:cs="Times New Roman"/>
          <w:color w:val="000000" w:themeColor="text1"/>
          <w:sz w:val="24"/>
          <w:szCs w:val="24"/>
          <w:lang w:val="fr-BE" w:eastAsia="nl-BE"/>
        </w:rPr>
        <w:t xml:space="preserve"> au Sahara occidental au moyen de divers incitants. Ainsi, depuis 1975, des milliers de </w:t>
      </w:r>
      <w:r w:rsidR="00F27502">
        <w:rPr>
          <w:rFonts w:ascii="Times New Roman" w:eastAsia="MS Mincho" w:hAnsi="Times New Roman" w:cs="Times New Roman"/>
          <w:color w:val="000000" w:themeColor="text1"/>
          <w:sz w:val="24"/>
          <w:szCs w:val="24"/>
          <w:lang w:val="fr-BE" w:eastAsia="nl-BE"/>
        </w:rPr>
        <w:t>M</w:t>
      </w:r>
      <w:r w:rsidRPr="00AB438A">
        <w:rPr>
          <w:rFonts w:ascii="Times New Roman" w:eastAsia="MS Mincho" w:hAnsi="Times New Roman" w:cs="Times New Roman"/>
          <w:color w:val="000000" w:themeColor="text1"/>
          <w:sz w:val="24"/>
          <w:szCs w:val="24"/>
          <w:lang w:val="fr-BE" w:eastAsia="nl-BE"/>
        </w:rPr>
        <w:t>arocains se seraient installés au Sahara occidental avec pour résultat que le peuple sahraoui serait devenu une minorité sur son territoire. L’inclusion ou non de ce</w:t>
      </w:r>
      <w:r w:rsidR="00CE5EA4">
        <w:rPr>
          <w:rFonts w:ascii="Times New Roman" w:eastAsia="MS Mincho" w:hAnsi="Times New Roman" w:cs="Times New Roman"/>
          <w:color w:val="000000" w:themeColor="text1"/>
          <w:sz w:val="24"/>
          <w:szCs w:val="24"/>
          <w:lang w:val="fr-BE" w:eastAsia="nl-BE"/>
        </w:rPr>
        <w:t>tte population</w:t>
      </w:r>
      <w:r w:rsidRPr="00AB438A">
        <w:rPr>
          <w:rFonts w:ascii="Times New Roman" w:eastAsia="MS Mincho" w:hAnsi="Times New Roman" w:cs="Times New Roman"/>
          <w:color w:val="000000" w:themeColor="text1"/>
          <w:sz w:val="24"/>
          <w:szCs w:val="24"/>
          <w:lang w:val="fr-BE" w:eastAsia="nl-BE"/>
        </w:rPr>
        <w:t xml:space="preserve"> dans la notion de « peuple du Sahara occidental » ou « population locale » aurait bien sûr des conséquences évidentes sur un futur référendum sur le statut du Sahara </w:t>
      </w:r>
      <w:r w:rsidR="00CE2C00" w:rsidRPr="00AB438A">
        <w:rPr>
          <w:rFonts w:ascii="Times New Roman" w:eastAsia="MS Mincho" w:hAnsi="Times New Roman" w:cs="Times New Roman"/>
          <w:color w:val="000000" w:themeColor="text1"/>
          <w:sz w:val="24"/>
          <w:szCs w:val="24"/>
          <w:lang w:val="fr-BE" w:eastAsia="nl-BE"/>
        </w:rPr>
        <w:t>occidental</w:t>
      </w:r>
      <w:r w:rsidRPr="00AB438A">
        <w:rPr>
          <w:rStyle w:val="FootnoteReference"/>
          <w:rFonts w:ascii="Times New Roman" w:eastAsia="MS Mincho" w:hAnsi="Times New Roman" w:cs="Times New Roman"/>
          <w:color w:val="000000" w:themeColor="text1"/>
          <w:sz w:val="24"/>
          <w:szCs w:val="24"/>
          <w:lang w:val="fr-BE" w:eastAsia="nl-BE"/>
        </w:rPr>
        <w:footnoteReference w:id="19"/>
      </w:r>
      <w:r w:rsidRPr="00AB438A">
        <w:rPr>
          <w:rFonts w:ascii="Times New Roman" w:eastAsia="MS Mincho" w:hAnsi="Times New Roman" w:cs="Times New Roman"/>
          <w:color w:val="000000" w:themeColor="text1"/>
          <w:sz w:val="24"/>
          <w:szCs w:val="24"/>
          <w:lang w:val="fr-BE" w:eastAsia="nl-BE"/>
        </w:rPr>
        <w:t>.</w:t>
      </w:r>
    </w:p>
    <w:p w:rsidR="0084736B" w:rsidRDefault="0084736B"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F23392" w:rsidRPr="00F23392" w:rsidRDefault="00F23392" w:rsidP="00F23392">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F23392">
        <w:rPr>
          <w:rFonts w:ascii="Times New Roman" w:eastAsia="MS Mincho" w:hAnsi="Times New Roman" w:cs="Times New Roman"/>
          <w:color w:val="000000" w:themeColor="text1"/>
          <w:sz w:val="24"/>
          <w:szCs w:val="24"/>
          <w:lang w:val="fr-BE" w:eastAsia="nl-BE"/>
        </w:rPr>
        <w:t xml:space="preserve">Le premier argument ne concerne pas en fait l’objet du présent rapport : il porte sur un aspect de politique générale, mais pas directement sur la question </w:t>
      </w:r>
      <w:r w:rsidR="00A40D7A">
        <w:rPr>
          <w:rFonts w:ascii="Times New Roman" w:eastAsia="MS Mincho" w:hAnsi="Times New Roman" w:cs="Times New Roman"/>
          <w:color w:val="000000" w:themeColor="text1"/>
          <w:sz w:val="24"/>
          <w:szCs w:val="24"/>
          <w:lang w:val="fr-BE" w:eastAsia="nl-BE"/>
        </w:rPr>
        <w:t xml:space="preserve">de l’extension des préférences </w:t>
      </w:r>
      <w:r w:rsidRPr="00F23392">
        <w:rPr>
          <w:rFonts w:ascii="Times New Roman" w:eastAsia="MS Mincho" w:hAnsi="Times New Roman" w:cs="Times New Roman"/>
          <w:color w:val="000000" w:themeColor="text1"/>
          <w:sz w:val="24"/>
          <w:szCs w:val="24"/>
          <w:lang w:val="fr-BE" w:eastAsia="nl-BE"/>
        </w:rPr>
        <w:t xml:space="preserve">tarifaires prévues par l’accord d’association UE-Maroc aux produits du Sahara occidental. Il est vrai que toute activité de production implique l'utilisation de ressources naturelles; toutefois, cela ne peut pas entraîner a priori l’interdiction de toute activité économique car sinon, c’est toute possibilité de développement économique qui serait prohibée. Lors de la consultation d’opérateurs économiques du Sahara occidental en février 2018, plusieurs interlocuteurs ont fait valoir que la population avait un droit au développement et qu’il n’était pas raisonnable d’attendre une solution au </w:t>
      </w:r>
      <w:r w:rsidR="008E5625">
        <w:rPr>
          <w:rFonts w:ascii="Times New Roman" w:eastAsia="MS Mincho" w:hAnsi="Times New Roman" w:cs="Times New Roman"/>
          <w:color w:val="000000" w:themeColor="text1"/>
          <w:sz w:val="24"/>
          <w:szCs w:val="24"/>
          <w:lang w:val="fr-BE" w:eastAsia="nl-BE"/>
        </w:rPr>
        <w:t>différend</w:t>
      </w:r>
      <w:r w:rsidRPr="00F23392">
        <w:rPr>
          <w:rFonts w:ascii="Times New Roman" w:eastAsia="MS Mincho" w:hAnsi="Times New Roman" w:cs="Times New Roman"/>
          <w:color w:val="000000" w:themeColor="text1"/>
          <w:sz w:val="24"/>
          <w:szCs w:val="24"/>
          <w:lang w:val="fr-BE" w:eastAsia="nl-BE"/>
        </w:rPr>
        <w:t xml:space="preserve"> dans le cadre onusien pour permettre un tel développement. Une telle approche reviendrait en effet à un gel de toute activité sur le territoire et serait assimilable à une sanction contre les populations locales. </w:t>
      </w:r>
    </w:p>
    <w:p w:rsidR="0084736B" w:rsidRDefault="0084736B" w:rsidP="0084736B">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0C740F" w:rsidRPr="000C740F" w:rsidRDefault="000C740F" w:rsidP="000C740F">
      <w:pPr>
        <w:widowControl w:val="0"/>
        <w:spacing w:after="0" w:line="240" w:lineRule="auto"/>
        <w:jc w:val="both"/>
        <w:rPr>
          <w:rFonts w:ascii="Times New Roman" w:eastAsia="MS Mincho" w:hAnsi="Times New Roman" w:cs="Times New Roman"/>
          <w:color w:val="000000" w:themeColor="text1"/>
          <w:sz w:val="24"/>
          <w:szCs w:val="24"/>
          <w:lang w:val="fr-BE" w:eastAsia="nl-BE"/>
        </w:rPr>
      </w:pPr>
      <w:r w:rsidRPr="000C740F">
        <w:rPr>
          <w:rFonts w:ascii="Times New Roman" w:eastAsia="MS Mincho" w:hAnsi="Times New Roman" w:cs="Times New Roman"/>
          <w:color w:val="000000" w:themeColor="text1"/>
          <w:sz w:val="24"/>
          <w:szCs w:val="24"/>
          <w:lang w:val="fr-BE" w:eastAsia="nl-BE"/>
        </w:rPr>
        <w:t>En ce qui concerne le second argument, il est vrai que</w:t>
      </w:r>
      <w:r w:rsidR="00CE5EA4">
        <w:rPr>
          <w:rFonts w:ascii="Times New Roman" w:eastAsia="MS Mincho" w:hAnsi="Times New Roman" w:cs="Times New Roman"/>
          <w:color w:val="000000" w:themeColor="text1"/>
          <w:sz w:val="24"/>
          <w:szCs w:val="24"/>
          <w:lang w:val="fr-BE" w:eastAsia="nl-BE"/>
        </w:rPr>
        <w:t xml:space="preserve">, </w:t>
      </w:r>
      <w:r w:rsidR="00F27502">
        <w:rPr>
          <w:rFonts w:ascii="Times New Roman" w:eastAsia="MS Mincho" w:hAnsi="Times New Roman" w:cs="Times New Roman"/>
          <w:color w:val="000000" w:themeColor="text1"/>
          <w:sz w:val="24"/>
          <w:szCs w:val="24"/>
          <w:lang w:val="fr-BE" w:eastAsia="nl-BE"/>
        </w:rPr>
        <w:t>en raison de</w:t>
      </w:r>
      <w:r w:rsidR="00CE5EA4">
        <w:rPr>
          <w:rFonts w:ascii="Times New Roman" w:eastAsia="MS Mincho" w:hAnsi="Times New Roman" w:cs="Times New Roman"/>
          <w:color w:val="000000" w:themeColor="text1"/>
          <w:sz w:val="24"/>
          <w:szCs w:val="24"/>
          <w:lang w:val="fr-BE" w:eastAsia="nl-BE"/>
        </w:rPr>
        <w:t xml:space="preserve"> l´impasse du contentieux,</w:t>
      </w:r>
      <w:r w:rsidRPr="000C740F">
        <w:rPr>
          <w:rFonts w:ascii="Times New Roman" w:eastAsia="MS Mincho" w:hAnsi="Times New Roman" w:cs="Times New Roman"/>
          <w:color w:val="000000" w:themeColor="text1"/>
          <w:sz w:val="24"/>
          <w:szCs w:val="24"/>
          <w:lang w:val="fr-BE" w:eastAsia="nl-BE"/>
        </w:rPr>
        <w:t xml:space="preserve"> le</w:t>
      </w:r>
      <w:r w:rsidR="00CE5EA4">
        <w:rPr>
          <w:rFonts w:ascii="Times New Roman" w:eastAsia="MS Mincho" w:hAnsi="Times New Roman" w:cs="Times New Roman"/>
          <w:color w:val="000000" w:themeColor="text1"/>
          <w:sz w:val="24"/>
          <w:szCs w:val="24"/>
          <w:lang w:val="fr-BE" w:eastAsia="nl-BE"/>
        </w:rPr>
        <w:t xml:space="preserve">s </w:t>
      </w:r>
      <w:r w:rsidRPr="000C740F">
        <w:rPr>
          <w:rFonts w:ascii="Times New Roman" w:eastAsia="MS Mincho" w:hAnsi="Times New Roman" w:cs="Times New Roman"/>
          <w:color w:val="000000" w:themeColor="text1"/>
          <w:sz w:val="24"/>
          <w:szCs w:val="24"/>
          <w:lang w:val="fr-BE" w:eastAsia="nl-BE"/>
        </w:rPr>
        <w:t xml:space="preserve">populations </w:t>
      </w:r>
      <w:r w:rsidR="00CE5EA4">
        <w:rPr>
          <w:rFonts w:ascii="Times New Roman" w:eastAsia="MS Mincho" w:hAnsi="Times New Roman" w:cs="Times New Roman"/>
          <w:color w:val="000000" w:themeColor="text1"/>
          <w:sz w:val="24"/>
          <w:szCs w:val="24"/>
          <w:lang w:val="fr-BE" w:eastAsia="nl-BE"/>
        </w:rPr>
        <w:t>du</w:t>
      </w:r>
      <w:r w:rsidRPr="000C740F">
        <w:rPr>
          <w:rFonts w:ascii="Times New Roman" w:eastAsia="MS Mincho" w:hAnsi="Times New Roman" w:cs="Times New Roman"/>
          <w:color w:val="000000" w:themeColor="text1"/>
          <w:sz w:val="24"/>
          <w:szCs w:val="24"/>
          <w:lang w:val="fr-BE" w:eastAsia="nl-BE"/>
        </w:rPr>
        <w:t xml:space="preserve"> Maroc </w:t>
      </w:r>
      <w:r w:rsidR="00CE5EA4">
        <w:rPr>
          <w:rFonts w:ascii="Times New Roman" w:eastAsia="MS Mincho" w:hAnsi="Times New Roman" w:cs="Times New Roman"/>
          <w:color w:val="000000" w:themeColor="text1"/>
          <w:sz w:val="24"/>
          <w:szCs w:val="24"/>
          <w:lang w:val="fr-BE" w:eastAsia="nl-BE"/>
        </w:rPr>
        <w:t xml:space="preserve">se sont </w:t>
      </w:r>
      <w:r w:rsidR="00A9456E">
        <w:rPr>
          <w:rFonts w:ascii="Times New Roman" w:eastAsia="MS Mincho" w:hAnsi="Times New Roman" w:cs="Times New Roman"/>
          <w:color w:val="000000" w:themeColor="text1"/>
          <w:sz w:val="24"/>
          <w:szCs w:val="24"/>
          <w:lang w:val="fr-BE" w:eastAsia="nl-BE"/>
        </w:rPr>
        <w:t>mélangées</w:t>
      </w:r>
      <w:r w:rsidR="00CE5EA4">
        <w:rPr>
          <w:rFonts w:ascii="Times New Roman" w:eastAsia="MS Mincho" w:hAnsi="Times New Roman" w:cs="Times New Roman"/>
          <w:color w:val="000000" w:themeColor="text1"/>
          <w:sz w:val="24"/>
          <w:szCs w:val="24"/>
          <w:lang w:val="fr-BE" w:eastAsia="nl-BE"/>
        </w:rPr>
        <w:t xml:space="preserve"> </w:t>
      </w:r>
      <w:r w:rsidR="00A9456E">
        <w:rPr>
          <w:rFonts w:ascii="Times New Roman" w:eastAsia="MS Mincho" w:hAnsi="Times New Roman" w:cs="Times New Roman"/>
          <w:color w:val="000000" w:themeColor="text1"/>
          <w:sz w:val="24"/>
          <w:szCs w:val="24"/>
          <w:lang w:val="fr-BE" w:eastAsia="nl-BE"/>
        </w:rPr>
        <w:t>avec la population originaire d</w:t>
      </w:r>
      <w:r w:rsidRPr="000C740F">
        <w:rPr>
          <w:rFonts w:ascii="Times New Roman" w:eastAsia="MS Mincho" w:hAnsi="Times New Roman" w:cs="Times New Roman"/>
          <w:color w:val="000000" w:themeColor="text1"/>
          <w:sz w:val="24"/>
          <w:szCs w:val="24"/>
          <w:lang w:val="fr-BE" w:eastAsia="nl-BE"/>
        </w:rPr>
        <w:t xml:space="preserve">u Sahara occidental, ce qui naturellement modifie la structure de la population du territoire. Toutefois, cela ne permet pas de préjuger de la population qui </w:t>
      </w:r>
      <w:r w:rsidR="00C5202A" w:rsidRPr="00C5202A">
        <w:rPr>
          <w:rFonts w:ascii="Times New Roman" w:eastAsia="Arial Unicode MS" w:hAnsi="Times New Roman" w:cs="Times New Roman"/>
          <w:sz w:val="24"/>
          <w:szCs w:val="24"/>
          <w:bdr w:val="nil"/>
          <w:lang w:val="fr-BE"/>
        </w:rPr>
        <w:t xml:space="preserve">pourrait effectivement être </w:t>
      </w:r>
      <w:r w:rsidRPr="000C740F">
        <w:rPr>
          <w:rFonts w:ascii="Times New Roman" w:eastAsia="MS Mincho" w:hAnsi="Times New Roman" w:cs="Times New Roman"/>
          <w:color w:val="000000" w:themeColor="text1"/>
          <w:sz w:val="24"/>
          <w:szCs w:val="24"/>
          <w:lang w:val="fr-BE" w:eastAsia="nl-BE"/>
        </w:rPr>
        <w:t>consultée lors d’un référendum sur le statut du territoire. Par ailleurs, s’il est incontestable qu’une partie non-négligeable de la population sahraouie vit en dehors du territoire du Sahara occidental</w:t>
      </w:r>
      <w:r w:rsidR="000476A2">
        <w:rPr>
          <w:rStyle w:val="FootnoteReference"/>
          <w:rFonts w:ascii="Times New Roman" w:eastAsia="MS Mincho" w:hAnsi="Times New Roman" w:cs="Times New Roman"/>
          <w:color w:val="000000" w:themeColor="text1"/>
          <w:sz w:val="24"/>
          <w:szCs w:val="24"/>
          <w:lang w:val="fr-BE" w:eastAsia="nl-BE"/>
        </w:rPr>
        <w:footnoteReference w:id="20"/>
      </w:r>
      <w:r>
        <w:rPr>
          <w:rFonts w:ascii="Times New Roman" w:eastAsia="MS Mincho" w:hAnsi="Times New Roman" w:cs="Times New Roman"/>
          <w:color w:val="000000" w:themeColor="text1"/>
          <w:sz w:val="24"/>
          <w:szCs w:val="24"/>
          <w:lang w:val="fr-BE" w:eastAsia="nl-BE"/>
        </w:rPr>
        <w:t>,</w:t>
      </w:r>
      <w:r w:rsidRPr="000C740F">
        <w:rPr>
          <w:rFonts w:ascii="Times New Roman" w:eastAsia="MS Mincho" w:hAnsi="Times New Roman" w:cs="Times New Roman"/>
          <w:color w:val="000000" w:themeColor="text1"/>
          <w:sz w:val="24"/>
          <w:szCs w:val="24"/>
          <w:lang w:val="fr-BE" w:eastAsia="nl-BE"/>
        </w:rPr>
        <w:t xml:space="preserve"> </w:t>
      </w:r>
      <w:r>
        <w:rPr>
          <w:rFonts w:ascii="Times New Roman" w:eastAsia="MS Mincho" w:hAnsi="Times New Roman" w:cs="Times New Roman"/>
          <w:color w:val="000000" w:themeColor="text1"/>
          <w:sz w:val="24"/>
          <w:szCs w:val="24"/>
          <w:lang w:val="fr-BE" w:eastAsia="nl-BE"/>
        </w:rPr>
        <w:t>i</w:t>
      </w:r>
      <w:r w:rsidRPr="000C740F">
        <w:rPr>
          <w:rFonts w:ascii="Times New Roman" w:eastAsia="MS Mincho" w:hAnsi="Times New Roman" w:cs="Times New Roman"/>
          <w:color w:val="000000" w:themeColor="text1"/>
          <w:sz w:val="24"/>
          <w:szCs w:val="24"/>
          <w:lang w:val="fr-BE" w:eastAsia="nl-BE"/>
        </w:rPr>
        <w:t>l est également incontestable qu’une partie importante de cette population vit sur ce territoire. Cette population a le droit de revendiquer sa participation au processus de développement économique.</w:t>
      </w:r>
    </w:p>
    <w:p w:rsidR="000C740F" w:rsidRDefault="000C740F" w:rsidP="0084736B">
      <w:pPr>
        <w:widowControl w:val="0"/>
        <w:spacing w:after="0" w:line="240" w:lineRule="auto"/>
        <w:jc w:val="both"/>
        <w:rPr>
          <w:rFonts w:ascii="Times New Roman" w:eastAsia="Times New Roman" w:hAnsi="Times New Roman" w:cs="Times New Roman"/>
          <w:sz w:val="24"/>
          <w:szCs w:val="20"/>
          <w:lang w:val="fr-BE"/>
        </w:rPr>
      </w:pPr>
    </w:p>
    <w:p w:rsidR="001400EC" w:rsidRDefault="00F23392"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C</w:t>
      </w:r>
      <w:r w:rsidRPr="00F34A4D">
        <w:rPr>
          <w:rFonts w:ascii="Times New Roman" w:eastAsia="Times New Roman" w:hAnsi="Times New Roman" w:cs="Times New Roman"/>
          <w:sz w:val="24"/>
          <w:szCs w:val="20"/>
          <w:lang w:val="fr-BE"/>
        </w:rPr>
        <w:t>ompte</w:t>
      </w:r>
      <w:r w:rsidR="005D04F1" w:rsidRPr="00F34A4D">
        <w:rPr>
          <w:rFonts w:ascii="Times New Roman" w:eastAsia="Times New Roman" w:hAnsi="Times New Roman" w:cs="Times New Roman"/>
          <w:sz w:val="24"/>
          <w:szCs w:val="20"/>
          <w:lang w:val="fr-BE"/>
        </w:rPr>
        <w:t xml:space="preserve"> tenu de la faible population, le modèle économique de développement </w:t>
      </w:r>
      <w:r w:rsidR="005D04F1">
        <w:rPr>
          <w:rFonts w:ascii="Times New Roman" w:eastAsia="Times New Roman" w:hAnsi="Times New Roman" w:cs="Times New Roman"/>
          <w:sz w:val="24"/>
          <w:szCs w:val="20"/>
          <w:lang w:val="fr-BE"/>
        </w:rPr>
        <w:t>du</w:t>
      </w:r>
      <w:r w:rsidR="005D04F1" w:rsidRPr="00F34A4D">
        <w:rPr>
          <w:rFonts w:ascii="Times New Roman" w:eastAsia="Times New Roman" w:hAnsi="Times New Roman" w:cs="Times New Roman"/>
          <w:sz w:val="24"/>
          <w:szCs w:val="20"/>
          <w:lang w:val="fr-BE"/>
        </w:rPr>
        <w:t xml:space="preserve"> territoire est fondé </w:t>
      </w:r>
      <w:r w:rsidR="005D04F1">
        <w:rPr>
          <w:rFonts w:ascii="Times New Roman" w:eastAsia="Times New Roman" w:hAnsi="Times New Roman" w:cs="Times New Roman"/>
          <w:sz w:val="24"/>
          <w:szCs w:val="20"/>
          <w:lang w:val="fr-BE"/>
        </w:rPr>
        <w:t xml:space="preserve">largement </w:t>
      </w:r>
      <w:r w:rsidR="005D04F1" w:rsidRPr="00F34A4D">
        <w:rPr>
          <w:rFonts w:ascii="Times New Roman" w:eastAsia="Times New Roman" w:hAnsi="Times New Roman" w:cs="Times New Roman"/>
          <w:sz w:val="24"/>
          <w:szCs w:val="20"/>
          <w:lang w:val="fr-BE"/>
        </w:rPr>
        <w:t>sur le développement d</w:t>
      </w:r>
      <w:r w:rsidR="005D04F1">
        <w:rPr>
          <w:rFonts w:ascii="Times New Roman" w:eastAsia="Times New Roman" w:hAnsi="Times New Roman" w:cs="Times New Roman"/>
          <w:sz w:val="24"/>
          <w:szCs w:val="20"/>
          <w:lang w:val="fr-BE"/>
        </w:rPr>
        <w:t>'un nombre réduit de produits</w:t>
      </w:r>
      <w:r w:rsidR="005D04F1" w:rsidRPr="00F34A4D">
        <w:rPr>
          <w:rFonts w:ascii="Times New Roman" w:eastAsia="Times New Roman" w:hAnsi="Times New Roman" w:cs="Times New Roman"/>
          <w:sz w:val="24"/>
          <w:szCs w:val="20"/>
          <w:lang w:val="fr-BE"/>
        </w:rPr>
        <w:t xml:space="preserve"> </w:t>
      </w:r>
      <w:r w:rsidR="005D04F1">
        <w:rPr>
          <w:rFonts w:ascii="Times New Roman" w:eastAsia="Times New Roman" w:hAnsi="Times New Roman" w:cs="Times New Roman"/>
          <w:sz w:val="24"/>
          <w:szCs w:val="20"/>
          <w:lang w:val="fr-BE"/>
        </w:rPr>
        <w:t>d'</w:t>
      </w:r>
      <w:r w:rsidR="005D04F1" w:rsidRPr="00F34A4D">
        <w:rPr>
          <w:rFonts w:ascii="Times New Roman" w:eastAsia="Times New Roman" w:hAnsi="Times New Roman" w:cs="Times New Roman"/>
          <w:sz w:val="24"/>
          <w:szCs w:val="20"/>
          <w:lang w:val="fr-BE"/>
        </w:rPr>
        <w:t xml:space="preserve">exportation. Afin d'évaluer les bénéfices de l'accord pour les populations concernées, il convient d'étudier en détail </w:t>
      </w:r>
      <w:r w:rsidR="005D04F1">
        <w:rPr>
          <w:rFonts w:ascii="Times New Roman" w:eastAsia="Times New Roman" w:hAnsi="Times New Roman" w:cs="Times New Roman"/>
          <w:sz w:val="24"/>
          <w:szCs w:val="20"/>
          <w:lang w:val="fr-BE"/>
        </w:rPr>
        <w:t>l’impact de l’accord proposé sur les principaux secteurs d’exportation</w:t>
      </w:r>
      <w:r w:rsidR="000F6708">
        <w:rPr>
          <w:rFonts w:ascii="Times New Roman" w:eastAsia="Times New Roman" w:hAnsi="Times New Roman" w:cs="Times New Roman"/>
          <w:sz w:val="24"/>
          <w:szCs w:val="20"/>
          <w:lang w:val="fr-BE"/>
        </w:rPr>
        <w:t>, actuels et potentiels,</w:t>
      </w:r>
      <w:r w:rsidR="005D04F1">
        <w:rPr>
          <w:rFonts w:ascii="Times New Roman" w:eastAsia="Times New Roman" w:hAnsi="Times New Roman" w:cs="Times New Roman"/>
          <w:sz w:val="24"/>
          <w:szCs w:val="20"/>
          <w:lang w:val="fr-BE"/>
        </w:rPr>
        <w:t xml:space="preserve"> de produits originaires du Sahara occidental.</w:t>
      </w:r>
    </w:p>
    <w:p w:rsidR="00EC0103" w:rsidRPr="00514E29" w:rsidRDefault="00514E29" w:rsidP="00514E29">
      <w:pPr>
        <w:pStyle w:val="Heading2"/>
        <w:rPr>
          <w:rFonts w:eastAsia="Calibri"/>
          <w:lang w:val="fr-FR"/>
        </w:rPr>
      </w:pPr>
      <w:bookmarkStart w:id="17" w:name="_Toc514257467"/>
      <w:r>
        <w:rPr>
          <w:rFonts w:eastAsia="Calibri"/>
          <w:lang w:val="fr-FR"/>
        </w:rPr>
        <w:t>Intérêts pour l</w:t>
      </w:r>
      <w:r w:rsidR="00292E1B">
        <w:rPr>
          <w:rFonts w:eastAsia="Calibri"/>
          <w:lang w:val="fr-FR"/>
        </w:rPr>
        <w:t xml:space="preserve">es </w:t>
      </w:r>
      <w:r>
        <w:rPr>
          <w:rFonts w:eastAsia="Calibri"/>
          <w:lang w:val="fr-FR"/>
        </w:rPr>
        <w:t>p</w:t>
      </w:r>
      <w:r w:rsidR="00292E1B" w:rsidRPr="00514E29">
        <w:rPr>
          <w:rFonts w:eastAsia="Calibri"/>
          <w:lang w:val="fr-FR"/>
        </w:rPr>
        <w:t xml:space="preserve">rincipaux secteurs </w:t>
      </w:r>
      <w:r w:rsidRPr="00514E29">
        <w:rPr>
          <w:rFonts w:eastAsia="Calibri"/>
          <w:lang w:val="fr-FR"/>
        </w:rPr>
        <w:t>économiques</w:t>
      </w:r>
      <w:r>
        <w:rPr>
          <w:rFonts w:eastAsia="Calibri"/>
          <w:lang w:val="fr-FR"/>
        </w:rPr>
        <w:t xml:space="preserve"> d’</w:t>
      </w:r>
      <w:r w:rsidR="00292E1B" w:rsidRPr="00514E29">
        <w:rPr>
          <w:rFonts w:eastAsia="Calibri"/>
          <w:lang w:val="fr-FR"/>
        </w:rPr>
        <w:t>exportat</w:t>
      </w:r>
      <w:r>
        <w:rPr>
          <w:rFonts w:eastAsia="Calibri"/>
          <w:lang w:val="fr-FR"/>
        </w:rPr>
        <w:t>ion</w:t>
      </w:r>
      <w:bookmarkEnd w:id="17"/>
    </w:p>
    <w:p w:rsidR="0039572E" w:rsidRDefault="002D7D5B" w:rsidP="00FC36AF">
      <w:pPr>
        <w:pStyle w:val="Heading3"/>
        <w:rPr>
          <w:rFonts w:eastAsia="Calibri"/>
          <w:lang w:val="fr-FR"/>
        </w:rPr>
      </w:pPr>
      <w:bookmarkStart w:id="18" w:name="_Toc514257468"/>
      <w:r w:rsidRPr="00C04BAD">
        <w:rPr>
          <w:rFonts w:eastAsia="Calibri"/>
          <w:lang w:val="fr-FR"/>
        </w:rPr>
        <w:t>L</w:t>
      </w:r>
      <w:r w:rsidR="00E34A7F" w:rsidRPr="00C04BAD">
        <w:rPr>
          <w:rFonts w:eastAsia="Calibri"/>
          <w:lang w:val="fr-FR"/>
        </w:rPr>
        <w:t>e secteur agricole</w:t>
      </w:r>
      <w:bookmarkEnd w:id="18"/>
    </w:p>
    <w:p w:rsidR="002D7D5B" w:rsidRPr="00C04BAD" w:rsidRDefault="0039572E" w:rsidP="00FC36AF">
      <w:pPr>
        <w:pStyle w:val="Heading4"/>
        <w:rPr>
          <w:rFonts w:ascii="Times New Roman" w:eastAsia="Calibri" w:hAnsi="Times New Roman" w:cs="Times New Roman"/>
          <w:smallCaps/>
          <w:sz w:val="24"/>
          <w:lang w:val="fr-FR"/>
        </w:rPr>
      </w:pPr>
      <w:bookmarkStart w:id="19" w:name="_Toc511381546"/>
      <w:r w:rsidRPr="00C04BAD">
        <w:rPr>
          <w:rFonts w:eastAsia="Calibri"/>
          <w:lang w:val="fr-FR" w:eastAsia="fr-FR"/>
        </w:rPr>
        <w:t>Introduction</w:t>
      </w:r>
      <w:bookmarkEnd w:id="19"/>
    </w:p>
    <w:p w:rsidR="00FC36AF" w:rsidRDefault="00FC36AF" w:rsidP="00F23392">
      <w:pPr>
        <w:widowControl w:val="0"/>
        <w:spacing w:after="0" w:line="240" w:lineRule="auto"/>
        <w:jc w:val="both"/>
        <w:rPr>
          <w:rFonts w:ascii="Times New Roman" w:eastAsia="Calibri" w:hAnsi="Times New Roman" w:cs="Times New Roman"/>
          <w:sz w:val="24"/>
          <w:lang w:val="fr-BE" w:eastAsia="fr-FR"/>
        </w:rPr>
      </w:pPr>
      <w:bookmarkStart w:id="20" w:name="_Toc511381270"/>
      <w:bookmarkStart w:id="21" w:name="_Toc511381547"/>
      <w:bookmarkStart w:id="22" w:name="_Toc511381271"/>
      <w:bookmarkStart w:id="23" w:name="_Toc511381548"/>
      <w:bookmarkEnd w:id="20"/>
      <w:bookmarkEnd w:id="21"/>
      <w:bookmarkEnd w:id="22"/>
      <w:bookmarkEnd w:id="23"/>
    </w:p>
    <w:p w:rsidR="00F23392" w:rsidRPr="00F23392" w:rsidRDefault="00F23392" w:rsidP="00F23392">
      <w:pPr>
        <w:widowControl w:val="0"/>
        <w:spacing w:after="0" w:line="240" w:lineRule="auto"/>
        <w:jc w:val="both"/>
        <w:rPr>
          <w:rFonts w:ascii="Times New Roman" w:eastAsia="Calibri" w:hAnsi="Times New Roman" w:cs="Times New Roman"/>
          <w:sz w:val="24"/>
          <w:lang w:val="fr-FR" w:eastAsia="fr-FR"/>
        </w:rPr>
      </w:pPr>
      <w:r w:rsidRPr="00F66BAF">
        <w:rPr>
          <w:rFonts w:ascii="Times New Roman" w:eastAsia="Calibri" w:hAnsi="Times New Roman" w:cs="Times New Roman"/>
          <w:sz w:val="24"/>
          <w:lang w:val="fr-BE" w:eastAsia="fr-FR"/>
        </w:rPr>
        <w:t>É</w:t>
      </w:r>
      <w:r w:rsidRPr="00F23392">
        <w:rPr>
          <w:rFonts w:ascii="Times New Roman" w:eastAsia="Calibri" w:hAnsi="Times New Roman" w:cs="Times New Roman"/>
          <w:sz w:val="24"/>
          <w:lang w:val="fr-FR" w:eastAsia="fr-FR"/>
        </w:rPr>
        <w:t>tant donné la topographie de la région, la production agricole du Sahara occidental est tournée vers un nombre limité de filières de production. De par sa nature désertique, la région est orientée vers l'élevage (principalement camelin, caprin et ovin); cette activité est favorisée par le développement de terrains de parcours et la demande locale pour les produits d'origine animale issus de l'élevage. Il convient de souligner que les produits d'origine animale produits au Sahara occidental ne remplissent pas encore les normes sanitaires leur permettant l'accès au marché européen, ce qui explique qu'il n'y ait pas d'exportation de ce type de produits vers l'U</w:t>
      </w:r>
      <w:r w:rsidR="007A2DFC">
        <w:rPr>
          <w:rFonts w:ascii="Times New Roman" w:eastAsia="Calibri" w:hAnsi="Times New Roman" w:cs="Times New Roman"/>
          <w:sz w:val="24"/>
          <w:lang w:val="fr-FR" w:eastAsia="fr-FR"/>
        </w:rPr>
        <w:t>nion européenne</w:t>
      </w:r>
      <w:r w:rsidRPr="00F23392">
        <w:rPr>
          <w:rFonts w:ascii="Times New Roman" w:eastAsia="Calibri" w:hAnsi="Times New Roman" w:cs="Times New Roman"/>
          <w:sz w:val="24"/>
          <w:vertAlign w:val="superscript"/>
          <w:lang w:val="fr-FR" w:eastAsia="fr-FR"/>
        </w:rPr>
        <w:footnoteReference w:id="21"/>
      </w:r>
      <w:r w:rsidRPr="00F23392">
        <w:rPr>
          <w:rFonts w:ascii="Times New Roman" w:eastAsia="Calibri" w:hAnsi="Times New Roman" w:cs="Times New Roman"/>
          <w:sz w:val="24"/>
          <w:lang w:val="fr-FR" w:eastAsia="fr-FR"/>
        </w:rPr>
        <w:t xml:space="preserve">. </w:t>
      </w:r>
    </w:p>
    <w:p w:rsidR="00F23392" w:rsidRPr="00F23392" w:rsidRDefault="00F23392" w:rsidP="00F23392">
      <w:pPr>
        <w:widowControl w:val="0"/>
        <w:spacing w:after="0" w:line="240" w:lineRule="auto"/>
        <w:jc w:val="both"/>
        <w:rPr>
          <w:rFonts w:ascii="Times New Roman" w:eastAsia="Calibri" w:hAnsi="Times New Roman" w:cs="Times New Roman"/>
          <w:sz w:val="24"/>
          <w:lang w:val="fr-FR" w:eastAsia="fr-FR"/>
        </w:rPr>
      </w:pPr>
    </w:p>
    <w:p w:rsidR="00F23392" w:rsidRPr="00F23392" w:rsidRDefault="00F23392" w:rsidP="00F23392">
      <w:pPr>
        <w:widowControl w:val="0"/>
        <w:spacing w:after="0" w:line="240" w:lineRule="auto"/>
        <w:jc w:val="both"/>
        <w:rPr>
          <w:rFonts w:ascii="Times New Roman" w:eastAsia="Calibri" w:hAnsi="Times New Roman" w:cs="Times New Roman"/>
          <w:sz w:val="24"/>
          <w:lang w:val="fr-FR" w:eastAsia="fr-FR"/>
        </w:rPr>
      </w:pPr>
      <w:r w:rsidRPr="00F23392">
        <w:rPr>
          <w:rFonts w:ascii="Times New Roman" w:eastAsia="Calibri" w:hAnsi="Times New Roman" w:cs="Times New Roman"/>
          <w:sz w:val="24"/>
          <w:lang w:val="fr-FR" w:eastAsia="fr-FR"/>
        </w:rPr>
        <w:t xml:space="preserve">Par ailleurs, la zone de Dakhla bénéficie d'un climat tempéré (18-25 °C tout au long de l'année), </w:t>
      </w:r>
      <w:r w:rsidR="00D30A6B">
        <w:rPr>
          <w:rFonts w:ascii="Times New Roman" w:eastAsia="Calibri" w:hAnsi="Times New Roman" w:cs="Times New Roman"/>
          <w:sz w:val="24"/>
          <w:lang w:val="fr-FR" w:eastAsia="fr-FR"/>
        </w:rPr>
        <w:t>d’</w:t>
      </w:r>
      <w:r w:rsidRPr="00F23392">
        <w:rPr>
          <w:rFonts w:ascii="Times New Roman" w:eastAsia="Calibri" w:hAnsi="Times New Roman" w:cs="Times New Roman"/>
          <w:sz w:val="24"/>
          <w:lang w:val="fr-FR" w:eastAsia="fr-FR"/>
        </w:rPr>
        <w:t xml:space="preserve">un niveau d'ensoleillement constant et </w:t>
      </w:r>
      <w:r w:rsidR="00D30A6B">
        <w:rPr>
          <w:rFonts w:ascii="Times New Roman" w:eastAsia="Calibri" w:hAnsi="Times New Roman" w:cs="Times New Roman"/>
          <w:sz w:val="24"/>
          <w:lang w:val="fr-FR" w:eastAsia="fr-FR"/>
        </w:rPr>
        <w:t>d’</w:t>
      </w:r>
      <w:r w:rsidRPr="00F23392">
        <w:rPr>
          <w:rFonts w:ascii="Times New Roman" w:eastAsia="Calibri" w:hAnsi="Times New Roman" w:cs="Times New Roman"/>
          <w:sz w:val="24"/>
          <w:lang w:val="fr-FR" w:eastAsia="fr-FR"/>
        </w:rPr>
        <w:t>une eau légèrement sulfurée, des facteurs  propices à la production de cultures sous serre, en hors sol, à haute valeur ajoutée et légèrement en avance par rapport à la production marocaine</w:t>
      </w:r>
      <w:r w:rsidRPr="00F23392">
        <w:rPr>
          <w:rFonts w:ascii="Times New Roman" w:eastAsia="Calibri" w:hAnsi="Times New Roman" w:cs="Times New Roman"/>
          <w:sz w:val="24"/>
          <w:vertAlign w:val="superscript"/>
          <w:lang w:val="fr-FR" w:eastAsia="fr-FR"/>
        </w:rPr>
        <w:footnoteReference w:id="22"/>
      </w:r>
      <w:r w:rsidRPr="00F23392">
        <w:rPr>
          <w:rFonts w:ascii="Times New Roman" w:eastAsia="Calibri" w:hAnsi="Times New Roman" w:cs="Times New Roman"/>
          <w:sz w:val="24"/>
          <w:lang w:val="fr-FR" w:eastAsia="fr-FR"/>
        </w:rPr>
        <w:t>.</w:t>
      </w:r>
    </w:p>
    <w:p w:rsidR="009F2925" w:rsidRDefault="009F2925" w:rsidP="0084736B">
      <w:pPr>
        <w:widowControl w:val="0"/>
        <w:spacing w:after="0" w:line="240" w:lineRule="auto"/>
        <w:jc w:val="both"/>
        <w:rPr>
          <w:rFonts w:ascii="Times New Roman" w:eastAsia="Calibri" w:hAnsi="Times New Roman" w:cs="Times New Roman"/>
          <w:sz w:val="24"/>
          <w:lang w:val="fr-FR" w:eastAsia="fr-FR"/>
        </w:rPr>
      </w:pPr>
    </w:p>
    <w:p w:rsidR="00F23392" w:rsidRPr="00F23392" w:rsidRDefault="00125E13" w:rsidP="00F23392">
      <w:pPr>
        <w:widowControl w:val="0"/>
        <w:spacing w:after="0" w:line="240" w:lineRule="auto"/>
        <w:jc w:val="both"/>
        <w:rPr>
          <w:rFonts w:ascii="Times New Roman" w:eastAsia="Calibri" w:hAnsi="Times New Roman" w:cs="Times New Roman"/>
          <w:sz w:val="24"/>
          <w:lang w:val="fr-FR" w:eastAsia="fr-FR"/>
        </w:rPr>
      </w:pPr>
      <w:r>
        <w:rPr>
          <w:rFonts w:ascii="Times New Roman" w:eastAsia="Calibri" w:hAnsi="Times New Roman" w:cs="Times New Roman"/>
          <w:sz w:val="24"/>
          <w:lang w:val="fr-FR" w:eastAsia="fr-FR"/>
        </w:rPr>
        <w:t>Selon des informations</w:t>
      </w:r>
      <w:r w:rsidR="00F23392" w:rsidRPr="00F23392">
        <w:rPr>
          <w:rFonts w:ascii="Times New Roman" w:eastAsia="Calibri" w:hAnsi="Times New Roman" w:cs="Times New Roman"/>
          <w:sz w:val="24"/>
          <w:lang w:val="fr-FR" w:eastAsia="fr-FR"/>
        </w:rPr>
        <w:t xml:space="preserve"> marocaines, </w:t>
      </w:r>
      <w:r w:rsidR="00F23392" w:rsidRPr="000C740F">
        <w:rPr>
          <w:rFonts w:ascii="Times New Roman" w:eastAsia="Calibri" w:hAnsi="Times New Roman" w:cs="Times New Roman"/>
          <w:sz w:val="24"/>
          <w:lang w:val="fr-FR" w:eastAsia="fr-FR"/>
        </w:rPr>
        <w:t xml:space="preserve">en </w:t>
      </w:r>
      <w:r w:rsidR="00F23392" w:rsidRPr="00F66BAF">
        <w:rPr>
          <w:rFonts w:ascii="Times New Roman" w:eastAsia="Calibri" w:hAnsi="Times New Roman" w:cs="Times New Roman"/>
          <w:sz w:val="24"/>
          <w:lang w:val="fr-FR" w:eastAsia="fr-FR"/>
        </w:rPr>
        <w:t>2016</w:t>
      </w:r>
      <w:r w:rsidR="00F23392" w:rsidRPr="00F23392">
        <w:rPr>
          <w:rFonts w:ascii="Times New Roman" w:eastAsia="Calibri" w:hAnsi="Times New Roman" w:cs="Times New Roman"/>
          <w:sz w:val="24"/>
          <w:lang w:val="fr-FR" w:eastAsia="fr-FR"/>
        </w:rPr>
        <w:t xml:space="preserve">, la région comptait 6.847 exploitations agricoles (toutes activités et produits confondus). L'activité agricole semble constituer une importante source de travail, générant l'équivalent de 35.000 emplois, dans une région comptant </w:t>
      </w:r>
      <w:r w:rsidR="00082959" w:rsidRPr="00082959">
        <w:rPr>
          <w:rFonts w:ascii="Times New Roman" w:eastAsia="Calibri" w:hAnsi="Times New Roman" w:cs="Times New Roman"/>
          <w:sz w:val="24"/>
          <w:lang w:val="fr-FR" w:eastAsia="fr-FR"/>
        </w:rPr>
        <w:t xml:space="preserve">584 000 </w:t>
      </w:r>
      <w:r w:rsidR="00F23392" w:rsidRPr="00F23392">
        <w:rPr>
          <w:rFonts w:ascii="Times New Roman" w:eastAsia="Calibri" w:hAnsi="Times New Roman" w:cs="Times New Roman"/>
          <w:sz w:val="24"/>
          <w:lang w:val="fr-FR" w:eastAsia="fr-FR"/>
        </w:rPr>
        <w:t xml:space="preserve">habitants et où le taux de chômage s'élève à environ 15%, bien au-dessus de la moyenne nationale (9%). </w:t>
      </w:r>
    </w:p>
    <w:p w:rsidR="002D7D5B" w:rsidRPr="00F34A4D" w:rsidRDefault="002D7D5B" w:rsidP="0084736B">
      <w:pPr>
        <w:widowControl w:val="0"/>
        <w:spacing w:after="0" w:line="240" w:lineRule="auto"/>
        <w:jc w:val="both"/>
        <w:rPr>
          <w:rFonts w:ascii="Times New Roman" w:eastAsia="Calibri" w:hAnsi="Times New Roman" w:cs="Times New Roman"/>
          <w:sz w:val="24"/>
          <w:lang w:val="fr-FR" w:eastAsia="fr-FR"/>
        </w:rPr>
      </w:pPr>
    </w:p>
    <w:p w:rsidR="002D7D5B" w:rsidRPr="00F34A4D" w:rsidRDefault="002D7D5B" w:rsidP="00FC36AF">
      <w:pPr>
        <w:pStyle w:val="Heading4"/>
        <w:rPr>
          <w:rFonts w:eastAsia="Calibri"/>
          <w:lang w:val="fr-FR" w:eastAsia="fr-FR"/>
        </w:rPr>
      </w:pPr>
      <w:r w:rsidRPr="00F34A4D">
        <w:rPr>
          <w:rFonts w:eastAsia="Calibri"/>
          <w:lang w:val="fr-FR" w:eastAsia="fr-FR"/>
        </w:rPr>
        <w:t>Production agricole, commerce avec l'U</w:t>
      </w:r>
      <w:r w:rsidR="00584896">
        <w:rPr>
          <w:rFonts w:eastAsia="Calibri"/>
          <w:lang w:val="fr-FR" w:eastAsia="fr-FR"/>
        </w:rPr>
        <w:t>nion européenne</w:t>
      </w:r>
      <w:r w:rsidRPr="00F34A4D">
        <w:rPr>
          <w:rFonts w:eastAsia="Calibri"/>
          <w:lang w:val="fr-FR" w:eastAsia="fr-FR"/>
        </w:rPr>
        <w:t xml:space="preserve"> et impact socio-économique</w:t>
      </w:r>
    </w:p>
    <w:p w:rsidR="002D7D5B" w:rsidRDefault="002D7D5B" w:rsidP="0084736B">
      <w:pPr>
        <w:widowControl w:val="0"/>
        <w:spacing w:after="0" w:line="240" w:lineRule="auto"/>
        <w:jc w:val="both"/>
        <w:rPr>
          <w:rFonts w:ascii="Times New Roman" w:eastAsia="Calibri" w:hAnsi="Times New Roman" w:cs="Times New Roman"/>
          <w:sz w:val="24"/>
          <w:lang w:val="fr-FR" w:eastAsia="fr-FR"/>
        </w:rPr>
      </w:pPr>
    </w:p>
    <w:p w:rsidR="009F2925" w:rsidRDefault="00F23392" w:rsidP="0084736B">
      <w:pPr>
        <w:widowControl w:val="0"/>
        <w:spacing w:after="0" w:line="240" w:lineRule="auto"/>
        <w:jc w:val="both"/>
        <w:rPr>
          <w:rFonts w:ascii="Times New Roman" w:eastAsia="Calibri" w:hAnsi="Times New Roman" w:cs="Times New Roman"/>
          <w:sz w:val="24"/>
          <w:lang w:val="fr-FR" w:eastAsia="fr-FR"/>
        </w:rPr>
      </w:pPr>
      <w:r w:rsidRPr="00F23392">
        <w:rPr>
          <w:rFonts w:ascii="Times New Roman" w:eastAsia="Calibri" w:hAnsi="Times New Roman" w:cs="Times New Roman"/>
          <w:sz w:val="24"/>
          <w:lang w:val="fr-FR" w:eastAsia="fr-FR"/>
        </w:rPr>
        <w:t>Les fruits et légumes de la catégorie "primeurs", constituent un des principaux secteurs d’exportation du Sahara occidental vers l'U</w:t>
      </w:r>
      <w:r w:rsidR="00CD68C4">
        <w:rPr>
          <w:rFonts w:ascii="Times New Roman" w:eastAsia="Calibri" w:hAnsi="Times New Roman" w:cs="Times New Roman"/>
          <w:sz w:val="24"/>
          <w:lang w:val="fr-FR" w:eastAsia="fr-FR"/>
        </w:rPr>
        <w:t>nion européenne</w:t>
      </w:r>
      <w:r w:rsidRPr="00F23392">
        <w:rPr>
          <w:rFonts w:ascii="Times New Roman" w:eastAsia="Calibri" w:hAnsi="Times New Roman" w:cs="Times New Roman"/>
          <w:sz w:val="24"/>
          <w:lang w:val="fr-FR" w:eastAsia="fr-FR"/>
        </w:rPr>
        <w:t xml:space="preserve">. </w:t>
      </w:r>
      <w:r w:rsidR="00F10CA6" w:rsidRPr="00F23392">
        <w:rPr>
          <w:rFonts w:ascii="Times New Roman" w:eastAsia="Calibri" w:hAnsi="Times New Roman" w:cs="Times New Roman"/>
          <w:sz w:val="24"/>
          <w:lang w:val="fr-FR" w:eastAsia="fr-FR"/>
        </w:rPr>
        <w:t xml:space="preserve">D'après les informations </w:t>
      </w:r>
      <w:r w:rsidR="00F10CA6">
        <w:rPr>
          <w:rFonts w:ascii="Times New Roman" w:eastAsia="Calibri" w:hAnsi="Times New Roman" w:cs="Times New Roman"/>
          <w:sz w:val="24"/>
          <w:lang w:val="fr-FR" w:eastAsia="fr-FR"/>
        </w:rPr>
        <w:t>transmises</w:t>
      </w:r>
      <w:r w:rsidR="00F10CA6" w:rsidRPr="00F23392">
        <w:rPr>
          <w:rFonts w:ascii="Times New Roman" w:eastAsia="Calibri" w:hAnsi="Times New Roman" w:cs="Times New Roman"/>
          <w:sz w:val="24"/>
          <w:lang w:val="fr-FR" w:eastAsia="fr-FR"/>
        </w:rPr>
        <w:t xml:space="preserve"> </w:t>
      </w:r>
      <w:r w:rsidR="00F10CA6">
        <w:rPr>
          <w:rFonts w:ascii="Times New Roman" w:eastAsia="Calibri" w:hAnsi="Times New Roman" w:cs="Times New Roman"/>
          <w:sz w:val="24"/>
          <w:lang w:val="fr-FR" w:eastAsia="fr-FR"/>
        </w:rPr>
        <w:t>aux services de</w:t>
      </w:r>
      <w:r w:rsidR="00F10CA6" w:rsidRPr="00F23392">
        <w:rPr>
          <w:rFonts w:ascii="Times New Roman" w:eastAsia="Calibri" w:hAnsi="Times New Roman" w:cs="Times New Roman"/>
          <w:sz w:val="24"/>
          <w:lang w:val="fr-FR" w:eastAsia="fr-FR"/>
        </w:rPr>
        <w:t xml:space="preserve"> la Commission</w:t>
      </w:r>
      <w:r w:rsidR="00F10CA6">
        <w:rPr>
          <w:rFonts w:ascii="Times New Roman" w:eastAsia="Calibri" w:hAnsi="Times New Roman" w:cs="Times New Roman"/>
          <w:sz w:val="24"/>
          <w:lang w:val="fr-FR" w:eastAsia="fr-FR"/>
        </w:rPr>
        <w:t xml:space="preserve"> européenne</w:t>
      </w:r>
      <w:r w:rsidR="00F10CA6" w:rsidRPr="00F23392">
        <w:rPr>
          <w:rFonts w:ascii="Times New Roman" w:eastAsia="Calibri" w:hAnsi="Times New Roman" w:cs="Times New Roman"/>
          <w:sz w:val="24"/>
          <w:lang w:val="fr-FR" w:eastAsia="fr-FR"/>
        </w:rPr>
        <w:t xml:space="preserve">, en 2016 </w:t>
      </w:r>
      <w:r w:rsidRPr="00DB3D18">
        <w:rPr>
          <w:rFonts w:ascii="Times New Roman" w:eastAsia="Calibri" w:hAnsi="Times New Roman" w:cs="Times New Roman"/>
          <w:b/>
          <w:i/>
          <w:sz w:val="24"/>
          <w:lang w:val="fr-FR" w:eastAsia="fr-FR"/>
        </w:rPr>
        <w:t>la production de primeurs dans le territoire a occupé environ 900 hectares (ha)</w:t>
      </w:r>
      <w:r w:rsidRPr="00DB3D18">
        <w:rPr>
          <w:rFonts w:ascii="Times New Roman" w:eastAsia="Calibri" w:hAnsi="Times New Roman" w:cs="Times New Roman"/>
          <w:b/>
          <w:i/>
          <w:sz w:val="24"/>
          <w:vertAlign w:val="superscript"/>
          <w:lang w:val="fr-FR" w:eastAsia="fr-FR"/>
        </w:rPr>
        <w:footnoteReference w:id="23"/>
      </w:r>
      <w:r w:rsidRPr="00DB3D18">
        <w:rPr>
          <w:rFonts w:ascii="Times New Roman" w:eastAsia="Calibri" w:hAnsi="Times New Roman" w:cs="Times New Roman"/>
          <w:b/>
          <w:i/>
          <w:sz w:val="24"/>
          <w:lang w:val="fr-FR" w:eastAsia="fr-FR"/>
        </w:rPr>
        <w:t>, avec une récolte estimée à 64.000 tonnes (t)</w:t>
      </w:r>
      <w:r w:rsidRPr="00F23392">
        <w:rPr>
          <w:rFonts w:ascii="Times New Roman" w:eastAsia="Calibri" w:hAnsi="Times New Roman" w:cs="Times New Roman"/>
          <w:sz w:val="24"/>
          <w:lang w:val="fr-FR" w:eastAsia="fr-FR"/>
        </w:rPr>
        <w:t>. D'après les données disponibles, il s'agirait de produits à haute valeur ajoutée, à concurrence de 78% de tomates (50.000 t de différentes sortes et variétés) et 22% de melons (14.000t). Une telle production serait destinée à l'exportation vers l'U</w:t>
      </w:r>
      <w:r w:rsidR="00CD68C4">
        <w:rPr>
          <w:rFonts w:ascii="Times New Roman" w:eastAsia="Calibri" w:hAnsi="Times New Roman" w:cs="Times New Roman"/>
          <w:sz w:val="24"/>
          <w:lang w:val="fr-FR" w:eastAsia="fr-FR"/>
        </w:rPr>
        <w:t>nion européenne</w:t>
      </w:r>
      <w:r w:rsidRPr="00F23392">
        <w:rPr>
          <w:rFonts w:ascii="Times New Roman" w:eastAsia="Calibri" w:hAnsi="Times New Roman" w:cs="Times New Roman"/>
          <w:sz w:val="24"/>
          <w:lang w:val="fr-FR" w:eastAsia="fr-FR"/>
        </w:rPr>
        <w:t>, la Russie, des pays d'Afrique ainsi qu'au marché local. Les produits récoltés étant acheminés vers les stations de triage et conditionnement situées dans la région d'Agadir, il est difficile de ventiler de façon précise la destination finale desdits produits par marché d'exportation mais il est présumé que les fruits et légumes produits au Sahara occidental font aussi partie des produits exportés vers l'U</w:t>
      </w:r>
      <w:r>
        <w:rPr>
          <w:rFonts w:ascii="Times New Roman" w:eastAsia="Calibri" w:hAnsi="Times New Roman" w:cs="Times New Roman"/>
          <w:sz w:val="24"/>
          <w:lang w:val="fr-FR" w:eastAsia="fr-FR"/>
        </w:rPr>
        <w:t>nion européenne</w:t>
      </w:r>
      <w:r w:rsidRPr="00F23392">
        <w:rPr>
          <w:rFonts w:ascii="Times New Roman" w:eastAsia="Calibri" w:hAnsi="Times New Roman" w:cs="Times New Roman"/>
          <w:sz w:val="24"/>
          <w:lang w:val="fr-FR" w:eastAsia="fr-FR"/>
        </w:rPr>
        <w:t xml:space="preserve">, qui constitue un marché rémunérateur. </w:t>
      </w:r>
    </w:p>
    <w:p w:rsidR="00F23392" w:rsidRDefault="00F23392" w:rsidP="0084736B">
      <w:pPr>
        <w:widowControl w:val="0"/>
        <w:spacing w:after="0" w:line="240" w:lineRule="auto"/>
        <w:jc w:val="both"/>
        <w:rPr>
          <w:rFonts w:ascii="Times New Roman" w:eastAsia="Calibri" w:hAnsi="Times New Roman" w:cs="Times New Roman"/>
          <w:sz w:val="24"/>
          <w:lang w:val="fr-FR" w:eastAsia="fr-FR"/>
        </w:rPr>
      </w:pPr>
    </w:p>
    <w:p w:rsidR="002D7D5B" w:rsidRPr="00F34A4D" w:rsidRDefault="002D7D5B" w:rsidP="0084736B">
      <w:pPr>
        <w:widowControl w:val="0"/>
        <w:spacing w:after="0" w:line="240" w:lineRule="auto"/>
        <w:jc w:val="both"/>
        <w:rPr>
          <w:rFonts w:ascii="Times New Roman" w:eastAsia="Calibri" w:hAnsi="Times New Roman" w:cs="Times New Roman"/>
          <w:sz w:val="24"/>
          <w:lang w:val="fr-FR" w:eastAsia="fr-FR"/>
        </w:rPr>
      </w:pPr>
      <w:r w:rsidRPr="00F34A4D">
        <w:rPr>
          <w:rFonts w:ascii="Times New Roman" w:eastAsia="Calibri" w:hAnsi="Times New Roman" w:cs="Times New Roman"/>
          <w:sz w:val="24"/>
          <w:lang w:val="fr-FR" w:eastAsia="fr-FR"/>
        </w:rPr>
        <w:t xml:space="preserve">Dans le cadre de l'accord </w:t>
      </w:r>
      <w:r w:rsidR="00D81482">
        <w:rPr>
          <w:rFonts w:ascii="Times New Roman" w:eastAsia="Calibri" w:hAnsi="Times New Roman" w:cs="Times New Roman"/>
          <w:sz w:val="24"/>
          <w:lang w:val="fr-FR" w:eastAsia="fr-FR"/>
        </w:rPr>
        <w:t>d’association</w:t>
      </w:r>
      <w:r w:rsidRPr="00F34A4D">
        <w:rPr>
          <w:rFonts w:ascii="Times New Roman" w:eastAsia="Calibri" w:hAnsi="Times New Roman" w:cs="Times New Roman"/>
          <w:sz w:val="24"/>
          <w:lang w:val="fr-FR" w:eastAsia="fr-FR"/>
        </w:rPr>
        <w:t xml:space="preserve"> UE</w:t>
      </w:r>
      <w:r w:rsidR="00D81482">
        <w:rPr>
          <w:rFonts w:ascii="Times New Roman" w:eastAsia="Calibri" w:hAnsi="Times New Roman" w:cs="Times New Roman"/>
          <w:sz w:val="24"/>
          <w:lang w:val="fr-FR" w:eastAsia="fr-FR"/>
        </w:rPr>
        <w:t>-</w:t>
      </w:r>
      <w:r w:rsidRPr="00F34A4D">
        <w:rPr>
          <w:rFonts w:ascii="Times New Roman" w:eastAsia="Calibri" w:hAnsi="Times New Roman" w:cs="Times New Roman"/>
          <w:sz w:val="24"/>
          <w:lang w:val="fr-FR" w:eastAsia="fr-FR"/>
        </w:rPr>
        <w:t>Maroc, les produits agricoles marocains jouissent de conditions préférentielles d'accès au marché de l'U</w:t>
      </w:r>
      <w:r w:rsidR="00584896">
        <w:rPr>
          <w:rFonts w:ascii="Times New Roman" w:eastAsia="Calibri" w:hAnsi="Times New Roman" w:cs="Times New Roman"/>
          <w:sz w:val="24"/>
          <w:lang w:val="fr-FR" w:eastAsia="fr-FR"/>
        </w:rPr>
        <w:t>nion</w:t>
      </w:r>
      <w:r w:rsidRPr="00F34A4D">
        <w:rPr>
          <w:rFonts w:ascii="Times New Roman" w:eastAsia="Calibri" w:hAnsi="Times New Roman" w:cs="Times New Roman"/>
          <w:sz w:val="24"/>
          <w:lang w:val="fr-FR" w:eastAsia="fr-FR"/>
        </w:rPr>
        <w:t>. Ces conditions se traduisent par une exemption des droits de douane sans limitation de volume pour la plupart des produits</w:t>
      </w:r>
      <w:r w:rsidRPr="00F34A4D">
        <w:rPr>
          <w:rFonts w:ascii="Times New Roman" w:eastAsia="Calibri" w:hAnsi="Times New Roman" w:cs="Times New Roman"/>
          <w:sz w:val="24"/>
          <w:vertAlign w:val="superscript"/>
          <w:lang w:val="fr-FR" w:eastAsia="fr-FR"/>
        </w:rPr>
        <w:footnoteReference w:id="24"/>
      </w:r>
      <w:r w:rsidRPr="00F34A4D">
        <w:rPr>
          <w:rFonts w:ascii="Times New Roman" w:eastAsia="Calibri" w:hAnsi="Times New Roman" w:cs="Times New Roman"/>
          <w:sz w:val="24"/>
          <w:lang w:val="fr-FR" w:eastAsia="fr-FR"/>
        </w:rPr>
        <w:t>, certains fruits et légumes faisant l'objet de dispositions spécifiques, pouvant aussi être soumis à des limitations quantitatives (contingents tarifaires).</w:t>
      </w:r>
    </w:p>
    <w:p w:rsidR="009F2925" w:rsidRDefault="009F2925" w:rsidP="0084736B">
      <w:pPr>
        <w:widowControl w:val="0"/>
        <w:spacing w:after="0" w:line="240" w:lineRule="auto"/>
        <w:jc w:val="both"/>
        <w:rPr>
          <w:rFonts w:ascii="Times New Roman" w:eastAsia="Calibri" w:hAnsi="Times New Roman" w:cs="Times New Roman"/>
          <w:sz w:val="24"/>
          <w:lang w:val="fr-FR" w:eastAsia="fr-FR"/>
        </w:rPr>
      </w:pPr>
    </w:p>
    <w:p w:rsidR="00F23392" w:rsidRPr="00F23392" w:rsidRDefault="00F23392" w:rsidP="00F23392">
      <w:pPr>
        <w:widowControl w:val="0"/>
        <w:spacing w:after="0" w:line="240" w:lineRule="auto"/>
        <w:jc w:val="both"/>
        <w:rPr>
          <w:rFonts w:ascii="Times New Roman" w:eastAsia="Calibri" w:hAnsi="Times New Roman" w:cs="Times New Roman"/>
          <w:sz w:val="24"/>
          <w:lang w:val="fr-FR" w:eastAsia="fr-FR"/>
        </w:rPr>
      </w:pPr>
      <w:r w:rsidRPr="00F23392">
        <w:rPr>
          <w:rFonts w:ascii="Times New Roman" w:eastAsia="Calibri" w:hAnsi="Times New Roman" w:cs="Times New Roman"/>
          <w:sz w:val="24"/>
          <w:lang w:val="fr-FR" w:eastAsia="fr-FR"/>
        </w:rPr>
        <w:t>En prenant pour base les données disponibles pour 2016</w:t>
      </w:r>
      <w:r w:rsidR="00A40D7A">
        <w:rPr>
          <w:rFonts w:ascii="Times New Roman" w:eastAsia="Calibri" w:hAnsi="Times New Roman" w:cs="Times New Roman"/>
          <w:sz w:val="24"/>
          <w:lang w:val="fr-FR" w:eastAsia="fr-FR"/>
        </w:rPr>
        <w:t xml:space="preserve"> et </w:t>
      </w:r>
      <w:r w:rsidR="00A40D7A" w:rsidRPr="00F23392">
        <w:rPr>
          <w:rFonts w:ascii="Times New Roman" w:eastAsia="Calibri" w:hAnsi="Times New Roman" w:cs="Times New Roman"/>
          <w:sz w:val="24"/>
          <w:lang w:val="fr-FR" w:eastAsia="fr-FR"/>
        </w:rPr>
        <w:t xml:space="preserve">en </w:t>
      </w:r>
      <w:r w:rsidRPr="00F23392">
        <w:rPr>
          <w:rFonts w:ascii="Times New Roman" w:eastAsia="Calibri" w:hAnsi="Times New Roman" w:cs="Times New Roman"/>
          <w:sz w:val="24"/>
          <w:lang w:val="fr-FR" w:eastAsia="fr-FR"/>
        </w:rPr>
        <w:t>supposant que la totalité des produits cultivés au Sahara occidental soit exportée vers l'U</w:t>
      </w:r>
      <w:r>
        <w:rPr>
          <w:rFonts w:ascii="Times New Roman" w:eastAsia="Calibri" w:hAnsi="Times New Roman" w:cs="Times New Roman"/>
          <w:sz w:val="24"/>
          <w:lang w:val="fr-FR" w:eastAsia="fr-FR"/>
        </w:rPr>
        <w:t>nion</w:t>
      </w:r>
      <w:r w:rsidRPr="00F23392">
        <w:rPr>
          <w:rFonts w:ascii="Times New Roman" w:eastAsia="Calibri" w:hAnsi="Times New Roman" w:cs="Times New Roman"/>
          <w:sz w:val="24"/>
          <w:lang w:val="fr-FR" w:eastAsia="fr-FR"/>
        </w:rPr>
        <w:t xml:space="preserve">, l'application des préférences prévues dans l'accord d’association </w:t>
      </w:r>
      <w:r w:rsidRPr="00DB3D18">
        <w:rPr>
          <w:rFonts w:ascii="Times New Roman" w:eastAsia="Calibri" w:hAnsi="Times New Roman" w:cs="Times New Roman"/>
          <w:b/>
          <w:i/>
          <w:sz w:val="24"/>
          <w:lang w:val="fr-FR" w:eastAsia="fr-FR"/>
        </w:rPr>
        <w:t>pour les 14.000t de melons représenterait un bénéfice d'environ 1,3 million EUR</w:t>
      </w:r>
      <w:r w:rsidR="00277767">
        <w:rPr>
          <w:rFonts w:ascii="Times New Roman" w:eastAsia="Calibri" w:hAnsi="Times New Roman" w:cs="Times New Roman"/>
          <w:b/>
          <w:i/>
          <w:sz w:val="24"/>
          <w:lang w:val="fr-FR" w:eastAsia="fr-FR"/>
        </w:rPr>
        <w:t xml:space="preserve"> de droits de douane épargnés</w:t>
      </w:r>
      <w:r w:rsidRPr="00F23392">
        <w:rPr>
          <w:rFonts w:ascii="Times New Roman" w:eastAsia="Calibri" w:hAnsi="Times New Roman" w:cs="Times New Roman"/>
          <w:sz w:val="24"/>
          <w:lang w:val="fr-FR" w:eastAsia="fr-FR"/>
        </w:rPr>
        <w:t xml:space="preserve">. De même, </w:t>
      </w:r>
      <w:r w:rsidRPr="00DB3D18">
        <w:rPr>
          <w:rFonts w:ascii="Times New Roman" w:eastAsia="Calibri" w:hAnsi="Times New Roman" w:cs="Times New Roman"/>
          <w:b/>
          <w:i/>
          <w:sz w:val="24"/>
          <w:lang w:val="fr-FR" w:eastAsia="fr-FR"/>
        </w:rPr>
        <w:t>en ce qui concerne les tomates</w:t>
      </w:r>
      <w:r w:rsidRPr="00F23392">
        <w:rPr>
          <w:rFonts w:ascii="Times New Roman" w:eastAsia="Calibri" w:hAnsi="Times New Roman" w:cs="Times New Roman"/>
          <w:sz w:val="24"/>
          <w:lang w:val="fr-FR" w:eastAsia="fr-FR"/>
        </w:rPr>
        <w:t xml:space="preserve">, si les préférences étaient octroyées à la totalité de la production (50.000t), </w:t>
      </w:r>
      <w:r w:rsidRPr="00DB3D18">
        <w:rPr>
          <w:rFonts w:ascii="Times New Roman" w:eastAsia="Calibri" w:hAnsi="Times New Roman" w:cs="Times New Roman"/>
          <w:b/>
          <w:i/>
          <w:sz w:val="24"/>
          <w:lang w:val="fr-FR" w:eastAsia="fr-FR"/>
        </w:rPr>
        <w:t>le bénéfice se situerait aux alentours de 5,3 million EUR</w:t>
      </w:r>
      <w:r w:rsidR="00277767">
        <w:rPr>
          <w:rFonts w:ascii="Times New Roman" w:eastAsia="Calibri" w:hAnsi="Times New Roman" w:cs="Times New Roman"/>
          <w:b/>
          <w:i/>
          <w:sz w:val="24"/>
          <w:lang w:val="fr-FR" w:eastAsia="fr-FR"/>
        </w:rPr>
        <w:t xml:space="preserve"> de droits de douane épargnés</w:t>
      </w:r>
      <w:r w:rsidRPr="00F23392">
        <w:rPr>
          <w:rFonts w:ascii="Times New Roman" w:eastAsia="Calibri" w:hAnsi="Times New Roman" w:cs="Times New Roman"/>
          <w:sz w:val="24"/>
          <w:lang w:val="fr-FR" w:eastAsia="fr-FR"/>
        </w:rPr>
        <w:t>, pour autant qu'il n'y ait pas lieu d'appliquer le droit spécifique</w:t>
      </w:r>
      <w:r w:rsidRPr="00F23392">
        <w:rPr>
          <w:rFonts w:ascii="Times New Roman" w:eastAsia="Calibri" w:hAnsi="Times New Roman" w:cs="Times New Roman"/>
          <w:sz w:val="24"/>
          <w:vertAlign w:val="superscript"/>
          <w:lang w:val="fr-FR" w:eastAsia="fr-FR"/>
        </w:rPr>
        <w:footnoteReference w:id="25"/>
      </w:r>
      <w:r w:rsidRPr="00F23392">
        <w:rPr>
          <w:rFonts w:ascii="Times New Roman" w:eastAsia="Calibri" w:hAnsi="Times New Roman" w:cs="Times New Roman"/>
          <w:sz w:val="24"/>
          <w:lang w:val="fr-FR" w:eastAsia="fr-FR"/>
        </w:rPr>
        <w:t>. Il convient de préciser que le volume des exportations de tomates serait soumis aux conditions tarifaires prévues par l'accord, dont l'imputation au contingent octroyé au Maroc. En termes de volume, les exportations de tomates et de melons auraient représenté 12,7% et 31,09% respectivement du total exporté en 2016. Dans l'ensemble, le volume total des importations de fruits et légumes du Maroc en 2016 s'est élevé à 1,2 milliard de tonnes, pour une valeur de 1,4 milliard EUR.</w:t>
      </w:r>
    </w:p>
    <w:p w:rsidR="009F2925" w:rsidRDefault="009F2925" w:rsidP="0084736B">
      <w:pPr>
        <w:widowControl w:val="0"/>
        <w:spacing w:after="0" w:line="240" w:lineRule="auto"/>
        <w:jc w:val="both"/>
        <w:rPr>
          <w:rFonts w:ascii="Times New Roman" w:eastAsia="Calibri" w:hAnsi="Times New Roman" w:cs="Times New Roman"/>
          <w:sz w:val="24"/>
          <w:lang w:val="fr-FR" w:eastAsia="fr-FR"/>
        </w:rPr>
      </w:pPr>
    </w:p>
    <w:p w:rsidR="00A40D7A" w:rsidRPr="00A40D7A" w:rsidRDefault="00A40D7A" w:rsidP="00A40D7A">
      <w:pPr>
        <w:widowControl w:val="0"/>
        <w:spacing w:after="0" w:line="240" w:lineRule="auto"/>
        <w:jc w:val="both"/>
        <w:rPr>
          <w:rFonts w:ascii="Times New Roman" w:eastAsia="Calibri" w:hAnsi="Times New Roman" w:cs="Times New Roman"/>
          <w:sz w:val="24"/>
          <w:lang w:val="fr-FR" w:eastAsia="fr-FR"/>
        </w:rPr>
      </w:pPr>
      <w:r w:rsidRPr="00A40D7A">
        <w:rPr>
          <w:rFonts w:ascii="Times New Roman" w:eastAsia="Calibri" w:hAnsi="Times New Roman" w:cs="Times New Roman"/>
          <w:sz w:val="24"/>
          <w:lang w:val="fr-FR" w:eastAsia="fr-FR"/>
        </w:rPr>
        <w:t xml:space="preserve">D'un point de vue socio-économique, la production de primeurs est une importante source d'emploi. En effet, de par sa nature, souvent sous serre et en hors sol, la production de primeurs à haute valeur ajoutée requiert une forte intensité de main d'œuvre. En 2016, cela représentait </w:t>
      </w:r>
      <w:r w:rsidRPr="00A40D7A">
        <w:rPr>
          <w:rFonts w:ascii="Times New Roman" w:eastAsia="Calibri" w:hAnsi="Times New Roman" w:cs="Times New Roman"/>
          <w:b/>
          <w:i/>
          <w:sz w:val="24"/>
          <w:lang w:val="fr-FR" w:eastAsia="fr-FR"/>
        </w:rPr>
        <w:t>environ 14.000 emplois directs</w:t>
      </w:r>
      <w:r w:rsidRPr="00A40D7A">
        <w:rPr>
          <w:rFonts w:ascii="Times New Roman" w:eastAsia="Calibri" w:hAnsi="Times New Roman" w:cs="Times New Roman"/>
          <w:sz w:val="24"/>
          <w:lang w:val="fr-FR" w:eastAsia="fr-FR"/>
        </w:rPr>
        <w:t xml:space="preserve"> (avec une moyenne de 15 travailleurs par hectare). Ceci représente environ 40% de la totalité des emplois agricoles de la région.</w:t>
      </w:r>
    </w:p>
    <w:p w:rsidR="009F2925" w:rsidRPr="00A40D7A" w:rsidRDefault="009F2925" w:rsidP="0084736B">
      <w:pPr>
        <w:widowControl w:val="0"/>
        <w:spacing w:after="0" w:line="240" w:lineRule="auto"/>
        <w:jc w:val="both"/>
        <w:rPr>
          <w:rFonts w:ascii="Times New Roman" w:eastAsia="MS Mincho" w:hAnsi="Times New Roman" w:cs="Times New Roman"/>
          <w:i/>
          <w:color w:val="000000" w:themeColor="text1"/>
          <w:sz w:val="24"/>
          <w:szCs w:val="24"/>
          <w:lang w:val="fr-FR" w:eastAsia="nl-BE"/>
        </w:rPr>
      </w:pPr>
    </w:p>
    <w:p w:rsidR="00D81482" w:rsidRDefault="00D81482" w:rsidP="0084736B">
      <w:pPr>
        <w:widowControl w:val="0"/>
        <w:spacing w:after="0" w:line="240" w:lineRule="auto"/>
        <w:jc w:val="both"/>
        <w:rPr>
          <w:rFonts w:ascii="Times New Roman" w:eastAsia="Calibri" w:hAnsi="Times New Roman" w:cs="Times New Roman"/>
          <w:sz w:val="24"/>
          <w:lang w:val="fr-FR" w:eastAsia="fr-FR"/>
        </w:rPr>
      </w:pPr>
      <w:r>
        <w:rPr>
          <w:rFonts w:ascii="Times New Roman" w:eastAsia="Calibri" w:hAnsi="Times New Roman" w:cs="Times New Roman"/>
          <w:sz w:val="24"/>
          <w:lang w:val="fr-FR" w:eastAsia="fr-FR"/>
        </w:rPr>
        <w:t xml:space="preserve">Il a été affirmé que cette activité ne bénéficierait pas aux populations locales. Cet argument a été invoqué </w:t>
      </w:r>
      <w:r w:rsidR="00050814">
        <w:rPr>
          <w:rFonts w:ascii="Times New Roman" w:eastAsia="Calibri" w:hAnsi="Times New Roman" w:cs="Times New Roman"/>
          <w:sz w:val="24"/>
          <w:lang w:val="fr-FR" w:eastAsia="fr-FR"/>
        </w:rPr>
        <w:t xml:space="preserve">notamment </w:t>
      </w:r>
      <w:r>
        <w:rPr>
          <w:rFonts w:ascii="Times New Roman" w:eastAsia="Calibri" w:hAnsi="Times New Roman" w:cs="Times New Roman"/>
          <w:sz w:val="24"/>
          <w:lang w:val="fr-FR" w:eastAsia="fr-FR"/>
        </w:rPr>
        <w:t>dans le cadre d</w:t>
      </w:r>
      <w:r w:rsidR="00E400EB">
        <w:rPr>
          <w:rFonts w:ascii="Times New Roman" w:eastAsia="Calibri" w:hAnsi="Times New Roman" w:cs="Times New Roman"/>
          <w:sz w:val="24"/>
          <w:lang w:val="fr-FR" w:eastAsia="fr-FR"/>
        </w:rPr>
        <w:t>u contentieux national qui a donné lieu à l'affaire</w:t>
      </w:r>
      <w:r>
        <w:rPr>
          <w:rFonts w:ascii="Times New Roman" w:eastAsia="Calibri" w:hAnsi="Times New Roman" w:cs="Times New Roman"/>
          <w:sz w:val="24"/>
          <w:lang w:val="fr-FR" w:eastAsia="fr-FR"/>
        </w:rPr>
        <w:t xml:space="preserve"> C-266/16 où il a été indiqué qu’en 2008, le secteur agricole dans les environs de Dakhla employait 4 000 travailleurs saisonniers avec des contrats de 10 mois et environ 200 employés permanents, les travailleurs saisonniers venant du Maroc pour la saison de récolte et retournant ensuite au Maroc. Selon W</w:t>
      </w:r>
      <w:r w:rsidR="00050814">
        <w:rPr>
          <w:rFonts w:ascii="Times New Roman" w:eastAsia="Calibri" w:hAnsi="Times New Roman" w:cs="Times New Roman"/>
          <w:sz w:val="24"/>
          <w:lang w:val="fr-FR" w:eastAsia="fr-FR"/>
        </w:rPr>
        <w:t xml:space="preserve">estern </w:t>
      </w:r>
      <w:r>
        <w:rPr>
          <w:rFonts w:ascii="Times New Roman" w:eastAsia="Calibri" w:hAnsi="Times New Roman" w:cs="Times New Roman"/>
          <w:sz w:val="24"/>
          <w:lang w:val="fr-FR" w:eastAsia="fr-FR"/>
        </w:rPr>
        <w:t>S</w:t>
      </w:r>
      <w:r w:rsidR="00050814">
        <w:rPr>
          <w:rFonts w:ascii="Times New Roman" w:eastAsia="Calibri" w:hAnsi="Times New Roman" w:cs="Times New Roman"/>
          <w:sz w:val="24"/>
          <w:lang w:val="fr-FR" w:eastAsia="fr-FR"/>
        </w:rPr>
        <w:t xml:space="preserve">ahara </w:t>
      </w:r>
      <w:r>
        <w:rPr>
          <w:rFonts w:ascii="Times New Roman" w:eastAsia="Calibri" w:hAnsi="Times New Roman" w:cs="Times New Roman"/>
          <w:sz w:val="24"/>
          <w:lang w:val="fr-FR" w:eastAsia="fr-FR"/>
        </w:rPr>
        <w:t>R</w:t>
      </w:r>
      <w:r w:rsidR="00050814">
        <w:rPr>
          <w:rFonts w:ascii="Times New Roman" w:eastAsia="Calibri" w:hAnsi="Times New Roman" w:cs="Times New Roman"/>
          <w:sz w:val="24"/>
          <w:lang w:val="fr-FR" w:eastAsia="fr-FR"/>
        </w:rPr>
        <w:t xml:space="preserve">esource </w:t>
      </w:r>
      <w:r>
        <w:rPr>
          <w:rFonts w:ascii="Times New Roman" w:eastAsia="Calibri" w:hAnsi="Times New Roman" w:cs="Times New Roman"/>
          <w:sz w:val="24"/>
          <w:lang w:val="fr-FR" w:eastAsia="fr-FR"/>
        </w:rPr>
        <w:t>W</w:t>
      </w:r>
      <w:r w:rsidR="00050814">
        <w:rPr>
          <w:rFonts w:ascii="Times New Roman" w:eastAsia="Calibri" w:hAnsi="Times New Roman" w:cs="Times New Roman"/>
          <w:sz w:val="24"/>
          <w:lang w:val="fr-FR" w:eastAsia="fr-FR"/>
        </w:rPr>
        <w:t>atch</w:t>
      </w:r>
      <w:r>
        <w:rPr>
          <w:rFonts w:ascii="Times New Roman" w:eastAsia="Calibri" w:hAnsi="Times New Roman" w:cs="Times New Roman"/>
          <w:sz w:val="24"/>
          <w:lang w:val="fr-FR" w:eastAsia="fr-FR"/>
        </w:rPr>
        <w:t xml:space="preserve">, pour le Maroc, l’agriculture est un moyen de peupler le territoire </w:t>
      </w:r>
      <w:r w:rsidR="00BA6D69">
        <w:rPr>
          <w:rFonts w:ascii="Times New Roman" w:eastAsia="Calibri" w:hAnsi="Times New Roman" w:cs="Times New Roman"/>
          <w:sz w:val="24"/>
          <w:lang w:val="fr-FR" w:eastAsia="fr-FR"/>
        </w:rPr>
        <w:t>et cette activité se développe.</w:t>
      </w:r>
    </w:p>
    <w:p w:rsidR="00BA6D69" w:rsidRDefault="00BA6D69" w:rsidP="0084736B">
      <w:pPr>
        <w:widowControl w:val="0"/>
        <w:spacing w:after="0" w:line="240" w:lineRule="auto"/>
        <w:jc w:val="both"/>
        <w:rPr>
          <w:rFonts w:ascii="Times New Roman" w:eastAsia="Calibri" w:hAnsi="Times New Roman" w:cs="Times New Roman"/>
          <w:sz w:val="24"/>
          <w:lang w:val="fr-FR" w:eastAsia="fr-FR"/>
        </w:rPr>
      </w:pPr>
    </w:p>
    <w:p w:rsidR="000C740F" w:rsidRPr="000C740F" w:rsidRDefault="000C740F" w:rsidP="000C740F">
      <w:pPr>
        <w:widowControl w:val="0"/>
        <w:spacing w:after="0" w:line="240" w:lineRule="auto"/>
        <w:jc w:val="both"/>
        <w:rPr>
          <w:rFonts w:ascii="Times New Roman" w:eastAsia="Calibri" w:hAnsi="Times New Roman" w:cs="Times New Roman"/>
          <w:sz w:val="24"/>
          <w:lang w:val="fr-FR" w:eastAsia="fr-FR"/>
        </w:rPr>
      </w:pPr>
      <w:r w:rsidRPr="000C740F">
        <w:rPr>
          <w:rFonts w:ascii="Times New Roman" w:eastAsia="Calibri" w:hAnsi="Times New Roman" w:cs="Times New Roman"/>
          <w:sz w:val="24"/>
          <w:lang w:val="fr-FR" w:eastAsia="fr-FR"/>
        </w:rPr>
        <w:t xml:space="preserve">A cet égard, il est vrai que </w:t>
      </w:r>
      <w:r w:rsidRPr="00677823">
        <w:rPr>
          <w:rFonts w:ascii="Times New Roman" w:eastAsia="Calibri" w:hAnsi="Times New Roman" w:cs="Times New Roman"/>
          <w:sz w:val="24"/>
          <w:lang w:val="fr-FR" w:eastAsia="fr-FR"/>
        </w:rPr>
        <w:t>le Maroc n’a pas fourni de données concernant</w:t>
      </w:r>
      <w:r w:rsidRPr="000C740F">
        <w:rPr>
          <w:rFonts w:ascii="Times New Roman" w:eastAsia="Calibri" w:hAnsi="Times New Roman" w:cs="Times New Roman"/>
          <w:sz w:val="24"/>
          <w:lang w:val="fr-FR" w:eastAsia="fr-FR"/>
        </w:rPr>
        <w:t xml:space="preserve"> la répartition des emplois dans le secteur des primeurs entre les Sahraouis et les autres employés. Cette question a fait l’objet de discussions avec les autorités marocaines, pour lesquelles établir des statistiques sur une base « ethnique » serait contraire aux principes de non-discrimination régissant le Maroc. Toutefois, à l’occasion des consultations menées en février 2018, les interlocuteurs, dont la grande majorité </w:t>
      </w:r>
      <w:r w:rsidR="00831E9C">
        <w:rPr>
          <w:rFonts w:ascii="Times New Roman" w:eastAsia="Calibri" w:hAnsi="Times New Roman" w:cs="Times New Roman"/>
          <w:sz w:val="24"/>
          <w:lang w:val="fr-FR" w:eastAsia="fr-FR"/>
        </w:rPr>
        <w:t>s</w:t>
      </w:r>
      <w:r w:rsidRPr="000C740F">
        <w:rPr>
          <w:rFonts w:ascii="Times New Roman" w:eastAsia="Calibri" w:hAnsi="Times New Roman" w:cs="Times New Roman"/>
          <w:sz w:val="24"/>
          <w:lang w:val="fr-FR" w:eastAsia="fr-FR"/>
        </w:rPr>
        <w:t>e d</w:t>
      </w:r>
      <w:r w:rsidR="00831E9C">
        <w:rPr>
          <w:rFonts w:ascii="Times New Roman" w:eastAsia="Calibri" w:hAnsi="Times New Roman" w:cs="Times New Roman"/>
          <w:sz w:val="24"/>
          <w:lang w:val="fr-FR" w:eastAsia="fr-FR"/>
        </w:rPr>
        <w:t>éclaraient</w:t>
      </w:r>
      <w:r w:rsidRPr="000C740F">
        <w:rPr>
          <w:rFonts w:ascii="Times New Roman" w:eastAsia="Calibri" w:hAnsi="Times New Roman" w:cs="Times New Roman"/>
          <w:sz w:val="24"/>
          <w:lang w:val="fr-FR" w:eastAsia="fr-FR"/>
        </w:rPr>
        <w:t xml:space="preserve"> Sahraouis, ont indiqué que le développement du secteur bénéficiait effectivement à la population locale (i.e. sahraouie). Il convient de noter que la totalité des représentants élus (parlementaires, présidents de régions) et des acteurs économiques locaux (y inclus les présidents des chambres de commerce, d'agriculture et de pêche) qui ont particip</w:t>
      </w:r>
      <w:r w:rsidR="00831E9C">
        <w:rPr>
          <w:rFonts w:ascii="Times New Roman" w:eastAsia="Calibri" w:hAnsi="Times New Roman" w:cs="Times New Roman"/>
          <w:sz w:val="24"/>
          <w:lang w:val="fr-FR" w:eastAsia="fr-FR"/>
        </w:rPr>
        <w:t>é</w:t>
      </w:r>
      <w:r w:rsidRPr="000C740F">
        <w:rPr>
          <w:rFonts w:ascii="Times New Roman" w:eastAsia="Calibri" w:hAnsi="Times New Roman" w:cs="Times New Roman"/>
          <w:sz w:val="24"/>
          <w:lang w:val="fr-FR" w:eastAsia="fr-FR"/>
        </w:rPr>
        <w:t xml:space="preserve"> </w:t>
      </w:r>
      <w:r w:rsidR="00831E9C">
        <w:rPr>
          <w:rFonts w:ascii="Times New Roman" w:eastAsia="Calibri" w:hAnsi="Times New Roman" w:cs="Times New Roman"/>
          <w:sz w:val="24"/>
          <w:lang w:val="fr-FR" w:eastAsia="fr-FR"/>
        </w:rPr>
        <w:t>aux</w:t>
      </w:r>
      <w:r w:rsidRPr="000C740F">
        <w:rPr>
          <w:rFonts w:ascii="Times New Roman" w:eastAsia="Calibri" w:hAnsi="Times New Roman" w:cs="Times New Roman"/>
          <w:sz w:val="24"/>
          <w:lang w:val="fr-FR" w:eastAsia="fr-FR"/>
        </w:rPr>
        <w:t xml:space="preserve"> consultations se disent Sahraouis originaire</w:t>
      </w:r>
      <w:r w:rsidR="00831E9C">
        <w:rPr>
          <w:rFonts w:ascii="Times New Roman" w:eastAsia="Calibri" w:hAnsi="Times New Roman" w:cs="Times New Roman"/>
          <w:sz w:val="24"/>
          <w:lang w:val="fr-FR" w:eastAsia="fr-FR"/>
        </w:rPr>
        <w:t>s</w:t>
      </w:r>
      <w:r w:rsidRPr="000C740F">
        <w:rPr>
          <w:rFonts w:ascii="Times New Roman" w:eastAsia="Calibri" w:hAnsi="Times New Roman" w:cs="Times New Roman"/>
          <w:sz w:val="24"/>
          <w:lang w:val="fr-FR" w:eastAsia="fr-FR"/>
        </w:rPr>
        <w:t xml:space="preserve"> du territoire. Ceci dit, </w:t>
      </w:r>
      <w:r>
        <w:rPr>
          <w:rFonts w:ascii="Times New Roman" w:eastAsia="Calibri" w:hAnsi="Times New Roman" w:cs="Times New Roman"/>
          <w:sz w:val="24"/>
          <w:lang w:val="fr-FR" w:eastAsia="fr-FR"/>
        </w:rPr>
        <w:t xml:space="preserve">il faut rappeler que </w:t>
      </w:r>
      <w:r w:rsidRPr="000C740F">
        <w:rPr>
          <w:rFonts w:ascii="Times New Roman" w:eastAsia="Calibri" w:hAnsi="Times New Roman" w:cs="Times New Roman"/>
          <w:sz w:val="24"/>
          <w:lang w:val="fr-FR" w:eastAsia="fr-FR"/>
        </w:rPr>
        <w:t xml:space="preserve">l’Union ne dispose pas de pouvoirs d’enquête dans un pays tiers afin d’y déterminer si </w:t>
      </w:r>
      <w:r>
        <w:rPr>
          <w:rFonts w:ascii="Times New Roman" w:eastAsia="Calibri" w:hAnsi="Times New Roman" w:cs="Times New Roman"/>
          <w:sz w:val="24"/>
          <w:lang w:val="fr-FR" w:eastAsia="fr-FR"/>
        </w:rPr>
        <w:t>les personnes employées dans un secteur d’activité précis appartien</w:t>
      </w:r>
      <w:r w:rsidR="00831E9C">
        <w:rPr>
          <w:rFonts w:ascii="Times New Roman" w:eastAsia="Calibri" w:hAnsi="Times New Roman" w:cs="Times New Roman"/>
          <w:sz w:val="24"/>
          <w:lang w:val="fr-FR" w:eastAsia="fr-FR"/>
        </w:rPr>
        <w:t>nen</w:t>
      </w:r>
      <w:r>
        <w:rPr>
          <w:rFonts w:ascii="Times New Roman" w:eastAsia="Calibri" w:hAnsi="Times New Roman" w:cs="Times New Roman"/>
          <w:sz w:val="24"/>
          <w:lang w:val="fr-FR" w:eastAsia="fr-FR"/>
        </w:rPr>
        <w:t>t à un segment déterminé de la population</w:t>
      </w:r>
      <w:r w:rsidR="00003BE3">
        <w:rPr>
          <w:rStyle w:val="FootnoteReference"/>
          <w:rFonts w:ascii="Times New Roman" w:eastAsia="Calibri" w:hAnsi="Times New Roman" w:cs="Times New Roman"/>
          <w:sz w:val="24"/>
          <w:lang w:val="fr-FR" w:eastAsia="fr-FR"/>
        </w:rPr>
        <w:footnoteReference w:id="26"/>
      </w:r>
      <w:r w:rsidRPr="000C740F">
        <w:rPr>
          <w:rFonts w:ascii="Times New Roman" w:eastAsia="Calibri" w:hAnsi="Times New Roman" w:cs="Times New Roman"/>
          <w:sz w:val="24"/>
          <w:lang w:val="fr-FR" w:eastAsia="fr-FR"/>
        </w:rPr>
        <w:t>.</w:t>
      </w:r>
    </w:p>
    <w:p w:rsidR="004A6DAE" w:rsidRPr="006A572D" w:rsidRDefault="004A6DAE" w:rsidP="0084736B">
      <w:pPr>
        <w:widowControl w:val="0"/>
        <w:spacing w:after="0" w:line="240" w:lineRule="auto"/>
        <w:jc w:val="both"/>
        <w:rPr>
          <w:rFonts w:ascii="Times New Roman" w:eastAsia="Calibri" w:hAnsi="Times New Roman" w:cs="Times New Roman"/>
          <w:sz w:val="24"/>
          <w:lang w:val="fr-BE" w:eastAsia="fr-FR"/>
        </w:rPr>
      </w:pPr>
    </w:p>
    <w:p w:rsidR="002D7D5B" w:rsidRPr="00F34A4D" w:rsidRDefault="002D7D5B" w:rsidP="00FC36AF">
      <w:pPr>
        <w:pStyle w:val="Heading4"/>
        <w:rPr>
          <w:rFonts w:eastAsia="Calibri"/>
          <w:lang w:val="fr-FR" w:eastAsia="fr-FR"/>
        </w:rPr>
      </w:pPr>
      <w:r w:rsidRPr="00F34A4D">
        <w:rPr>
          <w:rFonts w:eastAsia="Calibri"/>
          <w:lang w:val="fr-FR" w:eastAsia="fr-FR"/>
        </w:rPr>
        <w:t>Utilisation des ressources</w:t>
      </w:r>
    </w:p>
    <w:p w:rsidR="009D0D8C" w:rsidRDefault="009D0D8C" w:rsidP="0084736B">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Toute activité agricole implique l'utilisation de ressources naturelles, notamment du sol et de l'eau. Dans le cas du Sahara occidental, l'eau s'avère être la première contrainte, en raison de la nature du terrain et de la faible pluviométrie. Des recherches indiquent l'existence d'une nappe phréatique au Sahara, même s'il est difficile de chiffrer exactement le niveau des réserves et leur degré de recharge. </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DB3D18"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Selon </w:t>
      </w:r>
      <w:r w:rsidR="00125E13">
        <w:rPr>
          <w:rFonts w:ascii="Times New Roman" w:eastAsia="Calibri" w:hAnsi="Times New Roman" w:cs="Times New Roman"/>
          <w:sz w:val="24"/>
          <w:lang w:val="fr-FR" w:eastAsia="fr-FR"/>
        </w:rPr>
        <w:t>des informations marocaines</w:t>
      </w:r>
      <w:r w:rsidRPr="004E6E97">
        <w:rPr>
          <w:rFonts w:ascii="Times New Roman" w:eastAsia="Calibri" w:hAnsi="Times New Roman" w:cs="Times New Roman"/>
          <w:sz w:val="24"/>
          <w:lang w:val="fr-FR" w:eastAsia="fr-FR"/>
        </w:rPr>
        <w:t xml:space="preserve">, la nappe est d'une très grande superficie (90.000 km²), profonde (jusqu’à 1.800 m) et comprend des réserves permanentes estimées à 3 milliards de m³. </w:t>
      </w:r>
      <w:r w:rsidRPr="0074603B">
        <w:rPr>
          <w:rFonts w:ascii="Times New Roman" w:eastAsia="Calibri" w:hAnsi="Times New Roman" w:cs="Times New Roman"/>
          <w:sz w:val="24"/>
          <w:lang w:val="fr-FR" w:eastAsia="fr-FR"/>
        </w:rPr>
        <w:t>La</w:t>
      </w:r>
      <w:r w:rsidRPr="00DB3D18">
        <w:rPr>
          <w:rFonts w:ascii="Times New Roman" w:eastAsia="Calibri" w:hAnsi="Times New Roman" w:cs="Times New Roman"/>
          <w:sz w:val="24"/>
          <w:lang w:val="fr-FR" w:eastAsia="fr-FR"/>
        </w:rPr>
        <w:t xml:space="preserve"> monographie générale sur la Région de Dakhla-Oued ed Dahab, rédigée par la Direction Générale des Collectivités Locales du Ministère de l’Intérieur du Maroc, indique l'existence d'un "bassin sédimentaire (dit Laâyoune-Dakhla) qui occupe la partie occidentale du bassin le long de l'océan Atlantique et couvre une superficie d'environ 110.000 </w:t>
      </w:r>
      <w:r w:rsidR="00F27502">
        <w:rPr>
          <w:rFonts w:ascii="Times New Roman" w:eastAsia="Calibri" w:hAnsi="Times New Roman" w:cs="Times New Roman"/>
          <w:sz w:val="24"/>
          <w:lang w:val="fr-FR" w:eastAsia="fr-FR"/>
        </w:rPr>
        <w:t>k</w:t>
      </w:r>
      <w:r w:rsidRPr="00DB3D18">
        <w:rPr>
          <w:rFonts w:ascii="Times New Roman" w:eastAsia="Calibri" w:hAnsi="Times New Roman" w:cs="Times New Roman"/>
          <w:sz w:val="24"/>
          <w:lang w:val="fr-FR" w:eastAsia="fr-FR"/>
        </w:rPr>
        <w:t>m² sur le continent. Il est relativement riche en réservoirs d'eau souterraine d'extension généralisée, mais l’état de leur connaissance est encore insuffisant et ils présentent de grandes variations du point de vue profondeur, lithologie, productivité et qualité de l'eau. Cependant, les premiers indices montrent que sur le plan hydrogéologique, ce bassin renferme plusieurs nappes multicouches renfermant un potentiel en eau important, mais non renouvelable".</w:t>
      </w:r>
    </w:p>
    <w:p w:rsidR="004E6E97" w:rsidRPr="00DB3D18"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DB3D18" w:rsidRDefault="004E6E97" w:rsidP="004E6E97">
      <w:pPr>
        <w:widowControl w:val="0"/>
        <w:spacing w:after="0" w:line="240" w:lineRule="auto"/>
        <w:jc w:val="both"/>
        <w:rPr>
          <w:rFonts w:ascii="Times New Roman" w:eastAsia="Calibri" w:hAnsi="Times New Roman" w:cs="Times New Roman"/>
          <w:b/>
          <w:sz w:val="24"/>
          <w:lang w:val="fr-FR" w:eastAsia="fr-FR"/>
        </w:rPr>
      </w:pPr>
      <w:r w:rsidRPr="004E6E97">
        <w:rPr>
          <w:rFonts w:ascii="Times New Roman" w:eastAsia="Calibri" w:hAnsi="Times New Roman" w:cs="Times New Roman"/>
          <w:sz w:val="24"/>
          <w:lang w:val="fr-FR" w:eastAsia="fr-FR"/>
        </w:rPr>
        <w:t xml:space="preserve">A ce jour, l'eau d'irrigation utilisée pour la production de primeurs émane de la nappe (la nappe étant également utilisée pour la fourniture d'eau potable). </w:t>
      </w:r>
      <w:r w:rsidR="00125E13">
        <w:rPr>
          <w:rFonts w:ascii="Times New Roman" w:eastAsia="Calibri" w:hAnsi="Times New Roman" w:cs="Times New Roman"/>
          <w:sz w:val="24"/>
          <w:lang w:val="fr-FR" w:eastAsia="fr-FR"/>
        </w:rPr>
        <w:t>Selon des informations</w:t>
      </w:r>
      <w:r w:rsidRPr="004E6E97">
        <w:rPr>
          <w:rFonts w:ascii="Times New Roman" w:eastAsia="Calibri" w:hAnsi="Times New Roman" w:cs="Times New Roman"/>
          <w:sz w:val="24"/>
          <w:lang w:val="fr-FR" w:eastAsia="fr-FR"/>
        </w:rPr>
        <w:t xml:space="preserve"> marocaines, les quantités utilisées actuellement pour l’agriculture s’élèvent à moins de 3 millions de m³, soit environ </w:t>
      </w:r>
      <w:r w:rsidR="0074603B">
        <w:rPr>
          <w:rFonts w:ascii="Times New Roman" w:eastAsia="Calibri" w:hAnsi="Times New Roman" w:cs="Times New Roman"/>
          <w:sz w:val="24"/>
          <w:lang w:val="fr-FR" w:eastAsia="fr-FR"/>
        </w:rPr>
        <w:t>0,</w:t>
      </w:r>
      <w:r w:rsidRPr="004E6E97">
        <w:rPr>
          <w:rFonts w:ascii="Times New Roman" w:eastAsia="Calibri" w:hAnsi="Times New Roman" w:cs="Times New Roman"/>
          <w:sz w:val="24"/>
          <w:lang w:val="fr-FR" w:eastAsia="fr-FR"/>
        </w:rPr>
        <w:t xml:space="preserve">1% du volume disponible. Western Sahara Ressource Watch soutient que les réserves d'eau souterraines du Sahara Occidental seraient actuellement surexploitées par le secteur agro-industriel du territoire, en particulier à Dakhla. </w:t>
      </w:r>
      <w:r w:rsidR="00E87221">
        <w:rPr>
          <w:rFonts w:ascii="Times New Roman" w:eastAsia="Calibri" w:hAnsi="Times New Roman" w:cs="Times New Roman"/>
          <w:sz w:val="24"/>
          <w:lang w:val="fr-FR" w:eastAsia="fr-FR"/>
        </w:rPr>
        <w:t>Les autorités marocaines ont conscience de ces problèmes et ont pris de</w:t>
      </w:r>
      <w:r w:rsidR="00B21256">
        <w:rPr>
          <w:rFonts w:ascii="Times New Roman" w:eastAsia="Calibri" w:hAnsi="Times New Roman" w:cs="Times New Roman"/>
          <w:sz w:val="24"/>
          <w:lang w:val="fr-FR" w:eastAsia="fr-FR"/>
        </w:rPr>
        <w:t>s</w:t>
      </w:r>
      <w:r w:rsidR="00E87221">
        <w:rPr>
          <w:rFonts w:ascii="Times New Roman" w:eastAsia="Calibri" w:hAnsi="Times New Roman" w:cs="Times New Roman"/>
          <w:sz w:val="24"/>
          <w:lang w:val="fr-FR" w:eastAsia="fr-FR"/>
        </w:rPr>
        <w:t xml:space="preserve"> mesures correctives. En effet, d</w:t>
      </w:r>
      <w:r w:rsidRPr="004E6E97">
        <w:rPr>
          <w:rFonts w:ascii="Times New Roman" w:eastAsia="Calibri" w:hAnsi="Times New Roman" w:cs="Times New Roman"/>
          <w:sz w:val="24"/>
          <w:lang w:val="fr-FR" w:eastAsia="fr-FR"/>
        </w:rPr>
        <w:t>es commentaires similaires ont été formulés par diverses institutions marocaines, soulignant le fait que «la pratique de l’agriculture intensive de certains produits (melons, tomates) destinés à l’exportation est d’autant plus préjudiciable que l’irrigation dans la région est assurée à partir d’une nappe fossile dont le potentiel n’est pas à ce jour clairement évalué»</w:t>
      </w:r>
      <w:r w:rsidRPr="004E6E97">
        <w:rPr>
          <w:rFonts w:ascii="Times New Roman" w:eastAsia="Calibri" w:hAnsi="Times New Roman" w:cs="Times New Roman"/>
          <w:sz w:val="24"/>
          <w:vertAlign w:val="superscript"/>
          <w:lang w:val="fr-FR" w:eastAsia="fr-FR"/>
        </w:rPr>
        <w:footnoteReference w:id="27"/>
      </w:r>
      <w:r w:rsidRPr="004E6E97">
        <w:rPr>
          <w:rFonts w:ascii="Times New Roman" w:eastAsia="Calibri" w:hAnsi="Times New Roman" w:cs="Times New Roman"/>
          <w:sz w:val="24"/>
          <w:lang w:val="fr-FR" w:eastAsia="fr-FR"/>
        </w:rPr>
        <w:t>. En 2013, le Haut-Commissariat marocain au Plan a également remarqué à propos de l’exploitation de la nappe que «La prise en compte des contraintes environnementales dans les régions du sud est clairement insuffisante. Les moyens de l’État pour la surveillance et la prévention des risques de pollution du littoral, bien qu’en amélioration, restent limités. L’excès de pompage des ressources hydriques est une menace sérieuse».</w:t>
      </w:r>
      <w:r w:rsidRPr="004E6E97">
        <w:rPr>
          <w:rFonts w:ascii="Times New Roman" w:eastAsia="Calibri" w:hAnsi="Times New Roman" w:cs="Times New Roman"/>
          <w:sz w:val="24"/>
          <w:vertAlign w:val="superscript"/>
          <w:lang w:val="fr-FR" w:eastAsia="fr-FR"/>
        </w:rPr>
        <w:footnoteReference w:id="28"/>
      </w:r>
      <w:r w:rsidRPr="004E6E97">
        <w:rPr>
          <w:rFonts w:ascii="Times New Roman" w:eastAsia="Calibri" w:hAnsi="Times New Roman" w:cs="Times New Roman"/>
          <w:sz w:val="24"/>
          <w:lang w:val="fr-FR" w:eastAsia="fr-FR"/>
        </w:rPr>
        <w:t xml:space="preserve"> A </w:t>
      </w:r>
      <w:r w:rsidRPr="00C31D2F">
        <w:rPr>
          <w:rFonts w:ascii="Times New Roman" w:eastAsia="Calibri" w:hAnsi="Times New Roman" w:cs="Times New Roman"/>
          <w:sz w:val="24"/>
          <w:lang w:val="fr-FR" w:eastAsia="fr-FR"/>
        </w:rPr>
        <w:t xml:space="preserve">la </w:t>
      </w:r>
      <w:r w:rsidRPr="00DB3D18">
        <w:rPr>
          <w:rFonts w:ascii="Times New Roman" w:eastAsia="Calibri" w:hAnsi="Times New Roman" w:cs="Times New Roman"/>
          <w:sz w:val="24"/>
          <w:lang w:val="fr-FR" w:eastAsia="fr-FR"/>
        </w:rPr>
        <w:t>page 26, ce même rapport ajoute: « la pratique de l’agriculture intensive de certains produits (melons, tomates) destinés à l’exportation est d’autant plus préjudiciable que l’irrigation dans la région est assurée à partir d’une nappe fossile dont le potentiel n’est pas à ce jour clairement évalué ».</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La question reste ouverte en ce qui concerne le volume exact et les caractéristiques de la nappe et la mesure dans laquelle son exploitation risque effectivement de l’épuiser, ayant dès lors un impact négatif sur les ressources naturelles du Sahara occidental.</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Toutefois, afin d'optimiser l'utilisation de l'eau extraite de la nappe aujourd'hui, des systèmes d'irrigation localisée (en goutte à goutte) ont été mis en place pour la production des primeurs. Par ailleurs, depuis quelques années, les autorités marocaines développent des mesures pour limiter l'utilisation d'eau et conscientiser les utilisateurs, sous forme de "contrats de nappe" (pour le Sahara occidental, le contrat est actuellement en cours d'élaboration).</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De plus, les autorités ont lancé un appel à projets pour la construction de stations de dessalement d'eau de mer, principalement pour l'approvisionnement en eau potable mais aussi pour l'irrigation, à Dakhla et Boujdour. Selon le calendrier prévu, la station à Dakhla serait opérationnelle à partir de 2020. Une telle infrastructure permettrait d'étendre la surface cultivée à 5.000 ha, dans le cadre d'un projet de partenariat public privé d'irrigation. La réalisation effective de tels investissements ainsi que son calendrier restent à confirmer.</w:t>
      </w:r>
    </w:p>
    <w:p w:rsidR="002D7D5B" w:rsidRDefault="002D7D5B" w:rsidP="0084736B">
      <w:pPr>
        <w:widowControl w:val="0"/>
        <w:spacing w:after="0" w:line="240" w:lineRule="auto"/>
        <w:jc w:val="both"/>
        <w:rPr>
          <w:rFonts w:ascii="Times New Roman" w:eastAsia="Calibri" w:hAnsi="Times New Roman" w:cs="Times New Roman"/>
          <w:sz w:val="24"/>
          <w:lang w:val="fr-FR" w:eastAsia="fr-FR"/>
        </w:rPr>
      </w:pPr>
    </w:p>
    <w:p w:rsidR="002D7D5B" w:rsidRPr="00F34A4D" w:rsidRDefault="002D7D5B" w:rsidP="00FC36AF">
      <w:pPr>
        <w:pStyle w:val="Heading4"/>
        <w:rPr>
          <w:rFonts w:eastAsia="Calibri"/>
          <w:lang w:val="fr-FR" w:eastAsia="fr-FR"/>
        </w:rPr>
      </w:pPr>
      <w:r w:rsidRPr="00F34A4D">
        <w:rPr>
          <w:rFonts w:eastAsia="Calibri"/>
          <w:lang w:val="fr-FR" w:eastAsia="fr-FR"/>
        </w:rPr>
        <w:t>Perspectives</w:t>
      </w:r>
    </w:p>
    <w:p w:rsidR="009F2925" w:rsidRDefault="009F2925" w:rsidP="0084736B">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Le Plan Maroc vert (PMV) décliné en Plan agricole régional (PAR), prévoit une augmentation de la surface (de 900 à environ 5.000 ha) laquelle se traduirait par une augmentation de la production, pouvant atteindre environ </w:t>
      </w:r>
      <w:r w:rsidRPr="00677823">
        <w:rPr>
          <w:rFonts w:ascii="Times New Roman" w:eastAsia="Calibri" w:hAnsi="Times New Roman" w:cs="Times New Roman"/>
          <w:sz w:val="24"/>
          <w:lang w:val="fr-FR" w:eastAsia="fr-FR"/>
        </w:rPr>
        <w:t>500.000</w:t>
      </w:r>
      <w:r w:rsidRPr="004E6E97">
        <w:rPr>
          <w:rFonts w:ascii="Times New Roman" w:eastAsia="Calibri" w:hAnsi="Times New Roman" w:cs="Times New Roman"/>
          <w:sz w:val="24"/>
          <w:lang w:val="fr-FR" w:eastAsia="fr-FR"/>
        </w:rPr>
        <w:t xml:space="preserve"> t de primeurs. Si tel est le cas, ladite augmentation de surface et de production pourrait donner lieu à la création de 60.000 nouveaux emplois (ce nombre étant fonction et des techniques de production et d'une possible diversification des produits cultivés), qui resteraient dans la région en y générant des revenus. Une telle production à haute valeur ajoutée aurait un important potentiel à l'export. Il est évident que pour être soutenable, le développement de cette activité devra prendre en compte l'utilisation responsable des ressources naturelles, et de l'eau en particulier. </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Le nombre d'emplois et les bénéfices pourraient également augmenter lorsque les produits d'origine animale rempliront les critères sanitaires nécessaires leur permettant l'accès au marché de l'Union. Il est cependant difficile à ce jour d'estimer de façon plus précise les retombées économiques et sociales de l'exportation de ce type de produits. </w:t>
      </w:r>
    </w:p>
    <w:p w:rsidR="00974559" w:rsidRDefault="00974559" w:rsidP="004E6E97">
      <w:pPr>
        <w:widowControl w:val="0"/>
        <w:spacing w:after="0" w:line="240" w:lineRule="auto"/>
        <w:jc w:val="both"/>
        <w:rPr>
          <w:rFonts w:ascii="Times New Roman" w:eastAsia="Calibri" w:hAnsi="Times New Roman" w:cs="Times New Roman"/>
          <w:sz w:val="24"/>
          <w:lang w:val="fr-FR" w:eastAsia="fr-FR"/>
        </w:rPr>
      </w:pPr>
    </w:p>
    <w:p w:rsidR="004E6E97" w:rsidRPr="00DB3D18" w:rsidRDefault="004E6E97" w:rsidP="004E6E97">
      <w:pPr>
        <w:widowControl w:val="0"/>
        <w:spacing w:after="0" w:line="240" w:lineRule="auto"/>
        <w:jc w:val="both"/>
        <w:rPr>
          <w:rFonts w:ascii="Times New Roman" w:eastAsia="Calibri" w:hAnsi="Times New Roman" w:cs="Times New Roman"/>
          <w:sz w:val="24"/>
          <w:lang w:val="fr-BE" w:eastAsia="fr-FR"/>
        </w:rPr>
      </w:pPr>
      <w:r w:rsidRPr="004E6E97">
        <w:rPr>
          <w:rFonts w:ascii="Times New Roman" w:eastAsia="Calibri" w:hAnsi="Times New Roman" w:cs="Times New Roman"/>
          <w:sz w:val="24"/>
          <w:lang w:val="fr-FR" w:eastAsia="fr-FR"/>
        </w:rPr>
        <w:t>De manière générale, il n’est évidemment pas possible d’affirmer que les retombées économiques d’une telle croissance bénéficieraient de manière systématique et directe aux populations autochtones. On peut seulement présumer que ces populations en tireraient un bénéfice au moins indirect. Lors des consultations menées en février 2018, plusieurs interlocuteurs ont souligné l’importance du secteur agricole pour le développement de la région, suggérant que l’absence de préférence tarifaire signifierait la fin du développement de l’agriculture dans le territoire.</w:t>
      </w:r>
      <w:r w:rsidRPr="00DB3D18">
        <w:rPr>
          <w:rFonts w:ascii="Times New Roman" w:eastAsia="Calibri" w:hAnsi="Times New Roman" w:cs="Times New Roman"/>
          <w:sz w:val="24"/>
          <w:lang w:val="fr-FR" w:eastAsia="fr-FR"/>
        </w:rPr>
        <w:t xml:space="preserve"> </w:t>
      </w:r>
    </w:p>
    <w:p w:rsidR="00974559" w:rsidRDefault="00974559" w:rsidP="004E6E97">
      <w:pPr>
        <w:widowControl w:val="0"/>
        <w:spacing w:after="0" w:line="240" w:lineRule="auto"/>
        <w:jc w:val="both"/>
        <w:rPr>
          <w:rFonts w:ascii="Times New Roman" w:eastAsia="Calibri" w:hAnsi="Times New Roman" w:cs="Times New Roman"/>
          <w:sz w:val="24"/>
          <w:lang w:val="fr-FR" w:eastAsia="fr-FR"/>
        </w:rPr>
      </w:pPr>
    </w:p>
    <w:p w:rsidR="002D7D5B" w:rsidRPr="00FB3EDA" w:rsidRDefault="00514E29" w:rsidP="00FC36AF">
      <w:pPr>
        <w:pStyle w:val="Heading4"/>
        <w:rPr>
          <w:rFonts w:eastAsia="Calibri"/>
          <w:lang w:val="fr-FR" w:eastAsia="fr-FR"/>
        </w:rPr>
      </w:pPr>
      <w:r>
        <w:rPr>
          <w:rFonts w:eastAsia="Calibri"/>
          <w:lang w:val="fr-FR" w:eastAsia="fr-FR"/>
        </w:rPr>
        <w:t>Conclusion</w:t>
      </w:r>
    </w:p>
    <w:p w:rsidR="002D7D5B" w:rsidRDefault="002D7D5B" w:rsidP="0084736B">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Il y a une production agricole au Sahara occidental, surtout de primeurs (tomates et melons), pour laquelle il existe un marché dans l'Union européenne. Cette production est estimée à 64.000 tonnes et représente quelques 14.000 emplois directs. Sa valeur à l'importation s'élève à environ 65 millions </w:t>
      </w:r>
      <w:r w:rsidR="006A3BF0">
        <w:rPr>
          <w:rFonts w:ascii="Times New Roman" w:eastAsia="Calibri" w:hAnsi="Times New Roman" w:cs="Times New Roman"/>
          <w:sz w:val="24"/>
          <w:lang w:val="fr-FR" w:eastAsia="fr-FR"/>
        </w:rPr>
        <w:t>d’euros</w:t>
      </w:r>
      <w:r w:rsidRPr="004E6E97">
        <w:rPr>
          <w:rFonts w:ascii="Times New Roman" w:eastAsia="Calibri" w:hAnsi="Times New Roman" w:cs="Times New Roman"/>
          <w:sz w:val="24"/>
          <w:lang w:val="fr-FR" w:eastAsia="fr-FR"/>
        </w:rPr>
        <w:t xml:space="preserve">. En l'absence de préférences tarifaires, de telles exportations seraient redevables de 6,6 millions </w:t>
      </w:r>
      <w:r w:rsidR="006A3BF0">
        <w:rPr>
          <w:rFonts w:ascii="Times New Roman" w:eastAsia="Calibri" w:hAnsi="Times New Roman" w:cs="Times New Roman"/>
          <w:sz w:val="24"/>
          <w:lang w:val="fr-FR" w:eastAsia="fr-FR"/>
        </w:rPr>
        <w:t>d’euros</w:t>
      </w:r>
      <w:r w:rsidRPr="004E6E97">
        <w:rPr>
          <w:rFonts w:ascii="Times New Roman" w:eastAsia="Calibri" w:hAnsi="Times New Roman" w:cs="Times New Roman"/>
          <w:sz w:val="24"/>
          <w:lang w:val="fr-FR" w:eastAsia="fr-FR"/>
        </w:rPr>
        <w:t xml:space="preserve"> </w:t>
      </w:r>
      <w:r w:rsidR="00EA12A9">
        <w:rPr>
          <w:rFonts w:ascii="Times New Roman" w:eastAsia="Calibri" w:hAnsi="Times New Roman" w:cs="Times New Roman"/>
          <w:sz w:val="24"/>
          <w:lang w:val="fr-FR" w:eastAsia="fr-FR"/>
        </w:rPr>
        <w:t>de</w:t>
      </w:r>
      <w:r w:rsidRPr="004E6E97">
        <w:rPr>
          <w:rFonts w:ascii="Times New Roman" w:eastAsia="Calibri" w:hAnsi="Times New Roman" w:cs="Times New Roman"/>
          <w:sz w:val="24"/>
          <w:lang w:val="fr-FR" w:eastAsia="fr-FR"/>
        </w:rPr>
        <w:t xml:space="preserve"> droits de douane.</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Ces bénéfices économiques pourraient s'étendre si à l'avenir le Sahara occidental développait davantage sa production et ses exportations vers l'Union européenne dans le cadre des projets actuellement en considération. Cela aurait aussi un impact sur le nombre d'emplois, pouvant se multiplier par cinq, d'après certaines projections.  </w:t>
      </w:r>
    </w:p>
    <w:p w:rsidR="004E6E97" w:rsidRPr="004E6E97" w:rsidRDefault="004E6E97" w:rsidP="004E6E97">
      <w:pPr>
        <w:widowControl w:val="0"/>
        <w:spacing w:after="0" w:line="240" w:lineRule="auto"/>
        <w:jc w:val="both"/>
        <w:rPr>
          <w:rFonts w:ascii="Times New Roman" w:eastAsia="Calibri" w:hAnsi="Times New Roman" w:cs="Times New Roman"/>
          <w:sz w:val="24"/>
          <w:lang w:val="fr-FR" w:eastAsia="fr-FR"/>
        </w:rPr>
      </w:pPr>
    </w:p>
    <w:p w:rsidR="00502405" w:rsidRPr="00502405" w:rsidRDefault="00502405" w:rsidP="00502405">
      <w:pPr>
        <w:widowControl w:val="0"/>
        <w:spacing w:after="0" w:line="240" w:lineRule="auto"/>
        <w:jc w:val="both"/>
        <w:rPr>
          <w:rFonts w:ascii="Times New Roman" w:eastAsia="Calibri" w:hAnsi="Times New Roman" w:cs="Times New Roman"/>
          <w:sz w:val="24"/>
          <w:lang w:val="fr-FR"/>
        </w:rPr>
      </w:pPr>
      <w:r w:rsidRPr="00502405">
        <w:rPr>
          <w:rFonts w:ascii="Times New Roman" w:hAnsi="Times New Roman" w:cs="Times New Roman"/>
          <w:sz w:val="24"/>
          <w:szCs w:val="24"/>
          <w:lang w:val="fr-BE"/>
        </w:rPr>
        <w:t xml:space="preserve">Bien que la production agricole </w:t>
      </w:r>
      <w:r w:rsidR="004517A1">
        <w:rPr>
          <w:rFonts w:ascii="Times New Roman" w:hAnsi="Times New Roman" w:cs="Times New Roman"/>
          <w:sz w:val="24"/>
          <w:szCs w:val="24"/>
          <w:lang w:val="fr-BE"/>
        </w:rPr>
        <w:t>ait</w:t>
      </w:r>
      <w:r w:rsidRPr="00502405">
        <w:rPr>
          <w:rFonts w:ascii="Times New Roman" w:hAnsi="Times New Roman" w:cs="Times New Roman"/>
          <w:sz w:val="24"/>
          <w:szCs w:val="24"/>
          <w:lang w:val="fr-BE"/>
        </w:rPr>
        <w:t xml:space="preserve"> un impact sur les ressources </w:t>
      </w:r>
      <w:r w:rsidR="004517A1">
        <w:rPr>
          <w:rFonts w:ascii="Times New Roman" w:hAnsi="Times New Roman" w:cs="Times New Roman"/>
          <w:sz w:val="24"/>
          <w:szCs w:val="24"/>
          <w:lang w:val="fr-BE"/>
        </w:rPr>
        <w:t xml:space="preserve">en </w:t>
      </w:r>
      <w:r w:rsidRPr="00502405">
        <w:rPr>
          <w:rFonts w:ascii="Times New Roman" w:hAnsi="Times New Roman" w:cs="Times New Roman"/>
          <w:sz w:val="24"/>
          <w:szCs w:val="24"/>
          <w:lang w:val="fr-BE"/>
        </w:rPr>
        <w:t>eau, ce</w:t>
      </w:r>
      <w:r w:rsidR="008E4965">
        <w:rPr>
          <w:rFonts w:ascii="Times New Roman" w:hAnsi="Times New Roman" w:cs="Times New Roman"/>
          <w:sz w:val="24"/>
          <w:szCs w:val="24"/>
          <w:lang w:val="fr-BE"/>
        </w:rPr>
        <w:t>t impact</w:t>
      </w:r>
      <w:r w:rsidRPr="00502405">
        <w:rPr>
          <w:rFonts w:ascii="Times New Roman" w:hAnsi="Times New Roman" w:cs="Times New Roman"/>
          <w:sz w:val="24"/>
          <w:szCs w:val="24"/>
          <w:lang w:val="fr-BE"/>
        </w:rPr>
        <w:t xml:space="preserve"> est </w:t>
      </w:r>
      <w:r w:rsidR="008E4965">
        <w:rPr>
          <w:rFonts w:ascii="Times New Roman" w:hAnsi="Times New Roman" w:cs="Times New Roman"/>
          <w:sz w:val="24"/>
          <w:szCs w:val="24"/>
          <w:lang w:val="fr-BE"/>
        </w:rPr>
        <w:t>corr</w:t>
      </w:r>
      <w:r w:rsidRPr="00502405">
        <w:rPr>
          <w:rFonts w:ascii="Times New Roman" w:hAnsi="Times New Roman" w:cs="Times New Roman"/>
          <w:sz w:val="24"/>
          <w:szCs w:val="24"/>
          <w:lang w:val="fr-BE"/>
        </w:rPr>
        <w:t>igé par différent</w:t>
      </w:r>
      <w:r w:rsidR="00462CA2">
        <w:rPr>
          <w:rFonts w:ascii="Times New Roman" w:hAnsi="Times New Roman" w:cs="Times New Roman"/>
          <w:sz w:val="24"/>
          <w:szCs w:val="24"/>
          <w:lang w:val="fr-BE"/>
        </w:rPr>
        <w:t>e</w:t>
      </w:r>
      <w:r w:rsidRPr="00502405">
        <w:rPr>
          <w:rFonts w:ascii="Times New Roman" w:hAnsi="Times New Roman" w:cs="Times New Roman"/>
          <w:sz w:val="24"/>
          <w:szCs w:val="24"/>
          <w:lang w:val="fr-BE"/>
        </w:rPr>
        <w:t>s mesures</w:t>
      </w:r>
      <w:r w:rsidR="00462CA2">
        <w:rPr>
          <w:rFonts w:ascii="Times New Roman" w:hAnsi="Times New Roman" w:cs="Times New Roman"/>
          <w:sz w:val="24"/>
          <w:szCs w:val="24"/>
          <w:lang w:val="fr-BE"/>
        </w:rPr>
        <w:t xml:space="preserve">. </w:t>
      </w:r>
      <w:r w:rsidRPr="00502405">
        <w:rPr>
          <w:rFonts w:ascii="Times New Roman" w:hAnsi="Times New Roman" w:cs="Times New Roman"/>
          <w:sz w:val="24"/>
          <w:szCs w:val="24"/>
          <w:lang w:val="fr-BE"/>
        </w:rPr>
        <w:t xml:space="preserve">Globalement, </w:t>
      </w:r>
      <w:r w:rsidR="00462CA2" w:rsidRPr="00462CA2">
        <w:rPr>
          <w:rFonts w:ascii="Times New Roman" w:hAnsi="Times New Roman" w:cs="Times New Roman"/>
          <w:sz w:val="24"/>
          <w:szCs w:val="24"/>
          <w:lang w:val="fr-BE"/>
        </w:rPr>
        <w:t xml:space="preserve">il semble </w:t>
      </w:r>
      <w:r w:rsidR="00462CA2">
        <w:rPr>
          <w:rFonts w:ascii="Times New Roman" w:hAnsi="Times New Roman" w:cs="Times New Roman"/>
          <w:sz w:val="24"/>
          <w:szCs w:val="24"/>
          <w:lang w:val="fr-BE"/>
        </w:rPr>
        <w:t xml:space="preserve">d’une part </w:t>
      </w:r>
      <w:r w:rsidR="00462CA2" w:rsidRPr="00462CA2">
        <w:rPr>
          <w:rFonts w:ascii="Times New Roman" w:hAnsi="Times New Roman" w:cs="Times New Roman"/>
          <w:sz w:val="24"/>
          <w:szCs w:val="24"/>
          <w:lang w:val="fr-BE"/>
        </w:rPr>
        <w:t xml:space="preserve">qu'il y ait peu d'alternatives </w:t>
      </w:r>
      <w:r w:rsidR="00D91D08">
        <w:rPr>
          <w:rFonts w:ascii="Times New Roman" w:hAnsi="Times New Roman" w:cs="Times New Roman"/>
          <w:sz w:val="24"/>
          <w:szCs w:val="24"/>
          <w:lang w:val="fr-BE"/>
        </w:rPr>
        <w:t xml:space="preserve">crédibles </w:t>
      </w:r>
      <w:r w:rsidR="00462CA2" w:rsidRPr="00462CA2">
        <w:rPr>
          <w:rFonts w:ascii="Times New Roman" w:hAnsi="Times New Roman" w:cs="Times New Roman"/>
          <w:sz w:val="24"/>
          <w:szCs w:val="24"/>
          <w:lang w:val="fr-BE"/>
        </w:rPr>
        <w:t>aujourd'hui pour permettre le développement économique du territoire concerné</w:t>
      </w:r>
      <w:r w:rsidR="00462CA2">
        <w:rPr>
          <w:rFonts w:ascii="Times New Roman" w:hAnsi="Times New Roman" w:cs="Times New Roman"/>
          <w:sz w:val="24"/>
          <w:szCs w:val="24"/>
          <w:lang w:val="fr-BE"/>
        </w:rPr>
        <w:t xml:space="preserve"> et d’autre part l</w:t>
      </w:r>
      <w:r w:rsidRPr="00502405">
        <w:rPr>
          <w:rFonts w:ascii="Times New Roman" w:hAnsi="Times New Roman" w:cs="Times New Roman"/>
          <w:sz w:val="24"/>
          <w:szCs w:val="24"/>
          <w:lang w:val="fr-BE"/>
        </w:rPr>
        <w:t xml:space="preserve">es </w:t>
      </w:r>
      <w:r w:rsidR="00462CA2">
        <w:rPr>
          <w:rFonts w:ascii="Times New Roman" w:hAnsi="Times New Roman" w:cs="Times New Roman"/>
          <w:sz w:val="24"/>
          <w:szCs w:val="24"/>
          <w:lang w:val="fr-BE"/>
        </w:rPr>
        <w:t>inconvénients</w:t>
      </w:r>
      <w:r w:rsidRPr="00502405">
        <w:rPr>
          <w:rFonts w:ascii="Times New Roman" w:hAnsi="Times New Roman" w:cs="Times New Roman"/>
          <w:sz w:val="24"/>
          <w:szCs w:val="24"/>
          <w:lang w:val="fr-BE"/>
        </w:rPr>
        <w:t xml:space="preserve"> dé</w:t>
      </w:r>
      <w:r w:rsidR="00462CA2">
        <w:rPr>
          <w:rFonts w:ascii="Times New Roman" w:hAnsi="Times New Roman" w:cs="Times New Roman"/>
          <w:sz w:val="24"/>
          <w:szCs w:val="24"/>
          <w:lang w:val="fr-BE"/>
        </w:rPr>
        <w:t>c</w:t>
      </w:r>
      <w:r w:rsidRPr="00502405">
        <w:rPr>
          <w:rFonts w:ascii="Times New Roman" w:hAnsi="Times New Roman" w:cs="Times New Roman"/>
          <w:sz w:val="24"/>
          <w:szCs w:val="24"/>
          <w:lang w:val="fr-BE"/>
        </w:rPr>
        <w:t xml:space="preserve">oulant de l'utilisation des ressources </w:t>
      </w:r>
      <w:r w:rsidR="00462CA2">
        <w:rPr>
          <w:rFonts w:ascii="Times New Roman" w:hAnsi="Times New Roman" w:cs="Times New Roman"/>
          <w:sz w:val="24"/>
          <w:szCs w:val="24"/>
          <w:lang w:val="fr-BE"/>
        </w:rPr>
        <w:t>hydriques</w:t>
      </w:r>
      <w:r w:rsidRPr="00502405">
        <w:rPr>
          <w:rFonts w:ascii="Times New Roman" w:hAnsi="Times New Roman" w:cs="Times New Roman"/>
          <w:sz w:val="24"/>
          <w:szCs w:val="24"/>
          <w:lang w:val="fr-BE"/>
        </w:rPr>
        <w:t xml:space="preserve"> sont compensés par l'impact économique positi</w:t>
      </w:r>
      <w:r w:rsidR="00462CA2">
        <w:rPr>
          <w:rFonts w:ascii="Times New Roman" w:hAnsi="Times New Roman" w:cs="Times New Roman"/>
          <w:sz w:val="24"/>
          <w:szCs w:val="24"/>
          <w:lang w:val="fr-BE"/>
        </w:rPr>
        <w:t>f</w:t>
      </w:r>
      <w:r w:rsidRPr="00502405">
        <w:rPr>
          <w:rFonts w:ascii="Times New Roman" w:hAnsi="Times New Roman" w:cs="Times New Roman"/>
          <w:sz w:val="24"/>
          <w:szCs w:val="24"/>
          <w:lang w:val="fr-BE"/>
        </w:rPr>
        <w:t xml:space="preserve"> pour le Sahara </w:t>
      </w:r>
      <w:r w:rsidR="00462CA2">
        <w:rPr>
          <w:rFonts w:ascii="Times New Roman" w:hAnsi="Times New Roman" w:cs="Times New Roman"/>
          <w:sz w:val="24"/>
          <w:szCs w:val="24"/>
          <w:lang w:val="fr-BE"/>
        </w:rPr>
        <w:t>occidental</w:t>
      </w:r>
      <w:r w:rsidRPr="00502405">
        <w:rPr>
          <w:rFonts w:ascii="Times New Roman" w:eastAsia="Calibri" w:hAnsi="Times New Roman" w:cs="Times New Roman"/>
          <w:sz w:val="24"/>
          <w:lang w:val="fr-FR" w:eastAsia="fr-FR"/>
        </w:rPr>
        <w:t>.</w:t>
      </w:r>
    </w:p>
    <w:p w:rsidR="009760C2" w:rsidRPr="002D7D5B" w:rsidRDefault="009760C2" w:rsidP="0084736B">
      <w:pPr>
        <w:widowControl w:val="0"/>
        <w:spacing w:after="0" w:line="240" w:lineRule="auto"/>
        <w:jc w:val="both"/>
        <w:rPr>
          <w:rFonts w:ascii="Times New Roman" w:eastAsia="Calibri" w:hAnsi="Times New Roman" w:cs="Times New Roman"/>
          <w:sz w:val="24"/>
          <w:lang w:val="fr-FR"/>
        </w:rPr>
      </w:pPr>
    </w:p>
    <w:p w:rsidR="009E6896" w:rsidRPr="00016D46" w:rsidRDefault="00E34A7F" w:rsidP="00FC36AF">
      <w:pPr>
        <w:pStyle w:val="Heading3"/>
        <w:rPr>
          <w:rFonts w:eastAsia="Calibri"/>
          <w:lang w:val="fr-FR"/>
        </w:rPr>
      </w:pPr>
      <w:bookmarkStart w:id="24" w:name="_Toc514257469"/>
      <w:r>
        <w:rPr>
          <w:rFonts w:eastAsia="Calibri"/>
          <w:lang w:val="fr-FR"/>
        </w:rPr>
        <w:t>L</w:t>
      </w:r>
      <w:r w:rsidR="00514E29">
        <w:rPr>
          <w:rFonts w:eastAsia="Calibri"/>
          <w:lang w:val="fr-FR"/>
        </w:rPr>
        <w:t>e secteur des p</w:t>
      </w:r>
      <w:r w:rsidR="009E6896" w:rsidRPr="00016D46">
        <w:rPr>
          <w:rFonts w:eastAsia="Calibri"/>
          <w:lang w:val="fr-FR"/>
        </w:rPr>
        <w:t>roduits de la pêche</w:t>
      </w:r>
      <w:bookmarkEnd w:id="24"/>
    </w:p>
    <w:p w:rsidR="009E6896" w:rsidRPr="009B3A97" w:rsidRDefault="009E6896" w:rsidP="0084736B">
      <w:pPr>
        <w:widowControl w:val="0"/>
        <w:spacing w:after="0" w:line="240" w:lineRule="auto"/>
        <w:jc w:val="both"/>
        <w:rPr>
          <w:rFonts w:ascii="Times New Roman" w:hAnsi="Times New Roman" w:cs="Times New Roman"/>
          <w:sz w:val="24"/>
          <w:szCs w:val="24"/>
          <w:highlight w:val="yellow"/>
          <w:lang w:val="fr-BE"/>
        </w:rPr>
      </w:pPr>
    </w:p>
    <w:p w:rsidR="009D0D8C" w:rsidRDefault="009D0D8C" w:rsidP="00FC36AF">
      <w:pPr>
        <w:pStyle w:val="Heading4"/>
        <w:rPr>
          <w:lang w:val="fr-BE"/>
        </w:rPr>
      </w:pPr>
      <w:r w:rsidRPr="00C04BAD">
        <w:rPr>
          <w:lang w:val="fr-BE"/>
        </w:rPr>
        <w:t xml:space="preserve">Introduction </w:t>
      </w:r>
    </w:p>
    <w:p w:rsidR="009E6896" w:rsidRPr="00B66573" w:rsidRDefault="009E6896" w:rsidP="0084736B">
      <w:pPr>
        <w:widowControl w:val="0"/>
        <w:spacing w:after="0" w:line="240" w:lineRule="auto"/>
        <w:jc w:val="both"/>
        <w:rPr>
          <w:rFonts w:ascii="Times New Roman" w:hAnsi="Times New Roman" w:cs="Times New Roman"/>
          <w:sz w:val="24"/>
          <w:szCs w:val="24"/>
          <w:highlight w:val="yellow"/>
          <w:lang w:val="fr-BE"/>
        </w:rPr>
      </w:pPr>
    </w:p>
    <w:p w:rsidR="00A616EF" w:rsidRDefault="00CE2C00" w:rsidP="0084736B">
      <w:pPr>
        <w:widowControl w:val="0"/>
        <w:spacing w:after="0" w:line="240" w:lineRule="auto"/>
        <w:jc w:val="both"/>
        <w:rPr>
          <w:rFonts w:ascii="Times New Roman" w:hAnsi="Times New Roman" w:cs="Times New Roman"/>
          <w:sz w:val="24"/>
          <w:szCs w:val="24"/>
          <w:lang w:val="fr-BE"/>
        </w:rPr>
      </w:pPr>
      <w:r w:rsidRPr="000B5693">
        <w:rPr>
          <w:rFonts w:ascii="Times New Roman" w:hAnsi="Times New Roman" w:cs="Times New Roman"/>
          <w:sz w:val="24"/>
          <w:szCs w:val="24"/>
          <w:lang w:val="fr-BE"/>
        </w:rPr>
        <w:t xml:space="preserve">Il </w:t>
      </w:r>
      <w:r>
        <w:rPr>
          <w:rFonts w:ascii="Times New Roman" w:hAnsi="Times New Roman" w:cs="Times New Roman"/>
          <w:sz w:val="24"/>
          <w:szCs w:val="24"/>
          <w:lang w:val="fr-BE"/>
        </w:rPr>
        <w:t>convient</w:t>
      </w:r>
      <w:r w:rsidRPr="000B5693">
        <w:rPr>
          <w:rFonts w:ascii="Times New Roman" w:hAnsi="Times New Roman" w:cs="Times New Roman"/>
          <w:sz w:val="24"/>
          <w:szCs w:val="24"/>
          <w:lang w:val="fr-BE"/>
        </w:rPr>
        <w:t xml:space="preserve"> d</w:t>
      </w:r>
      <w:r>
        <w:rPr>
          <w:rFonts w:ascii="Times New Roman" w:hAnsi="Times New Roman" w:cs="Times New Roman"/>
          <w:sz w:val="24"/>
          <w:szCs w:val="24"/>
          <w:lang w:val="fr-BE"/>
        </w:rPr>
        <w:t>e rappeler</w:t>
      </w:r>
      <w:r w:rsidRPr="000B5693">
        <w:rPr>
          <w:rFonts w:ascii="Times New Roman" w:hAnsi="Times New Roman" w:cs="Times New Roman"/>
          <w:sz w:val="24"/>
          <w:szCs w:val="24"/>
          <w:lang w:val="fr-BE"/>
        </w:rPr>
        <w:t xml:space="preserve"> avant de détailler le secteur de la p</w:t>
      </w:r>
      <w:r>
        <w:rPr>
          <w:rFonts w:ascii="Times New Roman" w:hAnsi="Times New Roman" w:cs="Times New Roman"/>
          <w:sz w:val="24"/>
          <w:szCs w:val="24"/>
          <w:lang w:val="fr-BE"/>
        </w:rPr>
        <w:t>êche au Sahara occidental que l’objet du présent rapport est d’évaluer notamment l’impact de l’accord sur le développement durable et en particulier</w:t>
      </w:r>
      <w:r w:rsidRPr="008326F1">
        <w:rPr>
          <w:rFonts w:ascii="Times New Roman" w:hAnsi="Times New Roman" w:cs="Times New Roman"/>
          <w:sz w:val="24"/>
          <w:szCs w:val="24"/>
          <w:lang w:val="fr-BE"/>
        </w:rPr>
        <w:t xml:space="preserve"> les avantages pour les populations locales et l'impact de l'exploitation des ressources naturelles sur les territoires concernés</w:t>
      </w:r>
      <w:r>
        <w:rPr>
          <w:rFonts w:ascii="Times New Roman" w:hAnsi="Times New Roman" w:cs="Times New Roman"/>
          <w:sz w:val="24"/>
          <w:szCs w:val="24"/>
          <w:lang w:val="fr-BE"/>
        </w:rPr>
        <w:t xml:space="preserve">. </w:t>
      </w:r>
      <w:r w:rsidR="009C5EF4">
        <w:rPr>
          <w:rFonts w:ascii="Times New Roman" w:hAnsi="Times New Roman" w:cs="Times New Roman"/>
          <w:sz w:val="24"/>
          <w:szCs w:val="24"/>
          <w:lang w:val="fr-BE"/>
        </w:rPr>
        <w:t>Cela implique de déterminer les effets potentiels de l’accord sur les exportations du territoire vers l’U</w:t>
      </w:r>
      <w:r w:rsidR="008326F1">
        <w:rPr>
          <w:rFonts w:ascii="Times New Roman" w:hAnsi="Times New Roman" w:cs="Times New Roman"/>
          <w:sz w:val="24"/>
          <w:szCs w:val="24"/>
          <w:lang w:val="fr-BE"/>
        </w:rPr>
        <w:t>nion</w:t>
      </w:r>
      <w:r w:rsidR="009C5EF4">
        <w:rPr>
          <w:rFonts w:ascii="Times New Roman" w:hAnsi="Times New Roman" w:cs="Times New Roman"/>
          <w:sz w:val="24"/>
          <w:szCs w:val="24"/>
          <w:lang w:val="fr-BE"/>
        </w:rPr>
        <w:t xml:space="preserve">. </w:t>
      </w:r>
      <w:r w:rsidR="009E6896" w:rsidRPr="00B66573">
        <w:rPr>
          <w:rFonts w:ascii="Times New Roman" w:hAnsi="Times New Roman" w:cs="Times New Roman"/>
          <w:sz w:val="24"/>
          <w:szCs w:val="24"/>
          <w:lang w:val="fr-BE"/>
        </w:rPr>
        <w:t xml:space="preserve">Dans ce cadre, la détermination de l’origine des produits concernés est un élément </w:t>
      </w:r>
      <w:r w:rsidR="009E6896">
        <w:rPr>
          <w:rFonts w:ascii="Times New Roman" w:hAnsi="Times New Roman" w:cs="Times New Roman"/>
          <w:sz w:val="24"/>
          <w:szCs w:val="24"/>
          <w:lang w:val="fr-BE"/>
        </w:rPr>
        <w:t>essentie</w:t>
      </w:r>
      <w:r w:rsidR="009E6896" w:rsidRPr="000B5693">
        <w:rPr>
          <w:rFonts w:ascii="Times New Roman" w:hAnsi="Times New Roman" w:cs="Times New Roman"/>
          <w:sz w:val="24"/>
          <w:szCs w:val="24"/>
          <w:lang w:val="fr-BE"/>
        </w:rPr>
        <w:t xml:space="preserve">l. Or, les produits de la pêche </w:t>
      </w:r>
      <w:r w:rsidR="009E6896">
        <w:rPr>
          <w:rFonts w:ascii="Times New Roman" w:hAnsi="Times New Roman" w:cs="Times New Roman"/>
          <w:sz w:val="24"/>
          <w:szCs w:val="24"/>
          <w:lang w:val="fr-BE"/>
        </w:rPr>
        <w:t xml:space="preserve">maritime pêchés en dehors des eaux territoriales </w:t>
      </w:r>
      <w:r w:rsidR="005E71DC">
        <w:rPr>
          <w:rFonts w:ascii="Times New Roman" w:hAnsi="Times New Roman" w:cs="Times New Roman"/>
          <w:sz w:val="24"/>
          <w:szCs w:val="24"/>
          <w:lang w:val="fr-BE"/>
        </w:rPr>
        <w:t xml:space="preserve">(12 milles </w:t>
      </w:r>
      <w:r w:rsidR="00F076F8">
        <w:rPr>
          <w:rFonts w:ascii="Times New Roman" w:hAnsi="Times New Roman" w:cs="Times New Roman"/>
          <w:sz w:val="24"/>
          <w:szCs w:val="24"/>
          <w:lang w:val="fr-BE"/>
        </w:rPr>
        <w:t>marins</w:t>
      </w:r>
      <w:r w:rsidR="005E71DC">
        <w:rPr>
          <w:rFonts w:ascii="Times New Roman" w:hAnsi="Times New Roman" w:cs="Times New Roman"/>
          <w:sz w:val="24"/>
          <w:szCs w:val="24"/>
          <w:lang w:val="fr-BE"/>
        </w:rPr>
        <w:t xml:space="preserve">) </w:t>
      </w:r>
      <w:r w:rsidR="009E6896">
        <w:rPr>
          <w:rFonts w:ascii="Times New Roman" w:hAnsi="Times New Roman" w:cs="Times New Roman"/>
          <w:sz w:val="24"/>
          <w:szCs w:val="24"/>
          <w:lang w:val="fr-BE"/>
        </w:rPr>
        <w:t xml:space="preserve">acquièrent l’origine du navire qui les a pêchés. Les conditions </w:t>
      </w:r>
      <w:r w:rsidR="00F60564">
        <w:rPr>
          <w:rFonts w:ascii="Times New Roman" w:hAnsi="Times New Roman" w:cs="Times New Roman"/>
          <w:sz w:val="24"/>
          <w:szCs w:val="24"/>
          <w:lang w:val="fr-BE"/>
        </w:rPr>
        <w:t>relatives à</w:t>
      </w:r>
      <w:r w:rsidR="008326F1">
        <w:rPr>
          <w:rFonts w:ascii="Times New Roman" w:hAnsi="Times New Roman" w:cs="Times New Roman"/>
          <w:sz w:val="24"/>
          <w:szCs w:val="24"/>
          <w:lang w:val="fr-BE"/>
        </w:rPr>
        <w:t xml:space="preserve"> l’origine des produits de la pêche,</w:t>
      </w:r>
      <w:r w:rsidR="009E6896">
        <w:rPr>
          <w:rFonts w:ascii="Times New Roman" w:hAnsi="Times New Roman" w:cs="Times New Roman"/>
          <w:sz w:val="24"/>
          <w:szCs w:val="24"/>
          <w:lang w:val="fr-BE"/>
        </w:rPr>
        <w:t xml:space="preserve"> définies à l’article 5 </w:t>
      </w:r>
      <w:r w:rsidR="00407A64">
        <w:rPr>
          <w:rFonts w:ascii="Times New Roman" w:hAnsi="Times New Roman" w:cs="Times New Roman"/>
          <w:sz w:val="24"/>
          <w:szCs w:val="24"/>
          <w:lang w:val="fr-BE"/>
        </w:rPr>
        <w:t xml:space="preserve">du protocole n° 4 </w:t>
      </w:r>
      <w:r w:rsidR="009E6896">
        <w:rPr>
          <w:rFonts w:ascii="Times New Roman" w:hAnsi="Times New Roman" w:cs="Times New Roman"/>
          <w:sz w:val="24"/>
          <w:szCs w:val="24"/>
          <w:lang w:val="fr-BE"/>
        </w:rPr>
        <w:t>de l’accord d’association</w:t>
      </w:r>
      <w:r w:rsidR="00875D2D">
        <w:rPr>
          <w:rFonts w:ascii="Times New Roman" w:hAnsi="Times New Roman" w:cs="Times New Roman"/>
          <w:sz w:val="24"/>
          <w:szCs w:val="24"/>
          <w:lang w:val="fr-BE"/>
        </w:rPr>
        <w:t xml:space="preserve">, établissent que les produits pêchés par des navires </w:t>
      </w:r>
      <w:r w:rsidR="00A616EF">
        <w:rPr>
          <w:rFonts w:ascii="Times New Roman" w:hAnsi="Times New Roman" w:cs="Times New Roman"/>
          <w:sz w:val="24"/>
          <w:szCs w:val="24"/>
          <w:lang w:val="fr-BE"/>
        </w:rPr>
        <w:t>d'une des parties de l'accord d'association sont considérés comme d'origine préférentielle</w:t>
      </w:r>
      <w:r w:rsidR="009E6896">
        <w:rPr>
          <w:rFonts w:ascii="Times New Roman" w:hAnsi="Times New Roman" w:cs="Times New Roman"/>
          <w:sz w:val="24"/>
          <w:szCs w:val="24"/>
          <w:lang w:val="fr-BE"/>
        </w:rPr>
        <w:t>.</w:t>
      </w:r>
    </w:p>
    <w:p w:rsidR="00A616EF" w:rsidRDefault="00A616EF" w:rsidP="0084736B">
      <w:pPr>
        <w:widowControl w:val="0"/>
        <w:spacing w:after="0" w:line="240" w:lineRule="auto"/>
        <w:jc w:val="both"/>
        <w:rPr>
          <w:rFonts w:ascii="Times New Roman" w:hAnsi="Times New Roman" w:cs="Times New Roman"/>
          <w:sz w:val="24"/>
          <w:szCs w:val="24"/>
          <w:lang w:val="fr-BE"/>
        </w:rPr>
      </w:pPr>
    </w:p>
    <w:p w:rsidR="00A40D7A" w:rsidRPr="00A40D7A" w:rsidRDefault="007C0B76" w:rsidP="00A40D7A">
      <w:pPr>
        <w:widowControl w:val="0"/>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w:t>
      </w:r>
      <w:r w:rsidR="00A40D7A" w:rsidRPr="00A40D7A">
        <w:rPr>
          <w:rFonts w:ascii="Times New Roman" w:hAnsi="Times New Roman" w:cs="Times New Roman"/>
          <w:sz w:val="24"/>
          <w:szCs w:val="24"/>
          <w:lang w:val="fr-BE"/>
        </w:rPr>
        <w:t>e poisson pêché au-delà des eaux territoriales acquiert l’origine préférentielle sur la base de critères relatifs à la propriété, au pavillon, à l’équipage et à l’enregistrement du navire (critères définis dans le protocole n° 4</w:t>
      </w:r>
      <w:r w:rsidR="00F27502">
        <w:rPr>
          <w:rFonts w:ascii="Times New Roman" w:hAnsi="Times New Roman" w:cs="Times New Roman"/>
          <w:sz w:val="24"/>
          <w:szCs w:val="24"/>
          <w:lang w:val="fr-BE"/>
        </w:rPr>
        <w:t xml:space="preserve"> de l’accord d’association</w:t>
      </w:r>
      <w:r w:rsidR="00A40D7A" w:rsidRPr="00A40D7A">
        <w:rPr>
          <w:rFonts w:ascii="Times New Roman" w:hAnsi="Times New Roman" w:cs="Times New Roman"/>
          <w:sz w:val="24"/>
          <w:szCs w:val="24"/>
          <w:lang w:val="fr-BE"/>
        </w:rPr>
        <w:t xml:space="preserve">). </w:t>
      </w:r>
      <w:r w:rsidRPr="00A40D7A">
        <w:rPr>
          <w:rFonts w:ascii="Times New Roman" w:hAnsi="Times New Roman" w:cs="Times New Roman"/>
          <w:sz w:val="24"/>
          <w:szCs w:val="24"/>
          <w:lang w:val="fr-BE"/>
        </w:rPr>
        <w:t xml:space="preserve">Etant donné qu'il n’existe pas de flotte de pêche battant pavillon du Sahara occidental, </w:t>
      </w:r>
      <w:r w:rsidR="00A40D7A" w:rsidRPr="00A40D7A">
        <w:rPr>
          <w:rFonts w:ascii="Times New Roman" w:hAnsi="Times New Roman" w:cs="Times New Roman"/>
          <w:sz w:val="24"/>
          <w:szCs w:val="24"/>
          <w:lang w:val="fr-BE"/>
        </w:rPr>
        <w:t xml:space="preserve">le poisson pêché n’acquiert jamais l’origine </w:t>
      </w:r>
      <w:r>
        <w:rPr>
          <w:rFonts w:ascii="Times New Roman" w:hAnsi="Times New Roman" w:cs="Times New Roman"/>
          <w:sz w:val="24"/>
          <w:szCs w:val="24"/>
          <w:lang w:val="fr-BE"/>
        </w:rPr>
        <w:t xml:space="preserve">préférentielle </w:t>
      </w:r>
      <w:r w:rsidR="00A40D7A" w:rsidRPr="00A40D7A">
        <w:rPr>
          <w:rFonts w:ascii="Times New Roman" w:hAnsi="Times New Roman" w:cs="Times New Roman"/>
          <w:sz w:val="24"/>
          <w:szCs w:val="24"/>
          <w:lang w:val="fr-BE"/>
        </w:rPr>
        <w:t>Sahara occidental (sauf dans les eaux territoriales). C’est seulement au stade de la transformation que le produit transformé p</w:t>
      </w:r>
      <w:r>
        <w:rPr>
          <w:rFonts w:ascii="Times New Roman" w:hAnsi="Times New Roman" w:cs="Times New Roman"/>
          <w:sz w:val="24"/>
          <w:szCs w:val="24"/>
          <w:lang w:val="fr-BE"/>
        </w:rPr>
        <w:t>eut</w:t>
      </w:r>
      <w:r w:rsidR="00A40D7A" w:rsidRPr="00A40D7A">
        <w:rPr>
          <w:rFonts w:ascii="Times New Roman" w:hAnsi="Times New Roman" w:cs="Times New Roman"/>
          <w:sz w:val="24"/>
          <w:szCs w:val="24"/>
          <w:lang w:val="fr-BE"/>
        </w:rPr>
        <w:t xml:space="preserve"> devenir originaire du Sahara occidental et</w:t>
      </w:r>
      <w:r>
        <w:rPr>
          <w:rFonts w:ascii="Times New Roman" w:hAnsi="Times New Roman" w:cs="Times New Roman"/>
          <w:sz w:val="24"/>
          <w:szCs w:val="24"/>
          <w:lang w:val="fr-BE"/>
        </w:rPr>
        <w:t>, par le biais du cumul d’origine</w:t>
      </w:r>
      <w:r>
        <w:rPr>
          <w:rStyle w:val="FootnoteReference"/>
          <w:rFonts w:ascii="Times New Roman" w:hAnsi="Times New Roman" w:cs="Times New Roman"/>
          <w:sz w:val="24"/>
          <w:szCs w:val="24"/>
          <w:lang w:val="fr-BE"/>
        </w:rPr>
        <w:footnoteReference w:id="29"/>
      </w:r>
      <w:r>
        <w:rPr>
          <w:rFonts w:ascii="Times New Roman" w:hAnsi="Times New Roman" w:cs="Times New Roman"/>
          <w:sz w:val="24"/>
          <w:szCs w:val="24"/>
          <w:lang w:val="fr-BE"/>
        </w:rPr>
        <w:t>,</w:t>
      </w:r>
      <w:r w:rsidR="00A40D7A" w:rsidRPr="00A40D7A">
        <w:rPr>
          <w:rFonts w:ascii="Times New Roman" w:hAnsi="Times New Roman" w:cs="Times New Roman"/>
          <w:sz w:val="24"/>
          <w:szCs w:val="24"/>
          <w:lang w:val="fr-BE"/>
        </w:rPr>
        <w:t xml:space="preserve"> bénéficier de préférences tarifaires.</w:t>
      </w:r>
    </w:p>
    <w:p w:rsidR="004D7AA6" w:rsidRDefault="004D7AA6" w:rsidP="0084736B">
      <w:pPr>
        <w:widowControl w:val="0"/>
        <w:spacing w:after="0" w:line="240" w:lineRule="auto"/>
        <w:jc w:val="both"/>
        <w:rPr>
          <w:rFonts w:ascii="Times New Roman" w:hAnsi="Times New Roman" w:cs="Times New Roman"/>
          <w:sz w:val="24"/>
          <w:szCs w:val="24"/>
          <w:lang w:val="fr-BE"/>
        </w:rPr>
      </w:pPr>
    </w:p>
    <w:p w:rsidR="00FD2D4C" w:rsidRDefault="00413687" w:rsidP="0084736B">
      <w:pPr>
        <w:widowControl w:val="0"/>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Aux fins de l’évaluation de l’impact de l’accord, </w:t>
      </w:r>
      <w:r w:rsidR="00FD2D4C">
        <w:rPr>
          <w:rFonts w:ascii="Times New Roman" w:hAnsi="Times New Roman" w:cs="Times New Roman"/>
          <w:sz w:val="24"/>
          <w:szCs w:val="24"/>
          <w:lang w:val="fr-BE"/>
        </w:rPr>
        <w:t xml:space="preserve">l’étude doit </w:t>
      </w:r>
      <w:r w:rsidR="002A7369">
        <w:rPr>
          <w:rFonts w:ascii="Times New Roman" w:hAnsi="Times New Roman" w:cs="Times New Roman"/>
          <w:sz w:val="24"/>
          <w:szCs w:val="24"/>
          <w:lang w:val="fr-BE"/>
        </w:rPr>
        <w:t xml:space="preserve">par conséquent </w:t>
      </w:r>
      <w:r>
        <w:rPr>
          <w:rFonts w:ascii="Times New Roman" w:hAnsi="Times New Roman" w:cs="Times New Roman"/>
          <w:sz w:val="24"/>
          <w:szCs w:val="24"/>
          <w:lang w:val="fr-BE"/>
        </w:rPr>
        <w:t>se</w:t>
      </w:r>
      <w:r w:rsidR="00FD2D4C">
        <w:rPr>
          <w:rFonts w:ascii="Times New Roman" w:hAnsi="Times New Roman" w:cs="Times New Roman"/>
          <w:sz w:val="24"/>
          <w:szCs w:val="24"/>
          <w:lang w:val="fr-BE"/>
        </w:rPr>
        <w:t xml:space="preserve"> concentrer sur </w:t>
      </w:r>
      <w:r w:rsidR="00472D50">
        <w:rPr>
          <w:rFonts w:ascii="Times New Roman" w:hAnsi="Times New Roman" w:cs="Times New Roman"/>
          <w:sz w:val="24"/>
          <w:szCs w:val="24"/>
          <w:lang w:val="fr-BE"/>
        </w:rPr>
        <w:t xml:space="preserve">les activités de </w:t>
      </w:r>
      <w:r w:rsidR="00FD2D4C">
        <w:rPr>
          <w:rFonts w:ascii="Times New Roman" w:hAnsi="Times New Roman" w:cs="Times New Roman"/>
          <w:sz w:val="24"/>
          <w:szCs w:val="24"/>
          <w:lang w:val="fr-BE"/>
        </w:rPr>
        <w:t>transformation des produits de la pêche sur le territoire du Sahara occidental</w:t>
      </w:r>
      <w:r w:rsidR="00A53421">
        <w:rPr>
          <w:rFonts w:ascii="Times New Roman" w:hAnsi="Times New Roman" w:cs="Times New Roman"/>
          <w:sz w:val="24"/>
          <w:szCs w:val="24"/>
          <w:lang w:val="fr-BE"/>
        </w:rPr>
        <w:t xml:space="preserve">, et sur </w:t>
      </w:r>
      <w:r w:rsidR="00F60564">
        <w:rPr>
          <w:rFonts w:ascii="Times New Roman" w:hAnsi="Times New Roman" w:cs="Times New Roman"/>
          <w:sz w:val="24"/>
          <w:szCs w:val="24"/>
          <w:lang w:val="fr-BE"/>
        </w:rPr>
        <w:t>l’</w:t>
      </w:r>
      <w:r w:rsidR="00A53421">
        <w:rPr>
          <w:rFonts w:ascii="Times New Roman" w:hAnsi="Times New Roman" w:cs="Times New Roman"/>
          <w:sz w:val="24"/>
          <w:szCs w:val="24"/>
          <w:lang w:val="fr-BE"/>
        </w:rPr>
        <w:t xml:space="preserve">impact </w:t>
      </w:r>
      <w:r w:rsidR="00F60564">
        <w:rPr>
          <w:rFonts w:ascii="Times New Roman" w:hAnsi="Times New Roman" w:cs="Times New Roman"/>
          <w:sz w:val="24"/>
          <w:szCs w:val="24"/>
          <w:lang w:val="fr-BE"/>
        </w:rPr>
        <w:t>qu’</w:t>
      </w:r>
      <w:r w:rsidR="00A53421">
        <w:rPr>
          <w:rFonts w:ascii="Times New Roman" w:hAnsi="Times New Roman" w:cs="Times New Roman"/>
          <w:sz w:val="24"/>
          <w:szCs w:val="24"/>
          <w:lang w:val="fr-BE"/>
        </w:rPr>
        <w:t xml:space="preserve">aurait l'octroi ou le déni de préférences </w:t>
      </w:r>
      <w:r w:rsidR="00472D50">
        <w:rPr>
          <w:rFonts w:ascii="Times New Roman" w:hAnsi="Times New Roman" w:cs="Times New Roman"/>
          <w:sz w:val="24"/>
          <w:szCs w:val="24"/>
          <w:lang w:val="fr-BE"/>
        </w:rPr>
        <w:t>sur cette production</w:t>
      </w:r>
      <w:r w:rsidR="00124B43">
        <w:rPr>
          <w:rFonts w:ascii="Times New Roman" w:hAnsi="Times New Roman" w:cs="Times New Roman"/>
          <w:sz w:val="24"/>
          <w:szCs w:val="24"/>
          <w:lang w:val="fr-BE"/>
        </w:rPr>
        <w:t>. Ceci est donc</w:t>
      </w:r>
      <w:r w:rsidR="002A7369">
        <w:rPr>
          <w:rFonts w:ascii="Times New Roman" w:hAnsi="Times New Roman" w:cs="Times New Roman"/>
          <w:sz w:val="24"/>
          <w:szCs w:val="24"/>
          <w:lang w:val="fr-BE"/>
        </w:rPr>
        <w:t xml:space="preserve"> </w:t>
      </w:r>
      <w:r w:rsidR="00F60564">
        <w:rPr>
          <w:rFonts w:ascii="Times New Roman" w:hAnsi="Times New Roman" w:cs="Times New Roman"/>
          <w:sz w:val="24"/>
          <w:szCs w:val="24"/>
          <w:lang w:val="fr-BE"/>
        </w:rPr>
        <w:t>sans considération</w:t>
      </w:r>
      <w:r w:rsidR="002A7369">
        <w:rPr>
          <w:rFonts w:ascii="Times New Roman" w:hAnsi="Times New Roman" w:cs="Times New Roman"/>
          <w:sz w:val="24"/>
          <w:szCs w:val="24"/>
          <w:lang w:val="fr-BE"/>
        </w:rPr>
        <w:t xml:space="preserve"> de </w:t>
      </w:r>
      <w:r w:rsidR="00472D50">
        <w:rPr>
          <w:rFonts w:ascii="Times New Roman" w:hAnsi="Times New Roman" w:cs="Times New Roman"/>
          <w:sz w:val="24"/>
          <w:szCs w:val="24"/>
          <w:lang w:val="fr-BE"/>
        </w:rPr>
        <w:t xml:space="preserve">l'activité de pêche et aussi de </w:t>
      </w:r>
      <w:r w:rsidR="002A7369">
        <w:rPr>
          <w:rFonts w:ascii="Times New Roman" w:hAnsi="Times New Roman" w:cs="Times New Roman"/>
          <w:sz w:val="24"/>
          <w:szCs w:val="24"/>
          <w:lang w:val="fr-BE"/>
        </w:rPr>
        <w:t xml:space="preserve">l'endroit (eaux) où </w:t>
      </w:r>
      <w:r w:rsidR="00124B43">
        <w:rPr>
          <w:rFonts w:ascii="Times New Roman" w:hAnsi="Times New Roman" w:cs="Times New Roman"/>
          <w:sz w:val="24"/>
          <w:szCs w:val="24"/>
          <w:lang w:val="fr-BE"/>
        </w:rPr>
        <w:t xml:space="preserve">cette activité a lieu: </w:t>
      </w:r>
      <w:r w:rsidR="00F60564">
        <w:rPr>
          <w:rFonts w:ascii="Times New Roman" w:hAnsi="Times New Roman" w:cs="Times New Roman"/>
          <w:sz w:val="24"/>
          <w:szCs w:val="24"/>
          <w:lang w:val="fr-BE"/>
        </w:rPr>
        <w:t xml:space="preserve">en effet, </w:t>
      </w:r>
      <w:r w:rsidR="00124B43">
        <w:rPr>
          <w:rFonts w:ascii="Times New Roman" w:hAnsi="Times New Roman" w:cs="Times New Roman"/>
          <w:sz w:val="24"/>
          <w:szCs w:val="24"/>
          <w:lang w:val="fr-BE"/>
        </w:rPr>
        <w:t>ce</w:t>
      </w:r>
      <w:r w:rsidR="00F60564">
        <w:rPr>
          <w:rFonts w:ascii="Times New Roman" w:hAnsi="Times New Roman" w:cs="Times New Roman"/>
          <w:sz w:val="24"/>
          <w:szCs w:val="24"/>
          <w:lang w:val="fr-BE"/>
        </w:rPr>
        <w:t>s</w:t>
      </w:r>
      <w:r w:rsidR="001F0CAB">
        <w:rPr>
          <w:rFonts w:ascii="Times New Roman" w:hAnsi="Times New Roman" w:cs="Times New Roman"/>
          <w:sz w:val="24"/>
          <w:szCs w:val="24"/>
          <w:lang w:val="fr-BE"/>
        </w:rPr>
        <w:t xml:space="preserve"> questions </w:t>
      </w:r>
      <w:r w:rsidR="001E4E82">
        <w:rPr>
          <w:rFonts w:ascii="Times New Roman" w:hAnsi="Times New Roman" w:cs="Times New Roman"/>
          <w:sz w:val="24"/>
          <w:szCs w:val="24"/>
          <w:lang w:val="fr-BE"/>
        </w:rPr>
        <w:t xml:space="preserve">ne </w:t>
      </w:r>
      <w:r w:rsidR="00623790">
        <w:rPr>
          <w:rFonts w:ascii="Times New Roman" w:hAnsi="Times New Roman" w:cs="Times New Roman"/>
          <w:sz w:val="24"/>
          <w:szCs w:val="24"/>
          <w:lang w:val="fr-BE"/>
        </w:rPr>
        <w:t>concernent que de manière très limitée</w:t>
      </w:r>
      <w:r w:rsidR="001E4E82">
        <w:rPr>
          <w:rFonts w:ascii="Times New Roman" w:hAnsi="Times New Roman" w:cs="Times New Roman"/>
          <w:sz w:val="24"/>
          <w:szCs w:val="24"/>
          <w:lang w:val="fr-BE"/>
        </w:rPr>
        <w:t xml:space="preserve"> </w:t>
      </w:r>
      <w:r w:rsidR="00623790">
        <w:rPr>
          <w:rFonts w:ascii="Times New Roman" w:hAnsi="Times New Roman" w:cs="Times New Roman"/>
          <w:sz w:val="24"/>
          <w:szCs w:val="24"/>
          <w:lang w:val="fr-BE"/>
        </w:rPr>
        <w:t>l'objectif de cette analyse</w:t>
      </w:r>
      <w:r w:rsidR="00FD2D4C">
        <w:rPr>
          <w:rFonts w:ascii="Times New Roman" w:hAnsi="Times New Roman" w:cs="Times New Roman"/>
          <w:sz w:val="24"/>
          <w:szCs w:val="24"/>
          <w:lang w:val="fr-BE"/>
        </w:rPr>
        <w:t>.</w:t>
      </w:r>
    </w:p>
    <w:p w:rsidR="009C5EF4" w:rsidRDefault="009C5EF4" w:rsidP="0084736B">
      <w:pPr>
        <w:widowControl w:val="0"/>
        <w:spacing w:after="0" w:line="240" w:lineRule="auto"/>
        <w:jc w:val="both"/>
        <w:rPr>
          <w:rFonts w:ascii="Times New Roman" w:hAnsi="Times New Roman" w:cs="Times New Roman"/>
          <w:sz w:val="24"/>
          <w:szCs w:val="24"/>
          <w:lang w:val="fr-BE"/>
        </w:rPr>
      </w:pPr>
    </w:p>
    <w:p w:rsidR="009D0D8C" w:rsidRPr="00EF4CFE" w:rsidRDefault="00FD2D4C" w:rsidP="0084736B">
      <w:pPr>
        <w:widowControl w:val="0"/>
        <w:spacing w:after="0" w:line="240" w:lineRule="auto"/>
        <w:jc w:val="both"/>
        <w:rPr>
          <w:rFonts w:ascii="Times New Roman" w:hAnsi="Times New Roman" w:cs="Times New Roman"/>
          <w:sz w:val="24"/>
          <w:szCs w:val="24"/>
          <w:lang w:val="fr-BE"/>
        </w:rPr>
      </w:pPr>
      <w:r w:rsidRPr="00DE3C37">
        <w:rPr>
          <w:rFonts w:ascii="Times New Roman" w:hAnsi="Times New Roman" w:cs="Times New Roman"/>
          <w:sz w:val="24"/>
          <w:szCs w:val="24"/>
          <w:lang w:val="fr-BE"/>
        </w:rPr>
        <w:t>Les produits transformés sont des produits de la pêche généralement capturés</w:t>
      </w:r>
      <w:r>
        <w:rPr>
          <w:rFonts w:ascii="Times New Roman" w:hAnsi="Times New Roman" w:cs="Times New Roman"/>
          <w:sz w:val="24"/>
          <w:szCs w:val="24"/>
          <w:lang w:val="fr-BE"/>
        </w:rPr>
        <w:t xml:space="preserve"> le long des côtes du Sahara occidental, dans les eaux territoriales</w:t>
      </w:r>
      <w:r w:rsidR="009E6896" w:rsidRPr="00DE3C37">
        <w:rPr>
          <w:rFonts w:ascii="Times New Roman" w:hAnsi="Times New Roman" w:cs="Times New Roman"/>
          <w:sz w:val="24"/>
          <w:szCs w:val="24"/>
          <w:lang w:val="fr-BE"/>
        </w:rPr>
        <w:t xml:space="preserve"> (12 miles) </w:t>
      </w:r>
      <w:r w:rsidR="0000763C">
        <w:rPr>
          <w:rFonts w:ascii="Times New Roman" w:hAnsi="Times New Roman" w:cs="Times New Roman"/>
          <w:sz w:val="24"/>
          <w:szCs w:val="24"/>
          <w:lang w:val="fr-BE"/>
        </w:rPr>
        <w:t>ou</w:t>
      </w:r>
      <w:r w:rsidRPr="00DE3C37">
        <w:rPr>
          <w:rFonts w:ascii="Times New Roman" w:hAnsi="Times New Roman" w:cs="Times New Roman"/>
          <w:sz w:val="24"/>
          <w:szCs w:val="24"/>
          <w:lang w:val="fr-BE"/>
        </w:rPr>
        <w:t xml:space="preserve"> dans la zone économique exclusive</w:t>
      </w:r>
      <w:r w:rsidR="009E6896" w:rsidRPr="00DE3C37">
        <w:rPr>
          <w:rFonts w:ascii="Times New Roman" w:hAnsi="Times New Roman" w:cs="Times New Roman"/>
          <w:sz w:val="24"/>
          <w:szCs w:val="24"/>
          <w:lang w:val="fr-BE"/>
        </w:rPr>
        <w:t xml:space="preserve"> (200 miles)</w:t>
      </w:r>
      <w:r w:rsidR="0000763C">
        <w:rPr>
          <w:rFonts w:ascii="Times New Roman" w:hAnsi="Times New Roman" w:cs="Times New Roman"/>
          <w:sz w:val="24"/>
          <w:szCs w:val="24"/>
          <w:lang w:val="fr-BE"/>
        </w:rPr>
        <w:t xml:space="preserve"> adjacente</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mais il peut aussi s’agir de poissons pêchés au-delà de cette zone (eaux territoriales ou </w:t>
      </w:r>
      <w:r w:rsidR="00F60564">
        <w:rPr>
          <w:rFonts w:ascii="Times New Roman" w:hAnsi="Times New Roman" w:cs="Times New Roman"/>
          <w:sz w:val="24"/>
          <w:szCs w:val="24"/>
          <w:lang w:val="fr-BE"/>
        </w:rPr>
        <w:t>zone économique exclusive</w:t>
      </w:r>
      <w:r w:rsidR="0000763C">
        <w:rPr>
          <w:rFonts w:ascii="Times New Roman" w:hAnsi="Times New Roman" w:cs="Times New Roman"/>
          <w:sz w:val="24"/>
          <w:szCs w:val="24"/>
          <w:lang w:val="fr-BE"/>
        </w:rPr>
        <w:t xml:space="preserve"> du Maroc</w:t>
      </w:r>
      <w:r>
        <w:rPr>
          <w:rFonts w:ascii="Times New Roman" w:hAnsi="Times New Roman" w:cs="Times New Roman"/>
          <w:sz w:val="24"/>
          <w:szCs w:val="24"/>
          <w:lang w:val="fr-BE"/>
        </w:rPr>
        <w:t>)</w:t>
      </w:r>
      <w:r w:rsidR="009E6896" w:rsidRPr="00EF4CFE">
        <w:rPr>
          <w:rFonts w:ascii="Times New Roman" w:hAnsi="Times New Roman" w:cs="Times New Roman"/>
          <w:sz w:val="24"/>
          <w:szCs w:val="24"/>
          <w:lang w:val="fr-BE"/>
        </w:rPr>
        <w:t>.</w:t>
      </w:r>
    </w:p>
    <w:p w:rsidR="009E6896" w:rsidRPr="00C04BAD" w:rsidRDefault="009D0D8C" w:rsidP="00FC36AF">
      <w:pPr>
        <w:pStyle w:val="Heading4"/>
        <w:rPr>
          <w:lang w:val="fr-BE"/>
        </w:rPr>
      </w:pPr>
      <w:r w:rsidRPr="00C04BAD">
        <w:rPr>
          <w:lang w:val="fr-BE"/>
        </w:rPr>
        <w:t>Le secteur de la pêche au Sahara occidental</w:t>
      </w:r>
    </w:p>
    <w:p w:rsidR="00D6550A" w:rsidRDefault="00D6550A" w:rsidP="0084736B">
      <w:pPr>
        <w:widowControl w:val="0"/>
        <w:spacing w:after="0" w:line="240" w:lineRule="auto"/>
        <w:jc w:val="both"/>
        <w:rPr>
          <w:rFonts w:ascii="Times New Roman" w:hAnsi="Times New Roman" w:cs="Times New Roman"/>
          <w:sz w:val="24"/>
          <w:szCs w:val="24"/>
          <w:lang w:val="fr-BE"/>
        </w:rPr>
      </w:pPr>
    </w:p>
    <w:p w:rsidR="009D0D8C" w:rsidRDefault="00FD2D4C" w:rsidP="0084736B">
      <w:pPr>
        <w:widowControl w:val="0"/>
        <w:spacing w:after="0" w:line="240" w:lineRule="auto"/>
        <w:jc w:val="both"/>
        <w:rPr>
          <w:rFonts w:ascii="Times New Roman" w:hAnsi="Times New Roman" w:cs="Times New Roman"/>
          <w:sz w:val="24"/>
          <w:szCs w:val="24"/>
          <w:lang w:val="fr-BE"/>
        </w:rPr>
      </w:pPr>
      <w:r w:rsidRPr="00EF4CFE">
        <w:rPr>
          <w:rFonts w:ascii="Times New Roman" w:hAnsi="Times New Roman" w:cs="Times New Roman"/>
          <w:sz w:val="24"/>
          <w:szCs w:val="24"/>
          <w:lang w:val="fr-BE"/>
        </w:rPr>
        <w:t>Le secteur de la pêche est concentr</w:t>
      </w:r>
      <w:r w:rsidR="00DE3C37">
        <w:rPr>
          <w:rFonts w:ascii="Times New Roman" w:hAnsi="Times New Roman" w:cs="Times New Roman"/>
          <w:sz w:val="24"/>
          <w:szCs w:val="24"/>
          <w:lang w:val="fr-BE"/>
        </w:rPr>
        <w:t>é</w:t>
      </w:r>
      <w:r w:rsidRPr="00DE3C37">
        <w:rPr>
          <w:rFonts w:ascii="Times New Roman" w:hAnsi="Times New Roman" w:cs="Times New Roman"/>
          <w:sz w:val="24"/>
          <w:szCs w:val="24"/>
          <w:lang w:val="fr-BE"/>
        </w:rPr>
        <w:t xml:space="preserve"> à</w:t>
      </w:r>
      <w:r w:rsidR="009E6896" w:rsidRPr="00DE3C37">
        <w:rPr>
          <w:rFonts w:ascii="Times New Roman" w:hAnsi="Times New Roman" w:cs="Times New Roman"/>
          <w:sz w:val="24"/>
          <w:szCs w:val="24"/>
          <w:lang w:val="fr-BE"/>
        </w:rPr>
        <w:t xml:space="preserve"> La</w:t>
      </w:r>
      <w:r w:rsidR="00F60564">
        <w:rPr>
          <w:rFonts w:ascii="Times New Roman" w:hAnsi="Times New Roman" w:cs="Times New Roman"/>
          <w:sz w:val="24"/>
          <w:szCs w:val="24"/>
          <w:lang w:val="fr-BE"/>
        </w:rPr>
        <w:t>â</w:t>
      </w:r>
      <w:r w:rsidR="009E6896" w:rsidRPr="00DE3C37">
        <w:rPr>
          <w:rFonts w:ascii="Times New Roman" w:hAnsi="Times New Roman" w:cs="Times New Roman"/>
          <w:sz w:val="24"/>
          <w:szCs w:val="24"/>
          <w:lang w:val="fr-BE"/>
        </w:rPr>
        <w:t xml:space="preserve">youne, Boujdour </w:t>
      </w:r>
      <w:r>
        <w:rPr>
          <w:rFonts w:ascii="Times New Roman" w:hAnsi="Times New Roman" w:cs="Times New Roman"/>
          <w:sz w:val="24"/>
          <w:szCs w:val="24"/>
          <w:lang w:val="fr-BE"/>
        </w:rPr>
        <w:t>et</w:t>
      </w:r>
      <w:r w:rsidR="009E6896" w:rsidRPr="00DE3C37">
        <w:rPr>
          <w:rFonts w:ascii="Times New Roman" w:hAnsi="Times New Roman" w:cs="Times New Roman"/>
          <w:sz w:val="24"/>
          <w:szCs w:val="24"/>
          <w:lang w:val="fr-BE"/>
        </w:rPr>
        <w:t xml:space="preserve"> Dakhla. </w:t>
      </w:r>
      <w:r w:rsidRPr="00DE3C37">
        <w:rPr>
          <w:rFonts w:ascii="Times New Roman" w:hAnsi="Times New Roman" w:cs="Times New Roman"/>
          <w:sz w:val="24"/>
          <w:szCs w:val="24"/>
          <w:lang w:val="fr-BE"/>
        </w:rPr>
        <w:t xml:space="preserve">Selon </w:t>
      </w:r>
      <w:r w:rsidR="00125E13">
        <w:rPr>
          <w:rFonts w:ascii="Times New Roman" w:hAnsi="Times New Roman" w:cs="Times New Roman"/>
          <w:sz w:val="24"/>
          <w:szCs w:val="24"/>
          <w:lang w:val="fr-BE"/>
        </w:rPr>
        <w:t>des informations</w:t>
      </w:r>
      <w:r w:rsidRPr="00DE3C37">
        <w:rPr>
          <w:rFonts w:ascii="Times New Roman" w:hAnsi="Times New Roman" w:cs="Times New Roman"/>
          <w:sz w:val="24"/>
          <w:szCs w:val="24"/>
          <w:lang w:val="fr-BE"/>
        </w:rPr>
        <w:t xml:space="preserve"> marocaines, il y a </w:t>
      </w:r>
      <w:r w:rsidR="009E6896" w:rsidRPr="00DE3C37">
        <w:rPr>
          <w:rFonts w:ascii="Times New Roman" w:hAnsi="Times New Roman" w:cs="Times New Roman"/>
          <w:sz w:val="24"/>
          <w:szCs w:val="24"/>
          <w:lang w:val="fr-BE"/>
        </w:rPr>
        <w:t xml:space="preserve">141 </w:t>
      </w:r>
      <w:r w:rsidRPr="00DE3C37">
        <w:rPr>
          <w:rFonts w:ascii="Times New Roman" w:hAnsi="Times New Roman" w:cs="Times New Roman"/>
          <w:sz w:val="24"/>
          <w:szCs w:val="24"/>
          <w:lang w:val="fr-BE"/>
        </w:rPr>
        <w:t xml:space="preserve">entreprises de transformation de produits de la </w:t>
      </w:r>
      <w:r>
        <w:rPr>
          <w:rFonts w:ascii="Times New Roman" w:hAnsi="Times New Roman" w:cs="Times New Roman"/>
          <w:sz w:val="24"/>
          <w:szCs w:val="24"/>
          <w:lang w:val="fr-BE"/>
        </w:rPr>
        <w:t>pêche dans ces villes, qui emploient directement ou indirectement environ</w:t>
      </w:r>
      <w:r w:rsidR="009E6896" w:rsidRPr="00DE3C37">
        <w:rPr>
          <w:rFonts w:ascii="Times New Roman" w:hAnsi="Times New Roman" w:cs="Times New Roman"/>
          <w:sz w:val="24"/>
          <w:szCs w:val="24"/>
          <w:lang w:val="fr-BE"/>
        </w:rPr>
        <w:t xml:space="preserve"> 90.000 pe</w:t>
      </w:r>
      <w:r>
        <w:rPr>
          <w:rFonts w:ascii="Times New Roman" w:hAnsi="Times New Roman" w:cs="Times New Roman"/>
          <w:sz w:val="24"/>
          <w:szCs w:val="24"/>
          <w:lang w:val="fr-BE"/>
        </w:rPr>
        <w:t>rsonnes</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et transforment les produits pour une valeur estimée à </w:t>
      </w:r>
      <w:r w:rsidR="009E6896" w:rsidRPr="00DE3C37">
        <w:rPr>
          <w:rFonts w:ascii="Times New Roman" w:hAnsi="Times New Roman" w:cs="Times New Roman"/>
          <w:sz w:val="24"/>
          <w:szCs w:val="24"/>
          <w:lang w:val="fr-BE"/>
        </w:rPr>
        <w:t>4,9 m</w:t>
      </w:r>
      <w:r>
        <w:rPr>
          <w:rFonts w:ascii="Times New Roman" w:hAnsi="Times New Roman" w:cs="Times New Roman"/>
          <w:sz w:val="24"/>
          <w:szCs w:val="24"/>
          <w:lang w:val="fr-BE"/>
        </w:rPr>
        <w:t>illiards de</w:t>
      </w:r>
      <w:r w:rsidR="009E6896" w:rsidRPr="00DE3C37">
        <w:rPr>
          <w:rFonts w:ascii="Times New Roman" w:hAnsi="Times New Roman" w:cs="Times New Roman"/>
          <w:sz w:val="24"/>
          <w:szCs w:val="24"/>
          <w:lang w:val="fr-BE"/>
        </w:rPr>
        <w:t xml:space="preserve"> </w:t>
      </w:r>
      <w:r w:rsidR="00F60564">
        <w:rPr>
          <w:rFonts w:ascii="Times New Roman" w:hAnsi="Times New Roman" w:cs="Times New Roman"/>
          <w:sz w:val="24"/>
          <w:szCs w:val="24"/>
          <w:lang w:val="fr-BE"/>
        </w:rPr>
        <w:t>d</w:t>
      </w:r>
      <w:r w:rsidR="009E6896" w:rsidRPr="00DE3C37">
        <w:rPr>
          <w:rFonts w:ascii="Times New Roman" w:hAnsi="Times New Roman" w:cs="Times New Roman"/>
          <w:sz w:val="24"/>
          <w:szCs w:val="24"/>
          <w:lang w:val="fr-BE"/>
        </w:rPr>
        <w:t>irham</w:t>
      </w:r>
      <w:r>
        <w:rPr>
          <w:rFonts w:ascii="Times New Roman" w:hAnsi="Times New Roman" w:cs="Times New Roman"/>
          <w:sz w:val="24"/>
          <w:szCs w:val="24"/>
          <w:lang w:val="fr-BE"/>
        </w:rPr>
        <w:t>s</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environ</w:t>
      </w:r>
      <w:r w:rsidR="009E6896" w:rsidRPr="00DE3C37">
        <w:rPr>
          <w:rFonts w:ascii="Times New Roman" w:hAnsi="Times New Roman" w:cs="Times New Roman"/>
          <w:sz w:val="24"/>
          <w:szCs w:val="24"/>
          <w:lang w:val="fr-BE"/>
        </w:rPr>
        <w:t xml:space="preserve"> 450 </w:t>
      </w:r>
      <w:r>
        <w:rPr>
          <w:rFonts w:ascii="Times New Roman" w:hAnsi="Times New Roman" w:cs="Times New Roman"/>
          <w:sz w:val="24"/>
          <w:szCs w:val="24"/>
          <w:lang w:val="fr-BE"/>
        </w:rPr>
        <w:t>millions</w:t>
      </w:r>
      <w:r w:rsidR="009E6896" w:rsidRPr="00DE3C37">
        <w:rPr>
          <w:rFonts w:ascii="Times New Roman" w:hAnsi="Times New Roman" w:cs="Times New Roman"/>
          <w:sz w:val="24"/>
          <w:szCs w:val="24"/>
          <w:lang w:val="fr-BE"/>
        </w:rPr>
        <w:t xml:space="preserve"> </w:t>
      </w:r>
      <w:r w:rsidR="00F60564">
        <w:rPr>
          <w:rFonts w:ascii="Times New Roman" w:hAnsi="Times New Roman" w:cs="Times New Roman"/>
          <w:sz w:val="24"/>
          <w:szCs w:val="24"/>
          <w:lang w:val="fr-BE"/>
        </w:rPr>
        <w:t>d’euros</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dont</w:t>
      </w:r>
      <w:r w:rsidR="009E6896" w:rsidRPr="00DE3C37">
        <w:rPr>
          <w:rFonts w:ascii="Times New Roman" w:hAnsi="Times New Roman" w:cs="Times New Roman"/>
          <w:sz w:val="24"/>
          <w:szCs w:val="24"/>
          <w:lang w:val="fr-BE"/>
        </w:rPr>
        <w:t xml:space="preserve"> 2,6 m</w:t>
      </w:r>
      <w:r>
        <w:rPr>
          <w:rFonts w:ascii="Times New Roman" w:hAnsi="Times New Roman" w:cs="Times New Roman"/>
          <w:sz w:val="24"/>
          <w:szCs w:val="24"/>
          <w:lang w:val="fr-BE"/>
        </w:rPr>
        <w:t>illiards de</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d</w:t>
      </w:r>
      <w:r w:rsidR="009E6896" w:rsidRPr="00DE3C37">
        <w:rPr>
          <w:rFonts w:ascii="Times New Roman" w:hAnsi="Times New Roman" w:cs="Times New Roman"/>
          <w:sz w:val="24"/>
          <w:szCs w:val="24"/>
          <w:lang w:val="fr-BE"/>
        </w:rPr>
        <w:t>irham</w:t>
      </w:r>
      <w:r>
        <w:rPr>
          <w:rFonts w:ascii="Times New Roman" w:hAnsi="Times New Roman" w:cs="Times New Roman"/>
          <w:sz w:val="24"/>
          <w:szCs w:val="24"/>
          <w:lang w:val="fr-BE"/>
        </w:rPr>
        <w:t>s</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environ</w:t>
      </w:r>
      <w:r w:rsidR="009E6896" w:rsidRPr="00DE3C37">
        <w:rPr>
          <w:rFonts w:ascii="Times New Roman" w:hAnsi="Times New Roman" w:cs="Times New Roman"/>
          <w:sz w:val="24"/>
          <w:szCs w:val="24"/>
          <w:lang w:val="fr-BE"/>
        </w:rPr>
        <w:t xml:space="preserve"> 240 </w:t>
      </w:r>
      <w:r>
        <w:rPr>
          <w:rFonts w:ascii="Times New Roman" w:hAnsi="Times New Roman" w:cs="Times New Roman"/>
          <w:sz w:val="24"/>
          <w:szCs w:val="24"/>
          <w:lang w:val="fr-BE"/>
        </w:rPr>
        <w:t>millions d’</w:t>
      </w:r>
      <w:r w:rsidR="00F60564">
        <w:rPr>
          <w:rFonts w:ascii="Times New Roman" w:hAnsi="Times New Roman" w:cs="Times New Roman"/>
          <w:sz w:val="24"/>
          <w:szCs w:val="24"/>
          <w:lang w:val="fr-BE"/>
        </w:rPr>
        <w:t>euros</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seraient destinés à l’exportation</w:t>
      </w:r>
      <w:r w:rsidR="009E6896" w:rsidRPr="00DE3C37">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dont environ </w:t>
      </w:r>
      <w:r w:rsidR="009E6896" w:rsidRPr="00DE3C37">
        <w:rPr>
          <w:rFonts w:ascii="Times New Roman" w:hAnsi="Times New Roman" w:cs="Times New Roman"/>
          <w:sz w:val="24"/>
          <w:szCs w:val="24"/>
          <w:lang w:val="fr-BE"/>
        </w:rPr>
        <w:t xml:space="preserve">60 % </w:t>
      </w:r>
      <w:r>
        <w:rPr>
          <w:rFonts w:ascii="Times New Roman" w:hAnsi="Times New Roman" w:cs="Times New Roman"/>
          <w:sz w:val="24"/>
          <w:szCs w:val="24"/>
          <w:lang w:val="fr-BE"/>
        </w:rPr>
        <w:t>sont destinés à l’U</w:t>
      </w:r>
      <w:r w:rsidR="00584896">
        <w:rPr>
          <w:rFonts w:ascii="Times New Roman" w:hAnsi="Times New Roman" w:cs="Times New Roman"/>
          <w:sz w:val="24"/>
          <w:szCs w:val="24"/>
          <w:lang w:val="fr-BE"/>
        </w:rPr>
        <w:t>nion</w:t>
      </w:r>
      <w:r w:rsidR="009E6896" w:rsidRPr="00DE3C37">
        <w:rPr>
          <w:rFonts w:ascii="Times New Roman" w:hAnsi="Times New Roman" w:cs="Times New Roman"/>
          <w:sz w:val="24"/>
          <w:szCs w:val="24"/>
          <w:lang w:val="fr-BE"/>
        </w:rPr>
        <w:t>).</w:t>
      </w:r>
    </w:p>
    <w:p w:rsidR="009D0D8C" w:rsidRDefault="009D0D8C" w:rsidP="0084736B">
      <w:pPr>
        <w:widowControl w:val="0"/>
        <w:spacing w:after="0" w:line="240" w:lineRule="auto"/>
        <w:jc w:val="both"/>
        <w:rPr>
          <w:rFonts w:ascii="Times New Roman" w:hAnsi="Times New Roman" w:cs="Times New Roman"/>
          <w:sz w:val="24"/>
          <w:szCs w:val="24"/>
          <w:lang w:val="fr-BE"/>
        </w:rPr>
      </w:pPr>
    </w:p>
    <w:p w:rsidR="009D0D8C" w:rsidRDefault="009D0D8C" w:rsidP="003E3E81">
      <w:pPr>
        <w:widowControl w:val="0"/>
        <w:spacing w:after="0" w:line="240" w:lineRule="auto"/>
        <w:jc w:val="both"/>
        <w:rPr>
          <w:rFonts w:ascii="Times New Roman" w:hAnsi="Times New Roman" w:cs="Times New Roman"/>
          <w:sz w:val="24"/>
          <w:szCs w:val="24"/>
          <w:lang w:val="fr-BE"/>
        </w:rPr>
      </w:pPr>
      <w:r w:rsidRPr="009D0D8C">
        <w:rPr>
          <w:rFonts w:ascii="Times New Roman" w:hAnsi="Times New Roman" w:cs="Times New Roman"/>
          <w:sz w:val="24"/>
          <w:szCs w:val="24"/>
          <w:lang w:val="fr-BE"/>
        </w:rPr>
        <w:t>Le secteur de la pêche et de la transformation des produits de la mer est le premier secteur pourvoyeur d’emplois dans le territoire mais aussi le premier secteur à l’exportation</w:t>
      </w:r>
      <w:r w:rsidR="00D6550A">
        <w:rPr>
          <w:rStyle w:val="FootnoteReference"/>
          <w:rFonts w:ascii="Times New Roman" w:hAnsi="Times New Roman" w:cs="Times New Roman"/>
          <w:sz w:val="24"/>
          <w:szCs w:val="24"/>
          <w:lang w:val="fr-BE"/>
        </w:rPr>
        <w:footnoteReference w:id="30"/>
      </w:r>
      <w:r w:rsidRPr="009D0D8C">
        <w:rPr>
          <w:rFonts w:ascii="Times New Roman" w:hAnsi="Times New Roman" w:cs="Times New Roman"/>
          <w:sz w:val="24"/>
          <w:szCs w:val="24"/>
          <w:lang w:val="fr-BE"/>
        </w:rPr>
        <w:t>. Pourtant, l’activité de pêche demeure concentrée sur l’amont en raison de l’insuffisance des installations de transformation permettant une meilleure valorisation des produits</w:t>
      </w:r>
      <w:r w:rsidR="00D6550A">
        <w:rPr>
          <w:rStyle w:val="FootnoteReference"/>
          <w:rFonts w:ascii="Times New Roman" w:hAnsi="Times New Roman" w:cs="Times New Roman"/>
          <w:sz w:val="24"/>
          <w:szCs w:val="24"/>
          <w:lang w:val="fr-BE"/>
        </w:rPr>
        <w:footnoteReference w:id="31"/>
      </w:r>
      <w:r w:rsidRPr="009D0D8C">
        <w:rPr>
          <w:rFonts w:ascii="Times New Roman" w:hAnsi="Times New Roman" w:cs="Times New Roman"/>
          <w:sz w:val="24"/>
          <w:szCs w:val="24"/>
          <w:lang w:val="fr-BE"/>
        </w:rPr>
        <w:t>.</w:t>
      </w:r>
      <w:r>
        <w:rPr>
          <w:rFonts w:ascii="Times New Roman" w:hAnsi="Times New Roman" w:cs="Times New Roman"/>
          <w:sz w:val="24"/>
          <w:szCs w:val="24"/>
          <w:lang w:val="fr-BE"/>
        </w:rPr>
        <w:t xml:space="preserve"> Il</w:t>
      </w:r>
      <w:r w:rsidRPr="009D0D8C">
        <w:rPr>
          <w:rFonts w:ascii="Times New Roman" w:hAnsi="Times New Roman" w:cs="Times New Roman"/>
          <w:sz w:val="24"/>
          <w:szCs w:val="24"/>
          <w:lang w:val="fr-BE"/>
        </w:rPr>
        <w:t xml:space="preserve"> figure </w:t>
      </w:r>
      <w:r w:rsidR="00D6550A">
        <w:rPr>
          <w:rFonts w:ascii="Times New Roman" w:hAnsi="Times New Roman" w:cs="Times New Roman"/>
          <w:sz w:val="24"/>
          <w:szCs w:val="24"/>
          <w:lang w:val="fr-BE"/>
        </w:rPr>
        <w:t xml:space="preserve">donc </w:t>
      </w:r>
      <w:r w:rsidRPr="009D0D8C">
        <w:rPr>
          <w:rFonts w:ascii="Times New Roman" w:hAnsi="Times New Roman" w:cs="Times New Roman"/>
          <w:sz w:val="24"/>
          <w:szCs w:val="24"/>
          <w:lang w:val="fr-BE"/>
        </w:rPr>
        <w:t>parmi les secteurs à fort poten</w:t>
      </w:r>
      <w:r w:rsidR="00D6550A">
        <w:rPr>
          <w:rFonts w:ascii="Times New Roman" w:hAnsi="Times New Roman" w:cs="Times New Roman"/>
          <w:sz w:val="24"/>
          <w:szCs w:val="24"/>
          <w:lang w:val="fr-BE"/>
        </w:rPr>
        <w:t xml:space="preserve">tiel de croissance et d’emplois </w:t>
      </w:r>
      <w:r w:rsidR="003E3E81">
        <w:rPr>
          <w:rFonts w:ascii="Times New Roman" w:hAnsi="Times New Roman" w:cs="Times New Roman"/>
          <w:sz w:val="24"/>
          <w:szCs w:val="24"/>
          <w:lang w:val="fr-BE"/>
        </w:rPr>
        <w:t>au Sahara occidental.</w:t>
      </w:r>
    </w:p>
    <w:p w:rsidR="00D6550A" w:rsidRDefault="00D6550A" w:rsidP="009D0D8C">
      <w:pPr>
        <w:widowControl w:val="0"/>
        <w:spacing w:after="0" w:line="240" w:lineRule="auto"/>
        <w:jc w:val="both"/>
        <w:rPr>
          <w:rFonts w:ascii="Times New Roman" w:hAnsi="Times New Roman" w:cs="Times New Roman"/>
          <w:sz w:val="24"/>
          <w:szCs w:val="24"/>
          <w:lang w:val="fr-BE"/>
        </w:rPr>
      </w:pPr>
    </w:p>
    <w:p w:rsidR="00A40D7A" w:rsidRPr="00A40D7A" w:rsidRDefault="00A40D7A" w:rsidP="00A40D7A">
      <w:pPr>
        <w:widowControl w:val="0"/>
        <w:spacing w:after="0" w:line="240" w:lineRule="auto"/>
        <w:jc w:val="both"/>
        <w:rPr>
          <w:rFonts w:ascii="Times New Roman" w:hAnsi="Times New Roman" w:cs="Times New Roman"/>
          <w:sz w:val="24"/>
          <w:szCs w:val="24"/>
          <w:lang w:val="fr-BE"/>
        </w:rPr>
      </w:pPr>
      <w:r w:rsidRPr="00A40D7A">
        <w:rPr>
          <w:rFonts w:ascii="Times New Roman" w:hAnsi="Times New Roman" w:cs="Times New Roman"/>
          <w:sz w:val="24"/>
          <w:szCs w:val="24"/>
          <w:lang w:val="fr-BE"/>
        </w:rPr>
        <w:t>L’U</w:t>
      </w:r>
      <w:r w:rsidR="008F1B78">
        <w:rPr>
          <w:rFonts w:ascii="Times New Roman" w:hAnsi="Times New Roman" w:cs="Times New Roman"/>
          <w:sz w:val="24"/>
          <w:szCs w:val="24"/>
          <w:lang w:val="fr-BE"/>
        </w:rPr>
        <w:t>nion européenne</w:t>
      </w:r>
      <w:r w:rsidRPr="00A40D7A">
        <w:rPr>
          <w:rFonts w:ascii="Times New Roman" w:hAnsi="Times New Roman" w:cs="Times New Roman"/>
          <w:sz w:val="24"/>
          <w:szCs w:val="24"/>
          <w:lang w:val="fr-BE"/>
        </w:rPr>
        <w:t xml:space="preserve"> a contribué au développement des activités de transformation des produits de la pêche au Sahara occidental. </w:t>
      </w:r>
      <w:r w:rsidR="00AD0C25" w:rsidRPr="00AD0C25">
        <w:rPr>
          <w:rFonts w:ascii="Times New Roman" w:hAnsi="Times New Roman" w:cs="Times New Roman"/>
          <w:sz w:val="24"/>
          <w:szCs w:val="24"/>
          <w:lang w:val="fr-BE"/>
        </w:rPr>
        <w:t>En application des dispositions du protocole à l’accord de partenariat dans le secteur de la pêche entre l’Union et le Maroc relatives à l’appui sectoriel, l</w:t>
      </w:r>
      <w:r w:rsidRPr="00A40D7A">
        <w:rPr>
          <w:rFonts w:ascii="Times New Roman" w:hAnsi="Times New Roman" w:cs="Times New Roman"/>
          <w:sz w:val="24"/>
          <w:szCs w:val="24"/>
          <w:lang w:val="fr-BE"/>
        </w:rPr>
        <w:t>’U</w:t>
      </w:r>
      <w:r w:rsidR="008F1B78">
        <w:rPr>
          <w:rFonts w:ascii="Times New Roman" w:hAnsi="Times New Roman" w:cs="Times New Roman"/>
          <w:sz w:val="24"/>
          <w:szCs w:val="24"/>
          <w:lang w:val="fr-BE"/>
        </w:rPr>
        <w:t>nion</w:t>
      </w:r>
      <w:r w:rsidRPr="00A40D7A">
        <w:rPr>
          <w:rFonts w:ascii="Times New Roman" w:hAnsi="Times New Roman" w:cs="Times New Roman"/>
          <w:sz w:val="24"/>
          <w:szCs w:val="24"/>
          <w:lang w:val="fr-BE"/>
        </w:rPr>
        <w:t xml:space="preserve"> a aussi financé un grand nombre </w:t>
      </w:r>
      <w:r w:rsidR="004E2E61" w:rsidRPr="00A40D7A">
        <w:rPr>
          <w:rFonts w:ascii="Times New Roman" w:hAnsi="Times New Roman" w:cs="Times New Roman"/>
          <w:sz w:val="24"/>
          <w:szCs w:val="24"/>
          <w:lang w:val="fr-BE"/>
        </w:rPr>
        <w:t>d’actions telles</w:t>
      </w:r>
      <w:r w:rsidRPr="00A40D7A">
        <w:rPr>
          <w:rFonts w:ascii="Times New Roman" w:hAnsi="Times New Roman" w:cs="Times New Roman"/>
          <w:sz w:val="24"/>
          <w:szCs w:val="24"/>
          <w:lang w:val="fr-BE"/>
        </w:rPr>
        <w:t xml:space="preserve"> que la construction d’infrastructures et d’équipements permettant d’améliorer la compétitivité et l’emploi du secteur de transformation des produits de la pêche.</w:t>
      </w:r>
    </w:p>
    <w:p w:rsidR="009E6896" w:rsidRPr="00DE3C37" w:rsidRDefault="009E6896" w:rsidP="0084736B">
      <w:pPr>
        <w:widowControl w:val="0"/>
        <w:spacing w:after="0" w:line="240" w:lineRule="auto"/>
        <w:jc w:val="both"/>
        <w:rPr>
          <w:rFonts w:ascii="Times New Roman" w:hAnsi="Times New Roman" w:cs="Times New Roman"/>
          <w:sz w:val="24"/>
          <w:szCs w:val="24"/>
          <w:lang w:val="fr-BE"/>
        </w:rPr>
      </w:pPr>
    </w:p>
    <w:p w:rsidR="009E6896" w:rsidRPr="00C04BAD" w:rsidRDefault="009D0D8C" w:rsidP="00FC36AF">
      <w:pPr>
        <w:pStyle w:val="Heading4"/>
        <w:rPr>
          <w:lang w:val="fr-BE"/>
        </w:rPr>
      </w:pPr>
      <w:r>
        <w:rPr>
          <w:lang w:val="fr-BE"/>
        </w:rPr>
        <w:t xml:space="preserve"> </w:t>
      </w:r>
      <w:r w:rsidR="009E6896" w:rsidRPr="00C04BAD">
        <w:rPr>
          <w:lang w:val="fr-BE"/>
        </w:rPr>
        <w:t>Export</w:t>
      </w:r>
      <w:r w:rsidR="00E50525" w:rsidRPr="00C04BAD">
        <w:rPr>
          <w:lang w:val="fr-BE"/>
        </w:rPr>
        <w:t>ation</w:t>
      </w:r>
      <w:r w:rsidR="009E6896" w:rsidRPr="00C04BAD">
        <w:rPr>
          <w:lang w:val="fr-BE"/>
        </w:rPr>
        <w:t xml:space="preserve">s </w:t>
      </w:r>
      <w:r w:rsidR="00E50525" w:rsidRPr="00C04BAD">
        <w:rPr>
          <w:lang w:val="fr-BE"/>
        </w:rPr>
        <w:t>de produits de la pêche</w:t>
      </w:r>
      <w:r w:rsidR="009E6896" w:rsidRPr="00C04BAD">
        <w:rPr>
          <w:lang w:val="fr-BE"/>
        </w:rPr>
        <w:t xml:space="preserve"> </w:t>
      </w:r>
      <w:r w:rsidR="00E50525" w:rsidRPr="00C04BAD">
        <w:rPr>
          <w:lang w:val="fr-BE"/>
        </w:rPr>
        <w:t>vers l’U</w:t>
      </w:r>
      <w:r w:rsidR="00584896" w:rsidRPr="00C04BAD">
        <w:rPr>
          <w:lang w:val="fr-BE"/>
        </w:rPr>
        <w:t>nion européenne</w:t>
      </w:r>
    </w:p>
    <w:p w:rsidR="009E6896" w:rsidRPr="00DE3C37" w:rsidRDefault="009E6896" w:rsidP="0084736B">
      <w:pPr>
        <w:widowControl w:val="0"/>
        <w:spacing w:after="0" w:line="240" w:lineRule="auto"/>
        <w:jc w:val="both"/>
        <w:rPr>
          <w:rFonts w:ascii="Times New Roman" w:hAnsi="Times New Roman" w:cs="Times New Roman"/>
          <w:sz w:val="24"/>
          <w:szCs w:val="24"/>
          <w:lang w:val="fr-BE"/>
        </w:rPr>
      </w:pPr>
    </w:p>
    <w:p w:rsidR="009E6896" w:rsidRDefault="00E50525" w:rsidP="0084736B">
      <w:pPr>
        <w:widowControl w:val="0"/>
        <w:spacing w:after="0" w:line="240" w:lineRule="auto"/>
        <w:jc w:val="both"/>
        <w:rPr>
          <w:rFonts w:ascii="Times New Roman" w:hAnsi="Times New Roman" w:cs="Times New Roman"/>
          <w:sz w:val="24"/>
          <w:szCs w:val="24"/>
          <w:lang w:val="fr-BE"/>
        </w:rPr>
      </w:pPr>
      <w:r w:rsidRPr="00DE3C37">
        <w:rPr>
          <w:rFonts w:ascii="Times New Roman" w:hAnsi="Times New Roman" w:cs="Times New Roman"/>
          <w:sz w:val="24"/>
          <w:szCs w:val="24"/>
          <w:lang w:val="fr-BE"/>
        </w:rPr>
        <w:t xml:space="preserve">Selon </w:t>
      </w:r>
      <w:r w:rsidR="00125E13">
        <w:rPr>
          <w:rFonts w:ascii="Times New Roman" w:hAnsi="Times New Roman" w:cs="Times New Roman"/>
          <w:sz w:val="24"/>
          <w:szCs w:val="24"/>
          <w:lang w:val="fr-BE"/>
        </w:rPr>
        <w:t>des informations marocaines</w:t>
      </w:r>
      <w:r w:rsidR="009E6896" w:rsidRPr="00DE3C37">
        <w:rPr>
          <w:rFonts w:ascii="Times New Roman" w:hAnsi="Times New Roman" w:cs="Times New Roman"/>
          <w:sz w:val="24"/>
          <w:szCs w:val="24"/>
          <w:lang w:val="fr-BE"/>
        </w:rPr>
        <w:t xml:space="preserve">, </w:t>
      </w:r>
      <w:r w:rsidRPr="00DE3C37">
        <w:rPr>
          <w:rFonts w:ascii="Times New Roman" w:hAnsi="Times New Roman" w:cs="Times New Roman"/>
          <w:sz w:val="24"/>
          <w:szCs w:val="24"/>
          <w:lang w:val="fr-BE"/>
        </w:rPr>
        <w:t xml:space="preserve">les </w:t>
      </w:r>
      <w:r w:rsidR="009E6896" w:rsidRPr="00DE3C37">
        <w:rPr>
          <w:rFonts w:ascii="Times New Roman" w:hAnsi="Times New Roman" w:cs="Times New Roman"/>
          <w:b/>
          <w:sz w:val="24"/>
          <w:szCs w:val="24"/>
          <w:lang w:val="fr-BE"/>
        </w:rPr>
        <w:t>export</w:t>
      </w:r>
      <w:r w:rsidRPr="00DE3C37">
        <w:rPr>
          <w:rFonts w:ascii="Times New Roman" w:hAnsi="Times New Roman" w:cs="Times New Roman"/>
          <w:b/>
          <w:sz w:val="24"/>
          <w:szCs w:val="24"/>
          <w:lang w:val="fr-BE"/>
        </w:rPr>
        <w:t>ations vers l’U</w:t>
      </w:r>
      <w:r w:rsidR="00584896">
        <w:rPr>
          <w:rFonts w:ascii="Times New Roman" w:hAnsi="Times New Roman" w:cs="Times New Roman"/>
          <w:b/>
          <w:sz w:val="24"/>
          <w:szCs w:val="24"/>
          <w:lang w:val="fr-BE"/>
        </w:rPr>
        <w:t>nion</w:t>
      </w:r>
      <w:r w:rsidR="009E6896" w:rsidRPr="00DE3C37">
        <w:rPr>
          <w:rFonts w:ascii="Times New Roman" w:hAnsi="Times New Roman" w:cs="Times New Roman"/>
          <w:b/>
          <w:sz w:val="24"/>
          <w:szCs w:val="24"/>
          <w:lang w:val="fr-BE"/>
        </w:rPr>
        <w:t xml:space="preserve"> </w:t>
      </w:r>
      <w:r w:rsidRPr="00DE3C37">
        <w:rPr>
          <w:rFonts w:ascii="Times New Roman" w:hAnsi="Times New Roman" w:cs="Times New Roman"/>
          <w:b/>
          <w:sz w:val="24"/>
          <w:szCs w:val="24"/>
          <w:lang w:val="fr-BE"/>
        </w:rPr>
        <w:t>de produits de la p</w:t>
      </w:r>
      <w:r>
        <w:rPr>
          <w:rFonts w:ascii="Times New Roman" w:hAnsi="Times New Roman" w:cs="Times New Roman"/>
          <w:b/>
          <w:sz w:val="24"/>
          <w:szCs w:val="24"/>
          <w:lang w:val="fr-BE"/>
        </w:rPr>
        <w:t>êche</w:t>
      </w:r>
      <w:r w:rsidR="00F60564" w:rsidRPr="000C0BD3">
        <w:rPr>
          <w:rStyle w:val="FootnoteReference"/>
          <w:rFonts w:ascii="Times New Roman" w:hAnsi="Times New Roman" w:cs="Times New Roman"/>
          <w:sz w:val="24"/>
          <w:szCs w:val="24"/>
        </w:rPr>
        <w:footnoteReference w:id="32"/>
      </w:r>
      <w:r>
        <w:rPr>
          <w:rFonts w:ascii="Times New Roman" w:hAnsi="Times New Roman" w:cs="Times New Roman"/>
          <w:b/>
          <w:sz w:val="24"/>
          <w:szCs w:val="24"/>
          <w:lang w:val="fr-BE"/>
        </w:rPr>
        <w:t xml:space="preserve"> du </w:t>
      </w:r>
      <w:r w:rsidR="009E6896" w:rsidRPr="00DE3C37">
        <w:rPr>
          <w:rFonts w:ascii="Times New Roman" w:hAnsi="Times New Roman" w:cs="Times New Roman"/>
          <w:b/>
          <w:sz w:val="24"/>
          <w:szCs w:val="24"/>
          <w:lang w:val="fr-BE"/>
        </w:rPr>
        <w:t>Sahara</w:t>
      </w:r>
      <w:r>
        <w:rPr>
          <w:rFonts w:ascii="Times New Roman" w:hAnsi="Times New Roman" w:cs="Times New Roman"/>
          <w:b/>
          <w:sz w:val="24"/>
          <w:szCs w:val="24"/>
          <w:lang w:val="fr-BE"/>
        </w:rPr>
        <w:t xml:space="preserve"> occidental </w:t>
      </w:r>
      <w:r w:rsidRPr="00DE3C37">
        <w:rPr>
          <w:rFonts w:ascii="Times New Roman" w:hAnsi="Times New Roman" w:cs="Times New Roman"/>
          <w:sz w:val="24"/>
          <w:szCs w:val="24"/>
          <w:lang w:val="fr-BE"/>
        </w:rPr>
        <w:t xml:space="preserve">et le montant des droits non-payés grâce </w:t>
      </w:r>
      <w:r w:rsidR="00F60564">
        <w:rPr>
          <w:rFonts w:ascii="Times New Roman" w:hAnsi="Times New Roman" w:cs="Times New Roman"/>
          <w:sz w:val="24"/>
          <w:szCs w:val="24"/>
          <w:lang w:val="fr-BE"/>
        </w:rPr>
        <w:t>à l’application des</w:t>
      </w:r>
      <w:r w:rsidR="00F60564" w:rsidRPr="00DE3C37">
        <w:rPr>
          <w:rFonts w:ascii="Times New Roman" w:hAnsi="Times New Roman" w:cs="Times New Roman"/>
          <w:sz w:val="24"/>
          <w:szCs w:val="24"/>
          <w:lang w:val="fr-BE"/>
        </w:rPr>
        <w:t xml:space="preserve"> </w:t>
      </w:r>
      <w:r w:rsidRPr="00DE3C37">
        <w:rPr>
          <w:rFonts w:ascii="Times New Roman" w:hAnsi="Times New Roman" w:cs="Times New Roman"/>
          <w:sz w:val="24"/>
          <w:szCs w:val="24"/>
          <w:lang w:val="fr-BE"/>
        </w:rPr>
        <w:t xml:space="preserve">préférences </w:t>
      </w:r>
      <w:r w:rsidR="00F60564">
        <w:rPr>
          <w:rFonts w:ascii="Times New Roman" w:hAnsi="Times New Roman" w:cs="Times New Roman"/>
          <w:sz w:val="24"/>
          <w:szCs w:val="24"/>
          <w:lang w:val="fr-BE"/>
        </w:rPr>
        <w:t xml:space="preserve">prévues par l’accord d’association UE-Maroc </w:t>
      </w:r>
      <w:r w:rsidRPr="00DE3C37">
        <w:rPr>
          <w:rFonts w:ascii="Times New Roman" w:hAnsi="Times New Roman" w:cs="Times New Roman"/>
          <w:sz w:val="24"/>
          <w:szCs w:val="24"/>
          <w:lang w:val="fr-BE"/>
        </w:rPr>
        <w:t>sont les suivants</w:t>
      </w:r>
      <w:r w:rsidR="009E6896" w:rsidRPr="00DE3C37">
        <w:rPr>
          <w:rFonts w:ascii="Times New Roman" w:hAnsi="Times New Roman" w:cs="Times New Roman"/>
          <w:sz w:val="24"/>
          <w:szCs w:val="24"/>
          <w:lang w:val="fr-BE"/>
        </w:rPr>
        <w:t>:</w:t>
      </w:r>
    </w:p>
    <w:p w:rsidR="002060D5" w:rsidRPr="00DE3C37" w:rsidRDefault="002060D5" w:rsidP="0084736B">
      <w:pPr>
        <w:widowControl w:val="0"/>
        <w:spacing w:after="0" w:line="240" w:lineRule="auto"/>
        <w:jc w:val="both"/>
        <w:rPr>
          <w:rFonts w:ascii="Times New Roman" w:hAnsi="Times New Roman" w:cs="Times New Roman"/>
          <w:sz w:val="24"/>
          <w:szCs w:val="24"/>
          <w:lang w:val="fr-BE"/>
        </w:rPr>
      </w:pPr>
    </w:p>
    <w:p w:rsidR="009E6896" w:rsidRPr="00DE3C37" w:rsidRDefault="009E6896" w:rsidP="0084736B">
      <w:pPr>
        <w:widowControl w:val="0"/>
        <w:spacing w:after="0" w:line="240" w:lineRule="auto"/>
        <w:jc w:val="both"/>
        <w:rPr>
          <w:rFonts w:ascii="Times New Roman" w:hAnsi="Times New Roman" w:cs="Times New Roman"/>
          <w:sz w:val="24"/>
          <w:szCs w:val="24"/>
          <w:lang w:val="fr-BE"/>
        </w:rPr>
      </w:pPr>
    </w:p>
    <w:tbl>
      <w:tblPr>
        <w:tblStyle w:val="TableGrid"/>
        <w:tblW w:w="0" w:type="auto"/>
        <w:tblInd w:w="708" w:type="dxa"/>
        <w:tblLook w:val="04A0" w:firstRow="1" w:lastRow="0" w:firstColumn="1" w:lastColumn="0" w:noHBand="0" w:noVBand="1"/>
      </w:tblPr>
      <w:tblGrid>
        <w:gridCol w:w="2269"/>
        <w:gridCol w:w="1316"/>
        <w:gridCol w:w="996"/>
        <w:gridCol w:w="843"/>
        <w:gridCol w:w="1316"/>
        <w:gridCol w:w="996"/>
        <w:gridCol w:w="843"/>
      </w:tblGrid>
      <w:tr w:rsidR="009E6896" w:rsidRPr="000C0BD3" w:rsidTr="00FD2D4C">
        <w:tc>
          <w:tcPr>
            <w:tcW w:w="2876" w:type="dxa"/>
            <w:tcBorders>
              <w:top w:val="nil"/>
              <w:left w:val="nil"/>
              <w:bottom w:val="nil"/>
            </w:tcBorders>
            <w:vAlign w:val="center"/>
          </w:tcPr>
          <w:p w:rsidR="009E6896" w:rsidRPr="00DE3C37" w:rsidRDefault="009E6896" w:rsidP="0084736B">
            <w:pPr>
              <w:widowControl w:val="0"/>
              <w:jc w:val="center"/>
              <w:rPr>
                <w:rFonts w:ascii="Times New Roman" w:hAnsi="Times New Roman" w:cs="Times New Roman"/>
                <w:sz w:val="24"/>
                <w:szCs w:val="24"/>
                <w:lang w:val="fr-BE"/>
              </w:rPr>
            </w:pPr>
          </w:p>
        </w:tc>
        <w:tc>
          <w:tcPr>
            <w:tcW w:w="3000" w:type="dxa"/>
            <w:gridSpan w:val="3"/>
            <w:tcBorders>
              <w:bottom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2015</w:t>
            </w:r>
          </w:p>
        </w:tc>
        <w:tc>
          <w:tcPr>
            <w:tcW w:w="2704" w:type="dxa"/>
            <w:gridSpan w:val="3"/>
            <w:tcBorders>
              <w:bottom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2016</w:t>
            </w:r>
          </w:p>
        </w:tc>
      </w:tr>
      <w:tr w:rsidR="000B4ABD" w:rsidRPr="000A3A2E" w:rsidTr="00FD2D4C">
        <w:tc>
          <w:tcPr>
            <w:tcW w:w="2876" w:type="dxa"/>
            <w:tcBorders>
              <w:top w:val="nil"/>
              <w:left w:val="nil"/>
              <w:bottom w:val="nil"/>
            </w:tcBorders>
            <w:vAlign w:val="center"/>
          </w:tcPr>
          <w:p w:rsidR="009E6896" w:rsidRPr="000C0BD3" w:rsidRDefault="009E6896" w:rsidP="0084736B">
            <w:pPr>
              <w:widowControl w:val="0"/>
              <w:jc w:val="center"/>
              <w:rPr>
                <w:rFonts w:ascii="Times New Roman" w:hAnsi="Times New Roman" w:cs="Times New Roman"/>
                <w:sz w:val="24"/>
                <w:szCs w:val="24"/>
              </w:rPr>
            </w:pPr>
          </w:p>
        </w:tc>
        <w:tc>
          <w:tcPr>
            <w:tcW w:w="1200" w:type="dxa"/>
            <w:tcBorders>
              <w:top w:val="nil"/>
              <w:bottom w:val="nil"/>
              <w:right w:val="nil"/>
            </w:tcBorders>
            <w:shd w:val="clear" w:color="auto" w:fill="D9D9D9" w:themeFill="background1" w:themeFillShade="D9"/>
            <w:vAlign w:val="center"/>
          </w:tcPr>
          <w:p w:rsidR="009E6896" w:rsidRPr="00BC63E6" w:rsidRDefault="009E6896" w:rsidP="0084736B">
            <w:pPr>
              <w:widowControl w:val="0"/>
              <w:jc w:val="center"/>
              <w:rPr>
                <w:rFonts w:ascii="Times New Roman" w:hAnsi="Times New Roman" w:cs="Times New Roman"/>
                <w:b/>
                <w:sz w:val="20"/>
                <w:szCs w:val="20"/>
                <w:lang w:val="fr-BE"/>
              </w:rPr>
            </w:pPr>
            <w:r w:rsidRPr="00BC63E6">
              <w:rPr>
                <w:rFonts w:ascii="Times New Roman" w:hAnsi="Times New Roman" w:cs="Times New Roman"/>
                <w:b/>
                <w:sz w:val="20"/>
                <w:szCs w:val="20"/>
                <w:lang w:val="fr-BE"/>
              </w:rPr>
              <w:t>Val</w:t>
            </w:r>
            <w:r w:rsidR="005E3A06" w:rsidRPr="00BC63E6">
              <w:rPr>
                <w:rFonts w:ascii="Times New Roman" w:hAnsi="Times New Roman" w:cs="Times New Roman"/>
                <w:b/>
                <w:sz w:val="20"/>
                <w:szCs w:val="20"/>
                <w:lang w:val="fr-BE"/>
              </w:rPr>
              <w:t>eur des i</w:t>
            </w:r>
            <w:r w:rsidRPr="00BC63E6">
              <w:rPr>
                <w:rFonts w:ascii="Times New Roman" w:hAnsi="Times New Roman" w:cs="Times New Roman"/>
                <w:b/>
                <w:sz w:val="20"/>
                <w:szCs w:val="20"/>
                <w:lang w:val="fr-BE"/>
              </w:rPr>
              <w:t>mport</w:t>
            </w:r>
            <w:r w:rsidR="005E3A06" w:rsidRPr="00BC63E6">
              <w:rPr>
                <w:rFonts w:ascii="Times New Roman" w:hAnsi="Times New Roman" w:cs="Times New Roman"/>
                <w:b/>
                <w:sz w:val="20"/>
                <w:szCs w:val="20"/>
                <w:lang w:val="fr-BE"/>
              </w:rPr>
              <w:t>ation</w:t>
            </w:r>
            <w:r w:rsidRPr="00BC63E6">
              <w:rPr>
                <w:rFonts w:ascii="Times New Roman" w:hAnsi="Times New Roman" w:cs="Times New Roman"/>
                <w:b/>
                <w:sz w:val="20"/>
                <w:szCs w:val="20"/>
                <w:lang w:val="fr-BE"/>
              </w:rPr>
              <w:t>s</w:t>
            </w:r>
          </w:p>
        </w:tc>
        <w:tc>
          <w:tcPr>
            <w:tcW w:w="1800" w:type="dxa"/>
            <w:gridSpan w:val="2"/>
            <w:tcBorders>
              <w:top w:val="nil"/>
              <w:left w:val="nil"/>
              <w:bottom w:val="nil"/>
            </w:tcBorders>
            <w:shd w:val="clear" w:color="auto" w:fill="D9D9D9" w:themeFill="background1" w:themeFillShade="D9"/>
            <w:vAlign w:val="center"/>
          </w:tcPr>
          <w:p w:rsidR="009E6896" w:rsidRPr="008F1B78" w:rsidRDefault="005E3A06" w:rsidP="0084736B">
            <w:pPr>
              <w:widowControl w:val="0"/>
              <w:jc w:val="center"/>
              <w:rPr>
                <w:rFonts w:ascii="Times New Roman" w:hAnsi="Times New Roman" w:cs="Times New Roman"/>
                <w:b/>
                <w:sz w:val="20"/>
                <w:szCs w:val="20"/>
                <w:lang w:val="fr-FR"/>
              </w:rPr>
            </w:pPr>
            <w:r w:rsidRPr="00BC63E6">
              <w:rPr>
                <w:rFonts w:ascii="Times New Roman" w:hAnsi="Times New Roman" w:cs="Times New Roman"/>
                <w:b/>
                <w:sz w:val="20"/>
                <w:szCs w:val="20"/>
                <w:lang w:val="fr-BE"/>
              </w:rPr>
              <w:t xml:space="preserve">Montant des droits </w:t>
            </w:r>
            <w:r w:rsidR="000B4ABD">
              <w:rPr>
                <w:rFonts w:ascii="Times New Roman" w:hAnsi="Times New Roman" w:cs="Times New Roman"/>
                <w:b/>
                <w:sz w:val="20"/>
                <w:szCs w:val="20"/>
                <w:lang w:val="fr-BE"/>
              </w:rPr>
              <w:t>à l’importation</w:t>
            </w:r>
          </w:p>
        </w:tc>
        <w:tc>
          <w:tcPr>
            <w:tcW w:w="1080" w:type="dxa"/>
            <w:tcBorders>
              <w:top w:val="nil"/>
              <w:bottom w:val="nil"/>
              <w:right w:val="nil"/>
            </w:tcBorders>
            <w:shd w:val="clear" w:color="auto" w:fill="D9D9D9" w:themeFill="background1" w:themeFillShade="D9"/>
            <w:vAlign w:val="center"/>
          </w:tcPr>
          <w:p w:rsidR="009E6896" w:rsidRPr="00BC63E6" w:rsidRDefault="009E6896" w:rsidP="0084736B">
            <w:pPr>
              <w:widowControl w:val="0"/>
              <w:jc w:val="center"/>
              <w:rPr>
                <w:rFonts w:ascii="Times New Roman" w:hAnsi="Times New Roman" w:cs="Times New Roman"/>
                <w:b/>
                <w:sz w:val="20"/>
                <w:szCs w:val="20"/>
              </w:rPr>
            </w:pPr>
            <w:r w:rsidRPr="008F1B78">
              <w:rPr>
                <w:rFonts w:ascii="Times New Roman" w:hAnsi="Times New Roman" w:cs="Times New Roman"/>
                <w:b/>
                <w:sz w:val="20"/>
                <w:szCs w:val="20"/>
                <w:lang w:val="fr-FR"/>
              </w:rPr>
              <w:t>Val</w:t>
            </w:r>
            <w:r w:rsidR="000B4ABD" w:rsidRPr="008F1B78">
              <w:rPr>
                <w:rFonts w:ascii="Times New Roman" w:hAnsi="Times New Roman" w:cs="Times New Roman"/>
                <w:b/>
                <w:sz w:val="20"/>
                <w:szCs w:val="20"/>
                <w:lang w:val="fr-FR"/>
              </w:rPr>
              <w:t>eur</w:t>
            </w:r>
            <w:r w:rsidR="000B4ABD">
              <w:rPr>
                <w:rFonts w:ascii="Times New Roman" w:hAnsi="Times New Roman" w:cs="Times New Roman"/>
                <w:b/>
                <w:sz w:val="20"/>
                <w:szCs w:val="20"/>
              </w:rPr>
              <w:t xml:space="preserve"> des</w:t>
            </w:r>
            <w:r w:rsidRPr="00BC63E6">
              <w:rPr>
                <w:rFonts w:ascii="Times New Roman" w:hAnsi="Times New Roman" w:cs="Times New Roman"/>
                <w:b/>
                <w:sz w:val="20"/>
                <w:szCs w:val="20"/>
              </w:rPr>
              <w:t xml:space="preserve"> </w:t>
            </w:r>
            <w:r w:rsidR="000B4ABD">
              <w:rPr>
                <w:rFonts w:ascii="Times New Roman" w:hAnsi="Times New Roman" w:cs="Times New Roman"/>
                <w:b/>
                <w:sz w:val="20"/>
                <w:szCs w:val="20"/>
              </w:rPr>
              <w:t>i</w:t>
            </w:r>
            <w:r w:rsidRPr="00BC63E6">
              <w:rPr>
                <w:rFonts w:ascii="Times New Roman" w:hAnsi="Times New Roman" w:cs="Times New Roman"/>
                <w:b/>
                <w:sz w:val="20"/>
                <w:szCs w:val="20"/>
              </w:rPr>
              <w:t>mport</w:t>
            </w:r>
            <w:r w:rsidR="000B4ABD">
              <w:rPr>
                <w:rFonts w:ascii="Times New Roman" w:hAnsi="Times New Roman" w:cs="Times New Roman"/>
                <w:b/>
                <w:sz w:val="20"/>
                <w:szCs w:val="20"/>
              </w:rPr>
              <w:t>ation</w:t>
            </w:r>
            <w:r w:rsidRPr="00BC63E6">
              <w:rPr>
                <w:rFonts w:ascii="Times New Roman" w:hAnsi="Times New Roman" w:cs="Times New Roman"/>
                <w:b/>
                <w:sz w:val="20"/>
                <w:szCs w:val="20"/>
              </w:rPr>
              <w:t>s</w:t>
            </w:r>
          </w:p>
        </w:tc>
        <w:tc>
          <w:tcPr>
            <w:tcW w:w="1624" w:type="dxa"/>
            <w:gridSpan w:val="2"/>
            <w:tcBorders>
              <w:top w:val="nil"/>
              <w:left w:val="nil"/>
              <w:bottom w:val="nil"/>
            </w:tcBorders>
            <w:shd w:val="clear" w:color="auto" w:fill="D9D9D9" w:themeFill="background1" w:themeFillShade="D9"/>
            <w:vAlign w:val="center"/>
          </w:tcPr>
          <w:p w:rsidR="009E6896" w:rsidRPr="00BC63E6" w:rsidRDefault="000B4ABD" w:rsidP="0084736B">
            <w:pPr>
              <w:widowControl w:val="0"/>
              <w:jc w:val="center"/>
              <w:rPr>
                <w:rFonts w:ascii="Times New Roman" w:hAnsi="Times New Roman" w:cs="Times New Roman"/>
                <w:b/>
                <w:sz w:val="20"/>
                <w:szCs w:val="20"/>
                <w:lang w:val="fr-BE"/>
              </w:rPr>
            </w:pPr>
            <w:r w:rsidRPr="00BC63E6">
              <w:rPr>
                <w:rFonts w:ascii="Times New Roman" w:hAnsi="Times New Roman" w:cs="Times New Roman"/>
                <w:b/>
                <w:sz w:val="20"/>
                <w:szCs w:val="20"/>
                <w:lang w:val="fr-BE"/>
              </w:rPr>
              <w:t xml:space="preserve">Montant des droits à l’importation </w:t>
            </w:r>
          </w:p>
        </w:tc>
      </w:tr>
      <w:tr w:rsidR="000B4ABD" w:rsidRPr="00B75B02" w:rsidTr="00FD2D4C">
        <w:tc>
          <w:tcPr>
            <w:tcW w:w="2876" w:type="dxa"/>
            <w:tcBorders>
              <w:top w:val="nil"/>
              <w:lef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1200" w:type="dxa"/>
            <w:tcBorders>
              <w:top w:val="nil"/>
              <w:right w:val="nil"/>
            </w:tcBorders>
            <w:shd w:val="clear" w:color="auto" w:fill="D9D9D9" w:themeFill="background1" w:themeFillShade="D9"/>
            <w:vAlign w:val="center"/>
          </w:tcPr>
          <w:p w:rsidR="009E6896" w:rsidRPr="00B75B02" w:rsidRDefault="009E6896" w:rsidP="00B75B02">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1</w:t>
            </w:r>
            <w:r w:rsidR="00B75B02" w:rsidRPr="00B75B02">
              <w:rPr>
                <w:rFonts w:ascii="Times New Roman" w:hAnsi="Times New Roman" w:cs="Times New Roman"/>
                <w:i/>
                <w:sz w:val="24"/>
                <w:szCs w:val="24"/>
                <w:lang w:val="fr-BE"/>
              </w:rPr>
              <w:t>.</w:t>
            </w:r>
            <w:r w:rsidRPr="00B75B02">
              <w:rPr>
                <w:rFonts w:ascii="Times New Roman" w:hAnsi="Times New Roman" w:cs="Times New Roman"/>
                <w:i/>
                <w:sz w:val="24"/>
                <w:szCs w:val="24"/>
                <w:lang w:val="fr-BE"/>
              </w:rPr>
              <w:t>000€</w:t>
            </w:r>
          </w:p>
        </w:tc>
        <w:tc>
          <w:tcPr>
            <w:tcW w:w="960" w:type="dxa"/>
            <w:tcBorders>
              <w:top w:val="nil"/>
              <w:left w:val="nil"/>
              <w:right w:val="nil"/>
            </w:tcBorders>
            <w:shd w:val="clear" w:color="auto" w:fill="D9D9D9" w:themeFill="background1" w:themeFillShade="D9"/>
            <w:vAlign w:val="center"/>
          </w:tcPr>
          <w:p w:rsidR="009E6896" w:rsidRPr="00B75B02" w:rsidRDefault="009E6896" w:rsidP="00B75B02">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1</w:t>
            </w:r>
            <w:r w:rsidR="00B75B02">
              <w:rPr>
                <w:rFonts w:ascii="Times New Roman" w:hAnsi="Times New Roman" w:cs="Times New Roman"/>
                <w:i/>
                <w:sz w:val="24"/>
                <w:szCs w:val="24"/>
                <w:lang w:val="fr-BE"/>
              </w:rPr>
              <w:t>.</w:t>
            </w:r>
            <w:r w:rsidRPr="00B75B02">
              <w:rPr>
                <w:rFonts w:ascii="Times New Roman" w:hAnsi="Times New Roman" w:cs="Times New Roman"/>
                <w:i/>
                <w:sz w:val="24"/>
                <w:szCs w:val="24"/>
                <w:lang w:val="fr-BE"/>
              </w:rPr>
              <w:t>000€</w:t>
            </w:r>
          </w:p>
        </w:tc>
        <w:tc>
          <w:tcPr>
            <w:tcW w:w="840" w:type="dxa"/>
            <w:tcBorders>
              <w:top w:val="nil"/>
              <w:left w:val="nil"/>
            </w:tcBorders>
            <w:shd w:val="clear" w:color="auto" w:fill="D9D9D9" w:themeFill="background1" w:themeFillShade="D9"/>
            <w:vAlign w:val="center"/>
          </w:tcPr>
          <w:p w:rsidR="009E6896" w:rsidRPr="00B75B02" w:rsidRDefault="000B4ABD" w:rsidP="0084736B">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Droit moyen</w:t>
            </w:r>
          </w:p>
        </w:tc>
        <w:tc>
          <w:tcPr>
            <w:tcW w:w="1080" w:type="dxa"/>
            <w:tcBorders>
              <w:top w:val="nil"/>
              <w:right w:val="nil"/>
            </w:tcBorders>
            <w:shd w:val="clear" w:color="auto" w:fill="D9D9D9" w:themeFill="background1" w:themeFillShade="D9"/>
            <w:vAlign w:val="center"/>
          </w:tcPr>
          <w:p w:rsidR="009E6896" w:rsidRPr="00B75B02" w:rsidRDefault="009E6896" w:rsidP="00B75B02">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1</w:t>
            </w:r>
            <w:r w:rsidR="00B75B02">
              <w:rPr>
                <w:rFonts w:ascii="Times New Roman" w:hAnsi="Times New Roman" w:cs="Times New Roman"/>
                <w:i/>
                <w:sz w:val="24"/>
                <w:szCs w:val="24"/>
                <w:lang w:val="fr-BE"/>
              </w:rPr>
              <w:t>.</w:t>
            </w:r>
            <w:r w:rsidRPr="00B75B02">
              <w:rPr>
                <w:rFonts w:ascii="Times New Roman" w:hAnsi="Times New Roman" w:cs="Times New Roman"/>
                <w:i/>
                <w:sz w:val="24"/>
                <w:szCs w:val="24"/>
                <w:lang w:val="fr-BE"/>
              </w:rPr>
              <w:t>000€</w:t>
            </w:r>
          </w:p>
        </w:tc>
        <w:tc>
          <w:tcPr>
            <w:tcW w:w="809" w:type="dxa"/>
            <w:tcBorders>
              <w:top w:val="nil"/>
              <w:left w:val="nil"/>
              <w:right w:val="nil"/>
            </w:tcBorders>
            <w:shd w:val="clear" w:color="auto" w:fill="D9D9D9" w:themeFill="background1" w:themeFillShade="D9"/>
            <w:vAlign w:val="center"/>
          </w:tcPr>
          <w:p w:rsidR="009E6896" w:rsidRPr="00B75B02" w:rsidRDefault="009E6896" w:rsidP="00B75B02">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1</w:t>
            </w:r>
            <w:r w:rsidR="00B75B02">
              <w:rPr>
                <w:rFonts w:ascii="Times New Roman" w:hAnsi="Times New Roman" w:cs="Times New Roman"/>
                <w:i/>
                <w:sz w:val="24"/>
                <w:szCs w:val="24"/>
                <w:lang w:val="fr-BE"/>
              </w:rPr>
              <w:t>.</w:t>
            </w:r>
            <w:r w:rsidRPr="00B75B02">
              <w:rPr>
                <w:rFonts w:ascii="Times New Roman" w:hAnsi="Times New Roman" w:cs="Times New Roman"/>
                <w:i/>
                <w:sz w:val="24"/>
                <w:szCs w:val="24"/>
                <w:lang w:val="fr-BE"/>
              </w:rPr>
              <w:t>000€</w:t>
            </w:r>
          </w:p>
        </w:tc>
        <w:tc>
          <w:tcPr>
            <w:tcW w:w="815" w:type="dxa"/>
            <w:tcBorders>
              <w:top w:val="nil"/>
              <w:left w:val="nil"/>
            </w:tcBorders>
            <w:shd w:val="clear" w:color="auto" w:fill="D9D9D9" w:themeFill="background1" w:themeFillShade="D9"/>
            <w:vAlign w:val="center"/>
          </w:tcPr>
          <w:p w:rsidR="009E6896" w:rsidRPr="00B75B02" w:rsidRDefault="000B4ABD" w:rsidP="0084736B">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Droit moyen</w:t>
            </w:r>
          </w:p>
        </w:tc>
      </w:tr>
      <w:tr w:rsidR="000B4ABD" w:rsidRPr="00B75B02" w:rsidTr="00FD2D4C">
        <w:tc>
          <w:tcPr>
            <w:tcW w:w="2876"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sz w:val="24"/>
                <w:szCs w:val="24"/>
                <w:lang w:val="fr-BE"/>
              </w:rPr>
            </w:pPr>
            <w:r w:rsidRPr="00B75B02">
              <w:rPr>
                <w:rFonts w:ascii="Times New Roman" w:hAnsi="Times New Roman" w:cs="Times New Roman"/>
                <w:sz w:val="24"/>
                <w:szCs w:val="24"/>
                <w:lang w:val="fr-BE"/>
              </w:rPr>
              <w:t>M</w:t>
            </w:r>
            <w:r w:rsidR="000B4ABD" w:rsidRPr="00B75B02">
              <w:rPr>
                <w:rFonts w:ascii="Times New Roman" w:hAnsi="Times New Roman" w:cs="Times New Roman"/>
                <w:sz w:val="24"/>
                <w:szCs w:val="24"/>
                <w:lang w:val="fr-BE"/>
              </w:rPr>
              <w:t>aroc et S</w:t>
            </w:r>
            <w:r w:rsidR="00F60564" w:rsidRPr="00B75B02">
              <w:rPr>
                <w:rFonts w:ascii="Times New Roman" w:hAnsi="Times New Roman" w:cs="Times New Roman"/>
                <w:sz w:val="24"/>
                <w:szCs w:val="24"/>
                <w:lang w:val="fr-BE"/>
              </w:rPr>
              <w:t>ahara occidental</w:t>
            </w:r>
          </w:p>
        </w:tc>
        <w:tc>
          <w:tcPr>
            <w:tcW w:w="1200"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sz w:val="24"/>
                <w:szCs w:val="24"/>
                <w:lang w:val="fr-BE"/>
              </w:rPr>
            </w:pPr>
            <w:r w:rsidRPr="00B75B02">
              <w:rPr>
                <w:rFonts w:ascii="Times New Roman" w:hAnsi="Times New Roman" w:cs="Times New Roman"/>
                <w:sz w:val="24"/>
                <w:szCs w:val="24"/>
                <w:lang w:val="fr-BE"/>
              </w:rPr>
              <w:t>1</w:t>
            </w:r>
            <w:r w:rsidR="000B4ABD" w:rsidRPr="00B75B02">
              <w:rPr>
                <w:rFonts w:ascii="Times New Roman" w:hAnsi="Times New Roman" w:cs="Times New Roman"/>
                <w:sz w:val="24"/>
                <w:szCs w:val="24"/>
                <w:lang w:val="fr-BE"/>
              </w:rPr>
              <w:t>.</w:t>
            </w:r>
            <w:r w:rsidRPr="00B75B02">
              <w:rPr>
                <w:rFonts w:ascii="Times New Roman" w:hAnsi="Times New Roman" w:cs="Times New Roman"/>
                <w:sz w:val="24"/>
                <w:szCs w:val="24"/>
                <w:lang w:val="fr-BE"/>
              </w:rPr>
              <w:t>087</w:t>
            </w:r>
            <w:r w:rsidR="000B4ABD" w:rsidRPr="00B75B02">
              <w:rPr>
                <w:rFonts w:ascii="Times New Roman" w:hAnsi="Times New Roman" w:cs="Times New Roman"/>
                <w:sz w:val="24"/>
                <w:szCs w:val="24"/>
                <w:lang w:val="fr-BE"/>
              </w:rPr>
              <w:t>.</w:t>
            </w:r>
            <w:r w:rsidRPr="00B75B02">
              <w:rPr>
                <w:rFonts w:ascii="Times New Roman" w:hAnsi="Times New Roman" w:cs="Times New Roman"/>
                <w:sz w:val="24"/>
                <w:szCs w:val="24"/>
                <w:lang w:val="fr-BE"/>
              </w:rPr>
              <w:t>952</w:t>
            </w:r>
          </w:p>
        </w:tc>
        <w:tc>
          <w:tcPr>
            <w:tcW w:w="960"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sz w:val="24"/>
                <w:szCs w:val="24"/>
                <w:lang w:val="fr-BE"/>
              </w:rPr>
            </w:pPr>
            <w:r w:rsidRPr="00B75B02">
              <w:rPr>
                <w:rFonts w:ascii="Times New Roman" w:hAnsi="Times New Roman" w:cs="Times New Roman"/>
                <w:sz w:val="24"/>
                <w:szCs w:val="24"/>
                <w:lang w:val="fr-BE"/>
              </w:rPr>
              <w:t>133</w:t>
            </w:r>
            <w:r w:rsidR="000B4ABD" w:rsidRPr="00B75B02">
              <w:rPr>
                <w:rFonts w:ascii="Times New Roman" w:hAnsi="Times New Roman" w:cs="Times New Roman"/>
                <w:sz w:val="24"/>
                <w:szCs w:val="24"/>
                <w:lang w:val="fr-BE"/>
              </w:rPr>
              <w:t>.</w:t>
            </w:r>
            <w:r w:rsidRPr="00B75B02">
              <w:rPr>
                <w:rFonts w:ascii="Times New Roman" w:hAnsi="Times New Roman" w:cs="Times New Roman"/>
                <w:sz w:val="24"/>
                <w:szCs w:val="24"/>
                <w:lang w:val="fr-BE"/>
              </w:rPr>
              <w:t>356</w:t>
            </w:r>
          </w:p>
        </w:tc>
        <w:tc>
          <w:tcPr>
            <w:tcW w:w="840"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12</w:t>
            </w:r>
            <w:r w:rsidR="000B4ABD" w:rsidRPr="00B75B02">
              <w:rPr>
                <w:rFonts w:ascii="Times New Roman" w:hAnsi="Times New Roman" w:cs="Times New Roman"/>
                <w:i/>
                <w:sz w:val="24"/>
                <w:szCs w:val="24"/>
                <w:lang w:val="fr-BE"/>
              </w:rPr>
              <w:t>,</w:t>
            </w:r>
            <w:r w:rsidRPr="00B75B02">
              <w:rPr>
                <w:rFonts w:ascii="Times New Roman" w:hAnsi="Times New Roman" w:cs="Times New Roman"/>
                <w:i/>
                <w:sz w:val="24"/>
                <w:szCs w:val="24"/>
                <w:lang w:val="fr-BE"/>
              </w:rPr>
              <w:t>3%</w:t>
            </w:r>
          </w:p>
        </w:tc>
        <w:tc>
          <w:tcPr>
            <w:tcW w:w="1080"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sz w:val="24"/>
                <w:szCs w:val="24"/>
                <w:lang w:val="fr-BE"/>
              </w:rPr>
            </w:pPr>
            <w:r w:rsidRPr="00B75B02">
              <w:rPr>
                <w:rFonts w:ascii="Times New Roman" w:hAnsi="Times New Roman" w:cs="Times New Roman"/>
                <w:sz w:val="24"/>
                <w:szCs w:val="24"/>
                <w:lang w:val="fr-BE"/>
              </w:rPr>
              <w:t>1</w:t>
            </w:r>
            <w:r w:rsidR="000B4ABD" w:rsidRPr="00B75B02">
              <w:rPr>
                <w:rFonts w:ascii="Times New Roman" w:hAnsi="Times New Roman" w:cs="Times New Roman"/>
                <w:sz w:val="24"/>
                <w:szCs w:val="24"/>
                <w:lang w:val="fr-BE"/>
              </w:rPr>
              <w:t>.</w:t>
            </w:r>
            <w:r w:rsidRPr="00B75B02">
              <w:rPr>
                <w:rFonts w:ascii="Times New Roman" w:hAnsi="Times New Roman" w:cs="Times New Roman"/>
                <w:sz w:val="24"/>
                <w:szCs w:val="24"/>
                <w:lang w:val="fr-BE"/>
              </w:rPr>
              <w:t>171</w:t>
            </w:r>
            <w:r w:rsidR="000B4ABD" w:rsidRPr="00B75B02">
              <w:rPr>
                <w:rFonts w:ascii="Times New Roman" w:hAnsi="Times New Roman" w:cs="Times New Roman"/>
                <w:sz w:val="24"/>
                <w:szCs w:val="24"/>
                <w:lang w:val="fr-BE"/>
              </w:rPr>
              <w:t>.</w:t>
            </w:r>
            <w:r w:rsidRPr="00B75B02">
              <w:rPr>
                <w:rFonts w:ascii="Times New Roman" w:hAnsi="Times New Roman" w:cs="Times New Roman"/>
                <w:sz w:val="24"/>
                <w:szCs w:val="24"/>
                <w:lang w:val="fr-BE"/>
              </w:rPr>
              <w:t>854</w:t>
            </w:r>
          </w:p>
        </w:tc>
        <w:tc>
          <w:tcPr>
            <w:tcW w:w="809"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sz w:val="24"/>
                <w:szCs w:val="24"/>
                <w:lang w:val="fr-BE"/>
              </w:rPr>
            </w:pPr>
            <w:r w:rsidRPr="00B75B02">
              <w:rPr>
                <w:rFonts w:ascii="Times New Roman" w:hAnsi="Times New Roman" w:cs="Times New Roman"/>
                <w:sz w:val="24"/>
                <w:szCs w:val="24"/>
                <w:lang w:val="fr-BE"/>
              </w:rPr>
              <w:t>136</w:t>
            </w:r>
            <w:r w:rsidR="000B4ABD" w:rsidRPr="00B75B02">
              <w:rPr>
                <w:rFonts w:ascii="Times New Roman" w:hAnsi="Times New Roman" w:cs="Times New Roman"/>
                <w:sz w:val="24"/>
                <w:szCs w:val="24"/>
                <w:lang w:val="fr-BE"/>
              </w:rPr>
              <w:t>.</w:t>
            </w:r>
            <w:r w:rsidRPr="00B75B02">
              <w:rPr>
                <w:rFonts w:ascii="Times New Roman" w:hAnsi="Times New Roman" w:cs="Times New Roman"/>
                <w:sz w:val="24"/>
                <w:szCs w:val="24"/>
                <w:lang w:val="fr-BE"/>
              </w:rPr>
              <w:t>562</w:t>
            </w:r>
          </w:p>
        </w:tc>
        <w:tc>
          <w:tcPr>
            <w:tcW w:w="815" w:type="dxa"/>
            <w:tcBorders>
              <w:bottom w:val="single" w:sz="4" w:space="0" w:color="auto"/>
            </w:tcBorders>
            <w:vAlign w:val="center"/>
          </w:tcPr>
          <w:p w:rsidR="009E6896" w:rsidRPr="00B75B02" w:rsidRDefault="009E6896" w:rsidP="0084736B">
            <w:pPr>
              <w:widowControl w:val="0"/>
              <w:jc w:val="center"/>
              <w:rPr>
                <w:rFonts w:ascii="Times New Roman" w:hAnsi="Times New Roman" w:cs="Times New Roman"/>
                <w:i/>
                <w:sz w:val="24"/>
                <w:szCs w:val="24"/>
                <w:lang w:val="fr-BE"/>
              </w:rPr>
            </w:pPr>
            <w:r w:rsidRPr="00B75B02">
              <w:rPr>
                <w:rFonts w:ascii="Times New Roman" w:hAnsi="Times New Roman" w:cs="Times New Roman"/>
                <w:i/>
                <w:sz w:val="24"/>
                <w:szCs w:val="24"/>
                <w:lang w:val="fr-BE"/>
              </w:rPr>
              <w:t>11</w:t>
            </w:r>
            <w:r w:rsidR="000B4ABD" w:rsidRPr="00B75B02">
              <w:rPr>
                <w:rFonts w:ascii="Times New Roman" w:hAnsi="Times New Roman" w:cs="Times New Roman"/>
                <w:i/>
                <w:sz w:val="24"/>
                <w:szCs w:val="24"/>
                <w:lang w:val="fr-BE"/>
              </w:rPr>
              <w:t>,</w:t>
            </w:r>
            <w:r w:rsidRPr="00B75B02">
              <w:rPr>
                <w:rFonts w:ascii="Times New Roman" w:hAnsi="Times New Roman" w:cs="Times New Roman"/>
                <w:i/>
                <w:sz w:val="24"/>
                <w:szCs w:val="24"/>
                <w:lang w:val="fr-BE"/>
              </w:rPr>
              <w:t>7%</w:t>
            </w:r>
          </w:p>
        </w:tc>
      </w:tr>
      <w:tr w:rsidR="000B4ABD" w:rsidRPr="000B4ABD" w:rsidTr="00FD2D4C">
        <w:tc>
          <w:tcPr>
            <w:tcW w:w="2876" w:type="dxa"/>
            <w:tcBorders>
              <w:bottom w:val="single" w:sz="4" w:space="0" w:color="auto"/>
            </w:tcBorders>
            <w:shd w:val="clear" w:color="auto" w:fill="D9D9D9" w:themeFill="background1" w:themeFillShade="D9"/>
            <w:vAlign w:val="center"/>
          </w:tcPr>
          <w:p w:rsidR="009E6896" w:rsidRPr="000C0BD3" w:rsidRDefault="00F60564" w:rsidP="0084736B">
            <w:pPr>
              <w:widowControl w:val="0"/>
              <w:jc w:val="center"/>
              <w:rPr>
                <w:rFonts w:ascii="Times New Roman" w:hAnsi="Times New Roman" w:cs="Times New Roman"/>
                <w:sz w:val="24"/>
                <w:szCs w:val="24"/>
              </w:rPr>
            </w:pPr>
            <w:r w:rsidRPr="00B75B02">
              <w:rPr>
                <w:rFonts w:ascii="Times New Roman" w:hAnsi="Times New Roman" w:cs="Times New Roman"/>
                <w:sz w:val="24"/>
                <w:szCs w:val="24"/>
                <w:lang w:val="fr-BE"/>
              </w:rPr>
              <w:t>Sahar</w:t>
            </w:r>
            <w:r>
              <w:rPr>
                <w:rFonts w:ascii="Times New Roman" w:hAnsi="Times New Roman" w:cs="Times New Roman"/>
                <w:sz w:val="24"/>
                <w:szCs w:val="24"/>
              </w:rPr>
              <w:t>a occidental</w:t>
            </w:r>
            <w:r w:rsidR="009E6896" w:rsidRPr="000C0BD3">
              <w:rPr>
                <w:rFonts w:ascii="Times New Roman" w:hAnsi="Times New Roman" w:cs="Times New Roman"/>
                <w:sz w:val="24"/>
                <w:szCs w:val="24"/>
              </w:rPr>
              <w:br/>
              <w:t>%</w:t>
            </w:r>
          </w:p>
        </w:tc>
        <w:tc>
          <w:tcPr>
            <w:tcW w:w="1200" w:type="dxa"/>
            <w:tcBorders>
              <w:bottom w:val="single" w:sz="4" w:space="0" w:color="auto"/>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121</w:t>
            </w:r>
            <w:r w:rsidR="000B4ABD">
              <w:rPr>
                <w:rFonts w:ascii="Times New Roman" w:hAnsi="Times New Roman" w:cs="Times New Roman"/>
                <w:sz w:val="24"/>
                <w:szCs w:val="24"/>
              </w:rPr>
              <w:t>.</w:t>
            </w:r>
            <w:r w:rsidRPr="000C0BD3">
              <w:rPr>
                <w:rFonts w:ascii="Times New Roman" w:hAnsi="Times New Roman" w:cs="Times New Roman"/>
                <w:sz w:val="24"/>
                <w:szCs w:val="24"/>
              </w:rPr>
              <w:t>823</w:t>
            </w:r>
            <w:r w:rsidRPr="000C0BD3">
              <w:rPr>
                <w:rFonts w:ascii="Times New Roman" w:hAnsi="Times New Roman" w:cs="Times New Roman"/>
                <w:sz w:val="24"/>
                <w:szCs w:val="24"/>
              </w:rPr>
              <w:br/>
            </w:r>
            <w:r w:rsidRPr="000C0BD3">
              <w:rPr>
                <w:rFonts w:ascii="Times New Roman" w:hAnsi="Times New Roman" w:cs="Times New Roman"/>
                <w:i/>
                <w:sz w:val="24"/>
                <w:szCs w:val="24"/>
              </w:rPr>
              <w:t>11</w:t>
            </w:r>
            <w:r w:rsidR="000B4ABD">
              <w:rPr>
                <w:rFonts w:ascii="Times New Roman" w:hAnsi="Times New Roman" w:cs="Times New Roman"/>
                <w:i/>
                <w:sz w:val="24"/>
                <w:szCs w:val="24"/>
              </w:rPr>
              <w:t>,</w:t>
            </w:r>
            <w:r w:rsidRPr="000C0BD3">
              <w:rPr>
                <w:rFonts w:ascii="Times New Roman" w:hAnsi="Times New Roman" w:cs="Times New Roman"/>
                <w:i/>
                <w:sz w:val="24"/>
                <w:szCs w:val="24"/>
              </w:rPr>
              <w:t>2%</w:t>
            </w:r>
          </w:p>
        </w:tc>
        <w:tc>
          <w:tcPr>
            <w:tcW w:w="960" w:type="dxa"/>
            <w:tcBorders>
              <w:bottom w:val="single" w:sz="4" w:space="0" w:color="auto"/>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9</w:t>
            </w:r>
            <w:r w:rsidR="000B4ABD">
              <w:rPr>
                <w:rFonts w:ascii="Times New Roman" w:hAnsi="Times New Roman" w:cs="Times New Roman"/>
                <w:sz w:val="24"/>
                <w:szCs w:val="24"/>
              </w:rPr>
              <w:t>.</w:t>
            </w:r>
            <w:r w:rsidRPr="000C0BD3">
              <w:rPr>
                <w:rFonts w:ascii="Times New Roman" w:hAnsi="Times New Roman" w:cs="Times New Roman"/>
                <w:sz w:val="24"/>
                <w:szCs w:val="24"/>
              </w:rPr>
              <w:t>093</w:t>
            </w:r>
            <w:r w:rsidRPr="000C0BD3">
              <w:rPr>
                <w:rFonts w:ascii="Times New Roman" w:hAnsi="Times New Roman" w:cs="Times New Roman"/>
                <w:sz w:val="24"/>
                <w:szCs w:val="24"/>
              </w:rPr>
              <w:br/>
            </w:r>
            <w:r w:rsidRPr="000C0BD3">
              <w:rPr>
                <w:rFonts w:ascii="Times New Roman" w:hAnsi="Times New Roman" w:cs="Times New Roman"/>
                <w:i/>
                <w:sz w:val="24"/>
                <w:szCs w:val="24"/>
              </w:rPr>
              <w:t>6</w:t>
            </w:r>
            <w:r w:rsidR="000B4ABD">
              <w:rPr>
                <w:rFonts w:ascii="Times New Roman" w:hAnsi="Times New Roman" w:cs="Times New Roman"/>
                <w:i/>
                <w:sz w:val="24"/>
                <w:szCs w:val="24"/>
              </w:rPr>
              <w:t>,</w:t>
            </w:r>
            <w:r w:rsidRPr="000C0BD3">
              <w:rPr>
                <w:rFonts w:ascii="Times New Roman" w:hAnsi="Times New Roman" w:cs="Times New Roman"/>
                <w:i/>
                <w:sz w:val="24"/>
                <w:szCs w:val="24"/>
              </w:rPr>
              <w:t>8%</w:t>
            </w:r>
          </w:p>
        </w:tc>
        <w:tc>
          <w:tcPr>
            <w:tcW w:w="840" w:type="dxa"/>
            <w:tcBorders>
              <w:bottom w:val="single" w:sz="4" w:space="0" w:color="auto"/>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i/>
                <w:sz w:val="24"/>
                <w:szCs w:val="24"/>
              </w:rPr>
            </w:pPr>
            <w:r w:rsidRPr="000C0BD3">
              <w:rPr>
                <w:rFonts w:ascii="Times New Roman" w:hAnsi="Times New Roman" w:cs="Times New Roman"/>
                <w:i/>
                <w:sz w:val="24"/>
                <w:szCs w:val="24"/>
              </w:rPr>
              <w:t>7</w:t>
            </w:r>
            <w:r w:rsidR="000B4ABD">
              <w:rPr>
                <w:rFonts w:ascii="Times New Roman" w:hAnsi="Times New Roman" w:cs="Times New Roman"/>
                <w:i/>
                <w:sz w:val="24"/>
                <w:szCs w:val="24"/>
              </w:rPr>
              <w:t>,</w:t>
            </w:r>
            <w:r w:rsidRPr="000C0BD3">
              <w:rPr>
                <w:rFonts w:ascii="Times New Roman" w:hAnsi="Times New Roman" w:cs="Times New Roman"/>
                <w:i/>
                <w:sz w:val="24"/>
                <w:szCs w:val="24"/>
              </w:rPr>
              <w:t>5%</w:t>
            </w:r>
          </w:p>
        </w:tc>
        <w:tc>
          <w:tcPr>
            <w:tcW w:w="1080" w:type="dxa"/>
            <w:tcBorders>
              <w:bottom w:val="single" w:sz="4" w:space="0" w:color="auto"/>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134</w:t>
            </w:r>
            <w:r w:rsidR="000B4ABD">
              <w:rPr>
                <w:rFonts w:ascii="Times New Roman" w:hAnsi="Times New Roman" w:cs="Times New Roman"/>
                <w:sz w:val="24"/>
                <w:szCs w:val="24"/>
              </w:rPr>
              <w:t>.</w:t>
            </w:r>
            <w:r w:rsidRPr="000C0BD3">
              <w:rPr>
                <w:rFonts w:ascii="Times New Roman" w:hAnsi="Times New Roman" w:cs="Times New Roman"/>
                <w:sz w:val="24"/>
                <w:szCs w:val="24"/>
              </w:rPr>
              <w:t>010</w:t>
            </w:r>
            <w:r w:rsidRPr="000C0BD3">
              <w:rPr>
                <w:rFonts w:ascii="Times New Roman" w:hAnsi="Times New Roman" w:cs="Times New Roman"/>
                <w:sz w:val="24"/>
                <w:szCs w:val="24"/>
              </w:rPr>
              <w:br/>
            </w:r>
            <w:r w:rsidRPr="000C0BD3">
              <w:rPr>
                <w:rFonts w:ascii="Times New Roman" w:hAnsi="Times New Roman" w:cs="Times New Roman"/>
                <w:i/>
                <w:sz w:val="24"/>
                <w:szCs w:val="24"/>
              </w:rPr>
              <w:t>11</w:t>
            </w:r>
            <w:r w:rsidR="000B4ABD">
              <w:rPr>
                <w:rFonts w:ascii="Times New Roman" w:hAnsi="Times New Roman" w:cs="Times New Roman"/>
                <w:i/>
                <w:sz w:val="24"/>
                <w:szCs w:val="24"/>
              </w:rPr>
              <w:t>,</w:t>
            </w:r>
            <w:r w:rsidRPr="000C0BD3">
              <w:rPr>
                <w:rFonts w:ascii="Times New Roman" w:hAnsi="Times New Roman" w:cs="Times New Roman"/>
                <w:i/>
                <w:sz w:val="24"/>
                <w:szCs w:val="24"/>
              </w:rPr>
              <w:t>4%</w:t>
            </w:r>
          </w:p>
        </w:tc>
        <w:tc>
          <w:tcPr>
            <w:tcW w:w="809" w:type="dxa"/>
            <w:tcBorders>
              <w:bottom w:val="single" w:sz="4" w:space="0" w:color="auto"/>
            </w:tcBorders>
            <w:shd w:val="clear" w:color="auto" w:fill="D9D9D9" w:themeFill="background1" w:themeFillShade="D9"/>
            <w:vAlign w:val="center"/>
          </w:tcPr>
          <w:p w:rsidR="009E6896" w:rsidRPr="00BC63E6" w:rsidRDefault="009E6896" w:rsidP="0084736B">
            <w:pPr>
              <w:widowControl w:val="0"/>
              <w:jc w:val="center"/>
              <w:rPr>
                <w:rFonts w:ascii="Times New Roman" w:hAnsi="Times New Roman" w:cs="Times New Roman"/>
                <w:sz w:val="24"/>
                <w:szCs w:val="24"/>
                <w:lang w:val="fr-BE"/>
              </w:rPr>
            </w:pPr>
            <w:r w:rsidRPr="00BC63E6">
              <w:rPr>
                <w:rFonts w:ascii="Times New Roman" w:hAnsi="Times New Roman" w:cs="Times New Roman"/>
                <w:sz w:val="24"/>
                <w:szCs w:val="24"/>
                <w:lang w:val="fr-BE"/>
              </w:rPr>
              <w:t>9</w:t>
            </w:r>
            <w:r w:rsidR="000B4ABD" w:rsidRPr="00BC63E6">
              <w:rPr>
                <w:rFonts w:ascii="Times New Roman" w:hAnsi="Times New Roman" w:cs="Times New Roman"/>
                <w:sz w:val="24"/>
                <w:szCs w:val="24"/>
                <w:lang w:val="fr-BE"/>
              </w:rPr>
              <w:t>.</w:t>
            </w:r>
            <w:r w:rsidRPr="00BC63E6">
              <w:rPr>
                <w:rFonts w:ascii="Times New Roman" w:hAnsi="Times New Roman" w:cs="Times New Roman"/>
                <w:sz w:val="24"/>
                <w:szCs w:val="24"/>
                <w:lang w:val="fr-BE"/>
              </w:rPr>
              <w:t>477</w:t>
            </w:r>
            <w:r w:rsidRPr="00BC63E6">
              <w:rPr>
                <w:rFonts w:ascii="Times New Roman" w:hAnsi="Times New Roman" w:cs="Times New Roman"/>
                <w:sz w:val="24"/>
                <w:szCs w:val="24"/>
                <w:lang w:val="fr-BE"/>
              </w:rPr>
              <w:br/>
            </w:r>
            <w:r w:rsidRPr="00BC63E6">
              <w:rPr>
                <w:rFonts w:ascii="Times New Roman" w:hAnsi="Times New Roman" w:cs="Times New Roman"/>
                <w:i/>
                <w:sz w:val="24"/>
                <w:szCs w:val="24"/>
                <w:lang w:val="fr-BE"/>
              </w:rPr>
              <w:t>6</w:t>
            </w:r>
            <w:r w:rsidR="000B4ABD">
              <w:rPr>
                <w:rFonts w:ascii="Times New Roman" w:hAnsi="Times New Roman" w:cs="Times New Roman"/>
                <w:i/>
                <w:sz w:val="24"/>
                <w:szCs w:val="24"/>
                <w:lang w:val="fr-BE"/>
              </w:rPr>
              <w:t>,</w:t>
            </w:r>
            <w:r w:rsidRPr="00BC63E6">
              <w:rPr>
                <w:rFonts w:ascii="Times New Roman" w:hAnsi="Times New Roman" w:cs="Times New Roman"/>
                <w:i/>
                <w:sz w:val="24"/>
                <w:szCs w:val="24"/>
                <w:lang w:val="fr-BE"/>
              </w:rPr>
              <w:t>9%</w:t>
            </w:r>
          </w:p>
        </w:tc>
        <w:tc>
          <w:tcPr>
            <w:tcW w:w="815" w:type="dxa"/>
            <w:tcBorders>
              <w:bottom w:val="single" w:sz="4" w:space="0" w:color="auto"/>
            </w:tcBorders>
            <w:shd w:val="clear" w:color="auto" w:fill="D9D9D9" w:themeFill="background1" w:themeFillShade="D9"/>
            <w:vAlign w:val="center"/>
          </w:tcPr>
          <w:p w:rsidR="009E6896" w:rsidRPr="00BC63E6" w:rsidRDefault="009E6896" w:rsidP="0084736B">
            <w:pPr>
              <w:widowControl w:val="0"/>
              <w:jc w:val="center"/>
              <w:rPr>
                <w:rFonts w:ascii="Times New Roman" w:hAnsi="Times New Roman" w:cs="Times New Roman"/>
                <w:i/>
                <w:sz w:val="24"/>
                <w:szCs w:val="24"/>
                <w:lang w:val="fr-BE"/>
              </w:rPr>
            </w:pPr>
            <w:r w:rsidRPr="00BC63E6">
              <w:rPr>
                <w:rFonts w:ascii="Times New Roman" w:hAnsi="Times New Roman" w:cs="Times New Roman"/>
                <w:i/>
                <w:sz w:val="24"/>
                <w:szCs w:val="24"/>
                <w:lang w:val="fr-BE"/>
              </w:rPr>
              <w:t>7</w:t>
            </w:r>
            <w:r w:rsidR="000B4ABD">
              <w:rPr>
                <w:rFonts w:ascii="Times New Roman" w:hAnsi="Times New Roman" w:cs="Times New Roman"/>
                <w:i/>
                <w:sz w:val="24"/>
                <w:szCs w:val="24"/>
                <w:lang w:val="fr-BE"/>
              </w:rPr>
              <w:t>,</w:t>
            </w:r>
            <w:r w:rsidRPr="00BC63E6">
              <w:rPr>
                <w:rFonts w:ascii="Times New Roman" w:hAnsi="Times New Roman" w:cs="Times New Roman"/>
                <w:i/>
                <w:sz w:val="24"/>
                <w:szCs w:val="24"/>
                <w:lang w:val="fr-BE"/>
              </w:rPr>
              <w:t>1%</w:t>
            </w:r>
          </w:p>
        </w:tc>
      </w:tr>
      <w:tr w:rsidR="000B4ABD" w:rsidRPr="000B4ABD" w:rsidTr="00FD2D4C">
        <w:tc>
          <w:tcPr>
            <w:tcW w:w="2876"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1200"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960"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840"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1080"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809"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c>
          <w:tcPr>
            <w:tcW w:w="815" w:type="dxa"/>
            <w:tcBorders>
              <w:left w:val="nil"/>
              <w:bottom w:val="nil"/>
              <w:right w:val="nil"/>
            </w:tcBorders>
            <w:vAlign w:val="center"/>
          </w:tcPr>
          <w:p w:rsidR="009E6896" w:rsidRPr="00BC63E6" w:rsidRDefault="009E6896" w:rsidP="0084736B">
            <w:pPr>
              <w:widowControl w:val="0"/>
              <w:jc w:val="center"/>
              <w:rPr>
                <w:rFonts w:ascii="Times New Roman" w:hAnsi="Times New Roman" w:cs="Times New Roman"/>
                <w:sz w:val="24"/>
                <w:szCs w:val="24"/>
                <w:lang w:val="fr-BE"/>
              </w:rPr>
            </w:pPr>
          </w:p>
        </w:tc>
      </w:tr>
      <w:tr w:rsidR="009E6896" w:rsidRPr="000A3A2E" w:rsidTr="00FD2D4C">
        <w:tc>
          <w:tcPr>
            <w:tcW w:w="8580" w:type="dxa"/>
            <w:gridSpan w:val="7"/>
            <w:tcBorders>
              <w:top w:val="nil"/>
              <w:left w:val="nil"/>
              <w:bottom w:val="nil"/>
              <w:right w:val="nil"/>
            </w:tcBorders>
            <w:vAlign w:val="center"/>
          </w:tcPr>
          <w:p w:rsidR="009E6896" w:rsidRPr="00BC63E6" w:rsidRDefault="000B4ABD" w:rsidP="0084736B">
            <w:pPr>
              <w:widowControl w:val="0"/>
              <w:jc w:val="center"/>
              <w:rPr>
                <w:rFonts w:ascii="Times New Roman" w:hAnsi="Times New Roman" w:cs="Times New Roman"/>
                <w:i/>
                <w:sz w:val="24"/>
                <w:szCs w:val="24"/>
                <w:lang w:val="fr-BE"/>
              </w:rPr>
            </w:pPr>
            <w:r>
              <w:rPr>
                <w:rFonts w:ascii="Times New Roman" w:hAnsi="Times New Roman" w:cs="Times New Roman"/>
                <w:i/>
                <w:sz w:val="24"/>
                <w:szCs w:val="24"/>
                <w:lang w:val="fr-BE"/>
              </w:rPr>
              <w:t>Taux de change</w:t>
            </w:r>
            <w:r w:rsidR="009E6896" w:rsidRPr="00BC63E6">
              <w:rPr>
                <w:rFonts w:ascii="Times New Roman" w:hAnsi="Times New Roman" w:cs="Times New Roman"/>
                <w:i/>
                <w:sz w:val="24"/>
                <w:szCs w:val="24"/>
                <w:lang w:val="fr-BE"/>
              </w:rPr>
              <w:t xml:space="preserve"> €/ MAD u</w:t>
            </w:r>
            <w:r>
              <w:rPr>
                <w:rFonts w:ascii="Times New Roman" w:hAnsi="Times New Roman" w:cs="Times New Roman"/>
                <w:i/>
                <w:sz w:val="24"/>
                <w:szCs w:val="24"/>
                <w:lang w:val="fr-BE"/>
              </w:rPr>
              <w:t>tilisé</w:t>
            </w:r>
            <w:r w:rsidR="009E6896" w:rsidRPr="00BC63E6">
              <w:rPr>
                <w:rFonts w:ascii="Times New Roman" w:hAnsi="Times New Roman" w:cs="Times New Roman"/>
                <w:i/>
                <w:sz w:val="24"/>
                <w:szCs w:val="24"/>
                <w:lang w:val="fr-BE"/>
              </w:rPr>
              <w:t xml:space="preserve">: 10,819 (2015) </w:t>
            </w:r>
            <w:r>
              <w:rPr>
                <w:rFonts w:ascii="Times New Roman" w:hAnsi="Times New Roman" w:cs="Times New Roman"/>
                <w:i/>
                <w:sz w:val="24"/>
                <w:szCs w:val="24"/>
                <w:lang w:val="fr-BE"/>
              </w:rPr>
              <w:t>et</w:t>
            </w:r>
            <w:r w:rsidR="009E6896" w:rsidRPr="00BC63E6">
              <w:rPr>
                <w:rFonts w:ascii="Times New Roman" w:hAnsi="Times New Roman" w:cs="Times New Roman"/>
                <w:i/>
                <w:sz w:val="24"/>
                <w:szCs w:val="24"/>
                <w:lang w:val="fr-BE"/>
              </w:rPr>
              <w:t xml:space="preserve"> 10,836 (2016)</w:t>
            </w:r>
          </w:p>
        </w:tc>
      </w:tr>
    </w:tbl>
    <w:p w:rsidR="009E6896" w:rsidRPr="00BC63E6" w:rsidRDefault="009E6896" w:rsidP="0084736B">
      <w:pPr>
        <w:widowControl w:val="0"/>
        <w:spacing w:after="0" w:line="240" w:lineRule="auto"/>
        <w:rPr>
          <w:rFonts w:ascii="Times New Roman" w:hAnsi="Times New Roman" w:cs="Times New Roman"/>
          <w:sz w:val="24"/>
          <w:szCs w:val="24"/>
          <w:lang w:val="fr-BE"/>
        </w:rPr>
      </w:pPr>
    </w:p>
    <w:p w:rsidR="009E6896" w:rsidRPr="00DE3C37" w:rsidRDefault="00E50525" w:rsidP="0084736B">
      <w:pPr>
        <w:widowControl w:val="0"/>
        <w:spacing w:after="0" w:line="240" w:lineRule="auto"/>
        <w:jc w:val="both"/>
        <w:rPr>
          <w:rFonts w:ascii="Times New Roman" w:hAnsi="Times New Roman" w:cs="Times New Roman"/>
          <w:sz w:val="24"/>
          <w:szCs w:val="24"/>
          <w:lang w:val="fr-BE"/>
        </w:rPr>
      </w:pPr>
      <w:r w:rsidRPr="00DB3D18">
        <w:rPr>
          <w:rFonts w:ascii="Times New Roman" w:hAnsi="Times New Roman" w:cs="Times New Roman"/>
          <w:b/>
          <w:i/>
          <w:sz w:val="24"/>
          <w:szCs w:val="24"/>
          <w:lang w:val="fr-BE"/>
        </w:rPr>
        <w:t xml:space="preserve">En </w:t>
      </w:r>
      <w:r w:rsidR="009E6896" w:rsidRPr="00DB3D18">
        <w:rPr>
          <w:rFonts w:ascii="Times New Roman" w:hAnsi="Times New Roman" w:cs="Times New Roman"/>
          <w:b/>
          <w:i/>
          <w:sz w:val="24"/>
          <w:szCs w:val="24"/>
          <w:lang w:val="fr-BE"/>
        </w:rPr>
        <w:t>tonnage</w:t>
      </w:r>
      <w:r w:rsidR="009E6896" w:rsidRPr="00DB3D18">
        <w:rPr>
          <w:rFonts w:ascii="Times New Roman" w:hAnsi="Times New Roman" w:cs="Times New Roman"/>
          <w:i/>
          <w:sz w:val="24"/>
          <w:szCs w:val="24"/>
          <w:lang w:val="fr-BE"/>
        </w:rPr>
        <w:t xml:space="preserve">, </w:t>
      </w:r>
      <w:r w:rsidRPr="00DB3D18">
        <w:rPr>
          <w:rFonts w:ascii="Times New Roman" w:hAnsi="Times New Roman" w:cs="Times New Roman"/>
          <w:i/>
          <w:sz w:val="24"/>
          <w:szCs w:val="24"/>
          <w:lang w:val="fr-BE"/>
        </w:rPr>
        <w:t xml:space="preserve">selon </w:t>
      </w:r>
      <w:r w:rsidR="00125E13">
        <w:rPr>
          <w:rFonts w:ascii="Times New Roman" w:hAnsi="Times New Roman" w:cs="Times New Roman"/>
          <w:i/>
          <w:sz w:val="24"/>
          <w:szCs w:val="24"/>
          <w:lang w:val="fr-BE"/>
        </w:rPr>
        <w:t>des informations marocaines</w:t>
      </w:r>
      <w:r w:rsidR="009E6896" w:rsidRPr="00DB3D18">
        <w:rPr>
          <w:rFonts w:ascii="Times New Roman" w:hAnsi="Times New Roman" w:cs="Times New Roman"/>
          <w:i/>
          <w:sz w:val="24"/>
          <w:szCs w:val="24"/>
          <w:lang w:val="fr-BE"/>
        </w:rPr>
        <w:t>,</w:t>
      </w:r>
      <w:r w:rsidR="009E6896" w:rsidRPr="00DB3D18">
        <w:rPr>
          <w:rFonts w:ascii="Times New Roman" w:hAnsi="Times New Roman" w:cs="Times New Roman"/>
          <w:b/>
          <w:i/>
          <w:sz w:val="24"/>
          <w:szCs w:val="24"/>
          <w:lang w:val="fr-BE"/>
        </w:rPr>
        <w:t xml:space="preserve"> </w:t>
      </w:r>
      <w:r w:rsidRPr="00DB3D18">
        <w:rPr>
          <w:rFonts w:ascii="Times New Roman" w:hAnsi="Times New Roman" w:cs="Times New Roman"/>
          <w:b/>
          <w:i/>
          <w:sz w:val="24"/>
          <w:szCs w:val="24"/>
          <w:lang w:val="fr-BE"/>
        </w:rPr>
        <w:t xml:space="preserve">les </w:t>
      </w:r>
      <w:r w:rsidR="0000763C" w:rsidRPr="00DB3D18">
        <w:rPr>
          <w:rFonts w:ascii="Times New Roman" w:hAnsi="Times New Roman" w:cs="Times New Roman"/>
          <w:b/>
          <w:i/>
          <w:sz w:val="24"/>
          <w:szCs w:val="24"/>
          <w:lang w:val="fr-BE"/>
        </w:rPr>
        <w:t>ex</w:t>
      </w:r>
      <w:r w:rsidRPr="00DB3D18">
        <w:rPr>
          <w:rFonts w:ascii="Times New Roman" w:hAnsi="Times New Roman" w:cs="Times New Roman"/>
          <w:b/>
          <w:i/>
          <w:sz w:val="24"/>
          <w:szCs w:val="24"/>
          <w:lang w:val="fr-BE"/>
        </w:rPr>
        <w:t xml:space="preserve">portations du Sahara occidental s’élèvent à </w:t>
      </w:r>
      <w:r w:rsidR="009E6896" w:rsidRPr="00DB3D18">
        <w:rPr>
          <w:rFonts w:ascii="Times New Roman" w:hAnsi="Times New Roman" w:cs="Times New Roman"/>
          <w:b/>
          <w:i/>
          <w:sz w:val="24"/>
          <w:szCs w:val="24"/>
          <w:lang w:val="fr-BE"/>
        </w:rPr>
        <w:t>44</w:t>
      </w:r>
      <w:r w:rsidR="00DC66EF" w:rsidRPr="00DB3D18">
        <w:rPr>
          <w:rFonts w:ascii="Times New Roman" w:hAnsi="Times New Roman" w:cs="Times New Roman"/>
          <w:b/>
          <w:i/>
          <w:sz w:val="24"/>
          <w:szCs w:val="24"/>
          <w:lang w:val="fr-BE"/>
        </w:rPr>
        <w:t>.</w:t>
      </w:r>
      <w:r w:rsidR="009E6896" w:rsidRPr="00DB3D18">
        <w:rPr>
          <w:rFonts w:ascii="Times New Roman" w:hAnsi="Times New Roman" w:cs="Times New Roman"/>
          <w:b/>
          <w:i/>
          <w:sz w:val="24"/>
          <w:szCs w:val="24"/>
          <w:lang w:val="fr-BE"/>
        </w:rPr>
        <w:t xml:space="preserve">891 </w:t>
      </w:r>
      <w:r w:rsidR="00D163F1" w:rsidRPr="00DB3D18">
        <w:rPr>
          <w:rFonts w:ascii="Times New Roman" w:hAnsi="Times New Roman" w:cs="Times New Roman"/>
          <w:b/>
          <w:i/>
          <w:sz w:val="24"/>
          <w:szCs w:val="24"/>
          <w:lang w:val="fr-BE"/>
        </w:rPr>
        <w:t xml:space="preserve">tonnes pour 2015 </w:t>
      </w:r>
      <w:r w:rsidRPr="00DB3D18">
        <w:rPr>
          <w:rFonts w:ascii="Times New Roman" w:hAnsi="Times New Roman" w:cs="Times New Roman"/>
          <w:b/>
          <w:i/>
          <w:sz w:val="24"/>
          <w:szCs w:val="24"/>
          <w:lang w:val="fr-BE"/>
        </w:rPr>
        <w:t>et</w:t>
      </w:r>
      <w:r w:rsidR="009E6896" w:rsidRPr="00DB3D18">
        <w:rPr>
          <w:rFonts w:ascii="Times New Roman" w:hAnsi="Times New Roman" w:cs="Times New Roman"/>
          <w:b/>
          <w:i/>
          <w:sz w:val="24"/>
          <w:szCs w:val="24"/>
          <w:lang w:val="fr-BE"/>
        </w:rPr>
        <w:t xml:space="preserve"> 54</w:t>
      </w:r>
      <w:r w:rsidR="00DC66EF" w:rsidRPr="00DB3D18">
        <w:rPr>
          <w:rFonts w:ascii="Times New Roman" w:hAnsi="Times New Roman" w:cs="Times New Roman"/>
          <w:b/>
          <w:i/>
          <w:sz w:val="24"/>
          <w:szCs w:val="24"/>
          <w:lang w:val="fr-BE"/>
        </w:rPr>
        <w:t>.</w:t>
      </w:r>
      <w:r w:rsidR="009E6896" w:rsidRPr="00DB3D18">
        <w:rPr>
          <w:rFonts w:ascii="Times New Roman" w:hAnsi="Times New Roman" w:cs="Times New Roman"/>
          <w:b/>
          <w:i/>
          <w:sz w:val="24"/>
          <w:szCs w:val="24"/>
          <w:lang w:val="fr-BE"/>
        </w:rPr>
        <w:t xml:space="preserve">637 tonnes </w:t>
      </w:r>
      <w:r w:rsidRPr="00DB3D18">
        <w:rPr>
          <w:rFonts w:ascii="Times New Roman" w:hAnsi="Times New Roman" w:cs="Times New Roman"/>
          <w:b/>
          <w:i/>
          <w:sz w:val="24"/>
          <w:szCs w:val="24"/>
          <w:lang w:val="fr-BE"/>
        </w:rPr>
        <w:t>pour</w:t>
      </w:r>
      <w:r w:rsidR="009E6896" w:rsidRPr="00DB3D18">
        <w:rPr>
          <w:rFonts w:ascii="Times New Roman" w:hAnsi="Times New Roman" w:cs="Times New Roman"/>
          <w:b/>
          <w:i/>
          <w:sz w:val="24"/>
          <w:szCs w:val="24"/>
          <w:lang w:val="fr-BE"/>
        </w:rPr>
        <w:t xml:space="preserve"> 2016</w:t>
      </w:r>
      <w:r w:rsidR="009E6896" w:rsidRPr="000C0BD3">
        <w:rPr>
          <w:rStyle w:val="FootnoteReference"/>
          <w:rFonts w:ascii="Times New Roman" w:hAnsi="Times New Roman" w:cs="Times New Roman"/>
          <w:sz w:val="24"/>
          <w:szCs w:val="24"/>
        </w:rPr>
        <w:footnoteReference w:id="33"/>
      </w:r>
      <w:r w:rsidR="009E6896" w:rsidRPr="00DE3C37">
        <w:rPr>
          <w:rFonts w:ascii="Times New Roman" w:hAnsi="Times New Roman" w:cs="Times New Roman"/>
          <w:sz w:val="24"/>
          <w:szCs w:val="24"/>
          <w:lang w:val="fr-BE"/>
        </w:rPr>
        <w:t xml:space="preserve"> </w:t>
      </w:r>
      <w:r w:rsidR="009E6896">
        <w:rPr>
          <w:rStyle w:val="FootnoteReference"/>
          <w:rFonts w:ascii="Times New Roman" w:hAnsi="Times New Roman" w:cs="Times New Roman"/>
          <w:sz w:val="24"/>
          <w:szCs w:val="24"/>
        </w:rPr>
        <w:footnoteReference w:id="34"/>
      </w:r>
      <w:r w:rsidR="009E6896" w:rsidRPr="00DE3C37">
        <w:rPr>
          <w:rFonts w:ascii="Times New Roman" w:hAnsi="Times New Roman" w:cs="Times New Roman"/>
          <w:sz w:val="24"/>
          <w:szCs w:val="24"/>
          <w:lang w:val="fr-BE"/>
        </w:rPr>
        <w:t xml:space="preserve">. </w:t>
      </w:r>
      <w:r w:rsidRPr="00DB3D18">
        <w:rPr>
          <w:rFonts w:ascii="Times New Roman" w:hAnsi="Times New Roman" w:cs="Times New Roman"/>
          <w:b/>
          <w:i/>
          <w:sz w:val="24"/>
          <w:szCs w:val="24"/>
          <w:lang w:val="fr-BE"/>
        </w:rPr>
        <w:t>En termes de valeur</w:t>
      </w:r>
      <w:r w:rsidR="009E6896" w:rsidRPr="00DE3C37">
        <w:rPr>
          <w:rFonts w:ascii="Times New Roman" w:hAnsi="Times New Roman" w:cs="Times New Roman"/>
          <w:sz w:val="24"/>
          <w:szCs w:val="24"/>
          <w:lang w:val="fr-BE"/>
        </w:rPr>
        <w:t xml:space="preserve">, </w:t>
      </w:r>
      <w:r w:rsidRPr="00DB3D18">
        <w:rPr>
          <w:rFonts w:ascii="Times New Roman" w:hAnsi="Times New Roman" w:cs="Times New Roman"/>
          <w:b/>
          <w:i/>
          <w:sz w:val="24"/>
          <w:szCs w:val="24"/>
          <w:lang w:val="fr-BE"/>
        </w:rPr>
        <w:t>les importations en provenance du S</w:t>
      </w:r>
      <w:r w:rsidR="00DC66EF" w:rsidRPr="00DB3D18">
        <w:rPr>
          <w:rFonts w:ascii="Times New Roman" w:hAnsi="Times New Roman" w:cs="Times New Roman"/>
          <w:b/>
          <w:i/>
          <w:sz w:val="24"/>
          <w:szCs w:val="24"/>
          <w:lang w:val="fr-BE"/>
        </w:rPr>
        <w:t>ahara occidental</w:t>
      </w:r>
      <w:r w:rsidRPr="00DB3D18">
        <w:rPr>
          <w:rFonts w:ascii="Times New Roman" w:hAnsi="Times New Roman" w:cs="Times New Roman"/>
          <w:b/>
          <w:i/>
          <w:sz w:val="24"/>
          <w:szCs w:val="24"/>
          <w:lang w:val="fr-BE"/>
        </w:rPr>
        <w:t xml:space="preserve"> </w:t>
      </w:r>
      <w:r w:rsidR="00383426" w:rsidRPr="00383426">
        <w:rPr>
          <w:rFonts w:ascii="Times New Roman" w:hAnsi="Times New Roman" w:cs="Times New Roman"/>
          <w:b/>
          <w:i/>
          <w:sz w:val="24"/>
          <w:szCs w:val="24"/>
          <w:lang w:val="fr-BE"/>
        </w:rPr>
        <w:t xml:space="preserve">seraient de 121 millions d’euros </w:t>
      </w:r>
      <w:r w:rsidRPr="00DB3D18">
        <w:rPr>
          <w:rFonts w:ascii="Times New Roman" w:hAnsi="Times New Roman" w:cs="Times New Roman"/>
          <w:b/>
          <w:i/>
          <w:sz w:val="24"/>
          <w:szCs w:val="24"/>
          <w:lang w:val="fr-BE"/>
        </w:rPr>
        <w:t xml:space="preserve">pour 2015 et </w:t>
      </w:r>
      <w:r w:rsidR="00592227">
        <w:rPr>
          <w:rFonts w:ascii="Times New Roman" w:hAnsi="Times New Roman" w:cs="Times New Roman"/>
          <w:b/>
          <w:i/>
          <w:sz w:val="24"/>
          <w:szCs w:val="24"/>
          <w:lang w:val="fr-BE"/>
        </w:rPr>
        <w:t xml:space="preserve">134 </w:t>
      </w:r>
      <w:r w:rsidR="00383426">
        <w:rPr>
          <w:rFonts w:ascii="Times New Roman" w:hAnsi="Times New Roman" w:cs="Times New Roman"/>
          <w:b/>
          <w:i/>
          <w:sz w:val="24"/>
          <w:szCs w:val="24"/>
          <w:lang w:val="fr-BE"/>
        </w:rPr>
        <w:t>millions d’euros</w:t>
      </w:r>
      <w:r w:rsidR="00592227">
        <w:rPr>
          <w:rFonts w:ascii="Times New Roman" w:hAnsi="Times New Roman" w:cs="Times New Roman"/>
          <w:b/>
          <w:i/>
          <w:sz w:val="24"/>
          <w:szCs w:val="24"/>
          <w:lang w:val="fr-BE"/>
        </w:rPr>
        <w:t xml:space="preserve"> </w:t>
      </w:r>
      <w:r w:rsidR="00383426">
        <w:rPr>
          <w:rFonts w:ascii="Times New Roman" w:hAnsi="Times New Roman" w:cs="Times New Roman"/>
          <w:b/>
          <w:i/>
          <w:sz w:val="24"/>
          <w:szCs w:val="24"/>
          <w:lang w:val="fr-BE"/>
        </w:rPr>
        <w:t xml:space="preserve">en </w:t>
      </w:r>
      <w:r w:rsidR="00383426" w:rsidRPr="00383426">
        <w:rPr>
          <w:rFonts w:ascii="Times New Roman" w:hAnsi="Times New Roman" w:cs="Times New Roman"/>
          <w:b/>
          <w:i/>
          <w:sz w:val="24"/>
          <w:szCs w:val="24"/>
          <w:lang w:val="fr-BE"/>
        </w:rPr>
        <w:t>2016</w:t>
      </w:r>
      <w:r w:rsidR="00592227" w:rsidRPr="00DB3D18">
        <w:rPr>
          <w:rFonts w:ascii="Times New Roman" w:hAnsi="Times New Roman" w:cs="Times New Roman"/>
          <w:sz w:val="24"/>
          <w:szCs w:val="24"/>
          <w:lang w:val="fr-BE"/>
        </w:rPr>
        <w:t xml:space="preserve">, et </w:t>
      </w:r>
      <w:r w:rsidRPr="00592227">
        <w:rPr>
          <w:rFonts w:ascii="Times New Roman" w:hAnsi="Times New Roman" w:cs="Times New Roman"/>
          <w:sz w:val="24"/>
          <w:szCs w:val="24"/>
          <w:lang w:val="fr-BE"/>
        </w:rPr>
        <w:t>dépassaient légèrement 11% de la valeur totale des importations en provenance du Maroc et du S</w:t>
      </w:r>
      <w:r w:rsidR="00DC66EF" w:rsidRPr="00592227">
        <w:rPr>
          <w:rFonts w:ascii="Times New Roman" w:hAnsi="Times New Roman" w:cs="Times New Roman"/>
          <w:sz w:val="24"/>
          <w:szCs w:val="24"/>
          <w:lang w:val="fr-BE"/>
        </w:rPr>
        <w:t>ahara occidental</w:t>
      </w:r>
      <w:r w:rsidR="009E6896" w:rsidRPr="000C0BD3">
        <w:rPr>
          <w:rStyle w:val="FootnoteReference"/>
          <w:rFonts w:ascii="Times New Roman" w:hAnsi="Times New Roman" w:cs="Times New Roman"/>
          <w:sz w:val="24"/>
          <w:szCs w:val="24"/>
        </w:rPr>
        <w:footnoteReference w:id="35"/>
      </w:r>
      <w:r w:rsidR="009E6896" w:rsidRPr="00DE3C37">
        <w:rPr>
          <w:rFonts w:ascii="Times New Roman" w:hAnsi="Times New Roman" w:cs="Times New Roman"/>
          <w:sz w:val="24"/>
          <w:szCs w:val="24"/>
          <w:lang w:val="fr-BE"/>
        </w:rPr>
        <w:t>.</w:t>
      </w:r>
    </w:p>
    <w:p w:rsidR="009E6896" w:rsidRPr="00DE3C37" w:rsidRDefault="009E6896" w:rsidP="0084736B">
      <w:pPr>
        <w:widowControl w:val="0"/>
        <w:spacing w:after="0" w:line="240" w:lineRule="auto"/>
        <w:jc w:val="both"/>
        <w:rPr>
          <w:rFonts w:ascii="Times New Roman" w:hAnsi="Times New Roman" w:cs="Times New Roman"/>
          <w:sz w:val="24"/>
          <w:szCs w:val="24"/>
          <w:lang w:val="fr-BE"/>
        </w:rPr>
      </w:pPr>
    </w:p>
    <w:p w:rsidR="00343C0D" w:rsidRPr="00343C0D" w:rsidRDefault="00343C0D" w:rsidP="00343C0D">
      <w:pPr>
        <w:widowControl w:val="0"/>
        <w:spacing w:after="0" w:line="240" w:lineRule="auto"/>
        <w:jc w:val="both"/>
        <w:rPr>
          <w:rFonts w:ascii="Times New Roman" w:hAnsi="Times New Roman" w:cs="Times New Roman"/>
          <w:sz w:val="24"/>
          <w:szCs w:val="24"/>
          <w:lang w:val="fr-BE"/>
        </w:rPr>
      </w:pPr>
      <w:r w:rsidRPr="00343C0D">
        <w:rPr>
          <w:rFonts w:ascii="Times New Roman" w:hAnsi="Times New Roman" w:cs="Times New Roman"/>
          <w:sz w:val="24"/>
          <w:szCs w:val="24"/>
          <w:lang w:val="fr-BE"/>
        </w:rPr>
        <w:t>Ainsi, les chiffres du Maroc indiquent un montant d’exportations de produits de la pêche du Sahara occidental vers l’Union, inférieur aux données de l’Union sur ses importations alors que les chiffres pour la totalité des exportations vers l’Union de produits du Maroc et du Sahara occidental (1,01 milliard d’euros pour 2015 et 1,14 milliard d’euros pour 2016) sont similaires aux données de l’Union. En termes de concessions préférentielles, le tableau ci-dessus montre que le montant des droits non-perçus en raison de l’application des préférences tarifaires prévues par l’accord d’association UE-Maroc est situé entre 9 et 9,5 millions d’euros par an.</w:t>
      </w:r>
    </w:p>
    <w:p w:rsidR="009E6896" w:rsidRPr="00EF4CFE" w:rsidRDefault="009E6896" w:rsidP="0084736B">
      <w:pPr>
        <w:widowControl w:val="0"/>
        <w:spacing w:after="0" w:line="240" w:lineRule="auto"/>
        <w:jc w:val="both"/>
        <w:rPr>
          <w:rFonts w:ascii="Times New Roman" w:hAnsi="Times New Roman" w:cs="Times New Roman"/>
          <w:sz w:val="24"/>
          <w:szCs w:val="24"/>
          <w:lang w:val="fr-BE"/>
        </w:rPr>
      </w:pPr>
    </w:p>
    <w:p w:rsidR="009E6896" w:rsidRPr="00EF4CFE" w:rsidRDefault="00801562" w:rsidP="0084736B">
      <w:pPr>
        <w:widowControl w:val="0"/>
        <w:spacing w:after="0" w:line="240" w:lineRule="auto"/>
        <w:jc w:val="both"/>
        <w:rPr>
          <w:rFonts w:ascii="Times New Roman" w:hAnsi="Times New Roman" w:cs="Times New Roman"/>
          <w:sz w:val="24"/>
          <w:szCs w:val="24"/>
          <w:lang w:val="fr-BE"/>
        </w:rPr>
      </w:pPr>
      <w:r w:rsidRPr="006F2385">
        <w:rPr>
          <w:rFonts w:ascii="Times New Roman" w:hAnsi="Times New Roman" w:cs="Times New Roman"/>
          <w:sz w:val="24"/>
          <w:szCs w:val="24"/>
          <w:lang w:val="fr-BE"/>
        </w:rPr>
        <w:t>En ce qui concerne les établissements de transformation de produits de</w:t>
      </w:r>
      <w:r>
        <w:rPr>
          <w:rFonts w:ascii="Times New Roman" w:hAnsi="Times New Roman" w:cs="Times New Roman"/>
          <w:sz w:val="24"/>
          <w:szCs w:val="24"/>
          <w:lang w:val="fr-BE"/>
        </w:rPr>
        <w:t xml:space="preserve"> </w:t>
      </w:r>
      <w:r w:rsidRPr="006F2385">
        <w:rPr>
          <w:rFonts w:ascii="Times New Roman" w:hAnsi="Times New Roman" w:cs="Times New Roman"/>
          <w:sz w:val="24"/>
          <w:szCs w:val="24"/>
          <w:lang w:val="fr-BE"/>
        </w:rPr>
        <w:t xml:space="preserve">la </w:t>
      </w:r>
      <w:r>
        <w:rPr>
          <w:rFonts w:ascii="Times New Roman" w:hAnsi="Times New Roman" w:cs="Times New Roman"/>
          <w:sz w:val="24"/>
          <w:szCs w:val="24"/>
          <w:lang w:val="fr-BE"/>
        </w:rPr>
        <w:t>pêche au S</w:t>
      </w:r>
      <w:r w:rsidR="00D163F1">
        <w:rPr>
          <w:rFonts w:ascii="Times New Roman" w:hAnsi="Times New Roman" w:cs="Times New Roman"/>
          <w:sz w:val="24"/>
          <w:szCs w:val="24"/>
          <w:lang w:val="fr-BE"/>
        </w:rPr>
        <w:t>ahara occidental</w:t>
      </w:r>
      <w:r>
        <w:rPr>
          <w:rFonts w:ascii="Times New Roman" w:hAnsi="Times New Roman" w:cs="Times New Roman"/>
          <w:sz w:val="24"/>
          <w:szCs w:val="24"/>
          <w:lang w:val="fr-BE"/>
        </w:rPr>
        <w:t>, les exportations vers l’U</w:t>
      </w:r>
      <w:r w:rsidR="00584896">
        <w:rPr>
          <w:rFonts w:ascii="Times New Roman" w:hAnsi="Times New Roman" w:cs="Times New Roman"/>
          <w:sz w:val="24"/>
          <w:szCs w:val="24"/>
          <w:lang w:val="fr-BE"/>
        </w:rPr>
        <w:t>nion</w:t>
      </w:r>
      <w:r>
        <w:rPr>
          <w:rFonts w:ascii="Times New Roman" w:hAnsi="Times New Roman" w:cs="Times New Roman"/>
          <w:sz w:val="24"/>
          <w:szCs w:val="24"/>
          <w:lang w:val="fr-BE"/>
        </w:rPr>
        <w:t xml:space="preserve"> doivent provenir d’établissements « autorisés »</w:t>
      </w:r>
      <w:r w:rsidR="006F2385">
        <w:rPr>
          <w:rFonts w:ascii="Times New Roman" w:hAnsi="Times New Roman" w:cs="Times New Roman"/>
          <w:sz w:val="24"/>
          <w:szCs w:val="24"/>
          <w:lang w:val="fr-BE"/>
        </w:rPr>
        <w:t xml:space="preserve"> ou d’entreprises de transformation/stockage. </w:t>
      </w:r>
      <w:r w:rsidR="006F2385" w:rsidRPr="006F2385">
        <w:rPr>
          <w:rFonts w:ascii="Times New Roman" w:hAnsi="Times New Roman" w:cs="Times New Roman"/>
          <w:sz w:val="24"/>
          <w:szCs w:val="24"/>
          <w:lang w:val="fr-BE"/>
        </w:rPr>
        <w:t xml:space="preserve">La liste des établissements autorisés est publique et disponible sur le site de la Direction Générale </w:t>
      </w:r>
      <w:r w:rsidR="00056FA8">
        <w:rPr>
          <w:rFonts w:ascii="Times New Roman" w:hAnsi="Times New Roman" w:cs="Times New Roman"/>
          <w:sz w:val="24"/>
          <w:szCs w:val="24"/>
          <w:lang w:val="fr-BE"/>
        </w:rPr>
        <w:t>en charge de la s</w:t>
      </w:r>
      <w:r w:rsidR="00056FA8" w:rsidRPr="00056FA8">
        <w:rPr>
          <w:rFonts w:ascii="Times New Roman" w:hAnsi="Times New Roman" w:cs="Times New Roman"/>
          <w:sz w:val="24"/>
          <w:szCs w:val="24"/>
          <w:lang w:val="fr-BE"/>
        </w:rPr>
        <w:t xml:space="preserve">anté et </w:t>
      </w:r>
      <w:r w:rsidR="00056FA8">
        <w:rPr>
          <w:rFonts w:ascii="Times New Roman" w:hAnsi="Times New Roman" w:cs="Times New Roman"/>
          <w:sz w:val="24"/>
          <w:szCs w:val="24"/>
          <w:lang w:val="fr-BE"/>
        </w:rPr>
        <w:t xml:space="preserve">la </w:t>
      </w:r>
      <w:r w:rsidR="00056FA8" w:rsidRPr="00056FA8">
        <w:rPr>
          <w:rFonts w:ascii="Times New Roman" w:hAnsi="Times New Roman" w:cs="Times New Roman"/>
          <w:sz w:val="24"/>
          <w:szCs w:val="24"/>
          <w:lang w:val="fr-BE"/>
        </w:rPr>
        <w:t xml:space="preserve">sécurité alimentaire </w:t>
      </w:r>
      <w:r w:rsidR="006F2385" w:rsidRPr="006F2385">
        <w:rPr>
          <w:rFonts w:ascii="Times New Roman" w:hAnsi="Times New Roman" w:cs="Times New Roman"/>
          <w:sz w:val="24"/>
          <w:szCs w:val="24"/>
          <w:lang w:val="fr-BE"/>
        </w:rPr>
        <w:t xml:space="preserve">de la </w:t>
      </w:r>
      <w:r w:rsidR="006F2385">
        <w:rPr>
          <w:rFonts w:ascii="Times New Roman" w:hAnsi="Times New Roman" w:cs="Times New Roman"/>
          <w:sz w:val="24"/>
          <w:szCs w:val="24"/>
          <w:lang w:val="fr-BE"/>
        </w:rPr>
        <w:t>C</w:t>
      </w:r>
      <w:r w:rsidR="006F2385" w:rsidRPr="006F2385">
        <w:rPr>
          <w:rFonts w:ascii="Times New Roman" w:hAnsi="Times New Roman" w:cs="Times New Roman"/>
          <w:sz w:val="24"/>
          <w:szCs w:val="24"/>
          <w:lang w:val="fr-BE"/>
        </w:rPr>
        <w:t>ommission</w:t>
      </w:r>
      <w:r w:rsidR="00F10CA6">
        <w:rPr>
          <w:rFonts w:ascii="Times New Roman" w:hAnsi="Times New Roman" w:cs="Times New Roman"/>
          <w:sz w:val="24"/>
          <w:szCs w:val="24"/>
          <w:lang w:val="fr-BE"/>
        </w:rPr>
        <w:t xml:space="preserve"> européenne</w:t>
      </w:r>
      <w:r w:rsidR="00056FA8">
        <w:rPr>
          <w:rFonts w:ascii="Times New Roman" w:hAnsi="Times New Roman" w:cs="Times New Roman"/>
          <w:sz w:val="24"/>
          <w:szCs w:val="24"/>
          <w:lang w:val="fr-BE"/>
        </w:rPr>
        <w:t xml:space="preserve"> (DG SANTE)</w:t>
      </w:r>
      <w:r w:rsidR="00F10CA6">
        <w:rPr>
          <w:rStyle w:val="FootnoteReference"/>
          <w:rFonts w:ascii="Times New Roman" w:hAnsi="Times New Roman" w:cs="Times New Roman"/>
          <w:sz w:val="24"/>
          <w:szCs w:val="24"/>
          <w:lang w:val="fr-BE"/>
        </w:rPr>
        <w:t xml:space="preserve"> </w:t>
      </w:r>
      <w:r w:rsidR="00DC66EF">
        <w:rPr>
          <w:rStyle w:val="FootnoteReference"/>
          <w:rFonts w:ascii="Times New Roman" w:hAnsi="Times New Roman" w:cs="Times New Roman"/>
          <w:sz w:val="24"/>
          <w:szCs w:val="24"/>
          <w:lang w:val="fr-BE"/>
        </w:rPr>
        <w:footnoteReference w:id="36"/>
      </w:r>
      <w:r w:rsidR="009E6896" w:rsidRPr="00002064">
        <w:rPr>
          <w:rStyle w:val="Hyperlink"/>
          <w:rFonts w:ascii="Times New Roman" w:hAnsi="Times New Roman" w:cs="Times New Roman"/>
          <w:sz w:val="24"/>
          <w:szCs w:val="24"/>
          <w:u w:val="none"/>
          <w:lang w:val="fr-BE"/>
        </w:rPr>
        <w:t>.</w:t>
      </w:r>
    </w:p>
    <w:p w:rsidR="009E6896" w:rsidRPr="00EF4CFE" w:rsidRDefault="009E6896" w:rsidP="0084736B">
      <w:pPr>
        <w:widowControl w:val="0"/>
        <w:spacing w:after="0" w:line="240" w:lineRule="auto"/>
        <w:jc w:val="both"/>
        <w:rPr>
          <w:rFonts w:ascii="Times New Roman" w:hAnsi="Times New Roman" w:cs="Times New Roman"/>
          <w:sz w:val="24"/>
          <w:szCs w:val="24"/>
          <w:lang w:val="fr-BE"/>
        </w:rPr>
      </w:pPr>
    </w:p>
    <w:p w:rsidR="009E6896" w:rsidRPr="006F2385" w:rsidRDefault="006F2385" w:rsidP="0084736B">
      <w:pPr>
        <w:widowControl w:val="0"/>
        <w:spacing w:after="0" w:line="240" w:lineRule="auto"/>
        <w:jc w:val="both"/>
        <w:rPr>
          <w:rFonts w:ascii="Times New Roman" w:hAnsi="Times New Roman" w:cs="Times New Roman"/>
          <w:sz w:val="24"/>
          <w:szCs w:val="24"/>
          <w:lang w:val="fr-BE"/>
        </w:rPr>
      </w:pPr>
      <w:r w:rsidRPr="00EF4CFE">
        <w:rPr>
          <w:rFonts w:ascii="Times New Roman" w:hAnsi="Times New Roman" w:cs="Times New Roman"/>
          <w:sz w:val="24"/>
          <w:szCs w:val="24"/>
          <w:lang w:val="fr-BE"/>
        </w:rPr>
        <w:t>De cette liste, il r</w:t>
      </w:r>
      <w:r w:rsidRPr="00D163F1">
        <w:rPr>
          <w:rFonts w:ascii="Times New Roman" w:hAnsi="Times New Roman" w:cs="Times New Roman"/>
          <w:sz w:val="24"/>
          <w:szCs w:val="24"/>
          <w:lang w:val="fr-BE"/>
        </w:rPr>
        <w:t>e</w:t>
      </w:r>
      <w:r w:rsidR="0000763C">
        <w:rPr>
          <w:rFonts w:ascii="Times New Roman" w:hAnsi="Times New Roman" w:cs="Times New Roman"/>
          <w:sz w:val="24"/>
          <w:szCs w:val="24"/>
          <w:lang w:val="fr-BE"/>
        </w:rPr>
        <w:t>s</w:t>
      </w:r>
      <w:r w:rsidRPr="00D163F1">
        <w:rPr>
          <w:rFonts w:ascii="Times New Roman" w:hAnsi="Times New Roman" w:cs="Times New Roman"/>
          <w:sz w:val="24"/>
          <w:szCs w:val="24"/>
          <w:lang w:val="fr-BE"/>
        </w:rPr>
        <w:t xml:space="preserve">sort </w:t>
      </w:r>
      <w:r w:rsidRPr="00EF4CFE">
        <w:rPr>
          <w:rFonts w:ascii="Times New Roman" w:hAnsi="Times New Roman" w:cs="Times New Roman"/>
          <w:sz w:val="24"/>
          <w:szCs w:val="24"/>
          <w:lang w:val="fr-BE"/>
        </w:rPr>
        <w:t xml:space="preserve">que les établissements autorisés </w:t>
      </w:r>
      <w:r w:rsidR="00D163F1">
        <w:rPr>
          <w:rFonts w:ascii="Times New Roman" w:hAnsi="Times New Roman" w:cs="Times New Roman"/>
          <w:sz w:val="24"/>
          <w:szCs w:val="24"/>
          <w:lang w:val="fr-BE"/>
        </w:rPr>
        <w:t>dans le territoire</w:t>
      </w:r>
      <w:r w:rsidRPr="00EF4CFE">
        <w:rPr>
          <w:rFonts w:ascii="Times New Roman" w:hAnsi="Times New Roman" w:cs="Times New Roman"/>
          <w:sz w:val="24"/>
          <w:szCs w:val="24"/>
          <w:lang w:val="fr-BE"/>
        </w:rPr>
        <w:t xml:space="preserve"> pour la transformation de produits de la pêche et de l’aquaculture se trouvent dans les trois localités c</w:t>
      </w:r>
      <w:r>
        <w:rPr>
          <w:rFonts w:ascii="Times New Roman" w:hAnsi="Times New Roman" w:cs="Times New Roman"/>
          <w:sz w:val="24"/>
          <w:szCs w:val="24"/>
          <w:lang w:val="fr-BE"/>
        </w:rPr>
        <w:t xml:space="preserve">ôtières </w:t>
      </w:r>
      <w:r w:rsidRPr="006F2385">
        <w:rPr>
          <w:rFonts w:ascii="Times New Roman" w:hAnsi="Times New Roman" w:cs="Times New Roman"/>
          <w:sz w:val="24"/>
          <w:szCs w:val="24"/>
          <w:lang w:val="fr-BE"/>
        </w:rPr>
        <w:t>suivantes</w:t>
      </w:r>
      <w:r w:rsidR="009E6896" w:rsidRPr="006F2385">
        <w:rPr>
          <w:rFonts w:ascii="Times New Roman" w:hAnsi="Times New Roman" w:cs="Times New Roman"/>
          <w:sz w:val="24"/>
          <w:szCs w:val="24"/>
          <w:lang w:val="fr-BE"/>
        </w:rPr>
        <w:t>: Dakhla (</w:t>
      </w:r>
      <w:r>
        <w:rPr>
          <w:rFonts w:ascii="Times New Roman" w:hAnsi="Times New Roman" w:cs="Times New Roman"/>
          <w:sz w:val="24"/>
          <w:szCs w:val="24"/>
          <w:lang w:val="fr-BE"/>
        </w:rPr>
        <w:t>au sud</w:t>
      </w:r>
      <w:r w:rsidR="009E6896" w:rsidRPr="006F2385">
        <w:rPr>
          <w:rFonts w:ascii="Times New Roman" w:hAnsi="Times New Roman" w:cs="Times New Roman"/>
          <w:sz w:val="24"/>
          <w:szCs w:val="24"/>
          <w:lang w:val="fr-BE"/>
        </w:rPr>
        <w:t>), Laâyoune (</w:t>
      </w:r>
      <w:r>
        <w:rPr>
          <w:rFonts w:ascii="Times New Roman" w:hAnsi="Times New Roman" w:cs="Times New Roman"/>
          <w:sz w:val="24"/>
          <w:szCs w:val="24"/>
          <w:lang w:val="fr-BE"/>
        </w:rPr>
        <w:t>au nord</w:t>
      </w:r>
      <w:r w:rsidR="009E6896" w:rsidRPr="006F2385">
        <w:rPr>
          <w:rFonts w:ascii="Times New Roman" w:hAnsi="Times New Roman" w:cs="Times New Roman"/>
          <w:sz w:val="24"/>
          <w:szCs w:val="24"/>
          <w:lang w:val="fr-BE"/>
        </w:rPr>
        <w:t xml:space="preserve">) </w:t>
      </w:r>
      <w:r>
        <w:rPr>
          <w:rFonts w:ascii="Times New Roman" w:hAnsi="Times New Roman" w:cs="Times New Roman"/>
          <w:sz w:val="24"/>
          <w:szCs w:val="24"/>
          <w:lang w:val="fr-BE"/>
        </w:rPr>
        <w:t>et</w:t>
      </w:r>
      <w:r w:rsidR="009E6896" w:rsidRPr="006F2385">
        <w:rPr>
          <w:rFonts w:ascii="Times New Roman" w:hAnsi="Times New Roman" w:cs="Times New Roman"/>
          <w:sz w:val="24"/>
          <w:szCs w:val="24"/>
          <w:lang w:val="fr-BE"/>
        </w:rPr>
        <w:t xml:space="preserve"> Boujdour (</w:t>
      </w:r>
      <w:r>
        <w:rPr>
          <w:rFonts w:ascii="Times New Roman" w:hAnsi="Times New Roman" w:cs="Times New Roman"/>
          <w:sz w:val="24"/>
          <w:szCs w:val="24"/>
          <w:lang w:val="fr-BE"/>
        </w:rPr>
        <w:t>dans le centre</w:t>
      </w:r>
      <w:r w:rsidR="009E6896" w:rsidRPr="006F2385">
        <w:rPr>
          <w:rFonts w:ascii="Times New Roman" w:hAnsi="Times New Roman" w:cs="Times New Roman"/>
          <w:sz w:val="24"/>
          <w:szCs w:val="24"/>
          <w:lang w:val="fr-BE"/>
        </w:rPr>
        <w:t>).</w:t>
      </w:r>
    </w:p>
    <w:p w:rsidR="009E6896" w:rsidRPr="006F2385" w:rsidRDefault="009E6896" w:rsidP="0084736B">
      <w:pPr>
        <w:widowControl w:val="0"/>
        <w:spacing w:after="0" w:line="240" w:lineRule="auto"/>
        <w:jc w:val="both"/>
        <w:rPr>
          <w:rFonts w:ascii="Times New Roman" w:hAnsi="Times New Roman" w:cs="Times New Roman"/>
          <w:sz w:val="24"/>
          <w:szCs w:val="24"/>
          <w:lang w:val="fr-BE"/>
        </w:rPr>
      </w:pPr>
    </w:p>
    <w:p w:rsidR="009E6896" w:rsidRPr="006F2385" w:rsidRDefault="006F2385" w:rsidP="0084736B">
      <w:pPr>
        <w:widowControl w:val="0"/>
        <w:spacing w:after="0" w:line="240" w:lineRule="auto"/>
        <w:jc w:val="both"/>
        <w:rPr>
          <w:rFonts w:ascii="Times New Roman" w:hAnsi="Times New Roman" w:cs="Times New Roman"/>
          <w:sz w:val="24"/>
          <w:szCs w:val="24"/>
          <w:lang w:val="fr-BE"/>
        </w:rPr>
      </w:pPr>
      <w:r w:rsidRPr="006F2385">
        <w:rPr>
          <w:rFonts w:ascii="Times New Roman" w:hAnsi="Times New Roman" w:cs="Times New Roman"/>
          <w:sz w:val="24"/>
          <w:szCs w:val="24"/>
          <w:lang w:val="fr-BE"/>
        </w:rPr>
        <w:t xml:space="preserve">Selon </w:t>
      </w:r>
      <w:r w:rsidR="00561E05">
        <w:rPr>
          <w:rFonts w:ascii="Times New Roman" w:hAnsi="Times New Roman" w:cs="Times New Roman"/>
          <w:sz w:val="24"/>
          <w:szCs w:val="24"/>
          <w:lang w:val="fr-BE"/>
        </w:rPr>
        <w:t>d</w:t>
      </w:r>
      <w:r w:rsidRPr="006F2385">
        <w:rPr>
          <w:rFonts w:ascii="Times New Roman" w:hAnsi="Times New Roman" w:cs="Times New Roman"/>
          <w:sz w:val="24"/>
          <w:szCs w:val="24"/>
          <w:lang w:val="fr-BE"/>
        </w:rPr>
        <w:t xml:space="preserve">es informations </w:t>
      </w:r>
      <w:r w:rsidR="00561E05">
        <w:rPr>
          <w:rFonts w:ascii="Times New Roman" w:hAnsi="Times New Roman" w:cs="Times New Roman"/>
          <w:sz w:val="24"/>
          <w:szCs w:val="24"/>
          <w:lang w:val="fr-BE"/>
        </w:rPr>
        <w:t>marocaines</w:t>
      </w:r>
      <w:r w:rsidR="009E6896" w:rsidRPr="006F2385">
        <w:rPr>
          <w:rFonts w:ascii="Times New Roman" w:hAnsi="Times New Roman" w:cs="Times New Roman"/>
          <w:sz w:val="24"/>
          <w:szCs w:val="24"/>
          <w:lang w:val="fr-BE"/>
        </w:rPr>
        <w:t xml:space="preserve">, </w:t>
      </w:r>
      <w:r w:rsidRPr="006F2385">
        <w:rPr>
          <w:rFonts w:ascii="Times New Roman" w:hAnsi="Times New Roman" w:cs="Times New Roman"/>
          <w:sz w:val="24"/>
          <w:szCs w:val="24"/>
          <w:lang w:val="fr-BE"/>
        </w:rPr>
        <w:t xml:space="preserve">le nombre </w:t>
      </w:r>
      <w:r w:rsidR="00AD74EB">
        <w:rPr>
          <w:rFonts w:ascii="Times New Roman" w:hAnsi="Times New Roman" w:cs="Times New Roman"/>
          <w:sz w:val="24"/>
          <w:szCs w:val="24"/>
          <w:lang w:val="fr-BE"/>
        </w:rPr>
        <w:t>d'</w:t>
      </w:r>
      <w:r w:rsidR="00AD74EB" w:rsidRPr="00DB3D18">
        <w:rPr>
          <w:rFonts w:ascii="Times New Roman" w:hAnsi="Times New Roman" w:cs="Times New Roman"/>
          <w:b/>
          <w:i/>
          <w:sz w:val="24"/>
          <w:szCs w:val="24"/>
          <w:lang w:val="fr-BE"/>
        </w:rPr>
        <w:t>emplois directs</w:t>
      </w:r>
      <w:r w:rsidR="00AD74EB">
        <w:rPr>
          <w:rFonts w:ascii="Times New Roman" w:hAnsi="Times New Roman" w:cs="Times New Roman"/>
          <w:sz w:val="24"/>
          <w:szCs w:val="24"/>
          <w:lang w:val="fr-BE"/>
        </w:rPr>
        <w:t xml:space="preserve"> dans des </w:t>
      </w:r>
      <w:r w:rsidRPr="006F2385">
        <w:rPr>
          <w:rFonts w:ascii="Times New Roman" w:hAnsi="Times New Roman" w:cs="Times New Roman"/>
          <w:sz w:val="24"/>
          <w:szCs w:val="24"/>
          <w:lang w:val="fr-BE"/>
        </w:rPr>
        <w:t>établissements qui exportent vers l’U</w:t>
      </w:r>
      <w:r w:rsidR="00DC66EF">
        <w:rPr>
          <w:rFonts w:ascii="Times New Roman" w:hAnsi="Times New Roman" w:cs="Times New Roman"/>
          <w:sz w:val="24"/>
          <w:szCs w:val="24"/>
          <w:lang w:val="fr-BE"/>
        </w:rPr>
        <w:t>nion</w:t>
      </w:r>
      <w:r w:rsidR="009E6896" w:rsidRPr="006F2385">
        <w:rPr>
          <w:rFonts w:ascii="Times New Roman" w:hAnsi="Times New Roman" w:cs="Times New Roman"/>
          <w:sz w:val="24"/>
          <w:szCs w:val="24"/>
          <w:lang w:val="fr-BE"/>
        </w:rPr>
        <w:t xml:space="preserve">, </w:t>
      </w:r>
      <w:r w:rsidRPr="006F2385">
        <w:rPr>
          <w:rFonts w:ascii="Times New Roman" w:hAnsi="Times New Roman" w:cs="Times New Roman"/>
          <w:sz w:val="24"/>
          <w:szCs w:val="24"/>
          <w:lang w:val="fr-BE"/>
        </w:rPr>
        <w:t>y compris un certain nombre de navire</w:t>
      </w:r>
      <w:r w:rsidR="007861F1">
        <w:rPr>
          <w:rFonts w:ascii="Times New Roman" w:hAnsi="Times New Roman" w:cs="Times New Roman"/>
          <w:sz w:val="24"/>
          <w:szCs w:val="24"/>
          <w:lang w:val="fr-BE"/>
        </w:rPr>
        <w:t>s</w:t>
      </w:r>
      <w:r w:rsidRPr="006F2385">
        <w:rPr>
          <w:rFonts w:ascii="Times New Roman" w:hAnsi="Times New Roman" w:cs="Times New Roman"/>
          <w:sz w:val="24"/>
          <w:szCs w:val="24"/>
          <w:lang w:val="fr-BE"/>
        </w:rPr>
        <w:t>-usines</w:t>
      </w:r>
      <w:r>
        <w:rPr>
          <w:rFonts w:ascii="Times New Roman" w:hAnsi="Times New Roman" w:cs="Times New Roman"/>
          <w:sz w:val="24"/>
          <w:szCs w:val="24"/>
          <w:lang w:val="fr-BE"/>
        </w:rPr>
        <w:t>, sont les suivants</w:t>
      </w:r>
      <w:r w:rsidR="009E6896" w:rsidRPr="006F2385">
        <w:rPr>
          <w:rFonts w:ascii="Times New Roman" w:hAnsi="Times New Roman" w:cs="Times New Roman"/>
          <w:sz w:val="24"/>
          <w:szCs w:val="24"/>
          <w:lang w:val="fr-BE"/>
        </w:rPr>
        <w:t>:</w:t>
      </w:r>
    </w:p>
    <w:p w:rsidR="009E6896" w:rsidRPr="006F2385" w:rsidRDefault="009E6896" w:rsidP="0084736B">
      <w:pPr>
        <w:widowControl w:val="0"/>
        <w:spacing w:after="0" w:line="240" w:lineRule="auto"/>
        <w:jc w:val="both"/>
        <w:rPr>
          <w:rFonts w:ascii="Times New Roman" w:hAnsi="Times New Roman" w:cs="Times New Roman"/>
          <w:sz w:val="24"/>
          <w:szCs w:val="24"/>
          <w:lang w:val="fr-BE"/>
        </w:rPr>
      </w:pPr>
    </w:p>
    <w:tbl>
      <w:tblPr>
        <w:tblStyle w:val="TableGrid"/>
        <w:tblW w:w="0" w:type="auto"/>
        <w:tblInd w:w="1024" w:type="dxa"/>
        <w:tblLook w:val="04A0" w:firstRow="1" w:lastRow="0" w:firstColumn="1" w:lastColumn="0" w:noHBand="0" w:noVBand="1"/>
      </w:tblPr>
      <w:tblGrid>
        <w:gridCol w:w="1295"/>
        <w:gridCol w:w="1910"/>
        <w:gridCol w:w="1101"/>
        <w:gridCol w:w="1080"/>
        <w:gridCol w:w="1080"/>
        <w:gridCol w:w="1140"/>
      </w:tblGrid>
      <w:tr w:rsidR="009E6896" w:rsidRPr="000C0BD3" w:rsidTr="00FD2D4C">
        <w:tc>
          <w:tcPr>
            <w:tcW w:w="1295" w:type="dxa"/>
            <w:vMerge w:val="restart"/>
            <w:shd w:val="clear" w:color="auto" w:fill="D9D9D9" w:themeFill="background1" w:themeFillShade="D9"/>
            <w:vAlign w:val="center"/>
          </w:tcPr>
          <w:p w:rsidR="009E6896" w:rsidRPr="008F1B78" w:rsidRDefault="006F2385" w:rsidP="0084736B">
            <w:pPr>
              <w:widowControl w:val="0"/>
              <w:jc w:val="center"/>
              <w:rPr>
                <w:rFonts w:ascii="Times New Roman" w:hAnsi="Times New Roman" w:cs="Times New Roman"/>
                <w:b/>
                <w:sz w:val="24"/>
                <w:szCs w:val="24"/>
                <w:lang w:val="fr-FR"/>
              </w:rPr>
            </w:pPr>
            <w:r>
              <w:rPr>
                <w:rFonts w:ascii="Times New Roman" w:hAnsi="Times New Roman" w:cs="Times New Roman"/>
                <w:b/>
                <w:sz w:val="24"/>
                <w:szCs w:val="24"/>
              </w:rPr>
              <w:t>Ville</w:t>
            </w:r>
          </w:p>
        </w:tc>
        <w:tc>
          <w:tcPr>
            <w:tcW w:w="1723" w:type="dxa"/>
            <w:vMerge w:val="restart"/>
            <w:shd w:val="clear" w:color="auto" w:fill="D9D9D9" w:themeFill="background1" w:themeFillShade="D9"/>
            <w:vAlign w:val="center"/>
          </w:tcPr>
          <w:p w:rsidR="009E6896" w:rsidRPr="008F1B78" w:rsidRDefault="009E6896" w:rsidP="0084736B">
            <w:pPr>
              <w:widowControl w:val="0"/>
              <w:jc w:val="center"/>
              <w:rPr>
                <w:rFonts w:ascii="Times New Roman" w:hAnsi="Times New Roman" w:cs="Times New Roman"/>
                <w:color w:val="FF0000"/>
                <w:sz w:val="24"/>
                <w:szCs w:val="24"/>
                <w:lang w:val="fr-FR"/>
              </w:rPr>
            </w:pPr>
            <w:r w:rsidRPr="008F1B78">
              <w:rPr>
                <w:rFonts w:ascii="Times New Roman" w:hAnsi="Times New Roman" w:cs="Times New Roman"/>
                <w:b/>
                <w:sz w:val="24"/>
                <w:szCs w:val="24"/>
                <w:lang w:val="fr-FR"/>
              </w:rPr>
              <w:t>N</w:t>
            </w:r>
            <w:r w:rsidR="006F2385" w:rsidRPr="008F1B78">
              <w:rPr>
                <w:rFonts w:ascii="Times New Roman" w:hAnsi="Times New Roman" w:cs="Times New Roman"/>
                <w:b/>
                <w:sz w:val="24"/>
                <w:szCs w:val="24"/>
                <w:lang w:val="fr-FR"/>
              </w:rPr>
              <w:t>ombre</w:t>
            </w:r>
            <w:r w:rsidRPr="008F1B78">
              <w:rPr>
                <w:rFonts w:ascii="Times New Roman" w:hAnsi="Times New Roman" w:cs="Times New Roman"/>
                <w:b/>
                <w:sz w:val="24"/>
                <w:szCs w:val="24"/>
                <w:lang w:val="fr-FR"/>
              </w:rPr>
              <w:t xml:space="preserve"> </w:t>
            </w:r>
            <w:r w:rsidR="006F2385" w:rsidRPr="008F1B78">
              <w:rPr>
                <w:rFonts w:ascii="Times New Roman" w:hAnsi="Times New Roman" w:cs="Times New Roman"/>
                <w:b/>
                <w:sz w:val="24"/>
                <w:szCs w:val="24"/>
                <w:lang w:val="fr-FR"/>
              </w:rPr>
              <w:t>d’é</w:t>
            </w:r>
            <w:r w:rsidRPr="008F1B78">
              <w:rPr>
                <w:rFonts w:ascii="Times New Roman" w:hAnsi="Times New Roman" w:cs="Times New Roman"/>
                <w:b/>
                <w:sz w:val="24"/>
                <w:szCs w:val="24"/>
                <w:lang w:val="fr-FR"/>
              </w:rPr>
              <w:t>tablis</w:t>
            </w:r>
            <w:r w:rsidR="006F2385" w:rsidRPr="008F1B78">
              <w:rPr>
                <w:rFonts w:ascii="Times New Roman" w:hAnsi="Times New Roman" w:cs="Times New Roman"/>
                <w:b/>
                <w:sz w:val="24"/>
                <w:szCs w:val="24"/>
                <w:lang w:val="fr-FR"/>
              </w:rPr>
              <w:t>se</w:t>
            </w:r>
            <w:r w:rsidRPr="008F1B78">
              <w:rPr>
                <w:rFonts w:ascii="Times New Roman" w:hAnsi="Times New Roman" w:cs="Times New Roman"/>
                <w:b/>
                <w:sz w:val="24"/>
                <w:szCs w:val="24"/>
                <w:lang w:val="fr-FR"/>
              </w:rPr>
              <w:t>ments</w:t>
            </w:r>
          </w:p>
        </w:tc>
        <w:tc>
          <w:tcPr>
            <w:tcW w:w="4401" w:type="dxa"/>
            <w:gridSpan w:val="4"/>
            <w:tcBorders>
              <w:bottom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8F1B78">
              <w:rPr>
                <w:rFonts w:ascii="Times New Roman" w:hAnsi="Times New Roman" w:cs="Times New Roman"/>
                <w:b/>
                <w:sz w:val="24"/>
                <w:szCs w:val="24"/>
                <w:lang w:val="fr-FR"/>
              </w:rPr>
              <w:t>N</w:t>
            </w:r>
            <w:r w:rsidR="006F2385" w:rsidRPr="008F1B78">
              <w:rPr>
                <w:rFonts w:ascii="Times New Roman" w:hAnsi="Times New Roman" w:cs="Times New Roman"/>
                <w:b/>
                <w:sz w:val="24"/>
                <w:szCs w:val="24"/>
                <w:lang w:val="fr-FR"/>
              </w:rPr>
              <w:t>ombre d’e</w:t>
            </w:r>
            <w:r w:rsidRPr="008F1B78">
              <w:rPr>
                <w:rFonts w:ascii="Times New Roman" w:hAnsi="Times New Roman" w:cs="Times New Roman"/>
                <w:b/>
                <w:sz w:val="24"/>
                <w:szCs w:val="24"/>
                <w:lang w:val="fr-FR"/>
              </w:rPr>
              <w:t>mploy</w:t>
            </w:r>
            <w:r w:rsidR="006F2385" w:rsidRPr="008F1B78">
              <w:rPr>
                <w:rFonts w:ascii="Times New Roman" w:hAnsi="Times New Roman" w:cs="Times New Roman"/>
                <w:b/>
                <w:sz w:val="24"/>
                <w:szCs w:val="24"/>
                <w:lang w:val="fr-FR"/>
              </w:rPr>
              <w:t>é</w:t>
            </w:r>
            <w:r w:rsidRPr="008F1B78">
              <w:rPr>
                <w:rFonts w:ascii="Times New Roman" w:hAnsi="Times New Roman" w:cs="Times New Roman"/>
                <w:b/>
                <w:sz w:val="24"/>
                <w:szCs w:val="24"/>
                <w:lang w:val="fr-FR"/>
              </w:rPr>
              <w:t>s</w:t>
            </w:r>
          </w:p>
        </w:tc>
      </w:tr>
      <w:tr w:rsidR="009E6896" w:rsidRPr="000C0BD3" w:rsidTr="00FD2D4C">
        <w:tc>
          <w:tcPr>
            <w:tcW w:w="1295" w:type="dxa"/>
            <w:vMerge/>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p>
        </w:tc>
        <w:tc>
          <w:tcPr>
            <w:tcW w:w="1723" w:type="dxa"/>
            <w:vMerge/>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p>
        </w:tc>
        <w:tc>
          <w:tcPr>
            <w:tcW w:w="2181" w:type="dxa"/>
            <w:gridSpan w:val="2"/>
            <w:tcBorders>
              <w:top w:val="nil"/>
              <w:bottom w:val="nil"/>
            </w:tcBorders>
            <w:shd w:val="clear" w:color="auto" w:fill="D9D9D9" w:themeFill="background1" w:themeFillShade="D9"/>
            <w:vAlign w:val="center"/>
          </w:tcPr>
          <w:p w:rsidR="009E6896" w:rsidRPr="008F1B78" w:rsidRDefault="009E6896" w:rsidP="0084736B">
            <w:pPr>
              <w:widowControl w:val="0"/>
              <w:jc w:val="center"/>
              <w:rPr>
                <w:rFonts w:ascii="Times New Roman" w:hAnsi="Times New Roman" w:cs="Times New Roman"/>
                <w:b/>
                <w:sz w:val="24"/>
                <w:szCs w:val="24"/>
                <w:lang w:val="fr-FR"/>
              </w:rPr>
            </w:pPr>
            <w:r w:rsidRPr="000C0BD3">
              <w:rPr>
                <w:rFonts w:ascii="Times New Roman" w:hAnsi="Times New Roman" w:cs="Times New Roman"/>
                <w:b/>
                <w:sz w:val="24"/>
                <w:szCs w:val="24"/>
              </w:rPr>
              <w:t>Permanents</w:t>
            </w:r>
          </w:p>
        </w:tc>
        <w:tc>
          <w:tcPr>
            <w:tcW w:w="2220" w:type="dxa"/>
            <w:gridSpan w:val="2"/>
            <w:tcBorders>
              <w:top w:val="nil"/>
              <w:bottom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8F1B78">
              <w:rPr>
                <w:rFonts w:ascii="Times New Roman" w:hAnsi="Times New Roman" w:cs="Times New Roman"/>
                <w:b/>
                <w:sz w:val="24"/>
                <w:szCs w:val="24"/>
                <w:lang w:val="fr-FR"/>
              </w:rPr>
              <w:t>Tempora</w:t>
            </w:r>
            <w:r w:rsidR="006F2385" w:rsidRPr="008F1B78">
              <w:rPr>
                <w:rFonts w:ascii="Times New Roman" w:hAnsi="Times New Roman" w:cs="Times New Roman"/>
                <w:b/>
                <w:sz w:val="24"/>
                <w:szCs w:val="24"/>
                <w:lang w:val="fr-FR"/>
              </w:rPr>
              <w:t>ires</w:t>
            </w:r>
          </w:p>
        </w:tc>
      </w:tr>
      <w:tr w:rsidR="009E6896" w:rsidRPr="00493B88" w:rsidTr="00FD2D4C">
        <w:tc>
          <w:tcPr>
            <w:tcW w:w="1295" w:type="dxa"/>
            <w:vMerge/>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p>
        </w:tc>
        <w:tc>
          <w:tcPr>
            <w:tcW w:w="1723" w:type="dxa"/>
            <w:vMerge/>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p>
        </w:tc>
        <w:tc>
          <w:tcPr>
            <w:tcW w:w="1101" w:type="dxa"/>
            <w:tcBorders>
              <w:top w:val="nil"/>
              <w:bottom w:val="single" w:sz="4" w:space="0" w:color="auto"/>
              <w:right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2015</w:t>
            </w:r>
          </w:p>
        </w:tc>
        <w:tc>
          <w:tcPr>
            <w:tcW w:w="1080" w:type="dxa"/>
            <w:tcBorders>
              <w:top w:val="nil"/>
              <w:left w:val="nil"/>
              <w:bottom w:val="single" w:sz="4" w:space="0" w:color="auto"/>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2016</w:t>
            </w:r>
          </w:p>
        </w:tc>
        <w:tc>
          <w:tcPr>
            <w:tcW w:w="1080" w:type="dxa"/>
            <w:tcBorders>
              <w:top w:val="nil"/>
              <w:bottom w:val="single" w:sz="4" w:space="0" w:color="auto"/>
              <w:right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2015</w:t>
            </w:r>
          </w:p>
        </w:tc>
        <w:tc>
          <w:tcPr>
            <w:tcW w:w="1140" w:type="dxa"/>
            <w:tcBorders>
              <w:top w:val="nil"/>
              <w:left w:val="nil"/>
              <w:bottom w:val="single" w:sz="4" w:space="0" w:color="auto"/>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2016</w:t>
            </w:r>
          </w:p>
        </w:tc>
      </w:tr>
      <w:tr w:rsidR="009E6896" w:rsidRPr="00493B88" w:rsidTr="00FD2D4C">
        <w:tc>
          <w:tcPr>
            <w:tcW w:w="1295" w:type="dxa"/>
            <w:vAlign w:val="center"/>
          </w:tcPr>
          <w:p w:rsidR="009E6896" w:rsidRPr="000C0BD3" w:rsidRDefault="009E6896" w:rsidP="0084736B">
            <w:pPr>
              <w:widowControl w:val="0"/>
              <w:jc w:val="center"/>
              <w:rPr>
                <w:rFonts w:ascii="Times New Roman" w:hAnsi="Times New Roman" w:cs="Times New Roman"/>
                <w:sz w:val="24"/>
                <w:szCs w:val="24"/>
              </w:rPr>
            </w:pPr>
            <w:r w:rsidRPr="00002064">
              <w:rPr>
                <w:rFonts w:ascii="Times New Roman" w:hAnsi="Times New Roman" w:cs="Times New Roman"/>
                <w:sz w:val="24"/>
                <w:szCs w:val="24"/>
                <w:lang w:val="fr-FR"/>
              </w:rPr>
              <w:t>Dakhla</w:t>
            </w:r>
          </w:p>
        </w:tc>
        <w:tc>
          <w:tcPr>
            <w:tcW w:w="1723" w:type="dxa"/>
            <w:vAlign w:val="center"/>
          </w:tcPr>
          <w:p w:rsidR="009E6896" w:rsidRPr="000C0BD3" w:rsidRDefault="009E6896" w:rsidP="00B21256">
            <w:pPr>
              <w:widowControl w:val="0"/>
              <w:jc w:val="center"/>
              <w:rPr>
                <w:rFonts w:ascii="Times New Roman" w:hAnsi="Times New Roman" w:cs="Times New Roman"/>
                <w:sz w:val="24"/>
                <w:szCs w:val="24"/>
              </w:rPr>
            </w:pPr>
            <w:r w:rsidRPr="000C0BD3">
              <w:rPr>
                <w:rFonts w:ascii="Times New Roman" w:hAnsi="Times New Roman" w:cs="Times New Roman"/>
                <w:sz w:val="24"/>
                <w:szCs w:val="24"/>
              </w:rPr>
              <w:t>89</w:t>
            </w:r>
          </w:p>
        </w:tc>
        <w:tc>
          <w:tcPr>
            <w:tcW w:w="1101" w:type="dxa"/>
            <w:tcBorders>
              <w:righ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w:t>
            </w:r>
            <w:r w:rsidR="006F2385">
              <w:rPr>
                <w:rFonts w:ascii="Times New Roman" w:hAnsi="Times New Roman" w:cs="Times New Roman"/>
                <w:sz w:val="24"/>
                <w:szCs w:val="24"/>
              </w:rPr>
              <w:t>.</w:t>
            </w:r>
            <w:r w:rsidRPr="000C0BD3">
              <w:rPr>
                <w:rFonts w:ascii="Times New Roman" w:hAnsi="Times New Roman" w:cs="Times New Roman"/>
                <w:sz w:val="24"/>
                <w:szCs w:val="24"/>
              </w:rPr>
              <w:t>908</w:t>
            </w:r>
          </w:p>
        </w:tc>
        <w:tc>
          <w:tcPr>
            <w:tcW w:w="1080" w:type="dxa"/>
            <w:tcBorders>
              <w:lef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w:t>
            </w:r>
            <w:r w:rsidR="006F2385">
              <w:rPr>
                <w:rFonts w:ascii="Times New Roman" w:hAnsi="Times New Roman" w:cs="Times New Roman"/>
                <w:sz w:val="24"/>
                <w:szCs w:val="24"/>
              </w:rPr>
              <w:t>.</w:t>
            </w:r>
            <w:r w:rsidRPr="000C0BD3">
              <w:rPr>
                <w:rFonts w:ascii="Times New Roman" w:hAnsi="Times New Roman" w:cs="Times New Roman"/>
                <w:sz w:val="24"/>
                <w:szCs w:val="24"/>
              </w:rPr>
              <w:t>994</w:t>
            </w:r>
          </w:p>
        </w:tc>
        <w:tc>
          <w:tcPr>
            <w:tcW w:w="1080" w:type="dxa"/>
            <w:tcBorders>
              <w:righ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5</w:t>
            </w:r>
            <w:r w:rsidR="006F2385">
              <w:rPr>
                <w:rFonts w:ascii="Times New Roman" w:hAnsi="Times New Roman" w:cs="Times New Roman"/>
                <w:sz w:val="24"/>
                <w:szCs w:val="24"/>
              </w:rPr>
              <w:t>.</w:t>
            </w:r>
            <w:r w:rsidRPr="000C0BD3">
              <w:rPr>
                <w:rFonts w:ascii="Times New Roman" w:hAnsi="Times New Roman" w:cs="Times New Roman"/>
                <w:sz w:val="24"/>
                <w:szCs w:val="24"/>
              </w:rPr>
              <w:t>723</w:t>
            </w:r>
          </w:p>
        </w:tc>
        <w:tc>
          <w:tcPr>
            <w:tcW w:w="1140" w:type="dxa"/>
            <w:tcBorders>
              <w:lef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5</w:t>
            </w:r>
            <w:r w:rsidR="006F2385">
              <w:rPr>
                <w:rFonts w:ascii="Times New Roman" w:hAnsi="Times New Roman" w:cs="Times New Roman"/>
                <w:sz w:val="24"/>
                <w:szCs w:val="24"/>
              </w:rPr>
              <w:t>.</w:t>
            </w:r>
            <w:r w:rsidRPr="000C0BD3">
              <w:rPr>
                <w:rFonts w:ascii="Times New Roman" w:hAnsi="Times New Roman" w:cs="Times New Roman"/>
                <w:sz w:val="24"/>
                <w:szCs w:val="24"/>
              </w:rPr>
              <w:t>983</w:t>
            </w:r>
          </w:p>
        </w:tc>
      </w:tr>
      <w:tr w:rsidR="009E6896" w:rsidRPr="00493B88" w:rsidTr="00FD2D4C">
        <w:tc>
          <w:tcPr>
            <w:tcW w:w="1295" w:type="dxa"/>
            <w:vAlign w:val="center"/>
          </w:tcPr>
          <w:p w:rsidR="009E6896" w:rsidRPr="000C0BD3" w:rsidRDefault="009E6896" w:rsidP="0084736B">
            <w:pPr>
              <w:widowControl w:val="0"/>
              <w:jc w:val="center"/>
              <w:rPr>
                <w:rFonts w:ascii="Times New Roman" w:hAnsi="Times New Roman" w:cs="Times New Roman"/>
                <w:sz w:val="24"/>
                <w:szCs w:val="24"/>
              </w:rPr>
            </w:pPr>
            <w:r w:rsidRPr="00002064">
              <w:rPr>
                <w:rFonts w:ascii="Times New Roman" w:hAnsi="Times New Roman" w:cs="Times New Roman"/>
                <w:sz w:val="24"/>
                <w:szCs w:val="24"/>
                <w:lang w:val="fr-FR"/>
              </w:rPr>
              <w:t>Laâyoune</w:t>
            </w:r>
          </w:p>
        </w:tc>
        <w:tc>
          <w:tcPr>
            <w:tcW w:w="1723" w:type="dxa"/>
            <w:vAlign w:val="center"/>
          </w:tcPr>
          <w:p w:rsidR="009E6896" w:rsidRPr="000C0BD3" w:rsidRDefault="009E6896" w:rsidP="00B21256">
            <w:pPr>
              <w:widowControl w:val="0"/>
              <w:jc w:val="center"/>
              <w:rPr>
                <w:rFonts w:ascii="Times New Roman" w:hAnsi="Times New Roman" w:cs="Times New Roman"/>
                <w:sz w:val="24"/>
                <w:szCs w:val="24"/>
              </w:rPr>
            </w:pPr>
            <w:r w:rsidRPr="000C0BD3">
              <w:rPr>
                <w:rFonts w:ascii="Times New Roman" w:hAnsi="Times New Roman" w:cs="Times New Roman"/>
                <w:sz w:val="24"/>
                <w:szCs w:val="24"/>
              </w:rPr>
              <w:t>48</w:t>
            </w:r>
          </w:p>
        </w:tc>
        <w:tc>
          <w:tcPr>
            <w:tcW w:w="1101" w:type="dxa"/>
            <w:tcBorders>
              <w:righ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w:t>
            </w:r>
            <w:r w:rsidR="006F2385">
              <w:rPr>
                <w:rFonts w:ascii="Times New Roman" w:hAnsi="Times New Roman" w:cs="Times New Roman"/>
                <w:sz w:val="24"/>
                <w:szCs w:val="24"/>
              </w:rPr>
              <w:t>.</w:t>
            </w:r>
            <w:r w:rsidRPr="000C0BD3">
              <w:rPr>
                <w:rFonts w:ascii="Times New Roman" w:hAnsi="Times New Roman" w:cs="Times New Roman"/>
                <w:sz w:val="24"/>
                <w:szCs w:val="24"/>
              </w:rPr>
              <w:t>197</w:t>
            </w:r>
          </w:p>
        </w:tc>
        <w:tc>
          <w:tcPr>
            <w:tcW w:w="1080" w:type="dxa"/>
            <w:tcBorders>
              <w:lef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w:t>
            </w:r>
            <w:r w:rsidR="006F2385">
              <w:rPr>
                <w:rFonts w:ascii="Times New Roman" w:hAnsi="Times New Roman" w:cs="Times New Roman"/>
                <w:sz w:val="24"/>
                <w:szCs w:val="24"/>
              </w:rPr>
              <w:t>.</w:t>
            </w:r>
            <w:r w:rsidRPr="000C0BD3">
              <w:rPr>
                <w:rFonts w:ascii="Times New Roman" w:hAnsi="Times New Roman" w:cs="Times New Roman"/>
                <w:sz w:val="24"/>
                <w:szCs w:val="24"/>
              </w:rPr>
              <w:t>248</w:t>
            </w:r>
          </w:p>
        </w:tc>
        <w:tc>
          <w:tcPr>
            <w:tcW w:w="1080" w:type="dxa"/>
            <w:tcBorders>
              <w:righ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3</w:t>
            </w:r>
            <w:r w:rsidR="006F2385">
              <w:rPr>
                <w:rFonts w:ascii="Times New Roman" w:hAnsi="Times New Roman" w:cs="Times New Roman"/>
                <w:sz w:val="24"/>
                <w:szCs w:val="24"/>
              </w:rPr>
              <w:t>.</w:t>
            </w:r>
            <w:r w:rsidRPr="000C0BD3">
              <w:rPr>
                <w:rFonts w:ascii="Times New Roman" w:hAnsi="Times New Roman" w:cs="Times New Roman"/>
                <w:sz w:val="24"/>
                <w:szCs w:val="24"/>
              </w:rPr>
              <w:t>591</w:t>
            </w:r>
          </w:p>
        </w:tc>
        <w:tc>
          <w:tcPr>
            <w:tcW w:w="1140" w:type="dxa"/>
            <w:tcBorders>
              <w:lef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3</w:t>
            </w:r>
            <w:r w:rsidR="006F2385">
              <w:rPr>
                <w:rFonts w:ascii="Times New Roman" w:hAnsi="Times New Roman" w:cs="Times New Roman"/>
                <w:sz w:val="24"/>
                <w:szCs w:val="24"/>
              </w:rPr>
              <w:t>.</w:t>
            </w:r>
            <w:r w:rsidRPr="000C0BD3">
              <w:rPr>
                <w:rFonts w:ascii="Times New Roman" w:hAnsi="Times New Roman" w:cs="Times New Roman"/>
                <w:sz w:val="24"/>
                <w:szCs w:val="24"/>
              </w:rPr>
              <w:t>743</w:t>
            </w:r>
          </w:p>
        </w:tc>
      </w:tr>
      <w:tr w:rsidR="009E6896" w:rsidRPr="000C0BD3" w:rsidTr="00FD2D4C">
        <w:tc>
          <w:tcPr>
            <w:tcW w:w="1295" w:type="dxa"/>
            <w:vAlign w:val="center"/>
          </w:tcPr>
          <w:p w:rsidR="009E6896" w:rsidRPr="000C0BD3" w:rsidRDefault="009E6896" w:rsidP="0084736B">
            <w:pPr>
              <w:widowControl w:val="0"/>
              <w:jc w:val="center"/>
              <w:rPr>
                <w:rFonts w:ascii="Times New Roman" w:hAnsi="Times New Roman" w:cs="Times New Roman"/>
                <w:sz w:val="24"/>
                <w:szCs w:val="24"/>
              </w:rPr>
            </w:pPr>
            <w:r w:rsidRPr="00002064">
              <w:rPr>
                <w:rFonts w:ascii="Times New Roman" w:hAnsi="Times New Roman" w:cs="Times New Roman"/>
                <w:sz w:val="24"/>
                <w:szCs w:val="24"/>
                <w:lang w:val="fr-FR"/>
              </w:rPr>
              <w:t>Boujdour</w:t>
            </w:r>
          </w:p>
        </w:tc>
        <w:tc>
          <w:tcPr>
            <w:tcW w:w="1723" w:type="dxa"/>
            <w:vAlign w:val="center"/>
          </w:tcPr>
          <w:p w:rsidR="009E6896" w:rsidRPr="000C0BD3" w:rsidRDefault="009E6896" w:rsidP="00B21256">
            <w:pPr>
              <w:widowControl w:val="0"/>
              <w:jc w:val="center"/>
              <w:rPr>
                <w:rFonts w:ascii="Times New Roman" w:hAnsi="Times New Roman" w:cs="Times New Roman"/>
                <w:sz w:val="24"/>
                <w:szCs w:val="24"/>
              </w:rPr>
            </w:pPr>
            <w:r w:rsidRPr="000C0BD3">
              <w:rPr>
                <w:rFonts w:ascii="Times New Roman" w:hAnsi="Times New Roman" w:cs="Times New Roman"/>
                <w:sz w:val="24"/>
                <w:szCs w:val="24"/>
              </w:rPr>
              <w:t>4</w:t>
            </w:r>
          </w:p>
        </w:tc>
        <w:tc>
          <w:tcPr>
            <w:tcW w:w="1101" w:type="dxa"/>
            <w:tcBorders>
              <w:righ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118</w:t>
            </w:r>
          </w:p>
        </w:tc>
        <w:tc>
          <w:tcPr>
            <w:tcW w:w="1080" w:type="dxa"/>
            <w:tcBorders>
              <w:lef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124</w:t>
            </w:r>
          </w:p>
        </w:tc>
        <w:tc>
          <w:tcPr>
            <w:tcW w:w="1080" w:type="dxa"/>
            <w:tcBorders>
              <w:righ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354</w:t>
            </w:r>
          </w:p>
        </w:tc>
        <w:tc>
          <w:tcPr>
            <w:tcW w:w="1140" w:type="dxa"/>
            <w:tcBorders>
              <w:left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371</w:t>
            </w:r>
          </w:p>
        </w:tc>
      </w:tr>
      <w:tr w:rsidR="009E6896" w:rsidRPr="000C0BD3" w:rsidTr="00FD2D4C">
        <w:tc>
          <w:tcPr>
            <w:tcW w:w="1295"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Total</w:t>
            </w:r>
          </w:p>
        </w:tc>
        <w:tc>
          <w:tcPr>
            <w:tcW w:w="1723"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141</w:t>
            </w:r>
          </w:p>
        </w:tc>
        <w:tc>
          <w:tcPr>
            <w:tcW w:w="1101" w:type="dxa"/>
            <w:tcBorders>
              <w:bottom w:val="single" w:sz="4" w:space="0" w:color="auto"/>
              <w:right w:val="nil"/>
            </w:tcBorders>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3</w:t>
            </w:r>
            <w:r w:rsidR="006F2385">
              <w:rPr>
                <w:rFonts w:ascii="Times New Roman" w:hAnsi="Times New Roman" w:cs="Times New Roman"/>
                <w:b/>
                <w:sz w:val="24"/>
                <w:szCs w:val="24"/>
              </w:rPr>
              <w:t>.</w:t>
            </w:r>
            <w:r w:rsidRPr="000C0BD3">
              <w:rPr>
                <w:rFonts w:ascii="Times New Roman" w:hAnsi="Times New Roman" w:cs="Times New Roman"/>
                <w:b/>
                <w:sz w:val="24"/>
                <w:szCs w:val="24"/>
              </w:rPr>
              <w:t>223</w:t>
            </w:r>
          </w:p>
        </w:tc>
        <w:tc>
          <w:tcPr>
            <w:tcW w:w="1080" w:type="dxa"/>
            <w:tcBorders>
              <w:left w:val="nil"/>
              <w:bottom w:val="single" w:sz="4" w:space="0" w:color="auto"/>
            </w:tcBorders>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3</w:t>
            </w:r>
            <w:r w:rsidR="006F2385">
              <w:rPr>
                <w:rFonts w:ascii="Times New Roman" w:hAnsi="Times New Roman" w:cs="Times New Roman"/>
                <w:b/>
                <w:sz w:val="24"/>
                <w:szCs w:val="24"/>
              </w:rPr>
              <w:t>.</w:t>
            </w:r>
            <w:r w:rsidRPr="000C0BD3">
              <w:rPr>
                <w:rFonts w:ascii="Times New Roman" w:hAnsi="Times New Roman" w:cs="Times New Roman"/>
                <w:b/>
                <w:sz w:val="24"/>
                <w:szCs w:val="24"/>
              </w:rPr>
              <w:t>366</w:t>
            </w:r>
          </w:p>
        </w:tc>
        <w:tc>
          <w:tcPr>
            <w:tcW w:w="1080" w:type="dxa"/>
            <w:tcBorders>
              <w:bottom w:val="single" w:sz="4" w:space="0" w:color="auto"/>
              <w:right w:val="nil"/>
            </w:tcBorders>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9</w:t>
            </w:r>
            <w:r w:rsidR="006F2385">
              <w:rPr>
                <w:rFonts w:ascii="Times New Roman" w:hAnsi="Times New Roman" w:cs="Times New Roman"/>
                <w:b/>
                <w:sz w:val="24"/>
                <w:szCs w:val="24"/>
              </w:rPr>
              <w:t>.</w:t>
            </w:r>
            <w:r w:rsidRPr="000C0BD3">
              <w:rPr>
                <w:rFonts w:ascii="Times New Roman" w:hAnsi="Times New Roman" w:cs="Times New Roman"/>
                <w:b/>
                <w:sz w:val="24"/>
                <w:szCs w:val="24"/>
              </w:rPr>
              <w:t>668</w:t>
            </w:r>
          </w:p>
        </w:tc>
        <w:tc>
          <w:tcPr>
            <w:tcW w:w="1140" w:type="dxa"/>
            <w:tcBorders>
              <w:left w:val="nil"/>
              <w:bottom w:val="single" w:sz="4" w:space="0" w:color="auto"/>
            </w:tcBorders>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10</w:t>
            </w:r>
            <w:r w:rsidR="006F2385">
              <w:rPr>
                <w:rFonts w:ascii="Times New Roman" w:hAnsi="Times New Roman" w:cs="Times New Roman"/>
                <w:b/>
                <w:sz w:val="24"/>
                <w:szCs w:val="24"/>
              </w:rPr>
              <w:t>.</w:t>
            </w:r>
            <w:r w:rsidRPr="000C0BD3">
              <w:rPr>
                <w:rFonts w:ascii="Times New Roman" w:hAnsi="Times New Roman" w:cs="Times New Roman"/>
                <w:b/>
                <w:sz w:val="24"/>
                <w:szCs w:val="24"/>
              </w:rPr>
              <w:t>097</w:t>
            </w:r>
          </w:p>
        </w:tc>
      </w:tr>
      <w:tr w:rsidR="009E6896" w:rsidRPr="008C133E" w:rsidTr="00FD2D4C">
        <w:tc>
          <w:tcPr>
            <w:tcW w:w="7419" w:type="dxa"/>
            <w:gridSpan w:val="6"/>
            <w:tcBorders>
              <w:left w:val="nil"/>
              <w:bottom w:val="nil"/>
              <w:right w:val="nil"/>
            </w:tcBorders>
            <w:vAlign w:val="center"/>
          </w:tcPr>
          <w:p w:rsidR="009E6896" w:rsidRPr="006F2385" w:rsidRDefault="009E6896" w:rsidP="00383426">
            <w:pPr>
              <w:widowControl w:val="0"/>
              <w:rPr>
                <w:rFonts w:ascii="Times New Roman" w:hAnsi="Times New Roman" w:cs="Times New Roman"/>
                <w:i/>
                <w:sz w:val="24"/>
                <w:szCs w:val="24"/>
                <w:lang w:val="fr-BE"/>
              </w:rPr>
            </w:pPr>
          </w:p>
        </w:tc>
      </w:tr>
    </w:tbl>
    <w:p w:rsidR="009E6896" w:rsidRPr="006F2385" w:rsidRDefault="009E6896" w:rsidP="0084736B">
      <w:pPr>
        <w:widowControl w:val="0"/>
        <w:spacing w:after="0" w:line="240" w:lineRule="auto"/>
        <w:jc w:val="both"/>
        <w:rPr>
          <w:rFonts w:ascii="Times New Roman" w:hAnsi="Times New Roman" w:cs="Times New Roman"/>
          <w:sz w:val="24"/>
          <w:szCs w:val="24"/>
          <w:lang w:val="fr-BE"/>
        </w:rPr>
      </w:pPr>
    </w:p>
    <w:p w:rsidR="009E6896" w:rsidRPr="00DB3D18" w:rsidRDefault="00E20BF8" w:rsidP="0084736B">
      <w:pPr>
        <w:widowControl w:val="0"/>
        <w:spacing w:after="0" w:line="240" w:lineRule="auto"/>
        <w:jc w:val="both"/>
        <w:rPr>
          <w:rFonts w:ascii="Times New Roman" w:hAnsi="Times New Roman" w:cs="Times New Roman"/>
          <w:sz w:val="24"/>
          <w:szCs w:val="24"/>
          <w:lang w:val="fr-BE"/>
        </w:rPr>
      </w:pPr>
      <w:r w:rsidRPr="00D163F1">
        <w:rPr>
          <w:rFonts w:ascii="Times New Roman" w:hAnsi="Times New Roman" w:cs="Times New Roman"/>
          <w:sz w:val="24"/>
          <w:szCs w:val="24"/>
          <w:lang w:val="fr-BE"/>
        </w:rPr>
        <w:t xml:space="preserve">Selon </w:t>
      </w:r>
      <w:r w:rsidR="00561E05">
        <w:rPr>
          <w:rFonts w:ascii="Times New Roman" w:hAnsi="Times New Roman" w:cs="Times New Roman"/>
          <w:sz w:val="24"/>
          <w:szCs w:val="24"/>
          <w:lang w:val="fr-BE"/>
        </w:rPr>
        <w:t>des informations marocaines</w:t>
      </w:r>
      <w:r w:rsidR="009E6896" w:rsidRPr="00D163F1">
        <w:rPr>
          <w:rFonts w:ascii="Times New Roman" w:hAnsi="Times New Roman" w:cs="Times New Roman"/>
          <w:sz w:val="24"/>
          <w:szCs w:val="24"/>
          <w:lang w:val="fr-BE"/>
        </w:rPr>
        <w:t xml:space="preserve">, </w:t>
      </w:r>
      <w:r w:rsidRPr="00D163F1">
        <w:rPr>
          <w:rFonts w:ascii="Times New Roman" w:hAnsi="Times New Roman" w:cs="Times New Roman"/>
          <w:sz w:val="24"/>
          <w:szCs w:val="24"/>
          <w:lang w:val="fr-BE"/>
        </w:rPr>
        <w:t xml:space="preserve">environ </w:t>
      </w:r>
      <w:r w:rsidR="009E6896" w:rsidRPr="00D163F1">
        <w:rPr>
          <w:rFonts w:ascii="Times New Roman" w:hAnsi="Times New Roman" w:cs="Times New Roman"/>
          <w:sz w:val="24"/>
          <w:szCs w:val="24"/>
          <w:lang w:val="fr-BE"/>
        </w:rPr>
        <w:t xml:space="preserve">50 % </w:t>
      </w:r>
      <w:r w:rsidRPr="00D163F1">
        <w:rPr>
          <w:rFonts w:ascii="Times New Roman" w:hAnsi="Times New Roman" w:cs="Times New Roman"/>
          <w:sz w:val="24"/>
          <w:szCs w:val="24"/>
          <w:lang w:val="fr-BE"/>
        </w:rPr>
        <w:t>de la</w:t>
      </w:r>
      <w:r w:rsidR="009E6896" w:rsidRPr="00D163F1">
        <w:rPr>
          <w:rFonts w:ascii="Times New Roman" w:hAnsi="Times New Roman" w:cs="Times New Roman"/>
          <w:sz w:val="24"/>
          <w:szCs w:val="24"/>
          <w:lang w:val="fr-BE"/>
        </w:rPr>
        <w:t xml:space="preserve"> production </w:t>
      </w:r>
      <w:r w:rsidRPr="00BC63E6">
        <w:rPr>
          <w:rFonts w:ascii="Times New Roman" w:hAnsi="Times New Roman" w:cs="Times New Roman"/>
          <w:sz w:val="24"/>
          <w:szCs w:val="24"/>
          <w:lang w:val="fr-BE"/>
        </w:rPr>
        <w:t>de ces établissements sont destinés à l’U</w:t>
      </w:r>
      <w:r w:rsidR="00DC66EF">
        <w:rPr>
          <w:rFonts w:ascii="Times New Roman" w:hAnsi="Times New Roman" w:cs="Times New Roman"/>
          <w:sz w:val="24"/>
          <w:szCs w:val="24"/>
          <w:lang w:val="fr-BE"/>
        </w:rPr>
        <w:t>nion européenne</w:t>
      </w:r>
      <w:r w:rsidRPr="00BC63E6">
        <w:rPr>
          <w:rFonts w:ascii="Times New Roman" w:hAnsi="Times New Roman" w:cs="Times New Roman"/>
          <w:sz w:val="24"/>
          <w:szCs w:val="24"/>
          <w:lang w:val="fr-BE"/>
        </w:rPr>
        <w:t xml:space="preserve">. On peut donc en conclure que </w:t>
      </w:r>
      <w:r w:rsidRPr="00DB3D18">
        <w:rPr>
          <w:rFonts w:ascii="Times New Roman" w:hAnsi="Times New Roman" w:cs="Times New Roman"/>
          <w:b/>
          <w:i/>
          <w:sz w:val="24"/>
          <w:szCs w:val="24"/>
          <w:lang w:val="fr-BE"/>
        </w:rPr>
        <w:t xml:space="preserve">la moitié de </w:t>
      </w:r>
      <w:r w:rsidR="00AD74EB" w:rsidRPr="00DB3D18">
        <w:rPr>
          <w:rFonts w:ascii="Times New Roman" w:hAnsi="Times New Roman" w:cs="Times New Roman"/>
          <w:b/>
          <w:i/>
          <w:sz w:val="24"/>
          <w:szCs w:val="24"/>
          <w:lang w:val="fr-BE"/>
        </w:rPr>
        <w:t xml:space="preserve">cet </w:t>
      </w:r>
      <w:r w:rsidR="00D163F1" w:rsidRPr="00DB3D18">
        <w:rPr>
          <w:rFonts w:ascii="Times New Roman" w:hAnsi="Times New Roman" w:cs="Times New Roman"/>
          <w:b/>
          <w:i/>
          <w:sz w:val="24"/>
          <w:szCs w:val="24"/>
          <w:lang w:val="fr-BE"/>
        </w:rPr>
        <w:t xml:space="preserve">emploi </w:t>
      </w:r>
      <w:r w:rsidR="00AD74EB" w:rsidRPr="00DB3D18">
        <w:rPr>
          <w:rFonts w:ascii="Times New Roman" w:hAnsi="Times New Roman" w:cs="Times New Roman"/>
          <w:b/>
          <w:i/>
          <w:sz w:val="24"/>
          <w:szCs w:val="24"/>
          <w:lang w:val="fr-BE"/>
        </w:rPr>
        <w:t xml:space="preserve">(plus de </w:t>
      </w:r>
      <w:r w:rsidR="0066116C" w:rsidRPr="00DB3D18">
        <w:rPr>
          <w:rFonts w:ascii="Times New Roman" w:hAnsi="Times New Roman" w:cs="Times New Roman"/>
          <w:b/>
          <w:i/>
          <w:sz w:val="24"/>
          <w:szCs w:val="24"/>
          <w:lang w:val="fr-BE"/>
        </w:rPr>
        <w:t xml:space="preserve">6.500 </w:t>
      </w:r>
      <w:r w:rsidR="00AD74EB" w:rsidRPr="00DB3D18">
        <w:rPr>
          <w:rFonts w:ascii="Times New Roman" w:hAnsi="Times New Roman" w:cs="Times New Roman"/>
          <w:b/>
          <w:i/>
          <w:sz w:val="24"/>
          <w:szCs w:val="24"/>
          <w:lang w:val="fr-BE"/>
        </w:rPr>
        <w:t>personnes</w:t>
      </w:r>
      <w:r w:rsidR="0066116C" w:rsidRPr="00DB3D18">
        <w:rPr>
          <w:rFonts w:ascii="Times New Roman" w:hAnsi="Times New Roman" w:cs="Times New Roman"/>
          <w:b/>
          <w:i/>
          <w:sz w:val="24"/>
          <w:szCs w:val="24"/>
          <w:lang w:val="fr-BE"/>
        </w:rPr>
        <w:t xml:space="preserve"> en 2016</w:t>
      </w:r>
      <w:r w:rsidR="00AD74EB" w:rsidRPr="00DB3D18">
        <w:rPr>
          <w:rFonts w:ascii="Times New Roman" w:hAnsi="Times New Roman" w:cs="Times New Roman"/>
          <w:b/>
          <w:i/>
          <w:sz w:val="24"/>
          <w:szCs w:val="24"/>
          <w:lang w:val="fr-BE"/>
        </w:rPr>
        <w:t xml:space="preserve">) </w:t>
      </w:r>
      <w:r w:rsidR="00D163F1" w:rsidRPr="00DB3D18">
        <w:rPr>
          <w:rFonts w:ascii="Times New Roman" w:hAnsi="Times New Roman" w:cs="Times New Roman"/>
          <w:b/>
          <w:i/>
          <w:sz w:val="24"/>
          <w:szCs w:val="24"/>
          <w:lang w:val="fr-BE"/>
        </w:rPr>
        <w:t>dé</w:t>
      </w:r>
      <w:r w:rsidRPr="00DB3D18">
        <w:rPr>
          <w:rFonts w:ascii="Times New Roman" w:hAnsi="Times New Roman" w:cs="Times New Roman"/>
          <w:b/>
          <w:i/>
          <w:sz w:val="24"/>
          <w:szCs w:val="24"/>
          <w:lang w:val="fr-BE"/>
        </w:rPr>
        <w:t>pend directement des exportations vers l’U</w:t>
      </w:r>
      <w:r w:rsidR="00584896" w:rsidRPr="00DB3D18">
        <w:rPr>
          <w:rFonts w:ascii="Times New Roman" w:hAnsi="Times New Roman" w:cs="Times New Roman"/>
          <w:b/>
          <w:i/>
          <w:sz w:val="24"/>
          <w:szCs w:val="24"/>
          <w:lang w:val="fr-BE"/>
        </w:rPr>
        <w:t>nion</w:t>
      </w:r>
      <w:r w:rsidR="009E6896" w:rsidRPr="00D163F1">
        <w:rPr>
          <w:rFonts w:ascii="Times New Roman" w:hAnsi="Times New Roman" w:cs="Times New Roman"/>
          <w:sz w:val="24"/>
          <w:szCs w:val="24"/>
          <w:lang w:val="fr-BE"/>
        </w:rPr>
        <w:t>.</w:t>
      </w:r>
    </w:p>
    <w:p w:rsidR="009E6896" w:rsidRPr="00DB3D18" w:rsidRDefault="009E6896" w:rsidP="0084736B">
      <w:pPr>
        <w:widowControl w:val="0"/>
        <w:spacing w:after="0" w:line="240" w:lineRule="auto"/>
        <w:jc w:val="both"/>
        <w:rPr>
          <w:rFonts w:ascii="Times New Roman" w:hAnsi="Times New Roman" w:cs="Times New Roman"/>
          <w:sz w:val="24"/>
          <w:szCs w:val="24"/>
          <w:lang w:val="fr-BE"/>
        </w:rPr>
      </w:pPr>
    </w:p>
    <w:p w:rsidR="009E6896" w:rsidRPr="00D163F1" w:rsidRDefault="00E20BF8" w:rsidP="0084736B">
      <w:pPr>
        <w:widowControl w:val="0"/>
        <w:spacing w:after="0" w:line="240" w:lineRule="auto"/>
        <w:jc w:val="both"/>
        <w:rPr>
          <w:rFonts w:ascii="Times New Roman" w:hAnsi="Times New Roman" w:cs="Times New Roman"/>
          <w:sz w:val="24"/>
          <w:szCs w:val="24"/>
          <w:lang w:val="fr-BE"/>
        </w:rPr>
      </w:pPr>
      <w:r w:rsidRPr="00D163F1">
        <w:rPr>
          <w:rFonts w:ascii="Times New Roman" w:hAnsi="Times New Roman" w:cs="Times New Roman"/>
          <w:sz w:val="24"/>
          <w:szCs w:val="24"/>
          <w:lang w:val="fr-BE"/>
        </w:rPr>
        <w:t>La liste des établissements fournie par le Maroc co</w:t>
      </w:r>
      <w:r w:rsidR="00D163F1">
        <w:rPr>
          <w:rFonts w:ascii="Times New Roman" w:hAnsi="Times New Roman" w:cs="Times New Roman"/>
          <w:sz w:val="24"/>
          <w:szCs w:val="24"/>
          <w:lang w:val="fr-BE"/>
        </w:rPr>
        <w:t>ï</w:t>
      </w:r>
      <w:r w:rsidRPr="00D163F1">
        <w:rPr>
          <w:rFonts w:ascii="Times New Roman" w:hAnsi="Times New Roman" w:cs="Times New Roman"/>
          <w:sz w:val="24"/>
          <w:szCs w:val="24"/>
          <w:lang w:val="fr-BE"/>
        </w:rPr>
        <w:t>ncide avec celle des établissements autorisés conformément à la l</w:t>
      </w:r>
      <w:r w:rsidR="00D163F1">
        <w:rPr>
          <w:rFonts w:ascii="Times New Roman" w:hAnsi="Times New Roman" w:cs="Times New Roman"/>
          <w:sz w:val="24"/>
          <w:szCs w:val="24"/>
          <w:lang w:val="fr-BE"/>
        </w:rPr>
        <w:t>é</w:t>
      </w:r>
      <w:r w:rsidRPr="00D163F1">
        <w:rPr>
          <w:rFonts w:ascii="Times New Roman" w:hAnsi="Times New Roman" w:cs="Times New Roman"/>
          <w:sz w:val="24"/>
          <w:szCs w:val="24"/>
          <w:lang w:val="fr-BE"/>
        </w:rPr>
        <w:t>gislation de l’U</w:t>
      </w:r>
      <w:r w:rsidR="00DC66EF">
        <w:rPr>
          <w:rFonts w:ascii="Times New Roman" w:hAnsi="Times New Roman" w:cs="Times New Roman"/>
          <w:sz w:val="24"/>
          <w:szCs w:val="24"/>
          <w:lang w:val="fr-BE"/>
        </w:rPr>
        <w:t>nion</w:t>
      </w:r>
      <w:r w:rsidR="009E6896" w:rsidRPr="00D163F1">
        <w:rPr>
          <w:rFonts w:ascii="Times New Roman" w:hAnsi="Times New Roman" w:cs="Times New Roman"/>
          <w:sz w:val="24"/>
          <w:szCs w:val="24"/>
          <w:lang w:val="fr-BE"/>
        </w:rPr>
        <w:t>.</w:t>
      </w:r>
    </w:p>
    <w:p w:rsidR="009E6896" w:rsidRPr="00D163F1" w:rsidRDefault="009E6896" w:rsidP="0084736B">
      <w:pPr>
        <w:widowControl w:val="0"/>
        <w:spacing w:after="0" w:line="240" w:lineRule="auto"/>
        <w:jc w:val="both"/>
        <w:rPr>
          <w:rFonts w:ascii="Times New Roman" w:hAnsi="Times New Roman" w:cs="Times New Roman"/>
          <w:sz w:val="24"/>
          <w:szCs w:val="24"/>
          <w:lang w:val="fr-BE"/>
        </w:rPr>
      </w:pPr>
    </w:p>
    <w:p w:rsidR="009E6896" w:rsidRPr="00D86DBD" w:rsidRDefault="00E20BF8" w:rsidP="00FC36AF">
      <w:pPr>
        <w:pStyle w:val="Heading4"/>
        <w:rPr>
          <w:lang w:val="fr-BE"/>
        </w:rPr>
      </w:pPr>
      <w:r w:rsidRPr="00D86DBD">
        <w:rPr>
          <w:lang w:val="fr-BE"/>
        </w:rPr>
        <w:t>L’i</w:t>
      </w:r>
      <w:r w:rsidR="009E6896" w:rsidRPr="00D86DBD">
        <w:rPr>
          <w:lang w:val="fr-BE"/>
        </w:rPr>
        <w:t xml:space="preserve">mpact </w:t>
      </w:r>
      <w:r w:rsidRPr="00D86DBD">
        <w:rPr>
          <w:lang w:val="fr-BE"/>
        </w:rPr>
        <w:t>de l’application des préférences commerciales</w:t>
      </w:r>
    </w:p>
    <w:p w:rsidR="009E6896" w:rsidRPr="00D86DBD" w:rsidRDefault="009E6896" w:rsidP="0084736B">
      <w:pPr>
        <w:widowControl w:val="0"/>
        <w:spacing w:after="0" w:line="240" w:lineRule="auto"/>
        <w:jc w:val="both"/>
        <w:rPr>
          <w:rFonts w:ascii="Times New Roman" w:hAnsi="Times New Roman" w:cs="Times New Roman"/>
          <w:sz w:val="24"/>
          <w:szCs w:val="24"/>
          <w:lang w:val="fr-BE"/>
        </w:rPr>
      </w:pPr>
    </w:p>
    <w:p w:rsidR="009E6896" w:rsidRPr="00D86DBD" w:rsidRDefault="00DC66EF" w:rsidP="0084736B">
      <w:pPr>
        <w:widowControl w:val="0"/>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w:t>
      </w:r>
      <w:r w:rsidR="00E20BF8" w:rsidRPr="00D86DBD">
        <w:rPr>
          <w:rFonts w:ascii="Times New Roman" w:hAnsi="Times New Roman" w:cs="Times New Roman"/>
          <w:sz w:val="24"/>
          <w:szCs w:val="24"/>
          <w:lang w:val="fr-BE"/>
        </w:rPr>
        <w:t>’extension des préférences prévues par l’accord d’association UE-Maroc aux produits du Sahara occidental permettrait l’importation en franchise de droits dans l’U</w:t>
      </w:r>
      <w:r>
        <w:rPr>
          <w:rFonts w:ascii="Times New Roman" w:hAnsi="Times New Roman" w:cs="Times New Roman"/>
          <w:sz w:val="24"/>
          <w:szCs w:val="24"/>
          <w:lang w:val="fr-BE"/>
        </w:rPr>
        <w:t>nion</w:t>
      </w:r>
      <w:r w:rsidR="00E20BF8">
        <w:rPr>
          <w:rFonts w:ascii="Times New Roman" w:hAnsi="Times New Roman" w:cs="Times New Roman"/>
          <w:sz w:val="24"/>
          <w:szCs w:val="24"/>
          <w:lang w:val="fr-BE"/>
        </w:rPr>
        <w:t xml:space="preserve"> de produits de la pêche du S</w:t>
      </w:r>
      <w:r w:rsidR="00D163F1">
        <w:rPr>
          <w:rFonts w:ascii="Times New Roman" w:hAnsi="Times New Roman" w:cs="Times New Roman"/>
          <w:sz w:val="24"/>
          <w:szCs w:val="24"/>
          <w:lang w:val="fr-BE"/>
        </w:rPr>
        <w:t>ahara occidental</w:t>
      </w:r>
      <w:r w:rsidR="00E20BF8">
        <w:rPr>
          <w:rFonts w:ascii="Times New Roman" w:hAnsi="Times New Roman" w:cs="Times New Roman"/>
          <w:sz w:val="24"/>
          <w:szCs w:val="24"/>
          <w:lang w:val="fr-BE"/>
        </w:rPr>
        <w:t xml:space="preserve"> pour une valeur de 100 à 200 millions d’euros</w:t>
      </w:r>
      <w:r w:rsidR="009E6896" w:rsidRPr="00D86DBD">
        <w:rPr>
          <w:rFonts w:ascii="Times New Roman" w:hAnsi="Times New Roman" w:cs="Times New Roman"/>
          <w:sz w:val="24"/>
          <w:szCs w:val="24"/>
          <w:lang w:val="fr-BE"/>
        </w:rPr>
        <w:t xml:space="preserve">. </w:t>
      </w:r>
      <w:r w:rsidR="00E20BF8" w:rsidRPr="00E20BF8">
        <w:rPr>
          <w:rFonts w:ascii="Times New Roman" w:hAnsi="Times New Roman" w:cs="Times New Roman"/>
          <w:sz w:val="24"/>
          <w:szCs w:val="24"/>
          <w:lang w:val="fr-BE"/>
        </w:rPr>
        <w:t>L</w:t>
      </w:r>
      <w:r w:rsidR="00E20BF8" w:rsidRPr="00D86DBD">
        <w:rPr>
          <w:rFonts w:ascii="Times New Roman" w:hAnsi="Times New Roman" w:cs="Times New Roman"/>
          <w:sz w:val="24"/>
          <w:szCs w:val="24"/>
          <w:lang w:val="fr-BE"/>
        </w:rPr>
        <w:t>’extension des préférences tarifaires</w:t>
      </w:r>
      <w:r w:rsidR="009E6896" w:rsidRPr="00D86DBD">
        <w:rPr>
          <w:rFonts w:ascii="Times New Roman" w:hAnsi="Times New Roman" w:cs="Times New Roman"/>
          <w:sz w:val="24"/>
          <w:szCs w:val="24"/>
          <w:lang w:val="fr-BE"/>
        </w:rPr>
        <w:t xml:space="preserve"> </w:t>
      </w:r>
      <w:r w:rsidR="00E20BF8" w:rsidRPr="00D86DBD">
        <w:rPr>
          <w:rFonts w:ascii="Times New Roman" w:hAnsi="Times New Roman" w:cs="Times New Roman"/>
          <w:sz w:val="24"/>
          <w:szCs w:val="24"/>
          <w:lang w:val="fr-BE"/>
        </w:rPr>
        <w:t xml:space="preserve">à ces exportations </w:t>
      </w:r>
      <w:r w:rsidR="00D163F1">
        <w:rPr>
          <w:rFonts w:ascii="Times New Roman" w:hAnsi="Times New Roman" w:cs="Times New Roman"/>
          <w:sz w:val="24"/>
          <w:szCs w:val="24"/>
          <w:lang w:val="fr-BE"/>
        </w:rPr>
        <w:t>entra</w:t>
      </w:r>
      <w:r w:rsidR="00FB33D8">
        <w:rPr>
          <w:rFonts w:ascii="Times New Roman" w:hAnsi="Times New Roman" w:cs="Times New Roman"/>
          <w:sz w:val="24"/>
          <w:szCs w:val="24"/>
          <w:lang w:val="fr-BE"/>
        </w:rPr>
        <w:t>înerait la non-perception dans l’U</w:t>
      </w:r>
      <w:r w:rsidR="00584896">
        <w:rPr>
          <w:rFonts w:ascii="Times New Roman" w:hAnsi="Times New Roman" w:cs="Times New Roman"/>
          <w:sz w:val="24"/>
          <w:szCs w:val="24"/>
          <w:lang w:val="fr-BE"/>
        </w:rPr>
        <w:t>nion</w:t>
      </w:r>
      <w:r w:rsidR="00FB33D8">
        <w:rPr>
          <w:rFonts w:ascii="Times New Roman" w:hAnsi="Times New Roman" w:cs="Times New Roman"/>
          <w:sz w:val="24"/>
          <w:szCs w:val="24"/>
          <w:lang w:val="fr-BE"/>
        </w:rPr>
        <w:t xml:space="preserve"> d’un montant de</w:t>
      </w:r>
      <w:r w:rsidR="00E20BF8" w:rsidRPr="00D86DBD">
        <w:rPr>
          <w:rFonts w:ascii="Times New Roman" w:hAnsi="Times New Roman" w:cs="Times New Roman"/>
          <w:sz w:val="24"/>
          <w:szCs w:val="24"/>
          <w:lang w:val="fr-BE"/>
        </w:rPr>
        <w:t xml:space="preserve"> 9 </w:t>
      </w:r>
      <w:r w:rsidR="00FB33D8">
        <w:rPr>
          <w:rFonts w:ascii="Times New Roman" w:hAnsi="Times New Roman" w:cs="Times New Roman"/>
          <w:sz w:val="24"/>
          <w:szCs w:val="24"/>
          <w:lang w:val="fr-BE"/>
        </w:rPr>
        <w:t>à</w:t>
      </w:r>
      <w:r w:rsidR="00E20BF8" w:rsidRPr="00D86DBD">
        <w:rPr>
          <w:rFonts w:ascii="Times New Roman" w:hAnsi="Times New Roman" w:cs="Times New Roman"/>
          <w:sz w:val="24"/>
          <w:szCs w:val="24"/>
          <w:lang w:val="fr-BE"/>
        </w:rPr>
        <w:t xml:space="preserve"> 9,5</w:t>
      </w:r>
      <w:r w:rsidR="009E6896" w:rsidRPr="00D86DBD">
        <w:rPr>
          <w:rFonts w:ascii="Times New Roman" w:hAnsi="Times New Roman" w:cs="Times New Roman"/>
          <w:sz w:val="24"/>
          <w:szCs w:val="24"/>
          <w:lang w:val="fr-BE"/>
        </w:rPr>
        <w:t xml:space="preserve"> million</w:t>
      </w:r>
      <w:r w:rsidR="00E20BF8">
        <w:rPr>
          <w:rFonts w:ascii="Times New Roman" w:hAnsi="Times New Roman" w:cs="Times New Roman"/>
          <w:sz w:val="24"/>
          <w:szCs w:val="24"/>
          <w:lang w:val="fr-BE"/>
        </w:rPr>
        <w:t>s</w:t>
      </w:r>
      <w:r w:rsidR="009E6896" w:rsidRPr="00D86DBD">
        <w:rPr>
          <w:rFonts w:ascii="Times New Roman" w:hAnsi="Times New Roman" w:cs="Times New Roman"/>
          <w:sz w:val="24"/>
          <w:szCs w:val="24"/>
          <w:lang w:val="fr-BE"/>
        </w:rPr>
        <w:t xml:space="preserve"> </w:t>
      </w:r>
      <w:r w:rsidR="00E20BF8">
        <w:rPr>
          <w:rFonts w:ascii="Times New Roman" w:hAnsi="Times New Roman" w:cs="Times New Roman"/>
          <w:sz w:val="24"/>
          <w:szCs w:val="24"/>
          <w:lang w:val="fr-BE"/>
        </w:rPr>
        <w:t>d’euros</w:t>
      </w:r>
      <w:r w:rsidR="009E6896" w:rsidRPr="00D86DBD">
        <w:rPr>
          <w:rFonts w:ascii="Times New Roman" w:hAnsi="Times New Roman" w:cs="Times New Roman"/>
          <w:sz w:val="24"/>
          <w:szCs w:val="24"/>
          <w:lang w:val="fr-BE"/>
        </w:rPr>
        <w:t xml:space="preserve"> </w:t>
      </w:r>
      <w:r w:rsidR="00E20BF8">
        <w:rPr>
          <w:rFonts w:ascii="Times New Roman" w:hAnsi="Times New Roman" w:cs="Times New Roman"/>
          <w:sz w:val="24"/>
          <w:szCs w:val="24"/>
          <w:lang w:val="fr-BE"/>
        </w:rPr>
        <w:t>par an</w:t>
      </w:r>
      <w:r w:rsidR="009E6896" w:rsidRPr="00D86DBD">
        <w:rPr>
          <w:rFonts w:ascii="Times New Roman" w:hAnsi="Times New Roman" w:cs="Times New Roman"/>
          <w:sz w:val="24"/>
          <w:szCs w:val="24"/>
          <w:lang w:val="fr-BE"/>
        </w:rPr>
        <w:t>.</w:t>
      </w:r>
    </w:p>
    <w:p w:rsidR="009E6896" w:rsidRPr="00D86DBD" w:rsidRDefault="009E6896" w:rsidP="0084736B">
      <w:pPr>
        <w:widowControl w:val="0"/>
        <w:spacing w:after="0" w:line="240" w:lineRule="auto"/>
        <w:jc w:val="both"/>
        <w:rPr>
          <w:rFonts w:ascii="Times New Roman" w:hAnsi="Times New Roman" w:cs="Times New Roman"/>
          <w:sz w:val="24"/>
          <w:szCs w:val="24"/>
          <w:lang w:val="fr-BE"/>
        </w:rPr>
      </w:pPr>
    </w:p>
    <w:p w:rsidR="009E6896" w:rsidRDefault="00E20BF8" w:rsidP="0084736B">
      <w:pPr>
        <w:widowControl w:val="0"/>
        <w:spacing w:after="0" w:line="240" w:lineRule="auto"/>
        <w:jc w:val="both"/>
        <w:rPr>
          <w:rFonts w:ascii="Times New Roman" w:hAnsi="Times New Roman" w:cs="Times New Roman"/>
          <w:sz w:val="24"/>
          <w:szCs w:val="24"/>
          <w:lang w:val="fr-BE"/>
        </w:rPr>
      </w:pPr>
      <w:r w:rsidRPr="00D86DBD">
        <w:rPr>
          <w:rFonts w:ascii="Times New Roman" w:hAnsi="Times New Roman" w:cs="Times New Roman"/>
          <w:sz w:val="24"/>
          <w:szCs w:val="24"/>
          <w:lang w:val="fr-BE"/>
        </w:rPr>
        <w:t xml:space="preserve">Si l’on considère les espèces de produits de la pêche exportées du </w:t>
      </w:r>
      <w:r w:rsidR="00FB33D8">
        <w:rPr>
          <w:rFonts w:ascii="Times New Roman" w:hAnsi="Times New Roman" w:cs="Times New Roman"/>
          <w:sz w:val="24"/>
          <w:szCs w:val="24"/>
          <w:lang w:val="fr-BE"/>
        </w:rPr>
        <w:t>territoire</w:t>
      </w:r>
      <w:r w:rsidRPr="00D86DBD">
        <w:rPr>
          <w:rFonts w:ascii="Times New Roman" w:hAnsi="Times New Roman" w:cs="Times New Roman"/>
          <w:sz w:val="24"/>
          <w:szCs w:val="24"/>
          <w:lang w:val="fr-BE"/>
        </w:rPr>
        <w:t xml:space="preserve">, </w:t>
      </w:r>
      <w:r w:rsidR="000049C3" w:rsidRPr="00D86DBD">
        <w:rPr>
          <w:rFonts w:ascii="Times New Roman" w:hAnsi="Times New Roman" w:cs="Times New Roman"/>
          <w:sz w:val="24"/>
          <w:szCs w:val="24"/>
          <w:lang w:val="fr-BE"/>
        </w:rPr>
        <w:t>le tableau suivant montre les principales espèces concernées en 2015 et 2016 en termes de droits non-perçus</w:t>
      </w:r>
      <w:r w:rsidR="009E6896" w:rsidRPr="00D86DBD">
        <w:rPr>
          <w:rFonts w:ascii="Times New Roman" w:hAnsi="Times New Roman" w:cs="Times New Roman"/>
          <w:sz w:val="24"/>
          <w:szCs w:val="24"/>
          <w:lang w:val="fr-BE"/>
        </w:rPr>
        <w:t>:</w:t>
      </w:r>
    </w:p>
    <w:p w:rsidR="00627F4A" w:rsidRPr="008F1B78" w:rsidRDefault="00627F4A" w:rsidP="0084736B">
      <w:pPr>
        <w:widowControl w:val="0"/>
        <w:spacing w:after="0" w:line="240" w:lineRule="auto"/>
        <w:jc w:val="both"/>
        <w:rPr>
          <w:rFonts w:ascii="Times New Roman" w:hAnsi="Times New Roman" w:cs="Times New Roman"/>
          <w:sz w:val="24"/>
          <w:szCs w:val="24"/>
          <w:lang w:val="fr-FR"/>
        </w:rPr>
      </w:pPr>
    </w:p>
    <w:tbl>
      <w:tblPr>
        <w:tblStyle w:val="TableGrid"/>
        <w:tblW w:w="0" w:type="auto"/>
        <w:tblInd w:w="823" w:type="dxa"/>
        <w:tblLook w:val="04A0" w:firstRow="1" w:lastRow="0" w:firstColumn="1" w:lastColumn="0" w:noHBand="0" w:noVBand="1"/>
      </w:tblPr>
      <w:tblGrid>
        <w:gridCol w:w="3845"/>
        <w:gridCol w:w="1080"/>
        <w:gridCol w:w="1320"/>
        <w:gridCol w:w="1185"/>
      </w:tblGrid>
      <w:tr w:rsidR="009E6896" w:rsidRPr="000C0BD3" w:rsidTr="00FD2D4C">
        <w:tc>
          <w:tcPr>
            <w:tcW w:w="3845" w:type="dxa"/>
            <w:vMerge w:val="restart"/>
            <w:shd w:val="clear" w:color="auto" w:fill="D9D9D9" w:themeFill="background1" w:themeFillShade="D9"/>
            <w:vAlign w:val="center"/>
          </w:tcPr>
          <w:p w:rsidR="009E6896" w:rsidRPr="008F1B78" w:rsidRDefault="000049C3" w:rsidP="0084736B">
            <w:pPr>
              <w:widowControl w:val="0"/>
              <w:jc w:val="center"/>
              <w:rPr>
                <w:rFonts w:ascii="Times New Roman" w:hAnsi="Times New Roman" w:cs="Times New Roman"/>
                <w:b/>
                <w:sz w:val="24"/>
                <w:szCs w:val="24"/>
                <w:lang w:val="fr-FR"/>
              </w:rPr>
            </w:pPr>
            <w:r w:rsidRPr="008F1B78">
              <w:rPr>
                <w:rFonts w:ascii="Times New Roman" w:hAnsi="Times New Roman" w:cs="Times New Roman"/>
                <w:b/>
                <w:sz w:val="24"/>
                <w:szCs w:val="24"/>
                <w:lang w:val="fr-FR"/>
              </w:rPr>
              <w:t>Espèces</w:t>
            </w:r>
          </w:p>
        </w:tc>
        <w:tc>
          <w:tcPr>
            <w:tcW w:w="1080" w:type="dxa"/>
            <w:vMerge w:val="restart"/>
            <w:shd w:val="clear" w:color="auto" w:fill="D9D9D9" w:themeFill="background1" w:themeFillShade="D9"/>
            <w:vAlign w:val="center"/>
          </w:tcPr>
          <w:p w:rsidR="009E6896" w:rsidRPr="000C0BD3" w:rsidRDefault="000049C3" w:rsidP="0084736B">
            <w:pPr>
              <w:widowControl w:val="0"/>
              <w:jc w:val="center"/>
              <w:rPr>
                <w:rFonts w:ascii="Times New Roman" w:hAnsi="Times New Roman" w:cs="Times New Roman"/>
                <w:b/>
                <w:sz w:val="24"/>
                <w:szCs w:val="24"/>
              </w:rPr>
            </w:pPr>
            <w:r w:rsidRPr="008F1B78">
              <w:rPr>
                <w:rFonts w:ascii="Times New Roman" w:hAnsi="Times New Roman" w:cs="Times New Roman"/>
                <w:b/>
                <w:sz w:val="24"/>
                <w:szCs w:val="24"/>
                <w:lang w:val="fr-FR"/>
              </w:rPr>
              <w:t>Taux</w:t>
            </w:r>
            <w:r>
              <w:rPr>
                <w:rFonts w:ascii="Times New Roman" w:hAnsi="Times New Roman" w:cs="Times New Roman"/>
                <w:b/>
                <w:sz w:val="24"/>
                <w:szCs w:val="24"/>
              </w:rPr>
              <w:t xml:space="preserve"> du droit</w:t>
            </w:r>
            <w:r w:rsidR="009E6896" w:rsidRPr="000C0BD3">
              <w:rPr>
                <w:rFonts w:ascii="Times New Roman" w:hAnsi="Times New Roman" w:cs="Times New Roman"/>
                <w:b/>
                <w:sz w:val="24"/>
                <w:szCs w:val="24"/>
              </w:rPr>
              <w:t xml:space="preserve"> </w:t>
            </w:r>
            <w:r w:rsidR="009E6896" w:rsidRPr="000C0BD3">
              <w:rPr>
                <w:rFonts w:ascii="Times New Roman" w:hAnsi="Times New Roman" w:cs="Times New Roman"/>
                <w:b/>
                <w:sz w:val="24"/>
                <w:szCs w:val="24"/>
                <w:vertAlign w:val="superscript"/>
              </w:rPr>
              <w:t>(*)</w:t>
            </w:r>
          </w:p>
        </w:tc>
        <w:tc>
          <w:tcPr>
            <w:tcW w:w="1320" w:type="dxa"/>
            <w:tcBorders>
              <w:bottom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2015</w:t>
            </w:r>
          </w:p>
        </w:tc>
        <w:tc>
          <w:tcPr>
            <w:tcW w:w="1185" w:type="dxa"/>
            <w:tcBorders>
              <w:bottom w:val="nil"/>
            </w:tcBorders>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2016</w:t>
            </w:r>
          </w:p>
        </w:tc>
      </w:tr>
      <w:tr w:rsidR="009E6896" w:rsidRPr="00493B88" w:rsidTr="00FD2D4C">
        <w:tc>
          <w:tcPr>
            <w:tcW w:w="3845" w:type="dxa"/>
            <w:vMerge/>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p>
        </w:tc>
        <w:tc>
          <w:tcPr>
            <w:tcW w:w="1080" w:type="dxa"/>
            <w:vMerge/>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p>
        </w:tc>
        <w:tc>
          <w:tcPr>
            <w:tcW w:w="1320" w:type="dxa"/>
            <w:tcBorders>
              <w:top w:val="nil"/>
            </w:tcBorders>
            <w:shd w:val="clear" w:color="auto" w:fill="D9D9D9" w:themeFill="background1" w:themeFillShade="D9"/>
            <w:vAlign w:val="center"/>
          </w:tcPr>
          <w:p w:rsidR="009E6896" w:rsidRPr="000C0BD3" w:rsidRDefault="009E6896" w:rsidP="00383426">
            <w:pPr>
              <w:widowControl w:val="0"/>
              <w:jc w:val="center"/>
              <w:rPr>
                <w:rFonts w:ascii="Times New Roman" w:hAnsi="Times New Roman" w:cs="Times New Roman"/>
                <w:sz w:val="24"/>
                <w:szCs w:val="24"/>
              </w:rPr>
            </w:pPr>
            <w:r w:rsidRPr="000C0BD3">
              <w:rPr>
                <w:rFonts w:ascii="Times New Roman" w:hAnsi="Times New Roman" w:cs="Times New Roman"/>
                <w:i/>
                <w:sz w:val="24"/>
                <w:szCs w:val="24"/>
              </w:rPr>
              <w:t>1</w:t>
            </w:r>
            <w:r w:rsidR="00383426">
              <w:rPr>
                <w:rFonts w:ascii="Times New Roman" w:hAnsi="Times New Roman" w:cs="Times New Roman"/>
                <w:i/>
                <w:sz w:val="24"/>
                <w:szCs w:val="24"/>
              </w:rPr>
              <w:t>.</w:t>
            </w:r>
            <w:r w:rsidRPr="000C0BD3">
              <w:rPr>
                <w:rFonts w:ascii="Times New Roman" w:hAnsi="Times New Roman" w:cs="Times New Roman"/>
                <w:i/>
                <w:sz w:val="24"/>
                <w:szCs w:val="24"/>
              </w:rPr>
              <w:t>000€</w:t>
            </w:r>
          </w:p>
        </w:tc>
        <w:tc>
          <w:tcPr>
            <w:tcW w:w="1185" w:type="dxa"/>
            <w:tcBorders>
              <w:top w:val="nil"/>
            </w:tcBorders>
            <w:shd w:val="clear" w:color="auto" w:fill="D9D9D9" w:themeFill="background1" w:themeFillShade="D9"/>
            <w:vAlign w:val="center"/>
          </w:tcPr>
          <w:p w:rsidR="009E6896" w:rsidRPr="000C0BD3" w:rsidRDefault="009E6896" w:rsidP="00383426">
            <w:pPr>
              <w:widowControl w:val="0"/>
              <w:jc w:val="center"/>
              <w:rPr>
                <w:rFonts w:ascii="Times New Roman" w:hAnsi="Times New Roman" w:cs="Times New Roman"/>
                <w:sz w:val="24"/>
                <w:szCs w:val="24"/>
              </w:rPr>
            </w:pPr>
            <w:r w:rsidRPr="000C0BD3">
              <w:rPr>
                <w:rFonts w:ascii="Times New Roman" w:hAnsi="Times New Roman" w:cs="Times New Roman"/>
                <w:i/>
                <w:sz w:val="24"/>
                <w:szCs w:val="24"/>
              </w:rPr>
              <w:t>1</w:t>
            </w:r>
            <w:r w:rsidR="00383426">
              <w:rPr>
                <w:rFonts w:ascii="Times New Roman" w:hAnsi="Times New Roman" w:cs="Times New Roman"/>
                <w:i/>
                <w:sz w:val="24"/>
                <w:szCs w:val="24"/>
              </w:rPr>
              <w:t>.</w:t>
            </w:r>
            <w:r w:rsidRPr="000C0BD3">
              <w:rPr>
                <w:rFonts w:ascii="Times New Roman" w:hAnsi="Times New Roman" w:cs="Times New Roman"/>
                <w:i/>
                <w:sz w:val="24"/>
                <w:szCs w:val="24"/>
              </w:rPr>
              <w:t>000€</w:t>
            </w:r>
          </w:p>
        </w:tc>
      </w:tr>
      <w:tr w:rsidR="009E6896" w:rsidRPr="00D86DBD" w:rsidTr="00FD2D4C">
        <w:tc>
          <w:tcPr>
            <w:tcW w:w="3845" w:type="dxa"/>
            <w:vAlign w:val="center"/>
          </w:tcPr>
          <w:p w:rsidR="009E6896" w:rsidRPr="000C0BD3" w:rsidRDefault="000049C3" w:rsidP="0084736B">
            <w:pPr>
              <w:widowControl w:val="0"/>
              <w:jc w:val="center"/>
              <w:rPr>
                <w:rFonts w:ascii="Times New Roman" w:hAnsi="Times New Roman" w:cs="Times New Roman"/>
                <w:sz w:val="24"/>
                <w:szCs w:val="24"/>
              </w:rPr>
            </w:pPr>
            <w:r w:rsidRPr="00060083">
              <w:rPr>
                <w:rFonts w:ascii="Times New Roman" w:hAnsi="Times New Roman" w:cs="Times New Roman"/>
                <w:sz w:val="24"/>
                <w:szCs w:val="24"/>
                <w:lang w:val="fr-FR"/>
              </w:rPr>
              <w:t>Poulpes</w:t>
            </w:r>
            <w:r>
              <w:rPr>
                <w:rFonts w:ascii="Times New Roman" w:hAnsi="Times New Roman" w:cs="Times New Roman"/>
                <w:sz w:val="24"/>
                <w:szCs w:val="24"/>
              </w:rPr>
              <w:t>,</w:t>
            </w:r>
            <w:r w:rsidRPr="008F1B78">
              <w:rPr>
                <w:rFonts w:ascii="Times New Roman" w:hAnsi="Times New Roman" w:cs="Times New Roman"/>
                <w:sz w:val="24"/>
                <w:szCs w:val="24"/>
                <w:lang w:val="fr-FR"/>
              </w:rPr>
              <w:t xml:space="preserve"> congelés</w:t>
            </w:r>
          </w:p>
        </w:tc>
        <w:tc>
          <w:tcPr>
            <w:tcW w:w="1080" w:type="dxa"/>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8%</w:t>
            </w:r>
          </w:p>
        </w:tc>
        <w:tc>
          <w:tcPr>
            <w:tcW w:w="1320" w:type="dxa"/>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5</w:t>
            </w:r>
            <w:r w:rsidR="00103678">
              <w:rPr>
                <w:rFonts w:ascii="Times New Roman" w:hAnsi="Times New Roman" w:cs="Times New Roman"/>
                <w:sz w:val="24"/>
                <w:szCs w:val="24"/>
              </w:rPr>
              <w:t>.</w:t>
            </w:r>
            <w:r w:rsidRPr="000C0BD3">
              <w:rPr>
                <w:rFonts w:ascii="Times New Roman" w:hAnsi="Times New Roman" w:cs="Times New Roman"/>
                <w:sz w:val="24"/>
                <w:szCs w:val="24"/>
              </w:rPr>
              <w:t>412</w:t>
            </w:r>
            <w:r w:rsidR="00103678">
              <w:rPr>
                <w:rFonts w:ascii="Times New Roman" w:hAnsi="Times New Roman" w:cs="Times New Roman"/>
                <w:sz w:val="24"/>
                <w:szCs w:val="24"/>
              </w:rPr>
              <w:t>,</w:t>
            </w:r>
            <w:r w:rsidRPr="000C0BD3">
              <w:rPr>
                <w:rFonts w:ascii="Times New Roman" w:hAnsi="Times New Roman" w:cs="Times New Roman"/>
                <w:sz w:val="24"/>
                <w:szCs w:val="24"/>
              </w:rPr>
              <w:t>73</w:t>
            </w:r>
          </w:p>
        </w:tc>
        <w:tc>
          <w:tcPr>
            <w:tcW w:w="118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5</w:t>
            </w:r>
            <w:r w:rsidR="00103678" w:rsidRPr="00D86DBD">
              <w:rPr>
                <w:rFonts w:ascii="Times New Roman" w:hAnsi="Times New Roman" w:cs="Times New Roman"/>
                <w:sz w:val="24"/>
                <w:szCs w:val="24"/>
                <w:lang w:val="fr-BE"/>
              </w:rPr>
              <w:t>.</w:t>
            </w:r>
            <w:r w:rsidRPr="00D86DBD">
              <w:rPr>
                <w:rFonts w:ascii="Times New Roman" w:hAnsi="Times New Roman" w:cs="Times New Roman"/>
                <w:sz w:val="24"/>
                <w:szCs w:val="24"/>
                <w:lang w:val="fr-BE"/>
              </w:rPr>
              <w:t>348</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19</w:t>
            </w:r>
          </w:p>
        </w:tc>
      </w:tr>
      <w:tr w:rsidR="009E6896" w:rsidRPr="00D86DBD" w:rsidTr="00FD2D4C">
        <w:tc>
          <w:tcPr>
            <w:tcW w:w="384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 xml:space="preserve">Sardines, </w:t>
            </w:r>
            <w:r w:rsidR="000049C3" w:rsidRPr="00D86DBD">
              <w:rPr>
                <w:rFonts w:ascii="Times New Roman" w:hAnsi="Times New Roman" w:cs="Times New Roman"/>
                <w:sz w:val="24"/>
                <w:szCs w:val="24"/>
                <w:lang w:val="fr-BE"/>
              </w:rPr>
              <w:t>congelées</w:t>
            </w:r>
          </w:p>
        </w:tc>
        <w:tc>
          <w:tcPr>
            <w:tcW w:w="1080"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23%</w:t>
            </w:r>
          </w:p>
        </w:tc>
        <w:tc>
          <w:tcPr>
            <w:tcW w:w="1320"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1</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137</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41</w:t>
            </w:r>
          </w:p>
        </w:tc>
        <w:tc>
          <w:tcPr>
            <w:tcW w:w="118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1</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198</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29</w:t>
            </w:r>
          </w:p>
        </w:tc>
      </w:tr>
      <w:tr w:rsidR="009E6896" w:rsidRPr="00D86DBD" w:rsidTr="00FD2D4C">
        <w:tc>
          <w:tcPr>
            <w:tcW w:w="384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Ma</w:t>
            </w:r>
            <w:r w:rsidR="00103678" w:rsidRPr="00D86DBD">
              <w:rPr>
                <w:rFonts w:ascii="Times New Roman" w:hAnsi="Times New Roman" w:cs="Times New Roman"/>
                <w:sz w:val="24"/>
                <w:szCs w:val="24"/>
                <w:lang w:val="fr-BE"/>
              </w:rPr>
              <w:t>quereaux</w:t>
            </w:r>
            <w:r w:rsidRPr="00D86DBD">
              <w:rPr>
                <w:rFonts w:ascii="Times New Roman" w:hAnsi="Times New Roman" w:cs="Times New Roman"/>
                <w:sz w:val="24"/>
                <w:szCs w:val="24"/>
                <w:lang w:val="fr-BE"/>
              </w:rPr>
              <w:t xml:space="preserve">, </w:t>
            </w:r>
            <w:r w:rsidR="00103678" w:rsidRPr="00D86DBD">
              <w:rPr>
                <w:rFonts w:ascii="Times New Roman" w:hAnsi="Times New Roman" w:cs="Times New Roman"/>
                <w:sz w:val="24"/>
                <w:szCs w:val="24"/>
                <w:lang w:val="fr-BE"/>
              </w:rPr>
              <w:t>en conserve</w:t>
            </w:r>
          </w:p>
        </w:tc>
        <w:tc>
          <w:tcPr>
            <w:tcW w:w="1080"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25%</w:t>
            </w:r>
          </w:p>
        </w:tc>
        <w:tc>
          <w:tcPr>
            <w:tcW w:w="1320"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417</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14</w:t>
            </w:r>
          </w:p>
        </w:tc>
        <w:tc>
          <w:tcPr>
            <w:tcW w:w="118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608</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01</w:t>
            </w:r>
          </w:p>
        </w:tc>
      </w:tr>
      <w:tr w:rsidR="009E6896" w:rsidRPr="00D86DBD" w:rsidTr="00FD2D4C">
        <w:tc>
          <w:tcPr>
            <w:tcW w:w="384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 xml:space="preserve">Sardines, </w:t>
            </w:r>
            <w:r w:rsidR="00103678" w:rsidRPr="00D86DBD">
              <w:rPr>
                <w:rFonts w:ascii="Times New Roman" w:hAnsi="Times New Roman" w:cs="Times New Roman"/>
                <w:sz w:val="24"/>
                <w:szCs w:val="24"/>
                <w:lang w:val="fr-BE"/>
              </w:rPr>
              <w:t>en conserve</w:t>
            </w:r>
          </w:p>
        </w:tc>
        <w:tc>
          <w:tcPr>
            <w:tcW w:w="1080"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25%</w:t>
            </w:r>
          </w:p>
        </w:tc>
        <w:tc>
          <w:tcPr>
            <w:tcW w:w="1320"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452</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67</w:t>
            </w:r>
          </w:p>
        </w:tc>
        <w:tc>
          <w:tcPr>
            <w:tcW w:w="1185" w:type="dxa"/>
            <w:vAlign w:val="center"/>
          </w:tcPr>
          <w:p w:rsidR="009E6896" w:rsidRPr="00D86DBD" w:rsidRDefault="009E6896" w:rsidP="0084736B">
            <w:pPr>
              <w:widowControl w:val="0"/>
              <w:jc w:val="center"/>
              <w:rPr>
                <w:rFonts w:ascii="Times New Roman" w:hAnsi="Times New Roman" w:cs="Times New Roman"/>
                <w:sz w:val="24"/>
                <w:szCs w:val="24"/>
                <w:lang w:val="fr-BE"/>
              </w:rPr>
            </w:pPr>
            <w:r w:rsidRPr="00D86DBD">
              <w:rPr>
                <w:rFonts w:ascii="Times New Roman" w:hAnsi="Times New Roman" w:cs="Times New Roman"/>
                <w:sz w:val="24"/>
                <w:szCs w:val="24"/>
                <w:lang w:val="fr-BE"/>
              </w:rPr>
              <w:t>378</w:t>
            </w:r>
            <w:r w:rsidR="00103678">
              <w:rPr>
                <w:rFonts w:ascii="Times New Roman" w:hAnsi="Times New Roman" w:cs="Times New Roman"/>
                <w:sz w:val="24"/>
                <w:szCs w:val="24"/>
                <w:lang w:val="fr-BE"/>
              </w:rPr>
              <w:t>,</w:t>
            </w:r>
            <w:r w:rsidRPr="00D86DBD">
              <w:rPr>
                <w:rFonts w:ascii="Times New Roman" w:hAnsi="Times New Roman" w:cs="Times New Roman"/>
                <w:sz w:val="24"/>
                <w:szCs w:val="24"/>
                <w:lang w:val="fr-BE"/>
              </w:rPr>
              <w:t>55</w:t>
            </w:r>
          </w:p>
        </w:tc>
      </w:tr>
      <w:tr w:rsidR="009E6896" w:rsidRPr="00493B88" w:rsidTr="00FD2D4C">
        <w:tc>
          <w:tcPr>
            <w:tcW w:w="3845" w:type="dxa"/>
            <w:tcBorders>
              <w:bottom w:val="single" w:sz="4" w:space="0" w:color="auto"/>
            </w:tcBorders>
            <w:vAlign w:val="center"/>
          </w:tcPr>
          <w:p w:rsidR="009E6896" w:rsidRPr="000C0BD3" w:rsidRDefault="00103678" w:rsidP="0084736B">
            <w:pPr>
              <w:widowControl w:val="0"/>
              <w:jc w:val="center"/>
              <w:rPr>
                <w:rFonts w:ascii="Times New Roman" w:hAnsi="Times New Roman" w:cs="Times New Roman"/>
                <w:sz w:val="24"/>
                <w:szCs w:val="24"/>
              </w:rPr>
            </w:pPr>
            <w:r w:rsidRPr="00D86DBD">
              <w:rPr>
                <w:rFonts w:ascii="Times New Roman" w:hAnsi="Times New Roman" w:cs="Times New Roman"/>
                <w:sz w:val="24"/>
                <w:szCs w:val="24"/>
                <w:lang w:val="fr-BE"/>
              </w:rPr>
              <w:t>Seiche</w:t>
            </w:r>
            <w:r>
              <w:rPr>
                <w:rFonts w:ascii="Times New Roman" w:hAnsi="Times New Roman" w:cs="Times New Roman"/>
                <w:sz w:val="24"/>
                <w:szCs w:val="24"/>
              </w:rPr>
              <w:t>s</w:t>
            </w:r>
            <w:r w:rsidR="009E6896" w:rsidRPr="000C0BD3">
              <w:rPr>
                <w:rFonts w:ascii="Times New Roman" w:hAnsi="Times New Roman" w:cs="Times New Roman"/>
                <w:sz w:val="24"/>
                <w:szCs w:val="24"/>
              </w:rPr>
              <w:t>,</w:t>
            </w:r>
            <w:r w:rsidR="009E6896" w:rsidRPr="008F1B78">
              <w:rPr>
                <w:rFonts w:ascii="Times New Roman" w:hAnsi="Times New Roman" w:cs="Times New Roman"/>
                <w:sz w:val="24"/>
                <w:szCs w:val="24"/>
                <w:lang w:val="fr-FR"/>
              </w:rPr>
              <w:t xml:space="preserve"> </w:t>
            </w:r>
            <w:r w:rsidRPr="008F1B78">
              <w:rPr>
                <w:rFonts w:ascii="Times New Roman" w:hAnsi="Times New Roman" w:cs="Times New Roman"/>
                <w:sz w:val="24"/>
                <w:szCs w:val="24"/>
                <w:lang w:val="fr-FR"/>
              </w:rPr>
              <w:t>congelé</w:t>
            </w:r>
            <w:r w:rsidR="00DC66EF" w:rsidRPr="008F1B78">
              <w:rPr>
                <w:rFonts w:ascii="Times New Roman" w:hAnsi="Times New Roman" w:cs="Times New Roman"/>
                <w:sz w:val="24"/>
                <w:szCs w:val="24"/>
                <w:lang w:val="fr-FR"/>
              </w:rPr>
              <w:t>e</w:t>
            </w:r>
            <w:r w:rsidRPr="008F1B78">
              <w:rPr>
                <w:rFonts w:ascii="Times New Roman" w:hAnsi="Times New Roman" w:cs="Times New Roman"/>
                <w:sz w:val="24"/>
                <w:szCs w:val="24"/>
                <w:lang w:val="fr-FR"/>
              </w:rPr>
              <w:t>s</w:t>
            </w:r>
          </w:p>
        </w:tc>
        <w:tc>
          <w:tcPr>
            <w:tcW w:w="1080"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6%</w:t>
            </w:r>
          </w:p>
        </w:tc>
        <w:tc>
          <w:tcPr>
            <w:tcW w:w="1320"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255</w:t>
            </w:r>
            <w:r w:rsidR="00103678">
              <w:rPr>
                <w:rFonts w:ascii="Times New Roman" w:hAnsi="Times New Roman" w:cs="Times New Roman"/>
                <w:sz w:val="24"/>
                <w:szCs w:val="24"/>
              </w:rPr>
              <w:t>,</w:t>
            </w:r>
            <w:r w:rsidRPr="000C0BD3">
              <w:rPr>
                <w:rFonts w:ascii="Times New Roman" w:hAnsi="Times New Roman" w:cs="Times New Roman"/>
                <w:sz w:val="24"/>
                <w:szCs w:val="24"/>
              </w:rPr>
              <w:t>02</w:t>
            </w:r>
          </w:p>
        </w:tc>
        <w:tc>
          <w:tcPr>
            <w:tcW w:w="1185"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370</w:t>
            </w:r>
            <w:r w:rsidR="00103678">
              <w:rPr>
                <w:rFonts w:ascii="Times New Roman" w:hAnsi="Times New Roman" w:cs="Times New Roman"/>
                <w:sz w:val="24"/>
                <w:szCs w:val="24"/>
              </w:rPr>
              <w:t>,</w:t>
            </w:r>
            <w:r w:rsidRPr="000C0BD3">
              <w:rPr>
                <w:rFonts w:ascii="Times New Roman" w:hAnsi="Times New Roman" w:cs="Times New Roman"/>
                <w:sz w:val="24"/>
                <w:szCs w:val="24"/>
              </w:rPr>
              <w:t>30</w:t>
            </w:r>
          </w:p>
        </w:tc>
      </w:tr>
      <w:tr w:rsidR="009E6896" w:rsidRPr="00493B88" w:rsidTr="00FD2D4C">
        <w:tc>
          <w:tcPr>
            <w:tcW w:w="3845" w:type="dxa"/>
            <w:tcBorders>
              <w:bottom w:val="single" w:sz="4" w:space="0" w:color="auto"/>
            </w:tcBorders>
            <w:vAlign w:val="center"/>
          </w:tcPr>
          <w:p w:rsidR="009E6896" w:rsidRPr="000C0BD3" w:rsidRDefault="00DC66EF" w:rsidP="0084736B">
            <w:pPr>
              <w:widowControl w:val="0"/>
              <w:jc w:val="center"/>
              <w:rPr>
                <w:rFonts w:ascii="Times New Roman" w:hAnsi="Times New Roman" w:cs="Times New Roman"/>
                <w:sz w:val="24"/>
                <w:szCs w:val="24"/>
              </w:rPr>
            </w:pPr>
            <w:r w:rsidRPr="00060083">
              <w:rPr>
                <w:rFonts w:ascii="Times New Roman" w:hAnsi="Times New Roman" w:cs="Times New Roman"/>
                <w:sz w:val="24"/>
                <w:szCs w:val="24"/>
                <w:lang w:val="fr-FR"/>
              </w:rPr>
              <w:t>C</w:t>
            </w:r>
            <w:r w:rsidR="009E6896" w:rsidRPr="00060083">
              <w:rPr>
                <w:rFonts w:ascii="Times New Roman" w:hAnsi="Times New Roman" w:cs="Times New Roman"/>
                <w:sz w:val="24"/>
                <w:szCs w:val="24"/>
                <w:lang w:val="fr-FR"/>
              </w:rPr>
              <w:t>alamar</w:t>
            </w:r>
            <w:r w:rsidRPr="00060083">
              <w:rPr>
                <w:rFonts w:ascii="Times New Roman" w:hAnsi="Times New Roman" w:cs="Times New Roman"/>
                <w:sz w:val="24"/>
                <w:szCs w:val="24"/>
                <w:lang w:val="fr-FR"/>
              </w:rPr>
              <w:t>s</w:t>
            </w:r>
            <w:r w:rsidR="009E6896" w:rsidRPr="000C0BD3">
              <w:rPr>
                <w:rFonts w:ascii="Times New Roman" w:hAnsi="Times New Roman" w:cs="Times New Roman"/>
                <w:sz w:val="24"/>
                <w:szCs w:val="24"/>
              </w:rPr>
              <w:t>,</w:t>
            </w:r>
            <w:r w:rsidR="009E6896" w:rsidRPr="008F1B78">
              <w:rPr>
                <w:rFonts w:ascii="Times New Roman" w:hAnsi="Times New Roman" w:cs="Times New Roman"/>
                <w:sz w:val="24"/>
                <w:szCs w:val="24"/>
                <w:lang w:val="fr-FR"/>
              </w:rPr>
              <w:t xml:space="preserve"> </w:t>
            </w:r>
            <w:r w:rsidR="00103678" w:rsidRPr="008F1B78">
              <w:rPr>
                <w:rFonts w:ascii="Times New Roman" w:hAnsi="Times New Roman" w:cs="Times New Roman"/>
                <w:sz w:val="24"/>
                <w:szCs w:val="24"/>
                <w:lang w:val="fr-FR"/>
              </w:rPr>
              <w:t>congelés</w:t>
            </w:r>
          </w:p>
        </w:tc>
        <w:tc>
          <w:tcPr>
            <w:tcW w:w="1080"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6%</w:t>
            </w:r>
          </w:p>
        </w:tc>
        <w:tc>
          <w:tcPr>
            <w:tcW w:w="1320"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188</w:t>
            </w:r>
            <w:r w:rsidR="00103678">
              <w:rPr>
                <w:rFonts w:ascii="Times New Roman" w:hAnsi="Times New Roman" w:cs="Times New Roman"/>
                <w:sz w:val="24"/>
                <w:szCs w:val="24"/>
              </w:rPr>
              <w:t>,</w:t>
            </w:r>
            <w:r w:rsidRPr="000C0BD3">
              <w:rPr>
                <w:rFonts w:ascii="Times New Roman" w:hAnsi="Times New Roman" w:cs="Times New Roman"/>
                <w:sz w:val="24"/>
                <w:szCs w:val="24"/>
              </w:rPr>
              <w:t>32</w:t>
            </w:r>
          </w:p>
        </w:tc>
        <w:tc>
          <w:tcPr>
            <w:tcW w:w="1185"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325</w:t>
            </w:r>
            <w:r w:rsidR="00103678">
              <w:rPr>
                <w:rFonts w:ascii="Times New Roman" w:hAnsi="Times New Roman" w:cs="Times New Roman"/>
                <w:sz w:val="24"/>
                <w:szCs w:val="24"/>
              </w:rPr>
              <w:t>,</w:t>
            </w:r>
            <w:r w:rsidRPr="000C0BD3">
              <w:rPr>
                <w:rFonts w:ascii="Times New Roman" w:hAnsi="Times New Roman" w:cs="Times New Roman"/>
                <w:sz w:val="24"/>
                <w:szCs w:val="24"/>
              </w:rPr>
              <w:t>16</w:t>
            </w:r>
          </w:p>
        </w:tc>
      </w:tr>
      <w:tr w:rsidR="009E6896" w:rsidRPr="000C0BD3" w:rsidTr="00FD2D4C">
        <w:tc>
          <w:tcPr>
            <w:tcW w:w="3845"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60083">
              <w:rPr>
                <w:rFonts w:ascii="Times New Roman" w:hAnsi="Times New Roman" w:cs="Times New Roman"/>
                <w:sz w:val="24"/>
                <w:szCs w:val="24"/>
                <w:lang w:val="fr-FR"/>
              </w:rPr>
              <w:t>Ma</w:t>
            </w:r>
            <w:r w:rsidR="00103678" w:rsidRPr="00060083">
              <w:rPr>
                <w:rFonts w:ascii="Times New Roman" w:hAnsi="Times New Roman" w:cs="Times New Roman"/>
                <w:sz w:val="24"/>
                <w:szCs w:val="24"/>
                <w:lang w:val="fr-FR"/>
              </w:rPr>
              <w:t>quereaux</w:t>
            </w:r>
            <w:r w:rsidRPr="000C0BD3">
              <w:rPr>
                <w:rFonts w:ascii="Times New Roman" w:hAnsi="Times New Roman" w:cs="Times New Roman"/>
                <w:sz w:val="24"/>
                <w:szCs w:val="24"/>
              </w:rPr>
              <w:t>,</w:t>
            </w:r>
            <w:r w:rsidRPr="008F1B78">
              <w:rPr>
                <w:rFonts w:ascii="Times New Roman" w:hAnsi="Times New Roman" w:cs="Times New Roman"/>
                <w:sz w:val="24"/>
                <w:szCs w:val="24"/>
                <w:lang w:val="fr-FR"/>
              </w:rPr>
              <w:t xml:space="preserve"> </w:t>
            </w:r>
            <w:r w:rsidR="00103678" w:rsidRPr="008F1B78">
              <w:rPr>
                <w:rFonts w:ascii="Times New Roman" w:hAnsi="Times New Roman" w:cs="Times New Roman"/>
                <w:sz w:val="24"/>
                <w:szCs w:val="24"/>
                <w:lang w:val="fr-FR"/>
              </w:rPr>
              <w:t>congelés</w:t>
            </w:r>
          </w:p>
        </w:tc>
        <w:tc>
          <w:tcPr>
            <w:tcW w:w="1080"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20%</w:t>
            </w:r>
          </w:p>
        </w:tc>
        <w:tc>
          <w:tcPr>
            <w:tcW w:w="1320"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128</w:t>
            </w:r>
            <w:r w:rsidR="00103678">
              <w:rPr>
                <w:rFonts w:ascii="Times New Roman" w:hAnsi="Times New Roman" w:cs="Times New Roman"/>
                <w:sz w:val="24"/>
                <w:szCs w:val="24"/>
              </w:rPr>
              <w:t>,</w:t>
            </w:r>
            <w:r w:rsidRPr="000C0BD3">
              <w:rPr>
                <w:rFonts w:ascii="Times New Roman" w:hAnsi="Times New Roman" w:cs="Times New Roman"/>
                <w:sz w:val="24"/>
                <w:szCs w:val="24"/>
              </w:rPr>
              <w:t>39</w:t>
            </w:r>
          </w:p>
        </w:tc>
        <w:tc>
          <w:tcPr>
            <w:tcW w:w="1185" w:type="dxa"/>
            <w:tcBorders>
              <w:bottom w:val="single" w:sz="4" w:space="0" w:color="auto"/>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292</w:t>
            </w:r>
            <w:r w:rsidR="00103678">
              <w:rPr>
                <w:rFonts w:ascii="Times New Roman" w:hAnsi="Times New Roman" w:cs="Times New Roman"/>
                <w:sz w:val="24"/>
                <w:szCs w:val="24"/>
              </w:rPr>
              <w:t>,</w:t>
            </w:r>
            <w:r w:rsidRPr="000C0BD3">
              <w:rPr>
                <w:rFonts w:ascii="Times New Roman" w:hAnsi="Times New Roman" w:cs="Times New Roman"/>
                <w:sz w:val="24"/>
                <w:szCs w:val="24"/>
              </w:rPr>
              <w:t>70</w:t>
            </w:r>
          </w:p>
        </w:tc>
      </w:tr>
      <w:tr w:rsidR="009E6896" w:rsidRPr="000A3A2E" w:rsidTr="00FD2D4C">
        <w:tc>
          <w:tcPr>
            <w:tcW w:w="7430" w:type="dxa"/>
            <w:gridSpan w:val="4"/>
            <w:tcBorders>
              <w:left w:val="nil"/>
              <w:bottom w:val="nil"/>
              <w:right w:val="nil"/>
            </w:tcBorders>
            <w:vAlign w:val="center"/>
          </w:tcPr>
          <w:p w:rsidR="009E6896" w:rsidRPr="00BB2D15" w:rsidRDefault="009E6896" w:rsidP="0084736B">
            <w:pPr>
              <w:widowControl w:val="0"/>
              <w:jc w:val="both"/>
              <w:rPr>
                <w:rFonts w:ascii="Times New Roman" w:hAnsi="Times New Roman" w:cs="Times New Roman"/>
                <w:sz w:val="24"/>
                <w:szCs w:val="24"/>
                <w:lang w:val="fr-BE"/>
              </w:rPr>
            </w:pPr>
            <w:r w:rsidRPr="00BB2D15">
              <w:rPr>
                <w:rFonts w:ascii="Times New Roman" w:hAnsi="Times New Roman" w:cs="Times New Roman"/>
                <w:sz w:val="24"/>
                <w:szCs w:val="24"/>
                <w:lang w:val="fr-BE"/>
              </w:rPr>
              <w:t xml:space="preserve">(*) </w:t>
            </w:r>
            <w:r w:rsidR="00251BBD" w:rsidRPr="00BB2D15">
              <w:rPr>
                <w:rFonts w:ascii="Times New Roman" w:hAnsi="Times New Roman" w:cs="Times New Roman"/>
                <w:sz w:val="24"/>
                <w:szCs w:val="24"/>
                <w:lang w:val="fr-BE"/>
              </w:rPr>
              <w:t>Droit de douane applicable dans l’Union sous le r</w:t>
            </w:r>
            <w:r w:rsidR="00251BBD">
              <w:rPr>
                <w:rFonts w:ascii="Times New Roman" w:hAnsi="Times New Roman" w:cs="Times New Roman"/>
                <w:sz w:val="24"/>
                <w:szCs w:val="24"/>
                <w:lang w:val="fr-BE"/>
              </w:rPr>
              <w:t>é</w:t>
            </w:r>
            <w:r w:rsidR="00251BBD" w:rsidRPr="00BB2D15">
              <w:rPr>
                <w:rFonts w:ascii="Times New Roman" w:hAnsi="Times New Roman" w:cs="Times New Roman"/>
                <w:sz w:val="24"/>
                <w:szCs w:val="24"/>
                <w:lang w:val="fr-BE"/>
              </w:rPr>
              <w:t xml:space="preserve">gime de la nation la plus favorisée (aucune </w:t>
            </w:r>
            <w:r w:rsidR="00251BBD">
              <w:rPr>
                <w:rFonts w:ascii="Times New Roman" w:hAnsi="Times New Roman" w:cs="Times New Roman"/>
                <w:sz w:val="24"/>
                <w:szCs w:val="24"/>
                <w:lang w:val="fr-BE"/>
              </w:rPr>
              <w:t>préfé</w:t>
            </w:r>
            <w:r w:rsidR="00251BBD" w:rsidRPr="00BB2D15">
              <w:rPr>
                <w:rFonts w:ascii="Times New Roman" w:hAnsi="Times New Roman" w:cs="Times New Roman"/>
                <w:sz w:val="24"/>
                <w:szCs w:val="24"/>
                <w:lang w:val="fr-BE"/>
              </w:rPr>
              <w:t>rence n’est appliquée</w:t>
            </w:r>
            <w:r w:rsidR="00251BBD">
              <w:rPr>
                <w:rFonts w:ascii="Times New Roman" w:hAnsi="Times New Roman" w:cs="Times New Roman"/>
                <w:sz w:val="24"/>
                <w:szCs w:val="24"/>
                <w:lang w:val="fr-BE"/>
              </w:rPr>
              <w:t>)</w:t>
            </w:r>
          </w:p>
        </w:tc>
      </w:tr>
    </w:tbl>
    <w:p w:rsidR="009E6896" w:rsidRPr="00BB2D15" w:rsidRDefault="009E6896" w:rsidP="0084736B">
      <w:pPr>
        <w:widowControl w:val="0"/>
        <w:spacing w:after="0" w:line="240" w:lineRule="auto"/>
        <w:jc w:val="both"/>
        <w:rPr>
          <w:rFonts w:ascii="Times New Roman" w:hAnsi="Times New Roman" w:cs="Times New Roman"/>
          <w:sz w:val="24"/>
          <w:szCs w:val="24"/>
          <w:lang w:val="fr-BE"/>
        </w:rPr>
      </w:pPr>
    </w:p>
    <w:p w:rsidR="009E6896" w:rsidRPr="00D86DBD" w:rsidRDefault="00103678" w:rsidP="0084736B">
      <w:pPr>
        <w:widowControl w:val="0"/>
        <w:spacing w:after="0" w:line="240" w:lineRule="auto"/>
        <w:jc w:val="both"/>
        <w:rPr>
          <w:rFonts w:ascii="Times New Roman" w:hAnsi="Times New Roman" w:cs="Times New Roman"/>
          <w:sz w:val="24"/>
          <w:szCs w:val="24"/>
          <w:lang w:val="fr-BE"/>
        </w:rPr>
      </w:pPr>
      <w:r w:rsidRPr="00D86DBD">
        <w:rPr>
          <w:rFonts w:ascii="Times New Roman" w:hAnsi="Times New Roman" w:cs="Times New Roman"/>
          <w:sz w:val="24"/>
          <w:szCs w:val="24"/>
          <w:lang w:val="fr-BE"/>
        </w:rPr>
        <w:t>Enfin, en termes d’</w:t>
      </w:r>
      <w:r w:rsidRPr="00DB3D18">
        <w:rPr>
          <w:rFonts w:ascii="Times New Roman" w:hAnsi="Times New Roman" w:cs="Times New Roman"/>
          <w:b/>
          <w:i/>
          <w:sz w:val="24"/>
          <w:szCs w:val="24"/>
          <w:lang w:val="fr-BE"/>
        </w:rPr>
        <w:t xml:space="preserve">emplois générés </w:t>
      </w:r>
      <w:r w:rsidR="003765CD" w:rsidRPr="00DB3D18">
        <w:rPr>
          <w:rFonts w:ascii="Times New Roman" w:hAnsi="Times New Roman" w:cs="Times New Roman"/>
          <w:b/>
          <w:i/>
          <w:sz w:val="24"/>
          <w:szCs w:val="24"/>
          <w:lang w:val="fr-BE"/>
        </w:rPr>
        <w:t>directement ou indirectement</w:t>
      </w:r>
      <w:r w:rsidR="003765CD">
        <w:rPr>
          <w:rFonts w:ascii="Times New Roman" w:hAnsi="Times New Roman" w:cs="Times New Roman"/>
          <w:sz w:val="24"/>
          <w:szCs w:val="24"/>
          <w:lang w:val="fr-BE"/>
        </w:rPr>
        <w:t xml:space="preserve"> </w:t>
      </w:r>
      <w:r w:rsidRPr="00D86DBD">
        <w:rPr>
          <w:rFonts w:ascii="Times New Roman" w:hAnsi="Times New Roman" w:cs="Times New Roman"/>
          <w:sz w:val="24"/>
          <w:szCs w:val="24"/>
          <w:lang w:val="fr-BE"/>
        </w:rPr>
        <w:t>au S</w:t>
      </w:r>
      <w:r w:rsidR="00251BBD">
        <w:rPr>
          <w:rFonts w:ascii="Times New Roman" w:hAnsi="Times New Roman" w:cs="Times New Roman"/>
          <w:sz w:val="24"/>
          <w:szCs w:val="24"/>
          <w:lang w:val="fr-BE"/>
        </w:rPr>
        <w:t>ahara occidental</w:t>
      </w:r>
      <w:r w:rsidRPr="00D86DBD">
        <w:rPr>
          <w:rFonts w:ascii="Times New Roman" w:hAnsi="Times New Roman" w:cs="Times New Roman"/>
          <w:sz w:val="24"/>
          <w:szCs w:val="24"/>
          <w:lang w:val="fr-BE"/>
        </w:rPr>
        <w:t xml:space="preserve"> par la production et la transformation de produits de la pêche, soit directement sur les navires de pêche, dans les établissements de transformation de produits de la pêche </w:t>
      </w:r>
      <w:r w:rsidR="00251BBD">
        <w:rPr>
          <w:rFonts w:ascii="Times New Roman" w:hAnsi="Times New Roman" w:cs="Times New Roman"/>
          <w:sz w:val="24"/>
          <w:szCs w:val="24"/>
          <w:lang w:val="fr-BE"/>
        </w:rPr>
        <w:t>ou</w:t>
      </w:r>
      <w:r w:rsidRPr="00D86DBD">
        <w:rPr>
          <w:rFonts w:ascii="Times New Roman" w:hAnsi="Times New Roman" w:cs="Times New Roman"/>
          <w:sz w:val="24"/>
          <w:szCs w:val="24"/>
          <w:lang w:val="fr-BE"/>
        </w:rPr>
        <w:t xml:space="preserve"> générés dans les industries liées à la production de produits de la pêche</w:t>
      </w:r>
      <w:r w:rsidR="00570A62" w:rsidRPr="00D86DBD">
        <w:rPr>
          <w:rFonts w:ascii="Times New Roman" w:hAnsi="Times New Roman" w:cs="Times New Roman"/>
          <w:sz w:val="24"/>
          <w:szCs w:val="24"/>
          <w:lang w:val="fr-BE"/>
        </w:rPr>
        <w:t>, les chiffres sont les suivants</w:t>
      </w:r>
      <w:r w:rsidR="008D7994">
        <w:rPr>
          <w:rStyle w:val="FootnoteReference"/>
          <w:rFonts w:ascii="Times New Roman" w:hAnsi="Times New Roman" w:cs="Times New Roman"/>
          <w:sz w:val="24"/>
          <w:szCs w:val="24"/>
          <w:lang w:val="fr-BE"/>
        </w:rPr>
        <w:footnoteReference w:id="37"/>
      </w:r>
      <w:r w:rsidR="009E6896" w:rsidRPr="00D86DBD">
        <w:rPr>
          <w:rFonts w:ascii="Times New Roman" w:hAnsi="Times New Roman" w:cs="Times New Roman"/>
          <w:sz w:val="24"/>
          <w:szCs w:val="24"/>
          <w:lang w:val="fr-BE"/>
        </w:rPr>
        <w:t>:</w:t>
      </w:r>
    </w:p>
    <w:p w:rsidR="009E6896" w:rsidRPr="00D86DBD" w:rsidRDefault="009E6896" w:rsidP="0084736B">
      <w:pPr>
        <w:widowControl w:val="0"/>
        <w:spacing w:after="0" w:line="240" w:lineRule="auto"/>
        <w:jc w:val="both"/>
        <w:rPr>
          <w:rFonts w:ascii="Times New Roman" w:hAnsi="Times New Roman" w:cs="Times New Roman"/>
          <w:sz w:val="24"/>
          <w:szCs w:val="24"/>
          <w:lang w:val="fr-BE"/>
        </w:rPr>
      </w:pPr>
    </w:p>
    <w:tbl>
      <w:tblPr>
        <w:tblStyle w:val="TableGrid"/>
        <w:tblW w:w="0" w:type="auto"/>
        <w:tblInd w:w="842" w:type="dxa"/>
        <w:tblLook w:val="04A0" w:firstRow="1" w:lastRow="0" w:firstColumn="1" w:lastColumn="0" w:noHBand="0" w:noVBand="1"/>
      </w:tblPr>
      <w:tblGrid>
        <w:gridCol w:w="2160"/>
        <w:gridCol w:w="1440"/>
        <w:gridCol w:w="1536"/>
        <w:gridCol w:w="1200"/>
        <w:gridCol w:w="1140"/>
      </w:tblGrid>
      <w:tr w:rsidR="009E6896" w:rsidRPr="00493B88" w:rsidTr="005D7A65">
        <w:tc>
          <w:tcPr>
            <w:tcW w:w="2160" w:type="dxa"/>
            <w:shd w:val="clear" w:color="auto" w:fill="D9D9D9" w:themeFill="background1" w:themeFillShade="D9"/>
            <w:vAlign w:val="center"/>
          </w:tcPr>
          <w:p w:rsidR="009E6896" w:rsidRPr="008F1B78" w:rsidRDefault="00570A62" w:rsidP="0084736B">
            <w:pPr>
              <w:widowControl w:val="0"/>
              <w:jc w:val="center"/>
              <w:rPr>
                <w:rFonts w:ascii="Times New Roman" w:hAnsi="Times New Roman" w:cs="Times New Roman"/>
                <w:b/>
                <w:sz w:val="24"/>
                <w:szCs w:val="24"/>
                <w:lang w:val="fr-FR"/>
              </w:rPr>
            </w:pPr>
            <w:r>
              <w:rPr>
                <w:rFonts w:ascii="Times New Roman" w:hAnsi="Times New Roman" w:cs="Times New Roman"/>
                <w:b/>
                <w:sz w:val="24"/>
                <w:szCs w:val="24"/>
              </w:rPr>
              <w:t>Ville</w:t>
            </w:r>
          </w:p>
        </w:tc>
        <w:tc>
          <w:tcPr>
            <w:tcW w:w="2976" w:type="dxa"/>
            <w:gridSpan w:val="2"/>
            <w:shd w:val="clear" w:color="auto" w:fill="D9D9D9" w:themeFill="background1" w:themeFillShade="D9"/>
            <w:vAlign w:val="center"/>
          </w:tcPr>
          <w:p w:rsidR="009E6896" w:rsidRPr="000C0BD3" w:rsidRDefault="00570A62" w:rsidP="0084736B">
            <w:pPr>
              <w:widowControl w:val="0"/>
              <w:jc w:val="center"/>
              <w:rPr>
                <w:rFonts w:ascii="Times New Roman" w:hAnsi="Times New Roman" w:cs="Times New Roman"/>
                <w:b/>
                <w:sz w:val="24"/>
                <w:szCs w:val="24"/>
              </w:rPr>
            </w:pPr>
            <w:r w:rsidRPr="008F1B78">
              <w:rPr>
                <w:rFonts w:ascii="Times New Roman" w:hAnsi="Times New Roman" w:cs="Times New Roman"/>
                <w:b/>
                <w:sz w:val="24"/>
                <w:szCs w:val="24"/>
                <w:lang w:val="fr-FR"/>
              </w:rPr>
              <w:t>Nombre d’employés</w:t>
            </w:r>
          </w:p>
        </w:tc>
        <w:tc>
          <w:tcPr>
            <w:tcW w:w="1200" w:type="dxa"/>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2015</w:t>
            </w:r>
          </w:p>
        </w:tc>
        <w:tc>
          <w:tcPr>
            <w:tcW w:w="1140" w:type="dxa"/>
            <w:shd w:val="clear" w:color="auto" w:fill="D9D9D9" w:themeFill="background1" w:themeFillShade="D9"/>
            <w:vAlign w:val="center"/>
          </w:tcPr>
          <w:p w:rsidR="009E6896" w:rsidRPr="000C0BD3" w:rsidRDefault="009E6896" w:rsidP="0084736B">
            <w:pPr>
              <w:widowControl w:val="0"/>
              <w:jc w:val="center"/>
              <w:rPr>
                <w:rFonts w:ascii="Times New Roman" w:hAnsi="Times New Roman" w:cs="Times New Roman"/>
                <w:b/>
                <w:sz w:val="24"/>
                <w:szCs w:val="24"/>
              </w:rPr>
            </w:pPr>
            <w:r w:rsidRPr="000C0BD3">
              <w:rPr>
                <w:rFonts w:ascii="Times New Roman" w:hAnsi="Times New Roman" w:cs="Times New Roman"/>
                <w:b/>
                <w:sz w:val="24"/>
                <w:szCs w:val="24"/>
              </w:rPr>
              <w:t>2016</w:t>
            </w:r>
          </w:p>
        </w:tc>
      </w:tr>
      <w:tr w:rsidR="009E6896" w:rsidRPr="00570A62" w:rsidTr="005D7A65">
        <w:tc>
          <w:tcPr>
            <w:tcW w:w="2160" w:type="dxa"/>
            <w:vMerge w:val="restart"/>
            <w:vAlign w:val="center"/>
          </w:tcPr>
          <w:p w:rsidR="009E6896" w:rsidRPr="000C0BD3" w:rsidRDefault="009E6896" w:rsidP="0084736B">
            <w:pPr>
              <w:widowControl w:val="0"/>
              <w:jc w:val="center"/>
              <w:rPr>
                <w:rFonts w:ascii="Times New Roman" w:hAnsi="Times New Roman" w:cs="Times New Roman"/>
                <w:sz w:val="24"/>
                <w:szCs w:val="24"/>
              </w:rPr>
            </w:pPr>
            <w:r w:rsidRPr="00060083">
              <w:rPr>
                <w:rFonts w:ascii="Times New Roman" w:hAnsi="Times New Roman" w:cs="Times New Roman"/>
                <w:sz w:val="24"/>
                <w:szCs w:val="24"/>
                <w:lang w:val="fr-FR"/>
              </w:rPr>
              <w:t>Dakhla</w:t>
            </w:r>
          </w:p>
        </w:tc>
        <w:tc>
          <w:tcPr>
            <w:tcW w:w="1440" w:type="dxa"/>
            <w:vMerge w:val="restart"/>
            <w:vAlign w:val="center"/>
          </w:tcPr>
          <w:p w:rsidR="009E6896" w:rsidRPr="008F1B78" w:rsidRDefault="00570A62" w:rsidP="0084736B">
            <w:pPr>
              <w:widowControl w:val="0"/>
              <w:jc w:val="center"/>
              <w:rPr>
                <w:rFonts w:ascii="Times New Roman" w:hAnsi="Times New Roman" w:cs="Times New Roman"/>
                <w:sz w:val="24"/>
                <w:szCs w:val="24"/>
                <w:lang w:val="fr-FR"/>
              </w:rPr>
            </w:pPr>
            <w:r>
              <w:rPr>
                <w:rFonts w:ascii="Times New Roman" w:hAnsi="Times New Roman" w:cs="Times New Roman"/>
                <w:sz w:val="24"/>
                <w:szCs w:val="24"/>
              </w:rPr>
              <w:t>A</w:t>
            </w:r>
            <w:r w:rsidRPr="008F1B78">
              <w:rPr>
                <w:rFonts w:ascii="Times New Roman" w:hAnsi="Times New Roman" w:cs="Times New Roman"/>
                <w:sz w:val="24"/>
                <w:szCs w:val="24"/>
                <w:lang w:val="fr-FR"/>
              </w:rPr>
              <w:t xml:space="preserve"> terre</w:t>
            </w:r>
          </w:p>
        </w:tc>
        <w:tc>
          <w:tcPr>
            <w:tcW w:w="1536" w:type="dxa"/>
            <w:tcBorders>
              <w:bottom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8F1B78">
              <w:rPr>
                <w:rFonts w:ascii="Times New Roman" w:hAnsi="Times New Roman" w:cs="Times New Roman"/>
                <w:sz w:val="24"/>
                <w:szCs w:val="24"/>
                <w:lang w:val="fr-FR"/>
              </w:rPr>
              <w:t>Tempora</w:t>
            </w:r>
            <w:r w:rsidR="00570A62" w:rsidRPr="008F1B78">
              <w:rPr>
                <w:rFonts w:ascii="Times New Roman" w:hAnsi="Times New Roman" w:cs="Times New Roman"/>
                <w:sz w:val="24"/>
                <w:szCs w:val="24"/>
                <w:lang w:val="fr-FR"/>
              </w:rPr>
              <w:t>ires</w:t>
            </w:r>
          </w:p>
        </w:tc>
        <w:tc>
          <w:tcPr>
            <w:tcW w:w="1200" w:type="dxa"/>
            <w:tcBorders>
              <w:bottom w:val="nil"/>
            </w:tcBorders>
            <w:vAlign w:val="center"/>
          </w:tcPr>
          <w:p w:rsidR="009E6896" w:rsidRPr="000C0BD3" w:rsidRDefault="009E6896" w:rsidP="0084736B">
            <w:pPr>
              <w:widowControl w:val="0"/>
              <w:jc w:val="center"/>
              <w:rPr>
                <w:rFonts w:ascii="Times New Roman" w:hAnsi="Times New Roman" w:cs="Times New Roman"/>
                <w:sz w:val="24"/>
                <w:szCs w:val="24"/>
              </w:rPr>
            </w:pPr>
            <w:r w:rsidRPr="000C0BD3">
              <w:rPr>
                <w:rFonts w:ascii="Times New Roman" w:hAnsi="Times New Roman" w:cs="Times New Roman"/>
                <w:sz w:val="24"/>
                <w:szCs w:val="24"/>
              </w:rPr>
              <w:t>22</w:t>
            </w:r>
            <w:r w:rsidR="00570A62">
              <w:rPr>
                <w:rFonts w:ascii="Times New Roman" w:hAnsi="Times New Roman" w:cs="Times New Roman"/>
                <w:sz w:val="24"/>
                <w:szCs w:val="24"/>
              </w:rPr>
              <w:t>.</w:t>
            </w:r>
            <w:r w:rsidRPr="000C0BD3">
              <w:rPr>
                <w:rFonts w:ascii="Times New Roman" w:hAnsi="Times New Roman" w:cs="Times New Roman"/>
                <w:sz w:val="24"/>
                <w:szCs w:val="24"/>
              </w:rPr>
              <w:t>915</w:t>
            </w:r>
          </w:p>
        </w:tc>
        <w:tc>
          <w:tcPr>
            <w:tcW w:w="114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23</w:t>
            </w:r>
            <w:r w:rsidR="00570A62" w:rsidRP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931</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536"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Permanent</w:t>
            </w:r>
            <w:r w:rsidR="00570A62">
              <w:rPr>
                <w:rFonts w:ascii="Times New Roman" w:hAnsi="Times New Roman" w:cs="Times New Roman"/>
                <w:sz w:val="24"/>
                <w:szCs w:val="24"/>
                <w:lang w:val="fr-BE"/>
              </w:rPr>
              <w:t>s</w:t>
            </w:r>
          </w:p>
        </w:tc>
        <w:tc>
          <w:tcPr>
            <w:tcW w:w="120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7</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638</w:t>
            </w:r>
          </w:p>
        </w:tc>
        <w:tc>
          <w:tcPr>
            <w:tcW w:w="114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7</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977</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restart"/>
            <w:vAlign w:val="center"/>
          </w:tcPr>
          <w:p w:rsidR="009E6896" w:rsidRPr="00570A62" w:rsidRDefault="00570A62"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En mer</w:t>
            </w:r>
          </w:p>
        </w:tc>
        <w:tc>
          <w:tcPr>
            <w:tcW w:w="1536"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Tempora</w:t>
            </w:r>
            <w:r w:rsidR="00570A62">
              <w:rPr>
                <w:rFonts w:ascii="Times New Roman" w:hAnsi="Times New Roman" w:cs="Times New Roman"/>
                <w:sz w:val="24"/>
                <w:szCs w:val="24"/>
                <w:lang w:val="fr-BE"/>
              </w:rPr>
              <w:t>ires</w:t>
            </w:r>
          </w:p>
        </w:tc>
        <w:tc>
          <w:tcPr>
            <w:tcW w:w="120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w:t>
            </w:r>
          </w:p>
        </w:tc>
        <w:tc>
          <w:tcPr>
            <w:tcW w:w="114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536"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Permanent</w:t>
            </w:r>
            <w:r w:rsidR="00570A62">
              <w:rPr>
                <w:rFonts w:ascii="Times New Roman" w:hAnsi="Times New Roman" w:cs="Times New Roman"/>
                <w:sz w:val="24"/>
                <w:szCs w:val="24"/>
                <w:lang w:val="fr-BE"/>
              </w:rPr>
              <w:t>s</w:t>
            </w:r>
          </w:p>
        </w:tc>
        <w:tc>
          <w:tcPr>
            <w:tcW w:w="120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15</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082</w:t>
            </w:r>
          </w:p>
        </w:tc>
        <w:tc>
          <w:tcPr>
            <w:tcW w:w="114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15</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082</w:t>
            </w:r>
          </w:p>
        </w:tc>
      </w:tr>
      <w:tr w:rsidR="009E6896" w:rsidRPr="00570A62" w:rsidTr="005D7A65">
        <w:tc>
          <w:tcPr>
            <w:tcW w:w="2160" w:type="dxa"/>
            <w:vMerge w:val="restart"/>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Laâyoune</w:t>
            </w:r>
          </w:p>
        </w:tc>
        <w:tc>
          <w:tcPr>
            <w:tcW w:w="1440" w:type="dxa"/>
            <w:vMerge w:val="restart"/>
            <w:vAlign w:val="center"/>
          </w:tcPr>
          <w:p w:rsidR="009E6896" w:rsidRPr="00570A62" w:rsidRDefault="00570A62"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A terre</w:t>
            </w:r>
          </w:p>
        </w:tc>
        <w:tc>
          <w:tcPr>
            <w:tcW w:w="1536"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Tempora</w:t>
            </w:r>
            <w:r w:rsidR="00570A62">
              <w:rPr>
                <w:rFonts w:ascii="Times New Roman" w:hAnsi="Times New Roman" w:cs="Times New Roman"/>
                <w:sz w:val="24"/>
                <w:szCs w:val="24"/>
                <w:lang w:val="fr-BE"/>
              </w:rPr>
              <w:t>ires</w:t>
            </w:r>
          </w:p>
        </w:tc>
        <w:tc>
          <w:tcPr>
            <w:tcW w:w="120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14</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338</w:t>
            </w:r>
          </w:p>
        </w:tc>
        <w:tc>
          <w:tcPr>
            <w:tcW w:w="114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14</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973</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536"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Permanent</w:t>
            </w:r>
            <w:r w:rsidR="00570A62">
              <w:rPr>
                <w:rFonts w:ascii="Times New Roman" w:hAnsi="Times New Roman" w:cs="Times New Roman"/>
                <w:sz w:val="24"/>
                <w:szCs w:val="24"/>
                <w:lang w:val="fr-BE"/>
              </w:rPr>
              <w:t>s</w:t>
            </w:r>
          </w:p>
        </w:tc>
        <w:tc>
          <w:tcPr>
            <w:tcW w:w="120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4</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779</w:t>
            </w:r>
          </w:p>
        </w:tc>
        <w:tc>
          <w:tcPr>
            <w:tcW w:w="114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4</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991</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restart"/>
            <w:vAlign w:val="center"/>
          </w:tcPr>
          <w:p w:rsidR="009E6896" w:rsidRPr="00570A62" w:rsidRDefault="00570A62"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En mer</w:t>
            </w:r>
          </w:p>
        </w:tc>
        <w:tc>
          <w:tcPr>
            <w:tcW w:w="1536"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Tempora</w:t>
            </w:r>
            <w:r w:rsidR="00570A62">
              <w:rPr>
                <w:rFonts w:ascii="Times New Roman" w:hAnsi="Times New Roman" w:cs="Times New Roman"/>
                <w:sz w:val="24"/>
                <w:szCs w:val="24"/>
                <w:lang w:val="fr-BE"/>
              </w:rPr>
              <w:t>ires</w:t>
            </w:r>
          </w:p>
        </w:tc>
        <w:tc>
          <w:tcPr>
            <w:tcW w:w="120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w:t>
            </w:r>
          </w:p>
        </w:tc>
        <w:tc>
          <w:tcPr>
            <w:tcW w:w="114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536"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Permanent</w:t>
            </w:r>
            <w:r w:rsidR="00570A62">
              <w:rPr>
                <w:rFonts w:ascii="Times New Roman" w:hAnsi="Times New Roman" w:cs="Times New Roman"/>
                <w:sz w:val="24"/>
                <w:szCs w:val="24"/>
                <w:lang w:val="fr-BE"/>
              </w:rPr>
              <w:t>s</w:t>
            </w:r>
          </w:p>
        </w:tc>
        <w:tc>
          <w:tcPr>
            <w:tcW w:w="120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15</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633</w:t>
            </w:r>
          </w:p>
        </w:tc>
        <w:tc>
          <w:tcPr>
            <w:tcW w:w="114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15</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633</w:t>
            </w:r>
          </w:p>
        </w:tc>
      </w:tr>
      <w:tr w:rsidR="009E6896" w:rsidRPr="00570A62" w:rsidTr="005D7A65">
        <w:tc>
          <w:tcPr>
            <w:tcW w:w="2160" w:type="dxa"/>
            <w:vMerge w:val="restart"/>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Boujdour</w:t>
            </w:r>
          </w:p>
        </w:tc>
        <w:tc>
          <w:tcPr>
            <w:tcW w:w="1440" w:type="dxa"/>
            <w:vMerge w:val="restart"/>
            <w:vAlign w:val="center"/>
          </w:tcPr>
          <w:p w:rsidR="009E6896" w:rsidRPr="00570A62" w:rsidRDefault="00570A62"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A terre</w:t>
            </w:r>
          </w:p>
        </w:tc>
        <w:tc>
          <w:tcPr>
            <w:tcW w:w="1536"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Tempora</w:t>
            </w:r>
            <w:r w:rsidR="00570A62">
              <w:rPr>
                <w:rFonts w:ascii="Times New Roman" w:hAnsi="Times New Roman" w:cs="Times New Roman"/>
                <w:sz w:val="24"/>
                <w:szCs w:val="24"/>
                <w:lang w:val="fr-BE"/>
              </w:rPr>
              <w:t>ires</w:t>
            </w:r>
          </w:p>
        </w:tc>
        <w:tc>
          <w:tcPr>
            <w:tcW w:w="120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419</w:t>
            </w:r>
          </w:p>
        </w:tc>
        <w:tc>
          <w:tcPr>
            <w:tcW w:w="114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1</w:t>
            </w:r>
            <w:r w:rsidR="00570A62">
              <w:rPr>
                <w:rFonts w:ascii="Times New Roman" w:hAnsi="Times New Roman" w:cs="Times New Roman"/>
                <w:sz w:val="24"/>
                <w:szCs w:val="24"/>
                <w:lang w:val="fr-BE"/>
              </w:rPr>
              <w:t>.</w:t>
            </w:r>
            <w:r w:rsidRPr="00570A62">
              <w:rPr>
                <w:rFonts w:ascii="Times New Roman" w:hAnsi="Times New Roman" w:cs="Times New Roman"/>
                <w:sz w:val="24"/>
                <w:szCs w:val="24"/>
                <w:lang w:val="fr-BE"/>
              </w:rPr>
              <w:t>482</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536"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Permanent</w:t>
            </w:r>
            <w:r w:rsidR="00570A62">
              <w:rPr>
                <w:rFonts w:ascii="Times New Roman" w:hAnsi="Times New Roman" w:cs="Times New Roman"/>
                <w:sz w:val="24"/>
                <w:szCs w:val="24"/>
                <w:lang w:val="fr-BE"/>
              </w:rPr>
              <w:t>s</w:t>
            </w:r>
          </w:p>
        </w:tc>
        <w:tc>
          <w:tcPr>
            <w:tcW w:w="120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473</w:t>
            </w:r>
          </w:p>
        </w:tc>
        <w:tc>
          <w:tcPr>
            <w:tcW w:w="114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494</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restart"/>
            <w:vAlign w:val="center"/>
          </w:tcPr>
          <w:p w:rsidR="009E6896" w:rsidRPr="00570A62" w:rsidRDefault="00570A62"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En mer</w:t>
            </w:r>
          </w:p>
        </w:tc>
        <w:tc>
          <w:tcPr>
            <w:tcW w:w="1536"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Tempora</w:t>
            </w:r>
            <w:r w:rsidR="00570A62">
              <w:rPr>
                <w:rFonts w:ascii="Times New Roman" w:hAnsi="Times New Roman" w:cs="Times New Roman"/>
                <w:sz w:val="24"/>
                <w:szCs w:val="24"/>
                <w:lang w:val="fr-BE"/>
              </w:rPr>
              <w:t>ires</w:t>
            </w:r>
          </w:p>
        </w:tc>
        <w:tc>
          <w:tcPr>
            <w:tcW w:w="120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w:t>
            </w:r>
          </w:p>
        </w:tc>
        <w:tc>
          <w:tcPr>
            <w:tcW w:w="1140" w:type="dxa"/>
            <w:tcBorders>
              <w:bottom w:val="nil"/>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w:t>
            </w:r>
          </w:p>
        </w:tc>
      </w:tr>
      <w:tr w:rsidR="009E6896" w:rsidRPr="00570A62" w:rsidTr="005D7A65">
        <w:tc>
          <w:tcPr>
            <w:tcW w:w="216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440" w:type="dxa"/>
            <w:vMerge/>
            <w:vAlign w:val="center"/>
          </w:tcPr>
          <w:p w:rsidR="009E6896" w:rsidRPr="00570A62" w:rsidRDefault="009E6896" w:rsidP="0084736B">
            <w:pPr>
              <w:widowControl w:val="0"/>
              <w:jc w:val="center"/>
              <w:rPr>
                <w:rFonts w:ascii="Times New Roman" w:hAnsi="Times New Roman" w:cs="Times New Roman"/>
                <w:sz w:val="24"/>
                <w:szCs w:val="24"/>
                <w:lang w:val="fr-BE"/>
              </w:rPr>
            </w:pPr>
          </w:p>
        </w:tc>
        <w:tc>
          <w:tcPr>
            <w:tcW w:w="1536"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lang w:val="fr-BE"/>
              </w:rPr>
            </w:pPr>
            <w:r w:rsidRPr="00570A62">
              <w:rPr>
                <w:rFonts w:ascii="Times New Roman" w:hAnsi="Times New Roman" w:cs="Times New Roman"/>
                <w:sz w:val="24"/>
                <w:szCs w:val="24"/>
                <w:lang w:val="fr-BE"/>
              </w:rPr>
              <w:t>Permanent</w:t>
            </w:r>
            <w:r w:rsidR="00570A62">
              <w:rPr>
                <w:rFonts w:ascii="Times New Roman" w:hAnsi="Times New Roman" w:cs="Times New Roman"/>
                <w:sz w:val="24"/>
                <w:szCs w:val="24"/>
                <w:lang w:val="fr-BE"/>
              </w:rPr>
              <w:t>s</w:t>
            </w:r>
          </w:p>
        </w:tc>
        <w:tc>
          <w:tcPr>
            <w:tcW w:w="120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rPr>
            </w:pPr>
            <w:r w:rsidRPr="00570A62">
              <w:rPr>
                <w:rFonts w:ascii="Times New Roman" w:hAnsi="Times New Roman" w:cs="Times New Roman"/>
                <w:sz w:val="24"/>
                <w:szCs w:val="24"/>
              </w:rPr>
              <w:t>5</w:t>
            </w:r>
            <w:r w:rsidR="00570A62" w:rsidRPr="00D86DBD">
              <w:rPr>
                <w:rFonts w:ascii="Times New Roman" w:hAnsi="Times New Roman" w:cs="Times New Roman"/>
                <w:sz w:val="24"/>
                <w:szCs w:val="24"/>
              </w:rPr>
              <w:t>.</w:t>
            </w:r>
            <w:r w:rsidRPr="00570A62">
              <w:rPr>
                <w:rFonts w:ascii="Times New Roman" w:hAnsi="Times New Roman" w:cs="Times New Roman"/>
                <w:sz w:val="24"/>
                <w:szCs w:val="24"/>
              </w:rPr>
              <w:t>528</w:t>
            </w:r>
          </w:p>
        </w:tc>
        <w:tc>
          <w:tcPr>
            <w:tcW w:w="1140" w:type="dxa"/>
            <w:tcBorders>
              <w:top w:val="nil"/>
              <w:bottom w:val="single" w:sz="4" w:space="0" w:color="auto"/>
            </w:tcBorders>
            <w:vAlign w:val="center"/>
          </w:tcPr>
          <w:p w:rsidR="009E6896" w:rsidRPr="00570A62" w:rsidRDefault="009E6896" w:rsidP="0084736B">
            <w:pPr>
              <w:widowControl w:val="0"/>
              <w:jc w:val="center"/>
              <w:rPr>
                <w:rFonts w:ascii="Times New Roman" w:hAnsi="Times New Roman" w:cs="Times New Roman"/>
                <w:sz w:val="24"/>
                <w:szCs w:val="24"/>
              </w:rPr>
            </w:pPr>
            <w:r w:rsidRPr="00570A62">
              <w:rPr>
                <w:rFonts w:ascii="Times New Roman" w:hAnsi="Times New Roman" w:cs="Times New Roman"/>
                <w:sz w:val="24"/>
                <w:szCs w:val="24"/>
              </w:rPr>
              <w:t>5</w:t>
            </w:r>
            <w:r w:rsidR="00570A62" w:rsidRPr="00D86DBD">
              <w:rPr>
                <w:rFonts w:ascii="Times New Roman" w:hAnsi="Times New Roman" w:cs="Times New Roman"/>
                <w:sz w:val="24"/>
                <w:szCs w:val="24"/>
              </w:rPr>
              <w:t>.</w:t>
            </w:r>
            <w:r w:rsidRPr="00570A62">
              <w:rPr>
                <w:rFonts w:ascii="Times New Roman" w:hAnsi="Times New Roman" w:cs="Times New Roman"/>
                <w:sz w:val="24"/>
                <w:szCs w:val="24"/>
              </w:rPr>
              <w:t>528</w:t>
            </w:r>
          </w:p>
        </w:tc>
      </w:tr>
      <w:tr w:rsidR="005D7A65" w:rsidRPr="005D7A65" w:rsidTr="005D7A65">
        <w:tc>
          <w:tcPr>
            <w:tcW w:w="2160" w:type="dxa"/>
            <w:vMerge w:val="restart"/>
          </w:tcPr>
          <w:p w:rsidR="005D7A65" w:rsidRPr="001E0577" w:rsidRDefault="005D7A65">
            <w:pPr>
              <w:widowControl w:val="0"/>
              <w:jc w:val="center"/>
              <w:rPr>
                <w:rFonts w:ascii="Times New Roman" w:hAnsi="Times New Roman" w:cs="Times New Roman"/>
                <w:b/>
                <w:sz w:val="24"/>
                <w:szCs w:val="24"/>
                <w:lang w:val="fr-BE"/>
              </w:rPr>
            </w:pPr>
          </w:p>
          <w:p w:rsidR="005D7A65" w:rsidRPr="001E0577" w:rsidRDefault="005D7A65">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TOTAL</w:t>
            </w:r>
          </w:p>
        </w:tc>
        <w:tc>
          <w:tcPr>
            <w:tcW w:w="1440" w:type="dxa"/>
            <w:vMerge w:val="restart"/>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A terre</w:t>
            </w:r>
          </w:p>
        </w:tc>
        <w:tc>
          <w:tcPr>
            <w:tcW w:w="1536"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Temporaires</w:t>
            </w:r>
          </w:p>
        </w:tc>
        <w:tc>
          <w:tcPr>
            <w:tcW w:w="1200" w:type="dxa"/>
          </w:tcPr>
          <w:p w:rsidR="005D7A65" w:rsidRPr="001E0577" w:rsidRDefault="005D7A65">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38.672</w:t>
            </w:r>
          </w:p>
        </w:tc>
        <w:tc>
          <w:tcPr>
            <w:tcW w:w="1140"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40.386</w:t>
            </w:r>
          </w:p>
        </w:tc>
      </w:tr>
      <w:tr w:rsidR="005D7A65" w:rsidRPr="005D7A65" w:rsidTr="005D7A65">
        <w:tc>
          <w:tcPr>
            <w:tcW w:w="2160" w:type="dxa"/>
            <w:vMerge/>
          </w:tcPr>
          <w:p w:rsidR="005D7A65" w:rsidRPr="001E0577" w:rsidRDefault="005D7A65" w:rsidP="001A7506">
            <w:pPr>
              <w:widowControl w:val="0"/>
              <w:jc w:val="center"/>
              <w:rPr>
                <w:rFonts w:ascii="Times New Roman" w:hAnsi="Times New Roman" w:cs="Times New Roman"/>
                <w:b/>
                <w:sz w:val="24"/>
                <w:szCs w:val="24"/>
                <w:lang w:val="fr-BE"/>
              </w:rPr>
            </w:pPr>
          </w:p>
        </w:tc>
        <w:tc>
          <w:tcPr>
            <w:tcW w:w="1440" w:type="dxa"/>
            <w:vMerge/>
          </w:tcPr>
          <w:p w:rsidR="005D7A65" w:rsidRPr="001E0577" w:rsidRDefault="005D7A65" w:rsidP="001A7506">
            <w:pPr>
              <w:widowControl w:val="0"/>
              <w:jc w:val="center"/>
              <w:rPr>
                <w:rFonts w:ascii="Times New Roman" w:hAnsi="Times New Roman" w:cs="Times New Roman"/>
                <w:b/>
                <w:sz w:val="24"/>
                <w:szCs w:val="24"/>
                <w:lang w:val="fr-BE"/>
              </w:rPr>
            </w:pPr>
          </w:p>
        </w:tc>
        <w:tc>
          <w:tcPr>
            <w:tcW w:w="1536"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Permanents</w:t>
            </w:r>
          </w:p>
        </w:tc>
        <w:tc>
          <w:tcPr>
            <w:tcW w:w="1200" w:type="dxa"/>
          </w:tcPr>
          <w:p w:rsidR="005D7A65" w:rsidRPr="001E0577" w:rsidRDefault="005D7A65">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12.891</w:t>
            </w:r>
          </w:p>
        </w:tc>
        <w:tc>
          <w:tcPr>
            <w:tcW w:w="1140"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13.462</w:t>
            </w:r>
          </w:p>
        </w:tc>
      </w:tr>
      <w:tr w:rsidR="005D7A65" w:rsidRPr="005D7A65" w:rsidTr="005D7A65">
        <w:tc>
          <w:tcPr>
            <w:tcW w:w="2160" w:type="dxa"/>
            <w:vMerge/>
          </w:tcPr>
          <w:p w:rsidR="005D7A65" w:rsidRPr="001E0577" w:rsidRDefault="005D7A65" w:rsidP="001A7506">
            <w:pPr>
              <w:widowControl w:val="0"/>
              <w:jc w:val="center"/>
              <w:rPr>
                <w:rFonts w:ascii="Times New Roman" w:hAnsi="Times New Roman" w:cs="Times New Roman"/>
                <w:b/>
                <w:sz w:val="24"/>
                <w:szCs w:val="24"/>
                <w:lang w:val="fr-BE"/>
              </w:rPr>
            </w:pPr>
          </w:p>
        </w:tc>
        <w:tc>
          <w:tcPr>
            <w:tcW w:w="1440" w:type="dxa"/>
            <w:vMerge w:val="restart"/>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En mer</w:t>
            </w:r>
          </w:p>
        </w:tc>
        <w:tc>
          <w:tcPr>
            <w:tcW w:w="1536"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Temporaires</w:t>
            </w:r>
          </w:p>
        </w:tc>
        <w:tc>
          <w:tcPr>
            <w:tcW w:w="1200"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w:t>
            </w:r>
          </w:p>
        </w:tc>
        <w:tc>
          <w:tcPr>
            <w:tcW w:w="1140"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w:t>
            </w:r>
          </w:p>
        </w:tc>
      </w:tr>
      <w:tr w:rsidR="005D7A65" w:rsidRPr="005D7A65" w:rsidTr="005D7A65">
        <w:tc>
          <w:tcPr>
            <w:tcW w:w="2160" w:type="dxa"/>
            <w:vMerge/>
          </w:tcPr>
          <w:p w:rsidR="005D7A65" w:rsidRPr="001E0577" w:rsidRDefault="005D7A65" w:rsidP="001A7506">
            <w:pPr>
              <w:widowControl w:val="0"/>
              <w:jc w:val="center"/>
              <w:rPr>
                <w:rFonts w:ascii="Times New Roman" w:hAnsi="Times New Roman" w:cs="Times New Roman"/>
                <w:b/>
                <w:sz w:val="24"/>
                <w:szCs w:val="24"/>
                <w:lang w:val="fr-BE"/>
              </w:rPr>
            </w:pPr>
          </w:p>
        </w:tc>
        <w:tc>
          <w:tcPr>
            <w:tcW w:w="1440" w:type="dxa"/>
            <w:vMerge/>
          </w:tcPr>
          <w:p w:rsidR="005D7A65" w:rsidRPr="001E0577" w:rsidRDefault="005D7A65" w:rsidP="001A7506">
            <w:pPr>
              <w:widowControl w:val="0"/>
              <w:jc w:val="center"/>
              <w:rPr>
                <w:rFonts w:ascii="Times New Roman" w:hAnsi="Times New Roman" w:cs="Times New Roman"/>
                <w:b/>
                <w:sz w:val="24"/>
                <w:szCs w:val="24"/>
                <w:lang w:val="fr-BE"/>
              </w:rPr>
            </w:pPr>
          </w:p>
        </w:tc>
        <w:tc>
          <w:tcPr>
            <w:tcW w:w="1536" w:type="dxa"/>
          </w:tcPr>
          <w:p w:rsidR="005D7A65" w:rsidRPr="001E0577" w:rsidRDefault="005D7A65" w:rsidP="001A7506">
            <w:pPr>
              <w:widowControl w:val="0"/>
              <w:jc w:val="center"/>
              <w:rPr>
                <w:rFonts w:ascii="Times New Roman" w:hAnsi="Times New Roman" w:cs="Times New Roman"/>
                <w:b/>
                <w:sz w:val="24"/>
                <w:szCs w:val="24"/>
                <w:lang w:val="fr-BE"/>
              </w:rPr>
            </w:pPr>
            <w:r w:rsidRPr="001E0577">
              <w:rPr>
                <w:rFonts w:ascii="Times New Roman" w:hAnsi="Times New Roman" w:cs="Times New Roman"/>
                <w:b/>
                <w:sz w:val="24"/>
                <w:szCs w:val="24"/>
                <w:lang w:val="fr-BE"/>
              </w:rPr>
              <w:t>Permanents</w:t>
            </w:r>
          </w:p>
        </w:tc>
        <w:tc>
          <w:tcPr>
            <w:tcW w:w="1200" w:type="dxa"/>
          </w:tcPr>
          <w:p w:rsidR="005D7A65" w:rsidRPr="001E0577" w:rsidRDefault="005D7A65">
            <w:pPr>
              <w:widowControl w:val="0"/>
              <w:jc w:val="center"/>
              <w:rPr>
                <w:rFonts w:ascii="Times New Roman" w:hAnsi="Times New Roman" w:cs="Times New Roman"/>
                <w:b/>
                <w:sz w:val="24"/>
                <w:szCs w:val="24"/>
              </w:rPr>
            </w:pPr>
            <w:r w:rsidRPr="001E0577">
              <w:rPr>
                <w:rFonts w:ascii="Times New Roman" w:hAnsi="Times New Roman" w:cs="Times New Roman"/>
                <w:b/>
                <w:sz w:val="24"/>
                <w:szCs w:val="24"/>
              </w:rPr>
              <w:t>36.243</w:t>
            </w:r>
          </w:p>
        </w:tc>
        <w:tc>
          <w:tcPr>
            <w:tcW w:w="1140" w:type="dxa"/>
          </w:tcPr>
          <w:p w:rsidR="005D7A65" w:rsidRPr="001E0577" w:rsidRDefault="005D7A65" w:rsidP="001A7506">
            <w:pPr>
              <w:widowControl w:val="0"/>
              <w:jc w:val="center"/>
              <w:rPr>
                <w:rFonts w:ascii="Times New Roman" w:hAnsi="Times New Roman" w:cs="Times New Roman"/>
                <w:b/>
                <w:sz w:val="24"/>
                <w:szCs w:val="24"/>
              </w:rPr>
            </w:pPr>
            <w:r w:rsidRPr="001E0577">
              <w:rPr>
                <w:rFonts w:ascii="Times New Roman" w:hAnsi="Times New Roman" w:cs="Times New Roman"/>
                <w:b/>
                <w:sz w:val="24"/>
                <w:szCs w:val="24"/>
              </w:rPr>
              <w:t>36.243</w:t>
            </w:r>
          </w:p>
        </w:tc>
      </w:tr>
      <w:tr w:rsidR="009E6896" w:rsidRPr="000C0BD3" w:rsidTr="005D7A65">
        <w:tc>
          <w:tcPr>
            <w:tcW w:w="2160" w:type="dxa"/>
            <w:tcBorders>
              <w:left w:val="nil"/>
              <w:bottom w:val="nil"/>
              <w:right w:val="nil"/>
            </w:tcBorders>
            <w:vAlign w:val="center"/>
          </w:tcPr>
          <w:p w:rsidR="009E6896" w:rsidRPr="000C0BD3" w:rsidRDefault="009E6896" w:rsidP="0084736B">
            <w:pPr>
              <w:widowControl w:val="0"/>
              <w:jc w:val="center"/>
              <w:rPr>
                <w:rFonts w:ascii="Times New Roman" w:hAnsi="Times New Roman" w:cs="Times New Roman"/>
                <w:sz w:val="24"/>
                <w:szCs w:val="24"/>
              </w:rPr>
            </w:pPr>
          </w:p>
        </w:tc>
        <w:tc>
          <w:tcPr>
            <w:tcW w:w="1440" w:type="dxa"/>
            <w:tcBorders>
              <w:left w:val="nil"/>
              <w:bottom w:val="nil"/>
              <w:right w:val="nil"/>
            </w:tcBorders>
            <w:vAlign w:val="center"/>
          </w:tcPr>
          <w:p w:rsidR="009E6896" w:rsidRPr="000C0BD3" w:rsidRDefault="009E6896" w:rsidP="0084736B">
            <w:pPr>
              <w:widowControl w:val="0"/>
              <w:jc w:val="center"/>
              <w:rPr>
                <w:rFonts w:ascii="Times New Roman" w:hAnsi="Times New Roman" w:cs="Times New Roman"/>
                <w:sz w:val="24"/>
                <w:szCs w:val="24"/>
              </w:rPr>
            </w:pPr>
          </w:p>
        </w:tc>
        <w:tc>
          <w:tcPr>
            <w:tcW w:w="1536" w:type="dxa"/>
            <w:tcBorders>
              <w:left w:val="nil"/>
              <w:bottom w:val="nil"/>
              <w:right w:val="nil"/>
            </w:tcBorders>
            <w:vAlign w:val="center"/>
          </w:tcPr>
          <w:p w:rsidR="009E6896" w:rsidRPr="000C0BD3" w:rsidRDefault="009E6896" w:rsidP="0084736B">
            <w:pPr>
              <w:widowControl w:val="0"/>
              <w:jc w:val="center"/>
              <w:rPr>
                <w:rFonts w:ascii="Times New Roman" w:hAnsi="Times New Roman" w:cs="Times New Roman"/>
                <w:sz w:val="24"/>
                <w:szCs w:val="24"/>
              </w:rPr>
            </w:pPr>
          </w:p>
        </w:tc>
        <w:tc>
          <w:tcPr>
            <w:tcW w:w="1200" w:type="dxa"/>
            <w:tcBorders>
              <w:left w:val="nil"/>
              <w:bottom w:val="nil"/>
              <w:right w:val="nil"/>
            </w:tcBorders>
            <w:vAlign w:val="center"/>
          </w:tcPr>
          <w:p w:rsidR="009E6896" w:rsidRPr="000C0BD3" w:rsidRDefault="009E6896" w:rsidP="0084736B">
            <w:pPr>
              <w:widowControl w:val="0"/>
              <w:jc w:val="center"/>
              <w:rPr>
                <w:rFonts w:ascii="Times New Roman" w:hAnsi="Times New Roman" w:cs="Times New Roman"/>
                <w:sz w:val="24"/>
                <w:szCs w:val="24"/>
              </w:rPr>
            </w:pPr>
          </w:p>
        </w:tc>
        <w:tc>
          <w:tcPr>
            <w:tcW w:w="1140" w:type="dxa"/>
            <w:tcBorders>
              <w:left w:val="nil"/>
              <w:bottom w:val="nil"/>
              <w:right w:val="nil"/>
            </w:tcBorders>
            <w:vAlign w:val="center"/>
          </w:tcPr>
          <w:p w:rsidR="009E6896" w:rsidRPr="000C0BD3" w:rsidRDefault="009E6896" w:rsidP="0084736B">
            <w:pPr>
              <w:widowControl w:val="0"/>
              <w:jc w:val="center"/>
              <w:rPr>
                <w:rFonts w:ascii="Times New Roman" w:hAnsi="Times New Roman" w:cs="Times New Roman"/>
                <w:sz w:val="24"/>
                <w:szCs w:val="24"/>
              </w:rPr>
            </w:pPr>
          </w:p>
        </w:tc>
      </w:tr>
    </w:tbl>
    <w:p w:rsidR="009E6896" w:rsidRPr="00DB3D18" w:rsidRDefault="00251BBD" w:rsidP="0084736B">
      <w:pPr>
        <w:widowControl w:val="0"/>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S</w:t>
      </w:r>
      <w:r w:rsidR="00570A62" w:rsidRPr="00D86DBD">
        <w:rPr>
          <w:rFonts w:ascii="Times New Roman" w:hAnsi="Times New Roman" w:cs="Times New Roman"/>
          <w:sz w:val="24"/>
          <w:szCs w:val="24"/>
          <w:lang w:val="fr-BE"/>
        </w:rPr>
        <w:t xml:space="preserve">elon </w:t>
      </w:r>
      <w:r w:rsidR="00561E05">
        <w:rPr>
          <w:rFonts w:ascii="Times New Roman" w:hAnsi="Times New Roman" w:cs="Times New Roman"/>
          <w:sz w:val="24"/>
          <w:szCs w:val="24"/>
          <w:lang w:val="fr-BE"/>
        </w:rPr>
        <w:t>des informations marocaines</w:t>
      </w:r>
      <w:r w:rsidR="009E6896" w:rsidRPr="00D86DBD">
        <w:rPr>
          <w:rFonts w:ascii="Times New Roman" w:hAnsi="Times New Roman" w:cs="Times New Roman"/>
          <w:sz w:val="24"/>
          <w:szCs w:val="24"/>
          <w:lang w:val="fr-BE"/>
        </w:rPr>
        <w:t xml:space="preserve"> </w:t>
      </w:r>
      <w:r w:rsidR="00570A62" w:rsidRPr="00D86DBD">
        <w:rPr>
          <w:rFonts w:ascii="Times New Roman" w:hAnsi="Times New Roman" w:cs="Times New Roman"/>
          <w:sz w:val="24"/>
          <w:szCs w:val="24"/>
          <w:lang w:val="fr-BE"/>
        </w:rPr>
        <w:t>environ</w:t>
      </w:r>
      <w:r w:rsidR="009E6896" w:rsidRPr="00D86DBD">
        <w:rPr>
          <w:rFonts w:ascii="Times New Roman" w:hAnsi="Times New Roman" w:cs="Times New Roman"/>
          <w:sz w:val="24"/>
          <w:szCs w:val="24"/>
          <w:lang w:val="fr-BE"/>
        </w:rPr>
        <w:t xml:space="preserve"> 50 % </w:t>
      </w:r>
      <w:r w:rsidR="00570A62" w:rsidRPr="00D86DBD">
        <w:rPr>
          <w:rFonts w:ascii="Times New Roman" w:hAnsi="Times New Roman" w:cs="Times New Roman"/>
          <w:sz w:val="24"/>
          <w:szCs w:val="24"/>
          <w:lang w:val="fr-BE"/>
        </w:rPr>
        <w:t>de la production de ces établissements est destinée à l’U</w:t>
      </w:r>
      <w:r>
        <w:rPr>
          <w:rFonts w:ascii="Times New Roman" w:hAnsi="Times New Roman" w:cs="Times New Roman"/>
          <w:sz w:val="24"/>
          <w:szCs w:val="24"/>
          <w:lang w:val="fr-BE"/>
        </w:rPr>
        <w:t>nion</w:t>
      </w:r>
      <w:r w:rsidR="009E6896" w:rsidRPr="00D86DBD">
        <w:rPr>
          <w:rFonts w:ascii="Times New Roman" w:hAnsi="Times New Roman" w:cs="Times New Roman"/>
          <w:sz w:val="24"/>
          <w:szCs w:val="24"/>
          <w:lang w:val="fr-BE"/>
        </w:rPr>
        <w:t xml:space="preserve">, </w:t>
      </w:r>
      <w:r w:rsidR="00570A62" w:rsidRPr="00D86DBD">
        <w:rPr>
          <w:rFonts w:ascii="Times New Roman" w:hAnsi="Times New Roman" w:cs="Times New Roman"/>
          <w:sz w:val="24"/>
          <w:szCs w:val="24"/>
          <w:lang w:val="fr-BE"/>
        </w:rPr>
        <w:t xml:space="preserve">on peut </w:t>
      </w:r>
      <w:r>
        <w:rPr>
          <w:rFonts w:ascii="Times New Roman" w:hAnsi="Times New Roman" w:cs="Times New Roman"/>
          <w:sz w:val="24"/>
          <w:szCs w:val="24"/>
          <w:lang w:val="fr-BE"/>
        </w:rPr>
        <w:t xml:space="preserve">donc </w:t>
      </w:r>
      <w:r w:rsidR="00570A62" w:rsidRPr="00D86DBD">
        <w:rPr>
          <w:rFonts w:ascii="Times New Roman" w:hAnsi="Times New Roman" w:cs="Times New Roman"/>
          <w:sz w:val="24"/>
          <w:szCs w:val="24"/>
          <w:lang w:val="fr-BE"/>
        </w:rPr>
        <w:t>consid</w:t>
      </w:r>
      <w:r w:rsidR="00FB33D8">
        <w:rPr>
          <w:rFonts w:ascii="Times New Roman" w:hAnsi="Times New Roman" w:cs="Times New Roman"/>
          <w:sz w:val="24"/>
          <w:szCs w:val="24"/>
          <w:lang w:val="fr-BE"/>
        </w:rPr>
        <w:t>é</w:t>
      </w:r>
      <w:r w:rsidR="00570A62" w:rsidRPr="00D86DBD">
        <w:rPr>
          <w:rFonts w:ascii="Times New Roman" w:hAnsi="Times New Roman" w:cs="Times New Roman"/>
          <w:sz w:val="24"/>
          <w:szCs w:val="24"/>
          <w:lang w:val="fr-BE"/>
        </w:rPr>
        <w:t>rer qu</w:t>
      </w:r>
      <w:r w:rsidR="004E6D29">
        <w:rPr>
          <w:rFonts w:ascii="Times New Roman" w:hAnsi="Times New Roman" w:cs="Times New Roman"/>
          <w:sz w:val="24"/>
          <w:szCs w:val="24"/>
          <w:lang w:val="fr-BE"/>
        </w:rPr>
        <w:t>'</w:t>
      </w:r>
      <w:r w:rsidR="00570A62" w:rsidRPr="00D86DBD">
        <w:rPr>
          <w:rFonts w:ascii="Times New Roman" w:hAnsi="Times New Roman" w:cs="Times New Roman"/>
          <w:sz w:val="24"/>
          <w:szCs w:val="24"/>
          <w:lang w:val="fr-BE"/>
        </w:rPr>
        <w:t>e</w:t>
      </w:r>
      <w:r w:rsidR="004E6D29">
        <w:rPr>
          <w:rFonts w:ascii="Times New Roman" w:hAnsi="Times New Roman" w:cs="Times New Roman"/>
          <w:sz w:val="24"/>
          <w:szCs w:val="24"/>
          <w:lang w:val="fr-BE"/>
        </w:rPr>
        <w:t>nviron</w:t>
      </w:r>
      <w:r w:rsidR="00570A62" w:rsidRPr="00D86DBD">
        <w:rPr>
          <w:rFonts w:ascii="Times New Roman" w:hAnsi="Times New Roman" w:cs="Times New Roman"/>
          <w:sz w:val="24"/>
          <w:szCs w:val="24"/>
          <w:lang w:val="fr-BE"/>
        </w:rPr>
        <w:t xml:space="preserve"> </w:t>
      </w:r>
      <w:r w:rsidR="004E6D29">
        <w:rPr>
          <w:rFonts w:ascii="Times New Roman" w:hAnsi="Times New Roman" w:cs="Times New Roman"/>
          <w:b/>
          <w:i/>
          <w:sz w:val="24"/>
          <w:szCs w:val="24"/>
          <w:lang w:val="fr-BE"/>
        </w:rPr>
        <w:t>45</w:t>
      </w:r>
      <w:r w:rsidR="007B6542" w:rsidRPr="00DB3D18">
        <w:rPr>
          <w:rFonts w:ascii="Times New Roman" w:hAnsi="Times New Roman" w:cs="Times New Roman"/>
          <w:b/>
          <w:i/>
          <w:sz w:val="24"/>
          <w:szCs w:val="24"/>
          <w:lang w:val="fr-BE"/>
        </w:rPr>
        <w:t xml:space="preserve">.000 emplois </w:t>
      </w:r>
      <w:r w:rsidR="00570A62" w:rsidRPr="00DB3D18">
        <w:rPr>
          <w:rFonts w:ascii="Times New Roman" w:hAnsi="Times New Roman" w:cs="Times New Roman"/>
          <w:b/>
          <w:i/>
          <w:sz w:val="24"/>
          <w:szCs w:val="24"/>
          <w:lang w:val="fr-BE"/>
        </w:rPr>
        <w:t>d</w:t>
      </w:r>
      <w:r w:rsidR="00FB33D8" w:rsidRPr="00DB3D18">
        <w:rPr>
          <w:rFonts w:ascii="Times New Roman" w:hAnsi="Times New Roman" w:cs="Times New Roman"/>
          <w:b/>
          <w:i/>
          <w:sz w:val="24"/>
          <w:szCs w:val="24"/>
          <w:lang w:val="fr-BE"/>
        </w:rPr>
        <w:t>é</w:t>
      </w:r>
      <w:r w:rsidR="00570A62" w:rsidRPr="00DB3D18">
        <w:rPr>
          <w:rFonts w:ascii="Times New Roman" w:hAnsi="Times New Roman" w:cs="Times New Roman"/>
          <w:b/>
          <w:i/>
          <w:sz w:val="24"/>
          <w:szCs w:val="24"/>
          <w:lang w:val="fr-BE"/>
        </w:rPr>
        <w:t>pend</w:t>
      </w:r>
      <w:r w:rsidR="007B6542" w:rsidRPr="00DB3D18">
        <w:rPr>
          <w:rFonts w:ascii="Times New Roman" w:hAnsi="Times New Roman" w:cs="Times New Roman"/>
          <w:b/>
          <w:i/>
          <w:sz w:val="24"/>
          <w:szCs w:val="24"/>
          <w:lang w:val="fr-BE"/>
        </w:rPr>
        <w:t>ent</w:t>
      </w:r>
      <w:r w:rsidR="00570A62" w:rsidRPr="00DB3D18">
        <w:rPr>
          <w:rFonts w:ascii="Times New Roman" w:hAnsi="Times New Roman" w:cs="Times New Roman"/>
          <w:b/>
          <w:i/>
          <w:sz w:val="24"/>
          <w:szCs w:val="24"/>
          <w:lang w:val="fr-BE"/>
        </w:rPr>
        <w:t xml:space="preserve"> directement ou indirectement des exportations vers l’U</w:t>
      </w:r>
      <w:r w:rsidRPr="00DB3D18">
        <w:rPr>
          <w:rFonts w:ascii="Times New Roman" w:hAnsi="Times New Roman" w:cs="Times New Roman"/>
          <w:b/>
          <w:i/>
          <w:sz w:val="24"/>
          <w:szCs w:val="24"/>
          <w:lang w:val="fr-BE"/>
        </w:rPr>
        <w:t>nion européenne</w:t>
      </w:r>
      <w:r w:rsidR="009E6896" w:rsidRPr="00D86DBD">
        <w:rPr>
          <w:rFonts w:ascii="Times New Roman" w:hAnsi="Times New Roman" w:cs="Times New Roman"/>
          <w:sz w:val="24"/>
          <w:szCs w:val="24"/>
          <w:lang w:val="fr-BE"/>
        </w:rPr>
        <w:t>.</w:t>
      </w:r>
    </w:p>
    <w:p w:rsidR="000F045C" w:rsidRPr="00DB3D18" w:rsidRDefault="000F045C" w:rsidP="0084736B">
      <w:pPr>
        <w:widowControl w:val="0"/>
        <w:spacing w:after="0" w:line="240" w:lineRule="auto"/>
        <w:jc w:val="both"/>
        <w:rPr>
          <w:rFonts w:ascii="Times New Roman" w:hAnsi="Times New Roman" w:cs="Times New Roman"/>
          <w:sz w:val="24"/>
          <w:szCs w:val="24"/>
          <w:lang w:val="fr-BE"/>
        </w:rPr>
      </w:pPr>
    </w:p>
    <w:p w:rsidR="000F045C" w:rsidRPr="000B1FB9" w:rsidRDefault="000F045C" w:rsidP="0084736B">
      <w:pPr>
        <w:widowControl w:val="0"/>
        <w:spacing w:after="0" w:line="240" w:lineRule="auto"/>
        <w:jc w:val="both"/>
        <w:rPr>
          <w:rFonts w:ascii="Times New Roman" w:hAnsi="Times New Roman" w:cs="Times New Roman"/>
          <w:sz w:val="24"/>
          <w:szCs w:val="24"/>
          <w:lang w:val="fr-BE"/>
        </w:rPr>
      </w:pPr>
      <w:r w:rsidRPr="000B1FB9">
        <w:rPr>
          <w:rFonts w:ascii="Times New Roman" w:hAnsi="Times New Roman" w:cs="Times New Roman"/>
          <w:sz w:val="24"/>
          <w:szCs w:val="24"/>
          <w:lang w:val="fr-BE"/>
        </w:rPr>
        <w:t xml:space="preserve">Etant donné que les droits </w:t>
      </w:r>
      <w:r>
        <w:rPr>
          <w:rFonts w:ascii="Times New Roman" w:hAnsi="Times New Roman" w:cs="Times New Roman"/>
          <w:sz w:val="24"/>
          <w:szCs w:val="24"/>
          <w:lang w:val="fr-BE"/>
        </w:rPr>
        <w:t xml:space="preserve">sur les produits de la pêche sont élevés, voire </w:t>
      </w:r>
      <w:r w:rsidR="006C6768">
        <w:rPr>
          <w:rFonts w:ascii="Times New Roman" w:hAnsi="Times New Roman" w:cs="Times New Roman"/>
          <w:sz w:val="24"/>
          <w:szCs w:val="24"/>
          <w:lang w:val="fr-BE"/>
        </w:rPr>
        <w:t xml:space="preserve">très élevés </w:t>
      </w:r>
      <w:r w:rsidR="00251BBD">
        <w:rPr>
          <w:rFonts w:ascii="Times New Roman" w:hAnsi="Times New Roman" w:cs="Times New Roman"/>
          <w:sz w:val="24"/>
          <w:szCs w:val="24"/>
          <w:lang w:val="fr-BE"/>
        </w:rPr>
        <w:t>dans</w:t>
      </w:r>
      <w:r w:rsidR="006C6768">
        <w:rPr>
          <w:rFonts w:ascii="Times New Roman" w:hAnsi="Times New Roman" w:cs="Times New Roman"/>
          <w:sz w:val="24"/>
          <w:szCs w:val="24"/>
          <w:lang w:val="fr-BE"/>
        </w:rPr>
        <w:t xml:space="preserve"> certain</w:t>
      </w:r>
      <w:r w:rsidR="00BB2D15">
        <w:rPr>
          <w:rFonts w:ascii="Times New Roman" w:hAnsi="Times New Roman" w:cs="Times New Roman"/>
          <w:sz w:val="24"/>
          <w:szCs w:val="24"/>
          <w:lang w:val="fr-BE"/>
        </w:rPr>
        <w:t>s</w:t>
      </w:r>
      <w:r w:rsidR="006C6768">
        <w:rPr>
          <w:rFonts w:ascii="Times New Roman" w:hAnsi="Times New Roman" w:cs="Times New Roman"/>
          <w:sz w:val="24"/>
          <w:szCs w:val="24"/>
          <w:lang w:val="fr-BE"/>
        </w:rPr>
        <w:t xml:space="preserve"> cas</w:t>
      </w:r>
      <w:r w:rsidR="00251BBD">
        <w:rPr>
          <w:rFonts w:ascii="Times New Roman" w:hAnsi="Times New Roman" w:cs="Times New Roman"/>
          <w:sz w:val="24"/>
          <w:szCs w:val="24"/>
          <w:lang w:val="fr-BE"/>
        </w:rPr>
        <w:t xml:space="preserve"> (par exemple : 25% pour les sardines en conserve)</w:t>
      </w:r>
      <w:r w:rsidR="006C6768">
        <w:rPr>
          <w:rFonts w:ascii="Times New Roman" w:hAnsi="Times New Roman" w:cs="Times New Roman"/>
          <w:sz w:val="24"/>
          <w:szCs w:val="24"/>
          <w:lang w:val="fr-BE"/>
        </w:rPr>
        <w:t>, des préférences tarifaires (droit zéro) peuvent faire une différence importante sur les décisions d'approvisionnement des importateurs d</w:t>
      </w:r>
      <w:r w:rsidR="005F183D">
        <w:rPr>
          <w:rFonts w:ascii="Times New Roman" w:hAnsi="Times New Roman" w:cs="Times New Roman"/>
          <w:sz w:val="24"/>
          <w:szCs w:val="24"/>
          <w:lang w:val="fr-BE"/>
        </w:rPr>
        <w:t>e</w:t>
      </w:r>
      <w:r w:rsidR="006C6768">
        <w:rPr>
          <w:rFonts w:ascii="Times New Roman" w:hAnsi="Times New Roman" w:cs="Times New Roman"/>
          <w:sz w:val="24"/>
          <w:szCs w:val="24"/>
          <w:lang w:val="fr-BE"/>
        </w:rPr>
        <w:t xml:space="preserve"> l'U</w:t>
      </w:r>
      <w:r w:rsidR="00251BBD">
        <w:rPr>
          <w:rFonts w:ascii="Times New Roman" w:hAnsi="Times New Roman" w:cs="Times New Roman"/>
          <w:sz w:val="24"/>
          <w:szCs w:val="24"/>
          <w:lang w:val="fr-BE"/>
        </w:rPr>
        <w:t>nion</w:t>
      </w:r>
      <w:r w:rsidR="006C6768">
        <w:rPr>
          <w:rFonts w:ascii="Times New Roman" w:hAnsi="Times New Roman" w:cs="Times New Roman"/>
          <w:sz w:val="24"/>
          <w:szCs w:val="24"/>
          <w:lang w:val="fr-BE"/>
        </w:rPr>
        <w:t>.</w:t>
      </w:r>
      <w:r w:rsidR="000416CE">
        <w:rPr>
          <w:rFonts w:ascii="Times New Roman" w:hAnsi="Times New Roman" w:cs="Times New Roman"/>
          <w:sz w:val="24"/>
          <w:szCs w:val="24"/>
          <w:lang w:val="fr-BE"/>
        </w:rPr>
        <w:t xml:space="preserve"> Dans le cas du Sahara occidental, </w:t>
      </w:r>
      <w:r w:rsidR="000416CE" w:rsidRPr="00DB3D18">
        <w:rPr>
          <w:rFonts w:ascii="Times New Roman" w:hAnsi="Times New Roman" w:cs="Times New Roman"/>
          <w:b/>
          <w:i/>
          <w:sz w:val="24"/>
          <w:szCs w:val="24"/>
          <w:lang w:val="fr-BE"/>
        </w:rPr>
        <w:t xml:space="preserve">le non-octroi des préférences pourrait avoir comme impact que </w:t>
      </w:r>
      <w:r w:rsidR="00CC2B40" w:rsidRPr="00DB3D18">
        <w:rPr>
          <w:rFonts w:ascii="Times New Roman" w:hAnsi="Times New Roman" w:cs="Times New Roman"/>
          <w:b/>
          <w:i/>
          <w:sz w:val="24"/>
          <w:szCs w:val="24"/>
          <w:lang w:val="fr-BE"/>
        </w:rPr>
        <w:t>l'activité de transformation effectuée actuelle</w:t>
      </w:r>
      <w:r w:rsidR="005F183D" w:rsidRPr="00DB3D18">
        <w:rPr>
          <w:rFonts w:ascii="Times New Roman" w:hAnsi="Times New Roman" w:cs="Times New Roman"/>
          <w:b/>
          <w:i/>
          <w:sz w:val="24"/>
          <w:szCs w:val="24"/>
          <w:lang w:val="fr-BE"/>
        </w:rPr>
        <w:t>ment dans le Sahara occidental s</w:t>
      </w:r>
      <w:r w:rsidR="00CC2B40" w:rsidRPr="00DB3D18">
        <w:rPr>
          <w:rFonts w:ascii="Times New Roman" w:hAnsi="Times New Roman" w:cs="Times New Roman"/>
          <w:b/>
          <w:i/>
          <w:sz w:val="24"/>
          <w:szCs w:val="24"/>
          <w:lang w:val="fr-BE"/>
        </w:rPr>
        <w:t>e déplacerait ailleurs – et en particulier au Maroc – en vu</w:t>
      </w:r>
      <w:r w:rsidR="005F183D" w:rsidRPr="00DB3D18">
        <w:rPr>
          <w:rFonts w:ascii="Times New Roman" w:hAnsi="Times New Roman" w:cs="Times New Roman"/>
          <w:b/>
          <w:i/>
          <w:sz w:val="24"/>
          <w:szCs w:val="24"/>
          <w:lang w:val="fr-BE"/>
        </w:rPr>
        <w:t>e de bénéficier de préférences</w:t>
      </w:r>
      <w:r w:rsidR="00056FA8" w:rsidRPr="00056FA8">
        <w:rPr>
          <w:rFonts w:ascii="Times New Roman" w:eastAsia="Arial Unicode MS" w:hAnsi="Times New Roman" w:cs="Times New Roman"/>
          <w:b/>
          <w:bCs/>
          <w:i/>
          <w:iCs/>
          <w:sz w:val="24"/>
          <w:szCs w:val="24"/>
          <w:bdr w:val="nil"/>
          <w:lang w:val="fr-BE"/>
        </w:rPr>
        <w:t>, au détriment des populations locales</w:t>
      </w:r>
      <w:r w:rsidR="00056FA8">
        <w:rPr>
          <w:rStyle w:val="FootnoteReference"/>
          <w:rFonts w:ascii="Times New Roman" w:hAnsi="Times New Roman" w:cs="Times New Roman"/>
          <w:sz w:val="24"/>
          <w:szCs w:val="24"/>
          <w:lang w:val="fr-BE"/>
        </w:rPr>
        <w:t xml:space="preserve"> </w:t>
      </w:r>
      <w:r w:rsidR="005F183D">
        <w:rPr>
          <w:rStyle w:val="FootnoteReference"/>
          <w:rFonts w:ascii="Times New Roman" w:hAnsi="Times New Roman" w:cs="Times New Roman"/>
          <w:sz w:val="24"/>
          <w:szCs w:val="24"/>
          <w:lang w:val="fr-BE"/>
        </w:rPr>
        <w:footnoteReference w:id="38"/>
      </w:r>
      <w:r w:rsidR="005F183D">
        <w:rPr>
          <w:rFonts w:ascii="Times New Roman" w:hAnsi="Times New Roman" w:cs="Times New Roman"/>
          <w:sz w:val="24"/>
          <w:szCs w:val="24"/>
          <w:lang w:val="fr-BE"/>
        </w:rPr>
        <w:t>.</w:t>
      </w:r>
    </w:p>
    <w:p w:rsidR="00D6261B" w:rsidRPr="000B1FB9" w:rsidRDefault="00D6261B" w:rsidP="0084736B">
      <w:pPr>
        <w:widowControl w:val="0"/>
        <w:spacing w:after="0" w:line="240" w:lineRule="auto"/>
        <w:jc w:val="both"/>
        <w:rPr>
          <w:rFonts w:ascii="Times New Roman" w:hAnsi="Times New Roman" w:cs="Times New Roman"/>
          <w:sz w:val="24"/>
          <w:szCs w:val="24"/>
          <w:lang w:val="fr-BE"/>
        </w:rPr>
      </w:pPr>
    </w:p>
    <w:p w:rsidR="00502405" w:rsidRPr="00502405" w:rsidRDefault="00502405" w:rsidP="00502405">
      <w:pPr>
        <w:widowControl w:val="0"/>
        <w:spacing w:after="0" w:line="240" w:lineRule="auto"/>
        <w:jc w:val="both"/>
        <w:rPr>
          <w:rFonts w:ascii="Times New Roman" w:hAnsi="Times New Roman" w:cs="Times New Roman"/>
          <w:sz w:val="24"/>
          <w:szCs w:val="24"/>
          <w:lang w:val="fr-BE"/>
        </w:rPr>
      </w:pPr>
      <w:r w:rsidRPr="00502405">
        <w:rPr>
          <w:rFonts w:ascii="Times New Roman" w:eastAsia="Calibri" w:hAnsi="Times New Roman" w:cs="Times New Roman"/>
          <w:sz w:val="24"/>
          <w:lang w:val="fr-FR" w:eastAsia="fr-FR"/>
        </w:rPr>
        <w:t>Il existe des allégations selon lesquelles, cette activité ne bénéficierait pas aux populations locales. Il a ainsi été fait référence à des manifestations en 2012 de diplômés de l’Institut technique des pêches maritimes protestant contre leur exclusion du marché de l’emploi dans le secteur de la pêche, du fait que les entretiens d’embauche dans le secteur de la pêche se déroulaient au Maroc et demandant à ce que ces entretiens se déroulent à Laâyoune. Des allégations similaires ont été formulées en 2011 et 2013 (voir différents rapports de Western Sahara Resource Watch</w:t>
      </w:r>
      <w:r w:rsidRPr="00502405">
        <w:rPr>
          <w:rFonts w:ascii="Times New Roman" w:hAnsi="Times New Roman" w:cs="Times New Roman"/>
          <w:i/>
          <w:sz w:val="24"/>
          <w:szCs w:val="24"/>
          <w:vertAlign w:val="superscript"/>
          <w:lang w:val="fr-BE"/>
        </w:rPr>
        <w:footnoteReference w:id="39"/>
      </w:r>
      <w:r w:rsidRPr="00502405">
        <w:rPr>
          <w:rFonts w:ascii="Times New Roman" w:eastAsia="Calibri" w:hAnsi="Times New Roman" w:cs="Times New Roman"/>
          <w:sz w:val="24"/>
          <w:lang w:val="fr-FR" w:eastAsia="fr-FR"/>
        </w:rPr>
        <w:t xml:space="preserve"> </w:t>
      </w:r>
      <w:r w:rsidRPr="00502405">
        <w:rPr>
          <w:rFonts w:ascii="Times New Roman" w:hAnsi="Times New Roman" w:cs="Times New Roman"/>
          <w:i/>
          <w:sz w:val="24"/>
          <w:szCs w:val="24"/>
          <w:vertAlign w:val="superscript"/>
        </w:rPr>
        <w:footnoteReference w:id="40"/>
      </w:r>
      <w:r w:rsidRPr="00502405">
        <w:rPr>
          <w:rFonts w:ascii="Times New Roman" w:eastAsia="Calibri" w:hAnsi="Times New Roman" w:cs="Times New Roman"/>
          <w:sz w:val="24"/>
          <w:lang w:val="fr-FR" w:eastAsia="fr-FR"/>
        </w:rPr>
        <w:t xml:space="preserve"> </w:t>
      </w:r>
      <w:r w:rsidRPr="00502405">
        <w:rPr>
          <w:rFonts w:ascii="Times New Roman" w:hAnsi="Times New Roman" w:cs="Times New Roman"/>
          <w:i/>
          <w:sz w:val="24"/>
          <w:szCs w:val="24"/>
          <w:vertAlign w:val="superscript"/>
          <w:lang w:val="fr-BE"/>
        </w:rPr>
        <w:footnoteReference w:id="41"/>
      </w:r>
      <w:r w:rsidRPr="00502405">
        <w:rPr>
          <w:rFonts w:ascii="Times New Roman" w:eastAsia="Calibri" w:hAnsi="Times New Roman" w:cs="Times New Roman"/>
          <w:sz w:val="24"/>
          <w:lang w:val="fr-FR" w:eastAsia="fr-FR"/>
        </w:rPr>
        <w:t xml:space="preserve">). </w:t>
      </w:r>
      <w:r w:rsidR="00E87221">
        <w:rPr>
          <w:rFonts w:ascii="Times New Roman" w:eastAsia="Calibri" w:hAnsi="Times New Roman" w:cs="Times New Roman"/>
          <w:sz w:val="24"/>
          <w:lang w:val="fr-FR" w:eastAsia="fr-FR"/>
        </w:rPr>
        <w:t>Toutefois, il n'y a pas d'indices</w:t>
      </w:r>
      <w:r w:rsidR="00FE3BE9">
        <w:rPr>
          <w:rFonts w:ascii="Times New Roman" w:eastAsia="Calibri" w:hAnsi="Times New Roman" w:cs="Times New Roman"/>
          <w:sz w:val="24"/>
          <w:lang w:val="fr-FR" w:eastAsia="fr-FR"/>
        </w:rPr>
        <w:t>,</w:t>
      </w:r>
      <w:r w:rsidR="00E87221">
        <w:rPr>
          <w:rFonts w:ascii="Times New Roman" w:eastAsia="Calibri" w:hAnsi="Times New Roman" w:cs="Times New Roman"/>
          <w:sz w:val="24"/>
          <w:lang w:val="fr-FR" w:eastAsia="fr-FR"/>
        </w:rPr>
        <w:t xml:space="preserve"> </w:t>
      </w:r>
      <w:r w:rsidR="00DB7C39">
        <w:rPr>
          <w:rFonts w:ascii="Times New Roman" w:eastAsia="Calibri" w:hAnsi="Times New Roman" w:cs="Times New Roman"/>
          <w:sz w:val="24"/>
          <w:lang w:val="fr-FR" w:eastAsia="fr-FR"/>
        </w:rPr>
        <w:t>dans les informations dans le domaine public</w:t>
      </w:r>
      <w:r w:rsidR="00FE3BE9">
        <w:rPr>
          <w:rFonts w:ascii="Times New Roman" w:eastAsia="Calibri" w:hAnsi="Times New Roman" w:cs="Times New Roman"/>
          <w:sz w:val="24"/>
          <w:lang w:val="fr-FR" w:eastAsia="fr-FR"/>
        </w:rPr>
        <w:t>,</w:t>
      </w:r>
      <w:r w:rsidR="00DB7C39">
        <w:rPr>
          <w:rFonts w:ascii="Times New Roman" w:eastAsia="Calibri" w:hAnsi="Times New Roman" w:cs="Times New Roman"/>
          <w:sz w:val="24"/>
          <w:lang w:val="fr-FR" w:eastAsia="fr-FR"/>
        </w:rPr>
        <w:t xml:space="preserve"> </w:t>
      </w:r>
      <w:r w:rsidR="00E87221">
        <w:rPr>
          <w:rFonts w:ascii="Times New Roman" w:eastAsia="Calibri" w:hAnsi="Times New Roman" w:cs="Times New Roman"/>
          <w:sz w:val="24"/>
          <w:lang w:val="fr-FR" w:eastAsia="fr-FR"/>
        </w:rPr>
        <w:t xml:space="preserve">que ces pratiques auraient continué après ou </w:t>
      </w:r>
      <w:r w:rsidR="00DB7C39">
        <w:rPr>
          <w:rFonts w:ascii="Times New Roman" w:eastAsia="Calibri" w:hAnsi="Times New Roman" w:cs="Times New Roman"/>
          <w:sz w:val="24"/>
          <w:lang w:val="fr-FR" w:eastAsia="fr-FR"/>
        </w:rPr>
        <w:t xml:space="preserve">que </w:t>
      </w:r>
      <w:r w:rsidR="00E87221">
        <w:rPr>
          <w:rFonts w:ascii="Times New Roman" w:eastAsia="Calibri" w:hAnsi="Times New Roman" w:cs="Times New Roman"/>
          <w:sz w:val="24"/>
          <w:lang w:val="fr-FR" w:eastAsia="fr-FR"/>
        </w:rPr>
        <w:t xml:space="preserve">des manifestations en ce sens </w:t>
      </w:r>
      <w:r w:rsidR="00DB7C39">
        <w:rPr>
          <w:rFonts w:ascii="Times New Roman" w:eastAsia="Calibri" w:hAnsi="Times New Roman" w:cs="Times New Roman"/>
          <w:sz w:val="24"/>
          <w:lang w:val="fr-FR" w:eastAsia="fr-FR"/>
        </w:rPr>
        <w:t xml:space="preserve">se seraient produites </w:t>
      </w:r>
      <w:r w:rsidR="00E87221">
        <w:rPr>
          <w:rFonts w:ascii="Times New Roman" w:eastAsia="Calibri" w:hAnsi="Times New Roman" w:cs="Times New Roman"/>
          <w:sz w:val="24"/>
          <w:lang w:val="fr-FR" w:eastAsia="fr-FR"/>
        </w:rPr>
        <w:t>après début 2013. En tout état de cause, c</w:t>
      </w:r>
      <w:r w:rsidRPr="004130A1">
        <w:rPr>
          <w:rFonts w:ascii="Times New Roman" w:eastAsia="Calibri" w:hAnsi="Times New Roman" w:cs="Times New Roman"/>
          <w:sz w:val="24"/>
          <w:lang w:val="fr-FR" w:eastAsia="fr-FR"/>
        </w:rPr>
        <w:t>es allégations ne sont toutefois pas la preuve que les Sahraouis seraient effectivement exclus de l’emploi dans le secteur de la pêche.</w:t>
      </w:r>
      <w:r w:rsidRPr="00502405">
        <w:rPr>
          <w:rFonts w:ascii="Times New Roman" w:eastAsia="Calibri" w:hAnsi="Times New Roman" w:cs="Times New Roman"/>
          <w:sz w:val="24"/>
          <w:lang w:val="fr-FR" w:eastAsia="fr-FR"/>
        </w:rPr>
        <w:t xml:space="preserve"> Par ailleurs, au cours des entretiens menés en février 2018, les interlocuteurs ont régulièrement insisté sur le caractère bénéfique de l’extension des préférences pour le secteur agricole, mais aussi pour celui de la pêche. Certains ont d’ailleurs souligné que les Sahraouis étaient davantage enclins à travailler dans l’agriculture, une activité traditionnelle, plutôt que dans la pêche, une activité généralement étrangère à des éleveurs nomades.</w:t>
      </w:r>
    </w:p>
    <w:p w:rsidR="0019611F" w:rsidRPr="00596B34" w:rsidRDefault="0019611F" w:rsidP="00596B34">
      <w:pPr>
        <w:widowControl w:val="0"/>
        <w:spacing w:after="0" w:line="240" w:lineRule="auto"/>
        <w:jc w:val="both"/>
        <w:rPr>
          <w:rFonts w:ascii="Times New Roman" w:hAnsi="Times New Roman" w:cs="Times New Roman"/>
          <w:sz w:val="24"/>
          <w:szCs w:val="24"/>
          <w:lang w:val="fr-BE"/>
        </w:rPr>
      </w:pPr>
    </w:p>
    <w:p w:rsidR="009E6896" w:rsidRPr="00596B34" w:rsidRDefault="009E6896" w:rsidP="00FC36AF">
      <w:pPr>
        <w:pStyle w:val="Heading4"/>
        <w:rPr>
          <w:lang w:val="fr-BE"/>
        </w:rPr>
      </w:pPr>
      <w:r w:rsidRPr="00596B34">
        <w:rPr>
          <w:lang w:val="fr-BE"/>
        </w:rPr>
        <w:t>Conclusion</w:t>
      </w:r>
    </w:p>
    <w:p w:rsidR="009E6896" w:rsidRPr="00596B34" w:rsidRDefault="009E6896" w:rsidP="0084736B">
      <w:pPr>
        <w:widowControl w:val="0"/>
        <w:spacing w:after="0" w:line="240" w:lineRule="auto"/>
        <w:jc w:val="both"/>
        <w:rPr>
          <w:rFonts w:ascii="Times New Roman" w:hAnsi="Times New Roman" w:cs="Times New Roman"/>
          <w:sz w:val="24"/>
          <w:szCs w:val="24"/>
          <w:lang w:val="fr-BE"/>
        </w:rPr>
      </w:pPr>
    </w:p>
    <w:p w:rsidR="009E6896" w:rsidRPr="00D86DBD" w:rsidRDefault="008A5B40" w:rsidP="0084736B">
      <w:pPr>
        <w:widowControl w:val="0"/>
        <w:spacing w:after="0" w:line="240" w:lineRule="auto"/>
        <w:jc w:val="both"/>
        <w:rPr>
          <w:rFonts w:ascii="Times New Roman" w:hAnsi="Times New Roman" w:cs="Times New Roman"/>
          <w:sz w:val="24"/>
          <w:szCs w:val="24"/>
          <w:lang w:val="fr-BE"/>
        </w:rPr>
      </w:pPr>
      <w:r w:rsidRPr="00D86DBD">
        <w:rPr>
          <w:rFonts w:ascii="Times New Roman" w:hAnsi="Times New Roman" w:cs="Times New Roman"/>
          <w:sz w:val="24"/>
          <w:szCs w:val="24"/>
          <w:lang w:val="fr-BE"/>
        </w:rPr>
        <w:t>Il existe au S</w:t>
      </w:r>
      <w:r w:rsidR="00FB33D8">
        <w:rPr>
          <w:rFonts w:ascii="Times New Roman" w:hAnsi="Times New Roman" w:cs="Times New Roman"/>
          <w:sz w:val="24"/>
          <w:szCs w:val="24"/>
          <w:lang w:val="fr-BE"/>
        </w:rPr>
        <w:t>ahara occidental</w:t>
      </w:r>
      <w:r w:rsidRPr="00D86DBD">
        <w:rPr>
          <w:rFonts w:ascii="Times New Roman" w:hAnsi="Times New Roman" w:cs="Times New Roman"/>
          <w:sz w:val="24"/>
          <w:szCs w:val="24"/>
          <w:lang w:val="fr-BE"/>
        </w:rPr>
        <w:t xml:space="preserve"> une importante industrie de transformation des produits de la pêche, comprenant </w:t>
      </w:r>
      <w:r w:rsidR="009E6896" w:rsidRPr="00D86DBD">
        <w:rPr>
          <w:rFonts w:ascii="Times New Roman" w:hAnsi="Times New Roman" w:cs="Times New Roman"/>
          <w:sz w:val="24"/>
          <w:szCs w:val="24"/>
          <w:lang w:val="fr-BE"/>
        </w:rPr>
        <w:t xml:space="preserve">141 </w:t>
      </w:r>
      <w:r w:rsidRPr="00D86DBD">
        <w:rPr>
          <w:rFonts w:ascii="Times New Roman" w:hAnsi="Times New Roman" w:cs="Times New Roman"/>
          <w:sz w:val="24"/>
          <w:szCs w:val="24"/>
          <w:lang w:val="fr-BE"/>
        </w:rPr>
        <w:t>établissements autorisés à exporter vers l’U</w:t>
      </w:r>
      <w:r w:rsidR="00251BBD">
        <w:rPr>
          <w:rFonts w:ascii="Times New Roman" w:hAnsi="Times New Roman" w:cs="Times New Roman"/>
          <w:sz w:val="24"/>
          <w:szCs w:val="24"/>
          <w:lang w:val="fr-BE"/>
        </w:rPr>
        <w:t xml:space="preserve">nion </w:t>
      </w:r>
      <w:r w:rsidRPr="00D86DBD">
        <w:rPr>
          <w:rFonts w:ascii="Times New Roman" w:hAnsi="Times New Roman" w:cs="Times New Roman"/>
          <w:sz w:val="24"/>
          <w:szCs w:val="24"/>
          <w:lang w:val="fr-BE"/>
        </w:rPr>
        <w:t>E</w:t>
      </w:r>
      <w:r w:rsidR="00251BBD">
        <w:rPr>
          <w:rFonts w:ascii="Times New Roman" w:hAnsi="Times New Roman" w:cs="Times New Roman"/>
          <w:sz w:val="24"/>
          <w:szCs w:val="24"/>
          <w:lang w:val="fr-BE"/>
        </w:rPr>
        <w:t>uropéenne</w:t>
      </w:r>
      <w:r w:rsidR="009E6896" w:rsidRPr="00D86DBD">
        <w:rPr>
          <w:rFonts w:ascii="Times New Roman" w:hAnsi="Times New Roman" w:cs="Times New Roman"/>
          <w:sz w:val="24"/>
          <w:szCs w:val="24"/>
          <w:lang w:val="fr-BE"/>
        </w:rPr>
        <w:t xml:space="preserve">. </w:t>
      </w:r>
      <w:r w:rsidRPr="00DB3D18">
        <w:rPr>
          <w:rFonts w:ascii="Times New Roman" w:hAnsi="Times New Roman" w:cs="Times New Roman"/>
          <w:b/>
          <w:i/>
          <w:sz w:val="24"/>
          <w:szCs w:val="24"/>
          <w:lang w:val="fr-BE"/>
        </w:rPr>
        <w:t xml:space="preserve">Les exportations de produits de la pêche du </w:t>
      </w:r>
      <w:r w:rsidR="00FB33D8" w:rsidRPr="00DB3D18">
        <w:rPr>
          <w:rFonts w:ascii="Times New Roman" w:hAnsi="Times New Roman" w:cs="Times New Roman"/>
          <w:b/>
          <w:i/>
          <w:sz w:val="24"/>
          <w:szCs w:val="24"/>
          <w:lang w:val="fr-BE"/>
        </w:rPr>
        <w:t>territoire</w:t>
      </w:r>
      <w:r w:rsidRPr="00DB3D18">
        <w:rPr>
          <w:rFonts w:ascii="Times New Roman" w:hAnsi="Times New Roman" w:cs="Times New Roman"/>
          <w:b/>
          <w:i/>
          <w:sz w:val="24"/>
          <w:szCs w:val="24"/>
          <w:lang w:val="fr-BE"/>
        </w:rPr>
        <w:t xml:space="preserve"> en 2015 et 2016 se sont élevées à entre </w:t>
      </w:r>
      <w:r w:rsidR="009E6896" w:rsidRPr="00DB3D18">
        <w:rPr>
          <w:rFonts w:ascii="Times New Roman" w:hAnsi="Times New Roman" w:cs="Times New Roman"/>
          <w:b/>
          <w:i/>
          <w:sz w:val="24"/>
          <w:szCs w:val="24"/>
          <w:lang w:val="fr-BE"/>
        </w:rPr>
        <w:t>100 million</w:t>
      </w:r>
      <w:r w:rsidRPr="00DB3D18">
        <w:rPr>
          <w:rFonts w:ascii="Times New Roman" w:hAnsi="Times New Roman" w:cs="Times New Roman"/>
          <w:b/>
          <w:i/>
          <w:sz w:val="24"/>
          <w:szCs w:val="24"/>
          <w:lang w:val="fr-BE"/>
        </w:rPr>
        <w:t>s</w:t>
      </w:r>
      <w:r w:rsidR="009E6896" w:rsidRPr="00DB3D18">
        <w:rPr>
          <w:rFonts w:ascii="Times New Roman" w:hAnsi="Times New Roman" w:cs="Times New Roman"/>
          <w:b/>
          <w:i/>
          <w:sz w:val="24"/>
          <w:szCs w:val="24"/>
          <w:lang w:val="fr-BE"/>
        </w:rPr>
        <w:t xml:space="preserve"> </w:t>
      </w:r>
      <w:r w:rsidRPr="00DB3D18">
        <w:rPr>
          <w:rFonts w:ascii="Times New Roman" w:hAnsi="Times New Roman" w:cs="Times New Roman"/>
          <w:b/>
          <w:i/>
          <w:sz w:val="24"/>
          <w:szCs w:val="24"/>
          <w:lang w:val="fr-BE"/>
        </w:rPr>
        <w:t>et</w:t>
      </w:r>
      <w:r w:rsidR="009E6896" w:rsidRPr="00DB3D18">
        <w:rPr>
          <w:rFonts w:ascii="Times New Roman" w:hAnsi="Times New Roman" w:cs="Times New Roman"/>
          <w:b/>
          <w:i/>
          <w:sz w:val="24"/>
          <w:szCs w:val="24"/>
          <w:lang w:val="fr-BE"/>
        </w:rPr>
        <w:t xml:space="preserve"> 200 million</w:t>
      </w:r>
      <w:r w:rsidRPr="00DB3D18">
        <w:rPr>
          <w:rFonts w:ascii="Times New Roman" w:hAnsi="Times New Roman" w:cs="Times New Roman"/>
          <w:b/>
          <w:i/>
          <w:sz w:val="24"/>
          <w:szCs w:val="24"/>
          <w:lang w:val="fr-BE"/>
        </w:rPr>
        <w:t>s d’euros</w:t>
      </w:r>
      <w:r w:rsidR="00251BBD" w:rsidRPr="00DB3D18">
        <w:rPr>
          <w:rFonts w:ascii="Times New Roman" w:hAnsi="Times New Roman" w:cs="Times New Roman"/>
          <w:b/>
          <w:i/>
          <w:sz w:val="24"/>
          <w:szCs w:val="24"/>
          <w:lang w:val="fr-BE"/>
        </w:rPr>
        <w:t xml:space="preserve">. Le nombre d’emplois </w:t>
      </w:r>
      <w:r w:rsidR="00360F09" w:rsidRPr="00DB3D18">
        <w:rPr>
          <w:rFonts w:ascii="Times New Roman" w:hAnsi="Times New Roman" w:cs="Times New Roman"/>
          <w:b/>
          <w:i/>
          <w:sz w:val="24"/>
          <w:szCs w:val="24"/>
          <w:lang w:val="fr-BE"/>
        </w:rPr>
        <w:t>dépendant de ces exportations vers l'U</w:t>
      </w:r>
      <w:r w:rsidR="00383426">
        <w:rPr>
          <w:rFonts w:ascii="Times New Roman" w:hAnsi="Times New Roman" w:cs="Times New Roman"/>
          <w:b/>
          <w:i/>
          <w:sz w:val="24"/>
          <w:szCs w:val="24"/>
          <w:lang w:val="fr-BE"/>
        </w:rPr>
        <w:t>nion européen</w:t>
      </w:r>
      <w:r w:rsidR="004D3EA2">
        <w:rPr>
          <w:rFonts w:ascii="Times New Roman" w:hAnsi="Times New Roman" w:cs="Times New Roman"/>
          <w:b/>
          <w:i/>
          <w:sz w:val="24"/>
          <w:szCs w:val="24"/>
          <w:lang w:val="fr-BE"/>
        </w:rPr>
        <w:t>ne</w:t>
      </w:r>
      <w:r w:rsidR="00251BBD" w:rsidRPr="00DB3D18">
        <w:rPr>
          <w:rFonts w:ascii="Times New Roman" w:hAnsi="Times New Roman" w:cs="Times New Roman"/>
          <w:b/>
          <w:i/>
          <w:sz w:val="24"/>
          <w:szCs w:val="24"/>
          <w:lang w:val="fr-BE"/>
        </w:rPr>
        <w:t>,</w:t>
      </w:r>
      <w:r w:rsidR="00E5382A" w:rsidRPr="00DB3D18">
        <w:rPr>
          <w:rFonts w:ascii="Times New Roman" w:hAnsi="Times New Roman" w:cs="Times New Roman"/>
          <w:b/>
          <w:i/>
          <w:sz w:val="24"/>
          <w:szCs w:val="24"/>
          <w:lang w:val="fr-BE"/>
        </w:rPr>
        <w:t xml:space="preserve"> </w:t>
      </w:r>
      <w:r w:rsidR="009E6896" w:rsidRPr="00DB3D18">
        <w:rPr>
          <w:rFonts w:ascii="Times New Roman" w:hAnsi="Times New Roman" w:cs="Times New Roman"/>
          <w:b/>
          <w:i/>
          <w:sz w:val="24"/>
          <w:szCs w:val="24"/>
          <w:lang w:val="fr-BE"/>
        </w:rPr>
        <w:t>direc</w:t>
      </w:r>
      <w:r w:rsidRPr="00DB3D18">
        <w:rPr>
          <w:rFonts w:ascii="Times New Roman" w:hAnsi="Times New Roman" w:cs="Times New Roman"/>
          <w:b/>
          <w:i/>
          <w:sz w:val="24"/>
          <w:szCs w:val="24"/>
          <w:lang w:val="fr-BE"/>
        </w:rPr>
        <w:t>tement ou indirectement</w:t>
      </w:r>
      <w:r w:rsidR="00251BBD" w:rsidRPr="00DB3D18">
        <w:rPr>
          <w:rFonts w:ascii="Times New Roman" w:hAnsi="Times New Roman" w:cs="Times New Roman"/>
          <w:b/>
          <w:i/>
          <w:sz w:val="24"/>
          <w:szCs w:val="24"/>
          <w:lang w:val="fr-BE"/>
        </w:rPr>
        <w:t>,</w:t>
      </w:r>
      <w:r w:rsidR="00201BA3" w:rsidRPr="00DB3D18">
        <w:rPr>
          <w:rFonts w:ascii="Times New Roman" w:hAnsi="Times New Roman" w:cs="Times New Roman"/>
          <w:b/>
          <w:i/>
          <w:sz w:val="24"/>
          <w:szCs w:val="24"/>
          <w:lang w:val="fr-BE"/>
        </w:rPr>
        <w:t xml:space="preserve"> était</w:t>
      </w:r>
      <w:r w:rsidRPr="00DB3D18">
        <w:rPr>
          <w:rFonts w:ascii="Times New Roman" w:hAnsi="Times New Roman" w:cs="Times New Roman"/>
          <w:b/>
          <w:i/>
          <w:sz w:val="24"/>
          <w:szCs w:val="24"/>
          <w:lang w:val="fr-BE"/>
        </w:rPr>
        <w:t xml:space="preserve"> </w:t>
      </w:r>
      <w:r w:rsidR="00201BA3" w:rsidRPr="00DB3D18">
        <w:rPr>
          <w:rFonts w:ascii="Times New Roman" w:hAnsi="Times New Roman" w:cs="Times New Roman"/>
          <w:b/>
          <w:i/>
          <w:sz w:val="24"/>
          <w:szCs w:val="24"/>
          <w:lang w:val="fr-BE"/>
        </w:rPr>
        <w:t>d’</w:t>
      </w:r>
      <w:r w:rsidRPr="00DB3D18">
        <w:rPr>
          <w:rFonts w:ascii="Times New Roman" w:hAnsi="Times New Roman" w:cs="Times New Roman"/>
          <w:b/>
          <w:i/>
          <w:sz w:val="24"/>
          <w:szCs w:val="24"/>
          <w:lang w:val="fr-BE"/>
        </w:rPr>
        <w:t xml:space="preserve">environ </w:t>
      </w:r>
      <w:r w:rsidR="00360F09" w:rsidRPr="00DB3D18">
        <w:rPr>
          <w:rFonts w:ascii="Times New Roman" w:hAnsi="Times New Roman" w:cs="Times New Roman"/>
          <w:b/>
          <w:i/>
          <w:sz w:val="24"/>
          <w:szCs w:val="24"/>
          <w:lang w:val="fr-BE"/>
        </w:rPr>
        <w:t>45.000</w:t>
      </w:r>
      <w:r w:rsidR="009E6896" w:rsidRPr="00D86DBD">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L’extension des préférences tarifaires à ces importations aurait donc un impact important sur l’économie du </w:t>
      </w:r>
      <w:r w:rsidR="00FB33D8">
        <w:rPr>
          <w:rFonts w:ascii="Times New Roman" w:hAnsi="Times New Roman" w:cs="Times New Roman"/>
          <w:sz w:val="24"/>
          <w:szCs w:val="24"/>
          <w:lang w:val="fr-BE"/>
        </w:rPr>
        <w:t>territoire</w:t>
      </w:r>
      <w:r w:rsidR="00201BA3">
        <w:rPr>
          <w:rFonts w:ascii="Times New Roman" w:hAnsi="Times New Roman" w:cs="Times New Roman"/>
          <w:sz w:val="24"/>
          <w:szCs w:val="24"/>
          <w:lang w:val="fr-BE"/>
        </w:rPr>
        <w:t xml:space="preserve"> et donc sur l’emploi</w:t>
      </w:r>
      <w:r>
        <w:rPr>
          <w:rFonts w:ascii="Times New Roman" w:hAnsi="Times New Roman" w:cs="Times New Roman"/>
          <w:sz w:val="24"/>
          <w:szCs w:val="24"/>
          <w:lang w:val="fr-BE"/>
        </w:rPr>
        <w:t xml:space="preserve">. </w:t>
      </w:r>
      <w:r w:rsidR="00E61913">
        <w:rPr>
          <w:rFonts w:ascii="Times New Roman" w:hAnsi="Times New Roman" w:cs="Times New Roman"/>
          <w:sz w:val="24"/>
          <w:szCs w:val="24"/>
          <w:lang w:val="fr-BE"/>
        </w:rPr>
        <w:t>Elle serait aussi cohérente</w:t>
      </w:r>
      <w:r w:rsidR="00056FA8">
        <w:rPr>
          <w:rFonts w:ascii="Times New Roman" w:hAnsi="Times New Roman" w:cs="Times New Roman"/>
          <w:sz w:val="24"/>
          <w:szCs w:val="24"/>
          <w:lang w:val="fr-BE"/>
        </w:rPr>
        <w:t xml:space="preserve"> </w:t>
      </w:r>
      <w:r w:rsidR="00E61913">
        <w:rPr>
          <w:rFonts w:ascii="Times New Roman" w:hAnsi="Times New Roman" w:cs="Times New Roman"/>
          <w:sz w:val="24"/>
          <w:szCs w:val="24"/>
          <w:lang w:val="fr-BE"/>
        </w:rPr>
        <w:t>avec la contribution de l’U</w:t>
      </w:r>
      <w:r w:rsidR="00056FA8">
        <w:rPr>
          <w:rFonts w:ascii="Times New Roman" w:hAnsi="Times New Roman" w:cs="Times New Roman"/>
          <w:sz w:val="24"/>
          <w:szCs w:val="24"/>
          <w:lang w:val="fr-BE"/>
        </w:rPr>
        <w:t>nion européenne</w:t>
      </w:r>
      <w:r w:rsidR="00E61913">
        <w:rPr>
          <w:rFonts w:ascii="Times New Roman" w:hAnsi="Times New Roman" w:cs="Times New Roman"/>
          <w:sz w:val="24"/>
          <w:szCs w:val="24"/>
          <w:lang w:val="fr-BE"/>
        </w:rPr>
        <w:t xml:space="preserve"> pour soutenir et développer au Sahara occidental par son appui financier la compétitivité du secteur, l’emploi et la qualité de vie des pêcheurs ainsi qu’une exploitation durable des ressources naturelles.</w:t>
      </w:r>
      <w:r w:rsidR="00E61913" w:rsidRPr="00D86DBD">
        <w:rPr>
          <w:rFonts w:ascii="Times New Roman" w:hAnsi="Times New Roman" w:cs="Times New Roman"/>
          <w:sz w:val="24"/>
          <w:szCs w:val="24"/>
          <w:lang w:val="fr-BE"/>
        </w:rPr>
        <w:t xml:space="preserve"> </w:t>
      </w:r>
      <w:r w:rsidRPr="00D86DBD">
        <w:rPr>
          <w:rFonts w:ascii="Times New Roman" w:hAnsi="Times New Roman" w:cs="Times New Roman"/>
          <w:sz w:val="24"/>
          <w:szCs w:val="24"/>
          <w:lang w:val="fr-BE"/>
        </w:rPr>
        <w:t>A l’inverse</w:t>
      </w:r>
      <w:r w:rsidR="00E5382A">
        <w:rPr>
          <w:rFonts w:ascii="Times New Roman" w:hAnsi="Times New Roman" w:cs="Times New Roman"/>
          <w:sz w:val="24"/>
          <w:szCs w:val="24"/>
          <w:lang w:val="fr-BE"/>
        </w:rPr>
        <w:t>,</w:t>
      </w:r>
      <w:r w:rsidRPr="00D86DBD">
        <w:rPr>
          <w:rFonts w:ascii="Times New Roman" w:hAnsi="Times New Roman" w:cs="Times New Roman"/>
          <w:sz w:val="24"/>
          <w:szCs w:val="24"/>
          <w:lang w:val="fr-BE"/>
        </w:rPr>
        <w:t xml:space="preserve"> refuser l’octroi de ces préférences compromettrait les exportations mais aussi l’emploi</w:t>
      </w:r>
      <w:r w:rsidR="00E5382A">
        <w:rPr>
          <w:rFonts w:ascii="Times New Roman" w:hAnsi="Times New Roman" w:cs="Times New Roman"/>
          <w:sz w:val="24"/>
          <w:szCs w:val="24"/>
          <w:lang w:val="fr-BE"/>
        </w:rPr>
        <w:t>, et faciliterait le transfert de ces activités de transformation vers d'autres emplacements et probablement vers le Maroc</w:t>
      </w:r>
      <w:r w:rsidR="009E6896" w:rsidRPr="00D86DBD">
        <w:rPr>
          <w:rFonts w:ascii="Times New Roman" w:hAnsi="Times New Roman" w:cs="Times New Roman"/>
          <w:sz w:val="24"/>
          <w:szCs w:val="24"/>
          <w:lang w:val="fr-BE"/>
        </w:rPr>
        <w:t>.</w:t>
      </w:r>
      <w:r w:rsidR="00E61913">
        <w:rPr>
          <w:rFonts w:ascii="Times New Roman" w:hAnsi="Times New Roman" w:cs="Times New Roman"/>
          <w:sz w:val="24"/>
          <w:szCs w:val="24"/>
          <w:lang w:val="fr-BE"/>
        </w:rPr>
        <w:t xml:space="preserve"> Elle serait aussi contraire aux objectifs de l’U</w:t>
      </w:r>
      <w:r w:rsidR="00F70958">
        <w:rPr>
          <w:rFonts w:ascii="Times New Roman" w:hAnsi="Times New Roman" w:cs="Times New Roman"/>
          <w:sz w:val="24"/>
          <w:szCs w:val="24"/>
          <w:lang w:val="fr-BE"/>
        </w:rPr>
        <w:t>nion européenne</w:t>
      </w:r>
      <w:r w:rsidR="00E61913">
        <w:rPr>
          <w:rFonts w:ascii="Times New Roman" w:hAnsi="Times New Roman" w:cs="Times New Roman"/>
          <w:sz w:val="24"/>
          <w:szCs w:val="24"/>
          <w:lang w:val="fr-BE"/>
        </w:rPr>
        <w:t xml:space="preserve"> de soutenir le développement de ce secteur au Sahara occidental. </w:t>
      </w:r>
    </w:p>
    <w:p w:rsidR="009E6896" w:rsidRPr="00D86DBD" w:rsidRDefault="009E6896" w:rsidP="0084736B">
      <w:pPr>
        <w:widowControl w:val="0"/>
        <w:spacing w:after="0" w:line="240" w:lineRule="auto"/>
        <w:jc w:val="both"/>
        <w:rPr>
          <w:rFonts w:ascii="Times New Roman" w:hAnsi="Times New Roman" w:cs="Times New Roman"/>
          <w:sz w:val="24"/>
          <w:szCs w:val="24"/>
          <w:lang w:val="fr-BE"/>
        </w:rPr>
      </w:pPr>
    </w:p>
    <w:p w:rsidR="00514E29" w:rsidRDefault="00E61913" w:rsidP="0084736B">
      <w:pPr>
        <w:widowControl w:val="0"/>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w:t>
      </w:r>
      <w:r w:rsidR="008A5B40" w:rsidRPr="00D86DBD">
        <w:rPr>
          <w:rFonts w:ascii="Times New Roman" w:hAnsi="Times New Roman" w:cs="Times New Roman"/>
          <w:sz w:val="24"/>
          <w:szCs w:val="24"/>
          <w:lang w:val="fr-BE"/>
        </w:rPr>
        <w:t>es importateurs européens de produits de la pêche du S</w:t>
      </w:r>
      <w:r w:rsidR="00201BA3">
        <w:rPr>
          <w:rFonts w:ascii="Times New Roman" w:hAnsi="Times New Roman" w:cs="Times New Roman"/>
          <w:sz w:val="24"/>
          <w:szCs w:val="24"/>
          <w:lang w:val="fr-BE"/>
        </w:rPr>
        <w:t>ahara occidental</w:t>
      </w:r>
      <w:r w:rsidR="008A5B40" w:rsidRPr="00D86DBD">
        <w:rPr>
          <w:rFonts w:ascii="Times New Roman" w:hAnsi="Times New Roman" w:cs="Times New Roman"/>
          <w:sz w:val="24"/>
          <w:szCs w:val="24"/>
          <w:lang w:val="fr-BE"/>
        </w:rPr>
        <w:t xml:space="preserve"> ont indiqué</w:t>
      </w:r>
      <w:r w:rsidR="00AD0C25" w:rsidRPr="00AD0C25">
        <w:rPr>
          <w:rFonts w:ascii="Times New Roman" w:hAnsi="Times New Roman" w:cs="Times New Roman"/>
          <w:sz w:val="24"/>
          <w:szCs w:val="24"/>
          <w:lang w:val="fr-BE"/>
        </w:rPr>
        <w:t xml:space="preserve"> que, vu le niveau élevé du tarif extérieur commun (hors préférence – taux non-préférentiels), l’achat de ces produits serait beaucoup moins avantageux si aucun traitement préférentiel n’était accordé. </w:t>
      </w:r>
    </w:p>
    <w:p w:rsidR="00514E29" w:rsidRDefault="00514E29" w:rsidP="0084736B">
      <w:pPr>
        <w:widowControl w:val="0"/>
        <w:spacing w:after="0" w:line="240" w:lineRule="auto"/>
        <w:jc w:val="both"/>
        <w:rPr>
          <w:rFonts w:ascii="Times New Roman" w:hAnsi="Times New Roman" w:cs="Times New Roman"/>
          <w:sz w:val="24"/>
          <w:szCs w:val="24"/>
          <w:lang w:val="fr-BE"/>
        </w:rPr>
      </w:pPr>
    </w:p>
    <w:p w:rsidR="00F34A4D" w:rsidRPr="00016D46" w:rsidRDefault="00E34A7F" w:rsidP="00FC36AF">
      <w:pPr>
        <w:pStyle w:val="Heading3"/>
        <w:rPr>
          <w:rFonts w:eastAsia="Calibri"/>
          <w:lang w:val="fr-FR"/>
        </w:rPr>
      </w:pPr>
      <w:bookmarkStart w:id="25" w:name="_Toc514257470"/>
      <w:r>
        <w:rPr>
          <w:rFonts w:eastAsia="Calibri"/>
          <w:lang w:val="fr-FR"/>
        </w:rPr>
        <w:t>L</w:t>
      </w:r>
      <w:r w:rsidR="0073708F" w:rsidRPr="00016D46">
        <w:rPr>
          <w:rFonts w:eastAsia="Calibri"/>
          <w:lang w:val="fr-FR"/>
        </w:rPr>
        <w:t xml:space="preserve">e secteur des </w:t>
      </w:r>
      <w:r w:rsidR="00514E29">
        <w:rPr>
          <w:rFonts w:eastAsia="Calibri"/>
          <w:lang w:val="fr-FR"/>
        </w:rPr>
        <w:t>p</w:t>
      </w:r>
      <w:r w:rsidR="00F34A4D" w:rsidRPr="00016D46">
        <w:rPr>
          <w:rFonts w:eastAsia="Calibri"/>
          <w:lang w:val="fr-FR"/>
        </w:rPr>
        <w:t>hosphates</w:t>
      </w:r>
      <w:bookmarkEnd w:id="25"/>
    </w:p>
    <w:p w:rsidR="00CB3B7A" w:rsidRDefault="00CB3B7A" w:rsidP="0084736B">
      <w:pPr>
        <w:widowControl w:val="0"/>
        <w:spacing w:after="0" w:line="240" w:lineRule="auto"/>
        <w:contextualSpacing/>
        <w:jc w:val="both"/>
        <w:rPr>
          <w:rFonts w:ascii="Times New Roman" w:eastAsia="MS Mincho" w:hAnsi="Times New Roman" w:cs="Times New Roman"/>
          <w:sz w:val="24"/>
          <w:szCs w:val="24"/>
          <w:u w:val="single"/>
          <w:lang w:val="fr-BE" w:eastAsia="nl-BE"/>
        </w:rPr>
      </w:pPr>
    </w:p>
    <w:p w:rsidR="00CB3B7A" w:rsidRPr="00EB03AA" w:rsidRDefault="00201BA3" w:rsidP="00FC36AF">
      <w:pPr>
        <w:pStyle w:val="Heading4"/>
        <w:rPr>
          <w:rFonts w:eastAsia="MS Mincho"/>
          <w:lang w:val="fr-BE" w:eastAsia="nl-BE"/>
        </w:rPr>
      </w:pPr>
      <w:r w:rsidRPr="00EB03AA">
        <w:rPr>
          <w:rFonts w:eastAsia="MS Mincho"/>
          <w:lang w:val="fr-BE" w:eastAsia="nl-BE"/>
        </w:rPr>
        <w:t>Introduction</w:t>
      </w:r>
    </w:p>
    <w:p w:rsidR="00CB3B7A" w:rsidRPr="00F34A4D" w:rsidRDefault="00CB3B7A" w:rsidP="0084736B">
      <w:pPr>
        <w:widowControl w:val="0"/>
        <w:spacing w:after="0" w:line="240" w:lineRule="auto"/>
        <w:jc w:val="both"/>
        <w:rPr>
          <w:rFonts w:ascii="Times New Roman" w:eastAsia="MS Mincho" w:hAnsi="Times New Roman" w:cs="Times New Roman"/>
          <w:sz w:val="24"/>
          <w:szCs w:val="24"/>
          <w:lang w:val="fr-BE" w:eastAsia="nl-BE"/>
        </w:rPr>
      </w:pPr>
    </w:p>
    <w:p w:rsidR="00502405" w:rsidRPr="00502405" w:rsidRDefault="00502405" w:rsidP="00502405">
      <w:pPr>
        <w:widowControl w:val="0"/>
        <w:spacing w:after="0" w:line="240" w:lineRule="auto"/>
        <w:jc w:val="both"/>
        <w:rPr>
          <w:rFonts w:ascii="Times New Roman" w:eastAsia="MS Mincho" w:hAnsi="Times New Roman" w:cs="Times New Roman"/>
          <w:sz w:val="24"/>
          <w:szCs w:val="24"/>
          <w:lang w:val="fr-BE" w:eastAsia="nl-BE"/>
        </w:rPr>
      </w:pPr>
      <w:r w:rsidRPr="00502405">
        <w:rPr>
          <w:rFonts w:ascii="Times New Roman" w:eastAsia="MS Mincho" w:hAnsi="Times New Roman" w:cs="Times New Roman"/>
          <w:sz w:val="24"/>
          <w:szCs w:val="24"/>
          <w:lang w:val="fr-BE" w:eastAsia="nl-BE"/>
        </w:rPr>
        <w:t xml:space="preserve">Les phosphates sont des minerais (roches) qui sont à la base des engrais phosphatés utilisés dans l’agriculture. Plus de 80% de la production mondiale est utilisée par l'agriculture; il n’existe pas de produit de substitution et la demande va croissante. Les gisements les plus importants se trouvent </w:t>
      </w:r>
      <w:r w:rsidR="004130A1">
        <w:rPr>
          <w:rFonts w:ascii="Times New Roman" w:eastAsia="MS Mincho" w:hAnsi="Times New Roman" w:cs="Times New Roman"/>
          <w:sz w:val="24"/>
          <w:szCs w:val="24"/>
          <w:lang w:val="fr-BE" w:eastAsia="nl-BE"/>
        </w:rPr>
        <w:t xml:space="preserve">à présent </w:t>
      </w:r>
      <w:r w:rsidRPr="00502405">
        <w:rPr>
          <w:rFonts w:ascii="Times New Roman" w:eastAsia="MS Mincho" w:hAnsi="Times New Roman" w:cs="Times New Roman"/>
          <w:sz w:val="24"/>
          <w:szCs w:val="24"/>
          <w:lang w:val="fr-BE" w:eastAsia="nl-BE"/>
        </w:rPr>
        <w:t>au Maroc</w:t>
      </w:r>
      <w:r w:rsidRPr="00502405">
        <w:rPr>
          <w:rFonts w:ascii="Times New Roman" w:eastAsia="MS Mincho" w:hAnsi="Times New Roman" w:cs="Times New Roman"/>
          <w:sz w:val="24"/>
          <w:szCs w:val="24"/>
          <w:vertAlign w:val="superscript"/>
          <w:lang w:val="fr-BE" w:eastAsia="nl-BE"/>
        </w:rPr>
        <w:footnoteReference w:id="42"/>
      </w:r>
      <w:r w:rsidRPr="00502405">
        <w:rPr>
          <w:rFonts w:ascii="Times New Roman" w:eastAsia="MS Mincho" w:hAnsi="Times New Roman" w:cs="Times New Roman"/>
          <w:sz w:val="24"/>
          <w:szCs w:val="24"/>
          <w:lang w:val="fr-BE" w:eastAsia="nl-BE"/>
        </w:rPr>
        <w:t>.</w:t>
      </w:r>
    </w:p>
    <w:p w:rsidR="00B72D79" w:rsidRPr="002E4946" w:rsidRDefault="00B72D79" w:rsidP="0084736B">
      <w:pPr>
        <w:widowControl w:val="0"/>
        <w:spacing w:after="0" w:line="240" w:lineRule="auto"/>
        <w:jc w:val="both"/>
        <w:rPr>
          <w:rFonts w:ascii="Times New Roman" w:eastAsia="MS Mincho" w:hAnsi="Times New Roman" w:cs="Times New Roman"/>
          <w:sz w:val="24"/>
          <w:szCs w:val="24"/>
          <w:lang w:val="fr-BE" w:eastAsia="nl-BE"/>
        </w:rPr>
      </w:pPr>
    </w:p>
    <w:p w:rsidR="00CB3B7A" w:rsidRPr="00F34A4D" w:rsidRDefault="00CB3B7A" w:rsidP="0084736B">
      <w:pPr>
        <w:widowControl w:val="0"/>
        <w:spacing w:after="0" w:line="240" w:lineRule="auto"/>
        <w:jc w:val="both"/>
        <w:rPr>
          <w:rFonts w:ascii="Times New Roman" w:eastAsia="Times New Roman" w:hAnsi="Times New Roman" w:cs="Times New Roman"/>
          <w:sz w:val="24"/>
          <w:szCs w:val="20"/>
          <w:lang w:val="fr-BE"/>
        </w:rPr>
      </w:pPr>
      <w:r w:rsidRPr="002E4946">
        <w:rPr>
          <w:rFonts w:ascii="Times New Roman" w:eastAsia="MS Mincho" w:hAnsi="Times New Roman" w:cs="Times New Roman"/>
          <w:sz w:val="24"/>
          <w:szCs w:val="24"/>
          <w:lang w:val="fr-BE" w:eastAsia="nl-BE"/>
        </w:rPr>
        <w:t>La première entreprise mondiale pour l</w:t>
      </w:r>
      <w:r w:rsidR="00D6261B">
        <w:rPr>
          <w:rFonts w:ascii="Times New Roman" w:eastAsia="MS Mincho" w:hAnsi="Times New Roman" w:cs="Times New Roman"/>
          <w:sz w:val="24"/>
          <w:szCs w:val="24"/>
          <w:lang w:val="fr-BE" w:eastAsia="nl-BE"/>
        </w:rPr>
        <w:t>’exportation d</w:t>
      </w:r>
      <w:r w:rsidRPr="002E4946">
        <w:rPr>
          <w:rFonts w:ascii="Times New Roman" w:eastAsia="MS Mincho" w:hAnsi="Times New Roman" w:cs="Times New Roman"/>
          <w:sz w:val="24"/>
          <w:szCs w:val="24"/>
          <w:lang w:val="fr-BE" w:eastAsia="nl-BE"/>
        </w:rPr>
        <w:t>e phosphate est le groupe OCP (</w:t>
      </w:r>
      <w:r w:rsidR="00201BA3">
        <w:rPr>
          <w:rFonts w:ascii="Times New Roman" w:eastAsia="MS Mincho" w:hAnsi="Times New Roman" w:cs="Times New Roman"/>
          <w:sz w:val="24"/>
          <w:szCs w:val="24"/>
          <w:lang w:val="fr-BE" w:eastAsia="nl-BE"/>
        </w:rPr>
        <w:t xml:space="preserve">ex </w:t>
      </w:r>
      <w:r w:rsidRPr="002E4946">
        <w:rPr>
          <w:rFonts w:ascii="Times New Roman" w:eastAsia="MS Mincho" w:hAnsi="Times New Roman" w:cs="Times New Roman"/>
          <w:sz w:val="24"/>
          <w:szCs w:val="24"/>
          <w:lang w:val="fr-BE" w:eastAsia="nl-BE"/>
        </w:rPr>
        <w:t>Office Chérifien d</w:t>
      </w:r>
      <w:r w:rsidR="0073708F" w:rsidRPr="002E4946">
        <w:rPr>
          <w:rFonts w:ascii="Times New Roman" w:eastAsia="MS Mincho" w:hAnsi="Times New Roman" w:cs="Times New Roman"/>
          <w:sz w:val="24"/>
          <w:szCs w:val="24"/>
          <w:lang w:val="fr-BE" w:eastAsia="nl-BE"/>
        </w:rPr>
        <w:t>es</w:t>
      </w:r>
      <w:r w:rsidRPr="002E4946">
        <w:rPr>
          <w:rFonts w:ascii="Times New Roman" w:eastAsia="MS Mincho" w:hAnsi="Times New Roman" w:cs="Times New Roman"/>
          <w:sz w:val="24"/>
          <w:szCs w:val="24"/>
          <w:lang w:val="fr-BE" w:eastAsia="nl-BE"/>
        </w:rPr>
        <w:t xml:space="preserve"> Phosphate</w:t>
      </w:r>
      <w:r w:rsidR="0073708F" w:rsidRPr="002E4946">
        <w:rPr>
          <w:rFonts w:ascii="Times New Roman" w:eastAsia="MS Mincho" w:hAnsi="Times New Roman" w:cs="Times New Roman"/>
          <w:sz w:val="24"/>
          <w:szCs w:val="24"/>
          <w:lang w:val="fr-BE" w:eastAsia="nl-BE"/>
        </w:rPr>
        <w:t>s</w:t>
      </w:r>
      <w:r w:rsidRPr="002E4946">
        <w:rPr>
          <w:rFonts w:ascii="Times New Roman" w:eastAsia="MS Mincho" w:hAnsi="Times New Roman" w:cs="Times New Roman"/>
          <w:sz w:val="24"/>
          <w:szCs w:val="24"/>
          <w:lang w:val="fr-BE" w:eastAsia="nl-BE"/>
        </w:rPr>
        <w:t>)</w:t>
      </w:r>
      <w:r w:rsidRPr="00F34A4D">
        <w:rPr>
          <w:rFonts w:ascii="Times New Roman" w:eastAsia="MS Mincho" w:hAnsi="Times New Roman" w:cs="Times New Roman"/>
          <w:sz w:val="24"/>
          <w:szCs w:val="24"/>
          <w:vertAlign w:val="superscript"/>
          <w:lang w:val="fr-BE" w:eastAsia="nl-BE"/>
        </w:rPr>
        <w:footnoteReference w:id="43"/>
      </w:r>
      <w:r w:rsidRPr="002E4946">
        <w:rPr>
          <w:rFonts w:ascii="Times New Roman" w:eastAsia="MS Mincho" w:hAnsi="Times New Roman" w:cs="Times New Roman"/>
          <w:sz w:val="24"/>
          <w:szCs w:val="24"/>
          <w:lang w:val="fr-BE" w:eastAsia="nl-BE"/>
        </w:rPr>
        <w:t xml:space="preserve"> qui contrôle l’ensemble de la filière au Maroc et au Sahara occidental. </w:t>
      </w:r>
    </w:p>
    <w:p w:rsidR="00CB3B7A" w:rsidRPr="00F34A4D" w:rsidRDefault="00CB3B7A" w:rsidP="0084736B">
      <w:pPr>
        <w:widowControl w:val="0"/>
        <w:spacing w:after="0" w:line="240" w:lineRule="auto"/>
        <w:jc w:val="both"/>
        <w:rPr>
          <w:rFonts w:ascii="Times New Roman" w:eastAsia="Times New Roman" w:hAnsi="Times New Roman" w:cs="Times New Roman"/>
          <w:sz w:val="24"/>
          <w:szCs w:val="20"/>
          <w:lang w:val="fr-BE"/>
        </w:rPr>
      </w:pPr>
    </w:p>
    <w:p w:rsidR="00CB3B7A" w:rsidRPr="00F34A4D" w:rsidRDefault="00CB3B7A" w:rsidP="0084736B">
      <w:pPr>
        <w:widowControl w:val="0"/>
        <w:spacing w:after="0" w:line="240" w:lineRule="auto"/>
        <w:jc w:val="both"/>
        <w:rPr>
          <w:rFonts w:ascii="Times New Roman" w:eastAsia="Times New Roman" w:hAnsi="Times New Roman" w:cs="Times New Roman"/>
          <w:sz w:val="24"/>
          <w:szCs w:val="20"/>
          <w:lang w:val="fr-BE"/>
        </w:rPr>
      </w:pPr>
      <w:r w:rsidRPr="00F34A4D">
        <w:rPr>
          <w:rFonts w:ascii="Times New Roman" w:eastAsia="MS Mincho" w:hAnsi="Times New Roman" w:cs="Times New Roman"/>
          <w:sz w:val="24"/>
          <w:szCs w:val="24"/>
          <w:lang w:val="fr-BE" w:eastAsia="nl-BE"/>
        </w:rPr>
        <w:t>Les principales mines de phosphate sont établies au</w:t>
      </w:r>
      <w:r w:rsidR="00FF1668">
        <w:rPr>
          <w:rFonts w:ascii="Times New Roman" w:eastAsia="MS Mincho" w:hAnsi="Times New Roman" w:cs="Times New Roman"/>
          <w:sz w:val="24"/>
          <w:szCs w:val="24"/>
          <w:lang w:val="fr-BE" w:eastAsia="nl-BE"/>
        </w:rPr>
        <w:t xml:space="preserve"> </w:t>
      </w:r>
      <w:r w:rsidRPr="00F34A4D">
        <w:rPr>
          <w:rFonts w:ascii="Times New Roman" w:eastAsia="MS Mincho" w:hAnsi="Times New Roman" w:cs="Times New Roman"/>
          <w:sz w:val="24"/>
          <w:szCs w:val="24"/>
          <w:lang w:val="fr-BE" w:eastAsia="nl-BE"/>
        </w:rPr>
        <w:t>Maroc</w:t>
      </w:r>
      <w:r w:rsidR="000C6E37">
        <w:rPr>
          <w:rFonts w:ascii="Times New Roman" w:eastAsia="MS Mincho" w:hAnsi="Times New Roman" w:cs="Times New Roman"/>
          <w:sz w:val="24"/>
          <w:szCs w:val="24"/>
          <w:lang w:val="fr-BE" w:eastAsia="nl-BE"/>
        </w:rPr>
        <w:t xml:space="preserve"> </w:t>
      </w:r>
      <w:r w:rsidR="00201BA3">
        <w:rPr>
          <w:rFonts w:ascii="Times New Roman" w:eastAsia="MS Mincho" w:hAnsi="Times New Roman" w:cs="Times New Roman"/>
          <w:sz w:val="24"/>
          <w:szCs w:val="24"/>
          <w:lang w:val="fr-BE" w:eastAsia="nl-BE"/>
        </w:rPr>
        <w:t>(</w:t>
      </w:r>
      <w:r w:rsidR="00201BA3" w:rsidRPr="00AB66B0">
        <w:rPr>
          <w:rFonts w:ascii="Times New Roman" w:eastAsia="MS Mincho" w:hAnsi="Times New Roman" w:cs="Times New Roman"/>
          <w:sz w:val="24"/>
          <w:szCs w:val="24"/>
          <w:lang w:val="fr-BE" w:eastAsia="nl-BE"/>
        </w:rPr>
        <w:t xml:space="preserve">Khouribga </w:t>
      </w:r>
      <w:r w:rsidR="00201BA3">
        <w:rPr>
          <w:rFonts w:ascii="Times New Roman" w:eastAsia="MS Mincho" w:hAnsi="Times New Roman" w:cs="Times New Roman"/>
          <w:sz w:val="24"/>
          <w:szCs w:val="24"/>
          <w:lang w:val="fr-BE" w:eastAsia="nl-BE"/>
        </w:rPr>
        <w:t>et</w:t>
      </w:r>
      <w:r w:rsidR="00201BA3" w:rsidRPr="00AB66B0">
        <w:rPr>
          <w:rFonts w:ascii="Times New Roman" w:eastAsia="MS Mincho" w:hAnsi="Times New Roman" w:cs="Times New Roman"/>
          <w:sz w:val="24"/>
          <w:szCs w:val="24"/>
          <w:lang w:val="fr-BE" w:eastAsia="nl-BE"/>
        </w:rPr>
        <w:t xml:space="preserve"> Gantour</w:t>
      </w:r>
      <w:r w:rsidR="00201BA3">
        <w:rPr>
          <w:rFonts w:ascii="Times New Roman" w:eastAsia="MS Mincho" w:hAnsi="Times New Roman" w:cs="Times New Roman"/>
          <w:sz w:val="24"/>
          <w:szCs w:val="24"/>
          <w:lang w:val="fr-BE" w:eastAsia="nl-BE"/>
        </w:rPr>
        <w:t>)</w:t>
      </w:r>
      <w:r w:rsidR="00784F8D">
        <w:rPr>
          <w:rFonts w:ascii="Times New Roman" w:eastAsia="MS Mincho" w:hAnsi="Times New Roman" w:cs="Times New Roman"/>
          <w:sz w:val="24"/>
          <w:szCs w:val="24"/>
          <w:lang w:val="fr-BE" w:eastAsia="nl-BE"/>
        </w:rPr>
        <w:t>,</w:t>
      </w:r>
      <w:r w:rsidRPr="00F34A4D">
        <w:rPr>
          <w:rFonts w:ascii="Times New Roman" w:eastAsia="MS Mincho" w:hAnsi="Times New Roman" w:cs="Times New Roman"/>
          <w:sz w:val="24"/>
          <w:szCs w:val="24"/>
          <w:lang w:val="fr-BE" w:eastAsia="nl-BE"/>
        </w:rPr>
        <w:t xml:space="preserve"> </w:t>
      </w:r>
      <w:r w:rsidR="00784F8D">
        <w:rPr>
          <w:rFonts w:ascii="Times New Roman" w:eastAsia="MS Mincho" w:hAnsi="Times New Roman" w:cs="Times New Roman"/>
          <w:sz w:val="24"/>
          <w:szCs w:val="24"/>
          <w:lang w:val="fr-BE" w:eastAsia="nl-BE"/>
        </w:rPr>
        <w:t>l</w:t>
      </w:r>
      <w:r w:rsidRPr="00F34A4D">
        <w:rPr>
          <w:rFonts w:ascii="Times New Roman" w:eastAsia="MS Mincho" w:hAnsi="Times New Roman" w:cs="Times New Roman"/>
          <w:sz w:val="24"/>
          <w:szCs w:val="24"/>
          <w:lang w:val="fr-BE" w:eastAsia="nl-BE"/>
        </w:rPr>
        <w:t>e Sahara occidental ne conna</w:t>
      </w:r>
      <w:r w:rsidR="00784F8D">
        <w:rPr>
          <w:rFonts w:ascii="Times New Roman" w:eastAsia="MS Mincho" w:hAnsi="Times New Roman" w:cs="Times New Roman"/>
          <w:sz w:val="24"/>
          <w:szCs w:val="24"/>
          <w:lang w:val="fr-BE" w:eastAsia="nl-BE"/>
        </w:rPr>
        <w:t>issant</w:t>
      </w:r>
      <w:r w:rsidRPr="00F34A4D">
        <w:rPr>
          <w:rFonts w:ascii="Times New Roman" w:eastAsia="MS Mincho" w:hAnsi="Times New Roman" w:cs="Times New Roman"/>
          <w:sz w:val="24"/>
          <w:szCs w:val="24"/>
          <w:lang w:val="fr-BE" w:eastAsia="nl-BE"/>
        </w:rPr>
        <w:t xml:space="preserve"> actuellement qu’un seul site d’extraction </w:t>
      </w:r>
      <w:r w:rsidR="0073708F">
        <w:rPr>
          <w:rFonts w:ascii="Times New Roman" w:eastAsia="MS Mincho" w:hAnsi="Times New Roman" w:cs="Times New Roman"/>
          <w:sz w:val="24"/>
          <w:szCs w:val="24"/>
          <w:lang w:val="fr-BE" w:eastAsia="nl-BE"/>
        </w:rPr>
        <w:t xml:space="preserve">situé </w:t>
      </w:r>
      <w:r w:rsidRPr="00F34A4D">
        <w:rPr>
          <w:rFonts w:ascii="Times New Roman" w:eastAsia="MS Mincho" w:hAnsi="Times New Roman" w:cs="Times New Roman"/>
          <w:sz w:val="24"/>
          <w:szCs w:val="24"/>
          <w:lang w:val="fr-BE" w:eastAsia="nl-BE"/>
        </w:rPr>
        <w:t>à Boucr</w:t>
      </w:r>
      <w:r w:rsidR="000A246D">
        <w:rPr>
          <w:rFonts w:ascii="Times New Roman" w:eastAsia="MS Mincho" w:hAnsi="Times New Roman" w:cs="Times New Roman"/>
          <w:sz w:val="24"/>
          <w:szCs w:val="24"/>
          <w:lang w:val="fr-BE" w:eastAsia="nl-BE"/>
        </w:rPr>
        <w:t>a</w:t>
      </w:r>
      <w:r w:rsidRPr="00F34A4D">
        <w:rPr>
          <w:rFonts w:ascii="Times New Roman" w:eastAsia="MS Mincho" w:hAnsi="Times New Roman" w:cs="Times New Roman"/>
          <w:sz w:val="24"/>
          <w:szCs w:val="24"/>
          <w:lang w:val="fr-BE" w:eastAsia="nl-BE"/>
        </w:rPr>
        <w:t>a</w:t>
      </w:r>
      <w:r w:rsidRPr="00F34A4D">
        <w:rPr>
          <w:rFonts w:ascii="Times New Roman" w:eastAsia="MS Mincho" w:hAnsi="Times New Roman" w:cs="Times New Roman"/>
          <w:sz w:val="24"/>
          <w:szCs w:val="24"/>
          <w:vertAlign w:val="superscript"/>
          <w:lang w:val="fr-BE" w:eastAsia="nl-BE"/>
        </w:rPr>
        <w:footnoteReference w:id="44"/>
      </w:r>
      <w:r w:rsidRPr="00F34A4D">
        <w:rPr>
          <w:rFonts w:ascii="Times New Roman" w:eastAsia="MS Mincho" w:hAnsi="Times New Roman" w:cs="Times New Roman"/>
          <w:sz w:val="24"/>
          <w:szCs w:val="24"/>
          <w:lang w:val="fr-BE" w:eastAsia="nl-BE"/>
        </w:rPr>
        <w:t xml:space="preserve">. </w:t>
      </w:r>
      <w:r w:rsidRPr="00F34A4D">
        <w:rPr>
          <w:rFonts w:ascii="Times New Roman" w:eastAsia="Times New Roman" w:hAnsi="Times New Roman" w:cs="Times New Roman"/>
          <w:sz w:val="24"/>
          <w:szCs w:val="20"/>
          <w:lang w:val="fr-BE"/>
        </w:rPr>
        <w:t xml:space="preserve">Les rapports annuels </w:t>
      </w:r>
      <w:r w:rsidR="001040A9">
        <w:rPr>
          <w:rFonts w:ascii="Times New Roman" w:eastAsia="Times New Roman" w:hAnsi="Times New Roman" w:cs="Times New Roman"/>
          <w:sz w:val="24"/>
          <w:szCs w:val="20"/>
          <w:lang w:val="fr-BE"/>
        </w:rPr>
        <w:t xml:space="preserve">du groupe </w:t>
      </w:r>
      <w:r w:rsidRPr="00F34A4D">
        <w:rPr>
          <w:rFonts w:ascii="Times New Roman" w:eastAsia="Times New Roman" w:hAnsi="Times New Roman" w:cs="Times New Roman"/>
          <w:sz w:val="24"/>
          <w:szCs w:val="20"/>
          <w:lang w:val="fr-BE"/>
        </w:rPr>
        <w:t xml:space="preserve">OCP </w:t>
      </w:r>
      <w:r w:rsidR="00201BA3">
        <w:rPr>
          <w:rFonts w:ascii="Times New Roman" w:eastAsia="Times New Roman" w:hAnsi="Times New Roman" w:cs="Times New Roman"/>
          <w:sz w:val="24"/>
          <w:szCs w:val="20"/>
          <w:lang w:val="fr-BE"/>
        </w:rPr>
        <w:t>font apparaître</w:t>
      </w:r>
      <w:r w:rsidRPr="00F34A4D">
        <w:rPr>
          <w:rFonts w:ascii="Times New Roman" w:eastAsia="Times New Roman" w:hAnsi="Times New Roman" w:cs="Times New Roman"/>
          <w:sz w:val="24"/>
          <w:szCs w:val="20"/>
          <w:lang w:val="fr-BE"/>
        </w:rPr>
        <w:t xml:space="preserve"> la production marocaine et du Sahara occidental sans toutefois permettre de </w:t>
      </w:r>
      <w:r w:rsidR="00201BA3">
        <w:rPr>
          <w:rFonts w:ascii="Times New Roman" w:eastAsia="Times New Roman" w:hAnsi="Times New Roman" w:cs="Times New Roman"/>
          <w:sz w:val="24"/>
          <w:szCs w:val="20"/>
          <w:lang w:val="fr-BE"/>
        </w:rPr>
        <w:t>distinguer</w:t>
      </w:r>
      <w:r w:rsidRPr="00F34A4D">
        <w:rPr>
          <w:rFonts w:ascii="Times New Roman" w:eastAsia="Times New Roman" w:hAnsi="Times New Roman" w:cs="Times New Roman"/>
          <w:sz w:val="24"/>
          <w:szCs w:val="20"/>
          <w:lang w:val="fr-BE"/>
        </w:rPr>
        <w:t xml:space="preserve"> </w:t>
      </w:r>
      <w:r w:rsidR="0073708F" w:rsidRPr="0073708F">
        <w:rPr>
          <w:rFonts w:ascii="Times New Roman" w:eastAsia="Times New Roman" w:hAnsi="Times New Roman" w:cs="Times New Roman"/>
          <w:sz w:val="24"/>
          <w:szCs w:val="20"/>
          <w:lang w:val="fr-BE"/>
        </w:rPr>
        <w:t>entre les parts respectives du Maroc et du Sahara occidental</w:t>
      </w:r>
      <w:r w:rsidRPr="00F34A4D">
        <w:rPr>
          <w:rFonts w:ascii="Times New Roman" w:eastAsia="Times New Roman" w:hAnsi="Times New Roman" w:cs="Times New Roman"/>
          <w:sz w:val="24"/>
          <w:szCs w:val="20"/>
          <w:lang w:val="fr-BE"/>
        </w:rPr>
        <w:t xml:space="preserve">. </w:t>
      </w:r>
    </w:p>
    <w:p w:rsidR="00AF508D" w:rsidRDefault="00AF508D" w:rsidP="0084736B">
      <w:pPr>
        <w:widowControl w:val="0"/>
        <w:spacing w:after="0" w:line="240" w:lineRule="auto"/>
        <w:contextualSpacing/>
        <w:jc w:val="both"/>
        <w:rPr>
          <w:rFonts w:ascii="Times New Roman" w:eastAsia="MS Mincho" w:hAnsi="Times New Roman" w:cs="Times New Roman"/>
          <w:sz w:val="24"/>
          <w:szCs w:val="24"/>
          <w:u w:val="single"/>
          <w:lang w:val="fr-BE" w:eastAsia="nl-BE"/>
        </w:rPr>
      </w:pPr>
    </w:p>
    <w:p w:rsidR="00784F8D" w:rsidRDefault="00174693" w:rsidP="0084736B">
      <w:pPr>
        <w:widowControl w:val="0"/>
        <w:spacing w:after="0" w:line="240" w:lineRule="auto"/>
        <w:contextualSpacing/>
        <w:jc w:val="both"/>
        <w:rPr>
          <w:rFonts w:ascii="Times New Roman" w:eastAsia="MS Mincho" w:hAnsi="Times New Roman" w:cs="Times New Roman"/>
          <w:sz w:val="24"/>
          <w:szCs w:val="24"/>
          <w:lang w:val="fr-BE" w:eastAsia="nl-BE"/>
        </w:rPr>
      </w:pPr>
      <w:r>
        <w:rPr>
          <w:rFonts w:ascii="Times New Roman" w:eastAsia="MS Mincho" w:hAnsi="Times New Roman" w:cs="Times New Roman"/>
          <w:sz w:val="24"/>
          <w:szCs w:val="24"/>
          <w:lang w:val="fr-BE" w:eastAsia="nl-BE"/>
        </w:rPr>
        <w:t>L</w:t>
      </w:r>
      <w:r w:rsidR="00224243" w:rsidRPr="00224243">
        <w:rPr>
          <w:rFonts w:ascii="Times New Roman" w:eastAsia="MS Mincho" w:hAnsi="Times New Roman" w:cs="Times New Roman"/>
          <w:sz w:val="24"/>
          <w:szCs w:val="24"/>
          <w:lang w:val="fr-BE" w:eastAsia="nl-BE"/>
        </w:rPr>
        <w:t xml:space="preserve">e site de </w:t>
      </w:r>
      <w:r>
        <w:rPr>
          <w:rFonts w:ascii="Times New Roman" w:eastAsia="MS Mincho" w:hAnsi="Times New Roman" w:cs="Times New Roman"/>
          <w:sz w:val="24"/>
          <w:szCs w:val="24"/>
          <w:lang w:val="fr-BE" w:eastAsia="nl-BE"/>
        </w:rPr>
        <w:t>Boucr</w:t>
      </w:r>
      <w:r w:rsidR="000A246D">
        <w:rPr>
          <w:rFonts w:ascii="Times New Roman" w:eastAsia="MS Mincho" w:hAnsi="Times New Roman" w:cs="Times New Roman"/>
          <w:sz w:val="24"/>
          <w:szCs w:val="24"/>
          <w:lang w:val="fr-BE" w:eastAsia="nl-BE"/>
        </w:rPr>
        <w:t>a</w:t>
      </w:r>
      <w:r>
        <w:rPr>
          <w:rFonts w:ascii="Times New Roman" w:eastAsia="MS Mincho" w:hAnsi="Times New Roman" w:cs="Times New Roman"/>
          <w:sz w:val="24"/>
          <w:szCs w:val="24"/>
          <w:lang w:val="fr-BE" w:eastAsia="nl-BE"/>
        </w:rPr>
        <w:t xml:space="preserve">a est exploité par l'entreprise </w:t>
      </w:r>
      <w:r w:rsidR="00224243" w:rsidRPr="00224243">
        <w:rPr>
          <w:rFonts w:ascii="Times New Roman" w:eastAsia="MS Mincho" w:hAnsi="Times New Roman" w:cs="Times New Roman"/>
          <w:sz w:val="24"/>
          <w:szCs w:val="24"/>
          <w:lang w:val="fr-BE" w:eastAsia="nl-BE"/>
        </w:rPr>
        <w:t>Phosboucr</w:t>
      </w:r>
      <w:r w:rsidR="000A246D">
        <w:rPr>
          <w:rFonts w:ascii="Times New Roman" w:eastAsia="MS Mincho" w:hAnsi="Times New Roman" w:cs="Times New Roman"/>
          <w:sz w:val="24"/>
          <w:szCs w:val="24"/>
          <w:lang w:val="fr-BE" w:eastAsia="nl-BE"/>
        </w:rPr>
        <w:t>a</w:t>
      </w:r>
      <w:r w:rsidR="00224243" w:rsidRPr="00224243">
        <w:rPr>
          <w:rFonts w:ascii="Times New Roman" w:eastAsia="MS Mincho" w:hAnsi="Times New Roman" w:cs="Times New Roman"/>
          <w:sz w:val="24"/>
          <w:szCs w:val="24"/>
          <w:lang w:val="fr-BE" w:eastAsia="nl-BE"/>
        </w:rPr>
        <w:t>a</w:t>
      </w:r>
      <w:r>
        <w:rPr>
          <w:rFonts w:ascii="Times New Roman" w:eastAsia="MS Mincho" w:hAnsi="Times New Roman" w:cs="Times New Roman"/>
          <w:sz w:val="24"/>
          <w:szCs w:val="24"/>
          <w:lang w:val="fr-BE" w:eastAsia="nl-BE"/>
        </w:rPr>
        <w:t>. Il</w:t>
      </w:r>
      <w:r w:rsidR="005E5C4A">
        <w:rPr>
          <w:rFonts w:ascii="Times New Roman" w:eastAsia="MS Mincho" w:hAnsi="Times New Roman" w:cs="Times New Roman"/>
          <w:sz w:val="24"/>
          <w:szCs w:val="24"/>
          <w:lang w:val="fr-BE" w:eastAsia="nl-BE"/>
        </w:rPr>
        <w:t xml:space="preserve"> produit </w:t>
      </w:r>
      <w:r w:rsidR="003537E4">
        <w:rPr>
          <w:rFonts w:ascii="Times New Roman" w:eastAsia="MS Mincho" w:hAnsi="Times New Roman" w:cs="Times New Roman"/>
          <w:sz w:val="24"/>
          <w:szCs w:val="24"/>
          <w:lang w:val="fr-BE" w:eastAsia="nl-BE"/>
        </w:rPr>
        <w:t>actuellement 2,6 millions de tonnes de minerais de phosphate</w:t>
      </w:r>
      <w:r w:rsidR="001D6D08">
        <w:rPr>
          <w:rStyle w:val="FootnoteReference"/>
          <w:rFonts w:ascii="Times New Roman" w:eastAsia="MS Mincho" w:hAnsi="Times New Roman" w:cs="Times New Roman"/>
          <w:sz w:val="24"/>
          <w:szCs w:val="24"/>
          <w:lang w:val="fr-BE" w:eastAsia="nl-BE"/>
        </w:rPr>
        <w:footnoteReference w:id="45"/>
      </w:r>
      <w:r w:rsidR="00984DB8">
        <w:rPr>
          <w:rFonts w:ascii="Times New Roman" w:eastAsia="MS Mincho" w:hAnsi="Times New Roman" w:cs="Times New Roman"/>
          <w:sz w:val="24"/>
          <w:szCs w:val="24"/>
          <w:lang w:val="fr-BE" w:eastAsia="nl-BE"/>
        </w:rPr>
        <w:t xml:space="preserve"> et recélerait environ 300 ans de réserve exploitable de phosphate (r</w:t>
      </w:r>
      <w:r w:rsidR="00201BA3">
        <w:rPr>
          <w:rFonts w:ascii="Times New Roman" w:eastAsia="MS Mincho" w:hAnsi="Times New Roman" w:cs="Times New Roman"/>
          <w:sz w:val="24"/>
          <w:szCs w:val="24"/>
          <w:lang w:val="fr-BE" w:eastAsia="nl-BE"/>
        </w:rPr>
        <w:t>éserves</w:t>
      </w:r>
      <w:r w:rsidR="00984DB8">
        <w:rPr>
          <w:rFonts w:ascii="Times New Roman" w:eastAsia="MS Mincho" w:hAnsi="Times New Roman" w:cs="Times New Roman"/>
          <w:sz w:val="24"/>
          <w:szCs w:val="24"/>
          <w:lang w:val="fr-BE" w:eastAsia="nl-BE"/>
        </w:rPr>
        <w:t xml:space="preserve"> estimées à 1,1 milliard de m³</w:t>
      </w:r>
      <w:r w:rsidR="00201BA3">
        <w:rPr>
          <w:rFonts w:ascii="Times New Roman" w:eastAsia="MS Mincho" w:hAnsi="Times New Roman" w:cs="Times New Roman"/>
          <w:sz w:val="24"/>
          <w:szCs w:val="24"/>
          <w:lang w:val="fr-BE" w:eastAsia="nl-BE"/>
        </w:rPr>
        <w:t>)</w:t>
      </w:r>
      <w:r w:rsidR="00984DB8">
        <w:rPr>
          <w:rFonts w:ascii="Times New Roman" w:eastAsia="MS Mincho" w:hAnsi="Times New Roman" w:cs="Times New Roman"/>
          <w:sz w:val="24"/>
          <w:szCs w:val="24"/>
          <w:lang w:val="fr-BE" w:eastAsia="nl-BE"/>
        </w:rPr>
        <w:t>.</w:t>
      </w:r>
      <w:r w:rsidR="00C22761">
        <w:rPr>
          <w:rFonts w:ascii="Times New Roman" w:eastAsia="MS Mincho" w:hAnsi="Times New Roman" w:cs="Times New Roman"/>
          <w:sz w:val="24"/>
          <w:szCs w:val="24"/>
          <w:lang w:val="fr-BE" w:eastAsia="nl-BE"/>
        </w:rPr>
        <w:t xml:space="preserve"> </w:t>
      </w:r>
      <w:r w:rsidR="001040A9">
        <w:rPr>
          <w:rFonts w:ascii="Times New Roman" w:eastAsia="MS Mincho" w:hAnsi="Times New Roman" w:cs="Times New Roman"/>
          <w:sz w:val="24"/>
          <w:szCs w:val="24"/>
          <w:lang w:val="fr-BE" w:eastAsia="nl-BE"/>
        </w:rPr>
        <w:t>L</w:t>
      </w:r>
      <w:r w:rsidR="003537E4">
        <w:rPr>
          <w:rFonts w:ascii="Times New Roman" w:eastAsia="MS Mincho" w:hAnsi="Times New Roman" w:cs="Times New Roman"/>
          <w:sz w:val="24"/>
          <w:szCs w:val="24"/>
          <w:lang w:val="fr-BE" w:eastAsia="nl-BE"/>
        </w:rPr>
        <w:t xml:space="preserve">es investissements prévus pour la période 2014-2020 </w:t>
      </w:r>
      <w:r w:rsidR="001040A9">
        <w:rPr>
          <w:rFonts w:ascii="Times New Roman" w:eastAsia="MS Mincho" w:hAnsi="Times New Roman" w:cs="Times New Roman"/>
          <w:sz w:val="24"/>
          <w:szCs w:val="24"/>
          <w:lang w:val="fr-BE" w:eastAsia="nl-BE"/>
        </w:rPr>
        <w:t>sont</w:t>
      </w:r>
      <w:r w:rsidR="003537E4">
        <w:rPr>
          <w:rFonts w:ascii="Times New Roman" w:eastAsia="MS Mincho" w:hAnsi="Times New Roman" w:cs="Times New Roman"/>
          <w:sz w:val="24"/>
          <w:szCs w:val="24"/>
          <w:lang w:val="fr-BE" w:eastAsia="nl-BE"/>
        </w:rPr>
        <w:t xml:space="preserve"> de 17 milliards </w:t>
      </w:r>
      <w:r w:rsidR="00201BA3">
        <w:rPr>
          <w:rFonts w:ascii="Times New Roman" w:eastAsia="MS Mincho" w:hAnsi="Times New Roman" w:cs="Times New Roman"/>
          <w:sz w:val="24"/>
          <w:szCs w:val="24"/>
          <w:lang w:val="fr-BE" w:eastAsia="nl-BE"/>
        </w:rPr>
        <w:t>de dirhams</w:t>
      </w:r>
      <w:r w:rsidR="000A5329">
        <w:rPr>
          <w:rFonts w:ascii="Times New Roman" w:eastAsia="MS Mincho" w:hAnsi="Times New Roman" w:cs="Times New Roman"/>
          <w:sz w:val="24"/>
          <w:szCs w:val="24"/>
          <w:lang w:val="fr-BE" w:eastAsia="nl-BE"/>
        </w:rPr>
        <w:t xml:space="preserve"> (équivalent à environ 1,6 m</w:t>
      </w:r>
      <w:r w:rsidR="002E4946">
        <w:rPr>
          <w:rFonts w:ascii="Times New Roman" w:eastAsia="MS Mincho" w:hAnsi="Times New Roman" w:cs="Times New Roman"/>
          <w:sz w:val="24"/>
          <w:szCs w:val="24"/>
          <w:lang w:val="fr-BE" w:eastAsia="nl-BE"/>
        </w:rPr>
        <w:t>illia</w:t>
      </w:r>
      <w:r w:rsidR="000A5329">
        <w:rPr>
          <w:rFonts w:ascii="Times New Roman" w:eastAsia="MS Mincho" w:hAnsi="Times New Roman" w:cs="Times New Roman"/>
          <w:sz w:val="24"/>
          <w:szCs w:val="24"/>
          <w:lang w:val="fr-BE" w:eastAsia="nl-BE"/>
        </w:rPr>
        <w:t xml:space="preserve">rd </w:t>
      </w:r>
      <w:r w:rsidR="002A4225">
        <w:rPr>
          <w:rFonts w:ascii="Times New Roman" w:eastAsia="MS Mincho" w:hAnsi="Times New Roman" w:cs="Times New Roman"/>
          <w:sz w:val="24"/>
          <w:szCs w:val="24"/>
          <w:lang w:val="fr-BE" w:eastAsia="nl-BE"/>
        </w:rPr>
        <w:t>d’euros</w:t>
      </w:r>
      <w:r w:rsidR="000A5329">
        <w:rPr>
          <w:rFonts w:ascii="Times New Roman" w:eastAsia="MS Mincho" w:hAnsi="Times New Roman" w:cs="Times New Roman"/>
          <w:sz w:val="24"/>
          <w:szCs w:val="24"/>
          <w:lang w:val="fr-BE" w:eastAsia="nl-BE"/>
        </w:rPr>
        <w:t>)</w:t>
      </w:r>
      <w:r w:rsidR="003537E4">
        <w:rPr>
          <w:rStyle w:val="FootnoteReference"/>
          <w:rFonts w:ascii="Times New Roman" w:eastAsia="MS Mincho" w:hAnsi="Times New Roman" w:cs="Times New Roman"/>
          <w:sz w:val="24"/>
          <w:szCs w:val="24"/>
          <w:lang w:val="fr-BE" w:eastAsia="nl-BE"/>
        </w:rPr>
        <w:footnoteReference w:id="46"/>
      </w:r>
      <w:r w:rsidR="008462F9">
        <w:rPr>
          <w:rFonts w:ascii="Times New Roman" w:eastAsia="MS Mincho" w:hAnsi="Times New Roman" w:cs="Times New Roman"/>
          <w:sz w:val="24"/>
          <w:szCs w:val="24"/>
          <w:lang w:val="fr-BE" w:eastAsia="nl-BE"/>
        </w:rPr>
        <w:t>.</w:t>
      </w:r>
    </w:p>
    <w:p w:rsidR="00713764" w:rsidRDefault="00713764" w:rsidP="0084736B">
      <w:pPr>
        <w:widowControl w:val="0"/>
        <w:spacing w:after="0" w:line="240" w:lineRule="auto"/>
        <w:contextualSpacing/>
        <w:jc w:val="both"/>
        <w:rPr>
          <w:rFonts w:ascii="Times New Roman" w:eastAsia="MS Mincho" w:hAnsi="Times New Roman" w:cs="Times New Roman"/>
          <w:sz w:val="24"/>
          <w:szCs w:val="24"/>
          <w:lang w:val="fr-BE" w:eastAsia="nl-BE"/>
        </w:rPr>
      </w:pPr>
    </w:p>
    <w:p w:rsidR="002E6762" w:rsidRPr="00674677" w:rsidRDefault="00201BA3" w:rsidP="0084736B">
      <w:pPr>
        <w:widowControl w:val="0"/>
        <w:spacing w:after="0" w:line="240" w:lineRule="auto"/>
        <w:contextualSpacing/>
        <w:jc w:val="both"/>
        <w:rPr>
          <w:rFonts w:ascii="Times New Roman" w:eastAsia="MS Mincho" w:hAnsi="Times New Roman" w:cs="Times New Roman"/>
          <w:i/>
          <w:sz w:val="24"/>
          <w:szCs w:val="24"/>
          <w:lang w:val="fr-BE" w:eastAsia="nl-BE"/>
        </w:rPr>
      </w:pPr>
      <w:r>
        <w:rPr>
          <w:rFonts w:ascii="Times New Roman" w:eastAsia="MS Mincho" w:hAnsi="Times New Roman" w:cs="Times New Roman"/>
          <w:sz w:val="24"/>
          <w:szCs w:val="24"/>
          <w:lang w:val="fr-BE" w:eastAsia="nl-BE"/>
        </w:rPr>
        <w:t>En ce qui concerne l’emploi, a</w:t>
      </w:r>
      <w:r w:rsidR="006C070E">
        <w:rPr>
          <w:rFonts w:ascii="Times New Roman" w:eastAsia="MS Mincho" w:hAnsi="Times New Roman" w:cs="Times New Roman"/>
          <w:sz w:val="24"/>
          <w:szCs w:val="24"/>
          <w:lang w:val="fr-BE" w:eastAsia="nl-BE"/>
        </w:rPr>
        <w:t>vec</w:t>
      </w:r>
      <w:r w:rsidR="00224243" w:rsidRPr="00224243">
        <w:rPr>
          <w:rFonts w:ascii="Times New Roman" w:eastAsia="MS Mincho" w:hAnsi="Times New Roman" w:cs="Times New Roman"/>
          <w:sz w:val="24"/>
          <w:szCs w:val="24"/>
          <w:lang w:val="fr-BE" w:eastAsia="nl-BE"/>
        </w:rPr>
        <w:t xml:space="preserve"> près de 2200 employés</w:t>
      </w:r>
      <w:r w:rsidR="006C070E">
        <w:rPr>
          <w:rFonts w:ascii="Times New Roman" w:eastAsia="MS Mincho" w:hAnsi="Times New Roman" w:cs="Times New Roman"/>
          <w:sz w:val="24"/>
          <w:szCs w:val="24"/>
          <w:lang w:val="fr-BE" w:eastAsia="nl-BE"/>
        </w:rPr>
        <w:t>, Phosboucr</w:t>
      </w:r>
      <w:r w:rsidR="000A246D">
        <w:rPr>
          <w:rFonts w:ascii="Times New Roman" w:eastAsia="MS Mincho" w:hAnsi="Times New Roman" w:cs="Times New Roman"/>
          <w:sz w:val="24"/>
          <w:szCs w:val="24"/>
          <w:lang w:val="fr-BE" w:eastAsia="nl-BE"/>
        </w:rPr>
        <w:t>a</w:t>
      </w:r>
      <w:r w:rsidR="006C070E">
        <w:rPr>
          <w:rFonts w:ascii="Times New Roman" w:eastAsia="MS Mincho" w:hAnsi="Times New Roman" w:cs="Times New Roman"/>
          <w:sz w:val="24"/>
          <w:szCs w:val="24"/>
          <w:lang w:val="fr-BE" w:eastAsia="nl-BE"/>
        </w:rPr>
        <w:t>a est le plus gros employeur privé du territoire</w:t>
      </w:r>
      <w:r>
        <w:rPr>
          <w:rFonts w:ascii="Times New Roman" w:eastAsia="MS Mincho" w:hAnsi="Times New Roman" w:cs="Times New Roman"/>
          <w:sz w:val="24"/>
          <w:szCs w:val="24"/>
          <w:lang w:val="fr-BE" w:eastAsia="nl-BE"/>
        </w:rPr>
        <w:t>. Selon OCP,</w:t>
      </w:r>
      <w:r w:rsidR="001221E5">
        <w:rPr>
          <w:rFonts w:ascii="Times New Roman" w:eastAsia="MS Mincho" w:hAnsi="Times New Roman" w:cs="Times New Roman"/>
          <w:sz w:val="24"/>
          <w:szCs w:val="24"/>
          <w:lang w:val="fr-BE" w:eastAsia="nl-BE"/>
        </w:rPr>
        <w:t xml:space="preserve"> alors que dans les années 1970 le pourcentage de main d’œuvre locale était de 4%, il est en 2017 de 76% et presque 100% des nouveaux employés sont recrutés localement. Le nombre d’employés occupant des fonctions de direction (« managerial positions</w:t>
      </w:r>
      <w:r w:rsidR="001D6D08">
        <w:rPr>
          <w:rFonts w:ascii="Times New Roman" w:eastAsia="MS Mincho" w:hAnsi="Times New Roman" w:cs="Times New Roman"/>
          <w:sz w:val="24"/>
          <w:szCs w:val="24"/>
          <w:lang w:val="fr-BE" w:eastAsia="nl-BE"/>
        </w:rPr>
        <w:t> »</w:t>
      </w:r>
      <w:r w:rsidR="001221E5">
        <w:rPr>
          <w:rFonts w:ascii="Times New Roman" w:eastAsia="MS Mincho" w:hAnsi="Times New Roman" w:cs="Times New Roman"/>
          <w:sz w:val="24"/>
          <w:szCs w:val="24"/>
          <w:lang w:val="fr-BE" w:eastAsia="nl-BE"/>
        </w:rPr>
        <w:t xml:space="preserve">) est passé de un </w:t>
      </w:r>
      <w:r w:rsidR="000C6E37">
        <w:rPr>
          <w:rFonts w:ascii="Times New Roman" w:eastAsia="MS Mincho" w:hAnsi="Times New Roman" w:cs="Times New Roman"/>
          <w:sz w:val="24"/>
          <w:szCs w:val="24"/>
          <w:lang w:val="fr-BE" w:eastAsia="nl-BE"/>
        </w:rPr>
        <w:t xml:space="preserve">en </w:t>
      </w:r>
      <w:r w:rsidR="001221E5">
        <w:rPr>
          <w:rFonts w:ascii="Times New Roman" w:eastAsia="MS Mincho" w:hAnsi="Times New Roman" w:cs="Times New Roman"/>
          <w:sz w:val="24"/>
          <w:szCs w:val="24"/>
          <w:lang w:val="fr-BE" w:eastAsia="nl-BE"/>
        </w:rPr>
        <w:t>2003 à 27 en 2017, ce qui représente 55 % des 49 emplois occupant des fonctions de direction</w:t>
      </w:r>
      <w:r w:rsidR="00224243" w:rsidRPr="00224243">
        <w:rPr>
          <w:rFonts w:ascii="Times New Roman" w:eastAsia="MS Mincho" w:hAnsi="Times New Roman" w:cs="Times New Roman"/>
          <w:sz w:val="24"/>
          <w:szCs w:val="24"/>
          <w:lang w:val="fr-BE" w:eastAsia="nl-BE"/>
        </w:rPr>
        <w:t xml:space="preserve">. Cette </w:t>
      </w:r>
      <w:r w:rsidR="00D44CBA">
        <w:rPr>
          <w:rFonts w:ascii="Times New Roman" w:eastAsia="MS Mincho" w:hAnsi="Times New Roman" w:cs="Times New Roman"/>
          <w:sz w:val="24"/>
          <w:szCs w:val="24"/>
          <w:lang w:val="fr-BE" w:eastAsia="nl-BE"/>
        </w:rPr>
        <w:t xml:space="preserve">activité économique </w:t>
      </w:r>
      <w:r w:rsidR="00224243" w:rsidRPr="00224243">
        <w:rPr>
          <w:rFonts w:ascii="Times New Roman" w:eastAsia="MS Mincho" w:hAnsi="Times New Roman" w:cs="Times New Roman"/>
          <w:sz w:val="24"/>
          <w:szCs w:val="24"/>
          <w:lang w:val="fr-BE" w:eastAsia="nl-BE"/>
        </w:rPr>
        <w:t>rayonne sur la région (50 entreprises locales représentant 450 emplois indirects, prestations sociales versées aux familles et aux retraités du site, présence de services médicaux…). OCP signale également la présence d’une installation de dessalement d’eau de mer, la replantation de 13000 arbres, la labellisation de la plage de La</w:t>
      </w:r>
      <w:r w:rsidR="002A4AD8">
        <w:rPr>
          <w:rFonts w:ascii="Times New Roman" w:eastAsia="MS Mincho" w:hAnsi="Times New Roman" w:cs="Times New Roman"/>
          <w:sz w:val="24"/>
          <w:szCs w:val="24"/>
          <w:lang w:val="fr-BE" w:eastAsia="nl-BE"/>
        </w:rPr>
        <w:t>â</w:t>
      </w:r>
      <w:r w:rsidR="00224243" w:rsidRPr="00224243">
        <w:rPr>
          <w:rFonts w:ascii="Times New Roman" w:eastAsia="MS Mincho" w:hAnsi="Times New Roman" w:cs="Times New Roman"/>
          <w:sz w:val="24"/>
          <w:szCs w:val="24"/>
          <w:lang w:val="fr-BE" w:eastAsia="nl-BE"/>
        </w:rPr>
        <w:t>youne en pavillon bleu depuis 2008 grâce aux effets du projet « plages propres</w:t>
      </w:r>
      <w:r w:rsidR="00DB3D18">
        <w:rPr>
          <w:rFonts w:ascii="Times New Roman" w:eastAsia="MS Mincho" w:hAnsi="Times New Roman" w:cs="Times New Roman"/>
          <w:sz w:val="24"/>
          <w:szCs w:val="24"/>
          <w:lang w:val="fr-BE" w:eastAsia="nl-BE"/>
        </w:rPr>
        <w:t> ».</w:t>
      </w:r>
      <w:r w:rsidR="00224243" w:rsidRPr="00224243">
        <w:rPr>
          <w:rFonts w:ascii="Times New Roman" w:eastAsia="MS Mincho" w:hAnsi="Times New Roman" w:cs="Times New Roman"/>
          <w:sz w:val="24"/>
          <w:szCs w:val="24"/>
          <w:lang w:val="fr-BE" w:eastAsia="nl-BE"/>
        </w:rPr>
        <w:t xml:space="preserve"> </w:t>
      </w:r>
      <w:r w:rsidR="00D44CBA">
        <w:rPr>
          <w:rFonts w:ascii="Times New Roman" w:eastAsia="MS Mincho" w:hAnsi="Times New Roman" w:cs="Times New Roman"/>
          <w:sz w:val="24"/>
          <w:szCs w:val="24"/>
          <w:lang w:val="fr-BE" w:eastAsia="nl-BE"/>
        </w:rPr>
        <w:t xml:space="preserve"> </w:t>
      </w:r>
      <w:r w:rsidR="000C6E37">
        <w:rPr>
          <w:rFonts w:ascii="Times New Roman" w:eastAsia="MS Mincho" w:hAnsi="Times New Roman" w:cs="Times New Roman"/>
          <w:sz w:val="24"/>
          <w:szCs w:val="24"/>
          <w:lang w:val="fr-BE" w:eastAsia="nl-BE"/>
        </w:rPr>
        <w:t>P</w:t>
      </w:r>
      <w:r w:rsidR="000C6E37" w:rsidRPr="00881A85">
        <w:rPr>
          <w:rFonts w:ascii="Times New Roman" w:eastAsia="MS Mincho" w:hAnsi="Times New Roman" w:cs="Times New Roman"/>
          <w:sz w:val="24"/>
          <w:szCs w:val="24"/>
          <w:lang w:val="fr-BE" w:eastAsia="nl-BE"/>
        </w:rPr>
        <w:t>our la période 2013-2022, 250 millions USD ont été alloués au budget du Conseil de Phosboucr</w:t>
      </w:r>
      <w:r w:rsidR="000A246D">
        <w:rPr>
          <w:rFonts w:ascii="Times New Roman" w:eastAsia="MS Mincho" w:hAnsi="Times New Roman" w:cs="Times New Roman"/>
          <w:sz w:val="24"/>
          <w:szCs w:val="24"/>
          <w:lang w:val="fr-BE" w:eastAsia="nl-BE"/>
        </w:rPr>
        <w:t>a</w:t>
      </w:r>
      <w:r w:rsidR="000C6E37" w:rsidRPr="00881A85">
        <w:rPr>
          <w:rFonts w:ascii="Times New Roman" w:eastAsia="MS Mincho" w:hAnsi="Times New Roman" w:cs="Times New Roman"/>
          <w:sz w:val="24"/>
          <w:szCs w:val="24"/>
          <w:lang w:val="fr-BE" w:eastAsia="nl-BE"/>
        </w:rPr>
        <w:t xml:space="preserve">a pour le développement social de la région ainsi que 140 millions USD pour des projets immobiliers, soit un total d'environ 2,2 milliards </w:t>
      </w:r>
      <w:r w:rsidR="00060083">
        <w:rPr>
          <w:rFonts w:ascii="Times New Roman" w:eastAsia="MS Mincho" w:hAnsi="Times New Roman" w:cs="Times New Roman"/>
          <w:sz w:val="24"/>
          <w:szCs w:val="24"/>
          <w:lang w:val="fr-BE" w:eastAsia="nl-BE"/>
        </w:rPr>
        <w:t>USD</w:t>
      </w:r>
      <w:r w:rsidR="000C6E37" w:rsidRPr="00881A85">
        <w:rPr>
          <w:rFonts w:ascii="Times New Roman" w:eastAsia="MS Mincho" w:hAnsi="Times New Roman" w:cs="Times New Roman"/>
          <w:sz w:val="24"/>
          <w:szCs w:val="24"/>
          <w:lang w:val="fr-BE" w:eastAsia="nl-BE"/>
        </w:rPr>
        <w:t>.</w:t>
      </w:r>
    </w:p>
    <w:p w:rsidR="00224243" w:rsidRDefault="00224243" w:rsidP="0084736B">
      <w:pPr>
        <w:widowControl w:val="0"/>
        <w:spacing w:after="0" w:line="240" w:lineRule="auto"/>
        <w:contextualSpacing/>
        <w:jc w:val="both"/>
        <w:rPr>
          <w:rFonts w:ascii="Times New Roman" w:eastAsia="MS Mincho" w:hAnsi="Times New Roman" w:cs="Times New Roman"/>
          <w:sz w:val="24"/>
          <w:szCs w:val="24"/>
          <w:lang w:val="fr-BE" w:eastAsia="nl-BE"/>
        </w:rPr>
      </w:pPr>
    </w:p>
    <w:p w:rsidR="000C6E37" w:rsidRDefault="000A044C" w:rsidP="0084736B">
      <w:pPr>
        <w:widowControl w:val="0"/>
        <w:spacing w:after="0" w:line="240" w:lineRule="auto"/>
        <w:contextualSpacing/>
        <w:jc w:val="both"/>
        <w:rPr>
          <w:rFonts w:ascii="Times New Roman" w:eastAsia="MS Mincho" w:hAnsi="Times New Roman" w:cs="Times New Roman"/>
          <w:sz w:val="24"/>
          <w:szCs w:val="24"/>
          <w:lang w:val="fr-BE" w:eastAsia="nl-BE"/>
        </w:rPr>
      </w:pPr>
      <w:r>
        <w:rPr>
          <w:rFonts w:ascii="Times New Roman" w:eastAsia="MS Mincho" w:hAnsi="Times New Roman" w:cs="Times New Roman"/>
          <w:sz w:val="24"/>
          <w:szCs w:val="24"/>
          <w:lang w:val="fr-BE" w:eastAsia="nl-BE"/>
        </w:rPr>
        <w:t>Certains proposent, t</w:t>
      </w:r>
      <w:r w:rsidR="000C6E37" w:rsidRPr="001929B2">
        <w:rPr>
          <w:rFonts w:ascii="Times New Roman" w:eastAsia="MS Mincho" w:hAnsi="Times New Roman" w:cs="Times New Roman"/>
          <w:sz w:val="24"/>
          <w:szCs w:val="24"/>
          <w:lang w:val="fr-BE" w:eastAsia="nl-BE"/>
        </w:rPr>
        <w:t xml:space="preserve">outefois, </w:t>
      </w:r>
      <w:r>
        <w:rPr>
          <w:rFonts w:ascii="Times New Roman" w:eastAsia="MS Mincho" w:hAnsi="Times New Roman" w:cs="Times New Roman"/>
          <w:sz w:val="24"/>
          <w:szCs w:val="24"/>
          <w:lang w:val="fr-BE" w:eastAsia="nl-BE"/>
        </w:rPr>
        <w:t>une vision moins favorable. Par exemple</w:t>
      </w:r>
      <w:r w:rsidR="000C6E37" w:rsidRPr="001929B2">
        <w:rPr>
          <w:rFonts w:ascii="Times New Roman" w:eastAsia="MS Mincho" w:hAnsi="Times New Roman" w:cs="Times New Roman"/>
          <w:sz w:val="24"/>
          <w:szCs w:val="24"/>
          <w:lang w:val="fr-BE" w:eastAsia="nl-BE"/>
        </w:rPr>
        <w:t>, W</w:t>
      </w:r>
      <w:r w:rsidR="000C6E37">
        <w:rPr>
          <w:rFonts w:ascii="Times New Roman" w:eastAsia="MS Mincho" w:hAnsi="Times New Roman" w:cs="Times New Roman"/>
          <w:sz w:val="24"/>
          <w:szCs w:val="24"/>
          <w:lang w:val="fr-BE" w:eastAsia="nl-BE"/>
        </w:rPr>
        <w:t xml:space="preserve">estern </w:t>
      </w:r>
      <w:r w:rsidR="000C6E37" w:rsidRPr="001929B2">
        <w:rPr>
          <w:rFonts w:ascii="Times New Roman" w:eastAsia="MS Mincho" w:hAnsi="Times New Roman" w:cs="Times New Roman"/>
          <w:sz w:val="24"/>
          <w:szCs w:val="24"/>
          <w:lang w:val="fr-BE" w:eastAsia="nl-BE"/>
        </w:rPr>
        <w:t>S</w:t>
      </w:r>
      <w:r w:rsidR="000C6E37">
        <w:rPr>
          <w:rFonts w:ascii="Times New Roman" w:eastAsia="MS Mincho" w:hAnsi="Times New Roman" w:cs="Times New Roman"/>
          <w:sz w:val="24"/>
          <w:szCs w:val="24"/>
          <w:lang w:val="fr-BE" w:eastAsia="nl-BE"/>
        </w:rPr>
        <w:t xml:space="preserve">ahara </w:t>
      </w:r>
      <w:r w:rsidR="000C6E37" w:rsidRPr="001929B2">
        <w:rPr>
          <w:rFonts w:ascii="Times New Roman" w:eastAsia="MS Mincho" w:hAnsi="Times New Roman" w:cs="Times New Roman"/>
          <w:sz w:val="24"/>
          <w:szCs w:val="24"/>
          <w:lang w:val="fr-BE" w:eastAsia="nl-BE"/>
        </w:rPr>
        <w:t>R</w:t>
      </w:r>
      <w:r w:rsidR="000C6E37">
        <w:rPr>
          <w:rFonts w:ascii="Times New Roman" w:eastAsia="MS Mincho" w:hAnsi="Times New Roman" w:cs="Times New Roman"/>
          <w:sz w:val="24"/>
          <w:szCs w:val="24"/>
          <w:lang w:val="fr-BE" w:eastAsia="nl-BE"/>
        </w:rPr>
        <w:t xml:space="preserve">esource </w:t>
      </w:r>
      <w:r w:rsidR="000C6E37" w:rsidRPr="001929B2">
        <w:rPr>
          <w:rFonts w:ascii="Times New Roman" w:eastAsia="MS Mincho" w:hAnsi="Times New Roman" w:cs="Times New Roman"/>
          <w:sz w:val="24"/>
          <w:szCs w:val="24"/>
          <w:lang w:val="fr-BE" w:eastAsia="nl-BE"/>
        </w:rPr>
        <w:t>W</w:t>
      </w:r>
      <w:r w:rsidR="000C6E37">
        <w:rPr>
          <w:rFonts w:ascii="Times New Roman" w:eastAsia="MS Mincho" w:hAnsi="Times New Roman" w:cs="Times New Roman"/>
          <w:sz w:val="24"/>
          <w:szCs w:val="24"/>
          <w:lang w:val="fr-BE" w:eastAsia="nl-BE"/>
        </w:rPr>
        <w:t>atch</w:t>
      </w:r>
      <w:r w:rsidR="000C6E37" w:rsidRPr="001929B2">
        <w:rPr>
          <w:rFonts w:ascii="Times New Roman" w:eastAsia="MS Mincho" w:hAnsi="Times New Roman" w:cs="Times New Roman"/>
          <w:sz w:val="24"/>
          <w:szCs w:val="24"/>
          <w:lang w:val="fr-BE" w:eastAsia="nl-BE"/>
        </w:rPr>
        <w:t xml:space="preserve"> soutient qu’en 1968 il y avait 1600 Sahraouis employés dans l'industrie du phosphate dans ce qui est aujourd'hui le Sahara Occidenta</w:t>
      </w:r>
      <w:r w:rsidR="000C6E37">
        <w:rPr>
          <w:rFonts w:ascii="Times New Roman" w:eastAsia="MS Mincho" w:hAnsi="Times New Roman" w:cs="Times New Roman"/>
          <w:sz w:val="24"/>
          <w:szCs w:val="24"/>
          <w:lang w:val="fr-BE" w:eastAsia="nl-BE"/>
        </w:rPr>
        <w:t>l</w:t>
      </w:r>
      <w:r w:rsidR="00713764">
        <w:rPr>
          <w:rStyle w:val="FootnoteReference"/>
          <w:rFonts w:ascii="Times New Roman" w:eastAsia="MS Mincho" w:hAnsi="Times New Roman" w:cs="Times New Roman"/>
          <w:sz w:val="24"/>
          <w:szCs w:val="24"/>
          <w:lang w:val="fr-BE" w:eastAsia="nl-BE"/>
        </w:rPr>
        <w:footnoteReference w:id="47"/>
      </w:r>
      <w:r w:rsidR="000C6E37" w:rsidRPr="001929B2">
        <w:rPr>
          <w:rFonts w:ascii="Times New Roman" w:eastAsia="MS Mincho" w:hAnsi="Times New Roman" w:cs="Times New Roman"/>
          <w:sz w:val="24"/>
          <w:szCs w:val="24"/>
          <w:lang w:val="fr-BE" w:eastAsia="nl-BE"/>
        </w:rPr>
        <w:t>. Aujourd'hui, la plupart d'entre eux ont été remplacés par des Marocains qui se sont installés dans le territoire. L'industrie n’emploierait maintenant que 200 Sahraouis sur une main-d'œuvre totale de 1900. Les employés sahraouis souffriraient de discrimination par rapport à leurs collègues marocains. De plus, très peu de Sahraouis auraient bénéficié d’avancement depuis 1975 et la plupart auraient été licenciés</w:t>
      </w:r>
      <w:r w:rsidR="000C6E37" w:rsidRPr="001929B2">
        <w:rPr>
          <w:rStyle w:val="FootnoteReference"/>
          <w:rFonts w:ascii="Times New Roman" w:eastAsia="MS Mincho" w:hAnsi="Times New Roman" w:cs="Times New Roman"/>
          <w:sz w:val="24"/>
          <w:szCs w:val="24"/>
          <w:lang w:val="fr-BE" w:eastAsia="nl-BE"/>
        </w:rPr>
        <w:footnoteReference w:id="48"/>
      </w:r>
      <w:r w:rsidR="000C6E37">
        <w:rPr>
          <w:rFonts w:ascii="Times New Roman" w:eastAsia="MS Mincho" w:hAnsi="Times New Roman" w:cs="Times New Roman"/>
          <w:sz w:val="24"/>
          <w:szCs w:val="24"/>
          <w:lang w:val="fr-BE" w:eastAsia="nl-BE"/>
        </w:rPr>
        <w:t>.</w:t>
      </w:r>
    </w:p>
    <w:p w:rsidR="000C6E37" w:rsidRDefault="000C6E37" w:rsidP="0084736B">
      <w:pPr>
        <w:widowControl w:val="0"/>
        <w:spacing w:after="0" w:line="240" w:lineRule="auto"/>
        <w:contextualSpacing/>
        <w:jc w:val="both"/>
        <w:rPr>
          <w:rFonts w:ascii="Times New Roman" w:eastAsia="MS Mincho" w:hAnsi="Times New Roman" w:cs="Times New Roman"/>
          <w:sz w:val="24"/>
          <w:szCs w:val="24"/>
          <w:lang w:val="fr-BE" w:eastAsia="nl-BE"/>
        </w:rPr>
      </w:pPr>
    </w:p>
    <w:p w:rsidR="00502405" w:rsidRPr="00502405" w:rsidRDefault="00502405" w:rsidP="00502405">
      <w:pPr>
        <w:widowControl w:val="0"/>
        <w:spacing w:after="0" w:line="240" w:lineRule="auto"/>
        <w:contextualSpacing/>
        <w:jc w:val="both"/>
        <w:rPr>
          <w:rFonts w:ascii="Times New Roman" w:eastAsia="MS Mincho" w:hAnsi="Times New Roman" w:cs="Times New Roman"/>
          <w:sz w:val="24"/>
          <w:szCs w:val="24"/>
          <w:lang w:val="fr-BE" w:eastAsia="nl-BE"/>
        </w:rPr>
      </w:pPr>
      <w:r w:rsidRPr="00502405">
        <w:rPr>
          <w:rFonts w:ascii="Times New Roman" w:eastAsia="MS Mincho" w:hAnsi="Times New Roman" w:cs="Times New Roman"/>
          <w:sz w:val="24"/>
          <w:szCs w:val="24"/>
          <w:lang w:val="fr-BE" w:eastAsia="nl-BE"/>
        </w:rPr>
        <w:t>A cet égard, il faut tout d’abord souligner l´impossibilité de faire des comparaisons entre la période actuelle et celle où le Sahara occidental était encore une colonie espagnole. De plus, il est vrai que les chiffres fournis par OCP font référence à une main d’œuvre recrutée localement et non à une main d’œuvre d’origine sahraouie. Or d’une part les services de la Commission européenne ne disposent pas des moyens de vérifier localement la qualité des personnes employées (Sahraouis ou non) et d’autre part, là encore, il ne revient pas à l'U</w:t>
      </w:r>
      <w:r w:rsidR="008E4965">
        <w:rPr>
          <w:rFonts w:ascii="Times New Roman" w:eastAsia="MS Mincho" w:hAnsi="Times New Roman" w:cs="Times New Roman"/>
          <w:sz w:val="24"/>
          <w:szCs w:val="24"/>
          <w:lang w:val="fr-BE" w:eastAsia="nl-BE"/>
        </w:rPr>
        <w:t>nion européenne</w:t>
      </w:r>
      <w:r w:rsidRPr="00502405">
        <w:rPr>
          <w:rFonts w:ascii="Times New Roman" w:eastAsia="MS Mincho" w:hAnsi="Times New Roman" w:cs="Times New Roman"/>
          <w:sz w:val="24"/>
          <w:szCs w:val="24"/>
          <w:lang w:val="fr-BE" w:eastAsia="nl-BE"/>
        </w:rPr>
        <w:t xml:space="preserve"> de déterminer qui fait partie de la population autochtone. Par ailleurs, </w:t>
      </w:r>
      <w:r w:rsidR="00603F40">
        <w:rPr>
          <w:rFonts w:ascii="Times New Roman" w:eastAsia="MS Mincho" w:hAnsi="Times New Roman" w:cs="Times New Roman"/>
          <w:sz w:val="24"/>
          <w:szCs w:val="24"/>
          <w:lang w:val="fr-BE" w:eastAsia="nl-BE"/>
        </w:rPr>
        <w:t>pendant l</w:t>
      </w:r>
      <w:r w:rsidRPr="00502405">
        <w:rPr>
          <w:rFonts w:ascii="Times New Roman" w:eastAsia="MS Mincho" w:hAnsi="Times New Roman" w:cs="Times New Roman"/>
          <w:sz w:val="24"/>
          <w:szCs w:val="24"/>
          <w:lang w:val="fr-BE" w:eastAsia="nl-BE"/>
        </w:rPr>
        <w:t xml:space="preserve">es entretiens menés en février 2018, </w:t>
      </w:r>
      <w:r w:rsidR="00DE788A">
        <w:rPr>
          <w:rFonts w:ascii="Times New Roman" w:eastAsia="MS Mincho" w:hAnsi="Times New Roman" w:cs="Times New Roman"/>
          <w:sz w:val="24"/>
          <w:szCs w:val="24"/>
          <w:lang w:val="fr-BE" w:eastAsia="nl-BE"/>
        </w:rPr>
        <w:t xml:space="preserve">il n’a pas été présenté </w:t>
      </w:r>
      <w:r w:rsidR="00603F40">
        <w:rPr>
          <w:rFonts w:ascii="Times New Roman" w:eastAsia="MS Mincho" w:hAnsi="Times New Roman" w:cs="Times New Roman"/>
          <w:sz w:val="24"/>
          <w:szCs w:val="24"/>
          <w:lang w:val="fr-BE" w:eastAsia="nl-BE"/>
        </w:rPr>
        <w:t>d</w:t>
      </w:r>
      <w:r w:rsidR="00DE788A">
        <w:rPr>
          <w:rFonts w:ascii="Times New Roman" w:eastAsia="MS Mincho" w:hAnsi="Times New Roman" w:cs="Times New Roman"/>
          <w:sz w:val="24"/>
          <w:szCs w:val="24"/>
          <w:lang w:val="fr-BE" w:eastAsia="nl-BE"/>
        </w:rPr>
        <w:t>’</w:t>
      </w:r>
      <w:r w:rsidR="00603F40">
        <w:rPr>
          <w:rFonts w:ascii="Times New Roman" w:eastAsia="MS Mincho" w:hAnsi="Times New Roman" w:cs="Times New Roman"/>
          <w:sz w:val="24"/>
          <w:szCs w:val="24"/>
          <w:lang w:val="fr-BE" w:eastAsia="nl-BE"/>
        </w:rPr>
        <w:t xml:space="preserve">indices </w:t>
      </w:r>
      <w:r w:rsidRPr="00502405">
        <w:rPr>
          <w:rFonts w:ascii="Times New Roman" w:eastAsia="MS Mincho" w:hAnsi="Times New Roman" w:cs="Times New Roman"/>
          <w:sz w:val="24"/>
          <w:szCs w:val="24"/>
          <w:lang w:val="fr-BE" w:eastAsia="nl-BE"/>
        </w:rPr>
        <w:t>de discrimination à l’embauche sur une base ethnique.</w:t>
      </w:r>
      <w:r w:rsidR="00CB4E06">
        <w:rPr>
          <w:rFonts w:ascii="Times New Roman" w:eastAsia="MS Mincho" w:hAnsi="Times New Roman" w:cs="Times New Roman"/>
          <w:sz w:val="24"/>
          <w:szCs w:val="24"/>
          <w:lang w:val="fr-BE" w:eastAsia="nl-BE"/>
        </w:rPr>
        <w:t xml:space="preserve"> D'autres informations publiées vont dans le même sens</w:t>
      </w:r>
      <w:r w:rsidR="00CB4E06">
        <w:rPr>
          <w:rStyle w:val="FootnoteReference"/>
          <w:rFonts w:ascii="Times New Roman" w:eastAsia="MS Mincho" w:hAnsi="Times New Roman" w:cs="Times New Roman"/>
          <w:sz w:val="24"/>
          <w:szCs w:val="24"/>
          <w:lang w:val="fr-BE" w:eastAsia="nl-BE"/>
        </w:rPr>
        <w:footnoteReference w:id="49"/>
      </w:r>
      <w:r w:rsidR="00CB4E06">
        <w:rPr>
          <w:rFonts w:ascii="Times New Roman" w:eastAsia="MS Mincho" w:hAnsi="Times New Roman" w:cs="Times New Roman"/>
          <w:sz w:val="24"/>
          <w:szCs w:val="24"/>
          <w:lang w:val="fr-BE" w:eastAsia="nl-BE"/>
        </w:rPr>
        <w:t>.</w:t>
      </w:r>
    </w:p>
    <w:p w:rsidR="00502405" w:rsidRPr="00502405" w:rsidRDefault="00502405" w:rsidP="00502405">
      <w:pPr>
        <w:widowControl w:val="0"/>
        <w:spacing w:after="0" w:line="240" w:lineRule="auto"/>
        <w:contextualSpacing/>
        <w:jc w:val="both"/>
        <w:rPr>
          <w:rFonts w:ascii="Times New Roman" w:eastAsia="MS Mincho" w:hAnsi="Times New Roman" w:cs="Times New Roman"/>
          <w:sz w:val="24"/>
          <w:szCs w:val="24"/>
          <w:lang w:val="fr-BE" w:eastAsia="nl-BE"/>
        </w:rPr>
      </w:pPr>
    </w:p>
    <w:p w:rsidR="00A077D3" w:rsidRPr="00016D46" w:rsidRDefault="00A077D3" w:rsidP="0084736B">
      <w:pPr>
        <w:widowControl w:val="0"/>
        <w:spacing w:after="0" w:line="240" w:lineRule="auto"/>
        <w:contextualSpacing/>
        <w:jc w:val="both"/>
        <w:rPr>
          <w:rFonts w:ascii="Times New Roman" w:eastAsia="MS Mincho" w:hAnsi="Times New Roman" w:cs="Times New Roman"/>
          <w:i/>
          <w:sz w:val="24"/>
          <w:szCs w:val="24"/>
          <w:lang w:val="fr-BE" w:eastAsia="nl-BE"/>
        </w:rPr>
      </w:pPr>
      <w:r>
        <w:rPr>
          <w:rFonts w:ascii="Times New Roman" w:eastAsia="MS Mincho" w:hAnsi="Times New Roman" w:cs="Times New Roman"/>
          <w:sz w:val="24"/>
          <w:szCs w:val="24"/>
          <w:lang w:val="fr-BE" w:eastAsia="nl-BE"/>
        </w:rPr>
        <w:t>En ce qui concerne le caractère durable de l’exploitat</w:t>
      </w:r>
      <w:r w:rsidR="00343C0D">
        <w:rPr>
          <w:rFonts w:ascii="Times New Roman" w:eastAsia="MS Mincho" w:hAnsi="Times New Roman" w:cs="Times New Roman"/>
          <w:sz w:val="24"/>
          <w:szCs w:val="24"/>
          <w:lang w:val="fr-BE" w:eastAsia="nl-BE"/>
        </w:rPr>
        <w:t xml:space="preserve">ion des ressources naturelles, </w:t>
      </w:r>
      <w:r w:rsidRPr="00A077D3">
        <w:rPr>
          <w:rFonts w:ascii="Times New Roman" w:eastAsia="MS Mincho" w:hAnsi="Times New Roman" w:cs="Times New Roman"/>
          <w:sz w:val="24"/>
          <w:szCs w:val="24"/>
          <w:lang w:val="fr-BE" w:eastAsia="nl-BE"/>
        </w:rPr>
        <w:t xml:space="preserve">Phosboucraa </w:t>
      </w:r>
      <w:r>
        <w:rPr>
          <w:rFonts w:ascii="Times New Roman" w:eastAsia="MS Mincho" w:hAnsi="Times New Roman" w:cs="Times New Roman"/>
          <w:sz w:val="24"/>
          <w:szCs w:val="24"/>
          <w:lang w:val="fr-BE" w:eastAsia="nl-BE"/>
        </w:rPr>
        <w:t>a déployé d’importants moyens pour maximiser l’efficacité énergétique en se tournant vers les énergies renouvelables</w:t>
      </w:r>
      <w:r w:rsidRPr="00A077D3">
        <w:rPr>
          <w:rFonts w:ascii="Times New Roman" w:eastAsia="MS Mincho" w:hAnsi="Times New Roman" w:cs="Times New Roman"/>
          <w:sz w:val="24"/>
          <w:szCs w:val="24"/>
          <w:lang w:val="fr-BE" w:eastAsia="nl-BE"/>
        </w:rPr>
        <w:t xml:space="preserve">. </w:t>
      </w:r>
      <w:r w:rsidRPr="001F71EB">
        <w:rPr>
          <w:rFonts w:ascii="Times New Roman" w:eastAsia="MS Mincho" w:hAnsi="Times New Roman" w:cs="Times New Roman"/>
          <w:sz w:val="24"/>
          <w:szCs w:val="24"/>
          <w:lang w:val="fr-BE" w:eastAsia="nl-BE"/>
        </w:rPr>
        <w:t>Depuis juillet</w:t>
      </w:r>
      <w:r w:rsidR="001F71EB" w:rsidRPr="00C43BD7">
        <w:rPr>
          <w:rFonts w:ascii="Times New Roman" w:eastAsia="MS Mincho" w:hAnsi="Times New Roman" w:cs="Times New Roman"/>
          <w:sz w:val="24"/>
          <w:szCs w:val="24"/>
          <w:lang w:val="fr-BE" w:eastAsia="nl-BE"/>
        </w:rPr>
        <w:t xml:space="preserve"> 2013, 99,</w:t>
      </w:r>
      <w:r w:rsidRPr="001F71EB">
        <w:rPr>
          <w:rFonts w:ascii="Times New Roman" w:eastAsia="MS Mincho" w:hAnsi="Times New Roman" w:cs="Times New Roman"/>
          <w:sz w:val="24"/>
          <w:szCs w:val="24"/>
          <w:lang w:val="fr-BE" w:eastAsia="nl-BE"/>
        </w:rPr>
        <w:t xml:space="preserve">8% </w:t>
      </w:r>
      <w:r w:rsidR="001F71EB" w:rsidRPr="00C43BD7">
        <w:rPr>
          <w:rFonts w:ascii="Times New Roman" w:eastAsia="MS Mincho" w:hAnsi="Times New Roman" w:cs="Times New Roman"/>
          <w:sz w:val="24"/>
          <w:szCs w:val="24"/>
          <w:lang w:val="fr-BE" w:eastAsia="nl-BE"/>
        </w:rPr>
        <w:t>de la consommation de</w:t>
      </w:r>
      <w:r w:rsidRPr="001F71EB">
        <w:rPr>
          <w:rFonts w:ascii="Times New Roman" w:eastAsia="MS Mincho" w:hAnsi="Times New Roman" w:cs="Times New Roman"/>
          <w:sz w:val="24"/>
          <w:szCs w:val="24"/>
          <w:lang w:val="fr-BE" w:eastAsia="nl-BE"/>
        </w:rPr>
        <w:t xml:space="preserve"> Phosboucraa</w:t>
      </w:r>
      <w:r w:rsidR="001F71EB" w:rsidRPr="00C43BD7">
        <w:rPr>
          <w:rFonts w:ascii="Times New Roman" w:eastAsia="MS Mincho" w:hAnsi="Times New Roman" w:cs="Times New Roman"/>
          <w:sz w:val="24"/>
          <w:szCs w:val="24"/>
          <w:lang w:val="fr-BE" w:eastAsia="nl-BE"/>
        </w:rPr>
        <w:t xml:space="preserve"> est fournie par</w:t>
      </w:r>
      <w:r w:rsidR="001F71EB">
        <w:rPr>
          <w:rFonts w:ascii="Times New Roman" w:eastAsia="MS Mincho" w:hAnsi="Times New Roman" w:cs="Times New Roman"/>
          <w:sz w:val="24"/>
          <w:szCs w:val="24"/>
          <w:lang w:val="fr-BE" w:eastAsia="nl-BE"/>
        </w:rPr>
        <w:t xml:space="preserve"> le parc d’éoliennes de</w:t>
      </w:r>
      <w:r w:rsidRPr="001F71EB">
        <w:rPr>
          <w:rFonts w:ascii="Times New Roman" w:eastAsia="MS Mincho" w:hAnsi="Times New Roman" w:cs="Times New Roman"/>
          <w:sz w:val="24"/>
          <w:szCs w:val="24"/>
          <w:lang w:val="fr-BE" w:eastAsia="nl-BE"/>
        </w:rPr>
        <w:t xml:space="preserve"> Foum</w:t>
      </w:r>
      <w:r w:rsidR="001F71EB">
        <w:rPr>
          <w:rFonts w:ascii="Times New Roman" w:eastAsia="MS Mincho" w:hAnsi="Times New Roman" w:cs="Times New Roman"/>
          <w:sz w:val="24"/>
          <w:szCs w:val="24"/>
          <w:lang w:val="fr-BE" w:eastAsia="nl-BE"/>
        </w:rPr>
        <w:t xml:space="preserve"> E</w:t>
      </w:r>
      <w:r w:rsidRPr="001F71EB">
        <w:rPr>
          <w:rFonts w:ascii="Times New Roman" w:eastAsia="MS Mincho" w:hAnsi="Times New Roman" w:cs="Times New Roman"/>
          <w:sz w:val="24"/>
          <w:szCs w:val="24"/>
          <w:lang w:val="fr-BE" w:eastAsia="nl-BE"/>
        </w:rPr>
        <w:t xml:space="preserve">l Oued. </w:t>
      </w:r>
    </w:p>
    <w:p w:rsidR="000C6E37" w:rsidRPr="00016D46" w:rsidRDefault="000C6E37" w:rsidP="0084736B">
      <w:pPr>
        <w:widowControl w:val="0"/>
        <w:spacing w:after="0" w:line="240" w:lineRule="auto"/>
        <w:contextualSpacing/>
        <w:jc w:val="both"/>
        <w:rPr>
          <w:rFonts w:ascii="Times New Roman" w:eastAsia="MS Mincho" w:hAnsi="Times New Roman" w:cs="Times New Roman"/>
          <w:sz w:val="24"/>
          <w:szCs w:val="24"/>
          <w:lang w:val="fr-BE" w:eastAsia="nl-BE"/>
        </w:rPr>
      </w:pPr>
    </w:p>
    <w:p w:rsidR="00F34A4D" w:rsidRPr="00EB03AA" w:rsidRDefault="000C6E37" w:rsidP="00FC36AF">
      <w:pPr>
        <w:pStyle w:val="Heading4"/>
        <w:rPr>
          <w:rFonts w:eastAsia="MS Mincho"/>
          <w:lang w:val="fr-BE" w:eastAsia="nl-BE"/>
        </w:rPr>
      </w:pPr>
      <w:r w:rsidRPr="00EB03AA">
        <w:rPr>
          <w:rFonts w:eastAsia="MS Mincho"/>
          <w:lang w:val="fr-BE" w:eastAsia="nl-BE"/>
        </w:rPr>
        <w:t>Production, commerce avec l’UE et impact socio-économique</w:t>
      </w:r>
    </w:p>
    <w:p w:rsidR="00F34A4D" w:rsidRPr="00F34A4D" w:rsidRDefault="00F34A4D" w:rsidP="0084736B">
      <w:pPr>
        <w:widowControl w:val="0"/>
        <w:spacing w:after="0" w:line="240" w:lineRule="auto"/>
        <w:jc w:val="both"/>
        <w:rPr>
          <w:rFonts w:ascii="Times New Roman" w:eastAsia="MS Mincho" w:hAnsi="Times New Roman" w:cs="Times New Roman"/>
          <w:sz w:val="24"/>
          <w:szCs w:val="24"/>
          <w:lang w:val="fr-BE" w:eastAsia="nl-BE"/>
        </w:rPr>
      </w:pPr>
    </w:p>
    <w:p w:rsidR="000C6E37" w:rsidRDefault="00F34A4D" w:rsidP="0084736B">
      <w:pPr>
        <w:widowControl w:val="0"/>
        <w:spacing w:after="0" w:line="240" w:lineRule="auto"/>
        <w:jc w:val="both"/>
        <w:rPr>
          <w:rFonts w:ascii="Times New Roman" w:eastAsia="MS Mincho" w:hAnsi="Times New Roman" w:cs="Times New Roman"/>
          <w:sz w:val="24"/>
          <w:szCs w:val="24"/>
          <w:lang w:val="fr-BE" w:eastAsia="nl-BE"/>
        </w:rPr>
      </w:pPr>
      <w:r w:rsidRPr="00F34A4D">
        <w:rPr>
          <w:rFonts w:ascii="Times New Roman" w:eastAsia="MS Mincho" w:hAnsi="Times New Roman" w:cs="Times New Roman"/>
          <w:sz w:val="24"/>
          <w:szCs w:val="24"/>
          <w:lang w:val="fr-BE" w:eastAsia="nl-BE"/>
        </w:rPr>
        <w:t xml:space="preserve">La production de phosphate constitue une source d’activité </w:t>
      </w:r>
      <w:r w:rsidR="006C070E">
        <w:rPr>
          <w:rFonts w:ascii="Times New Roman" w:eastAsia="MS Mincho" w:hAnsi="Times New Roman" w:cs="Times New Roman"/>
          <w:sz w:val="24"/>
          <w:szCs w:val="24"/>
          <w:lang w:val="fr-BE" w:eastAsia="nl-BE"/>
        </w:rPr>
        <w:t xml:space="preserve">majeure </w:t>
      </w:r>
      <w:r w:rsidRPr="00F34A4D">
        <w:rPr>
          <w:rFonts w:ascii="Times New Roman" w:eastAsia="MS Mincho" w:hAnsi="Times New Roman" w:cs="Times New Roman"/>
          <w:sz w:val="24"/>
          <w:szCs w:val="24"/>
          <w:lang w:val="fr-BE" w:eastAsia="nl-BE"/>
        </w:rPr>
        <w:t>pour le territoire du Sahara occidental. Il importe donc d’explorer le potentiel des phosphates en matière de développement de l'activité industrielle saharien</w:t>
      </w:r>
      <w:r w:rsidR="000C6E37">
        <w:rPr>
          <w:rFonts w:ascii="Times New Roman" w:eastAsia="MS Mincho" w:hAnsi="Times New Roman" w:cs="Times New Roman"/>
          <w:sz w:val="24"/>
          <w:szCs w:val="24"/>
          <w:lang w:val="fr-BE" w:eastAsia="nl-BE"/>
        </w:rPr>
        <w:t>ne</w:t>
      </w:r>
      <w:r w:rsidRPr="00F34A4D">
        <w:rPr>
          <w:rFonts w:ascii="Times New Roman" w:eastAsia="MS Mincho" w:hAnsi="Times New Roman" w:cs="Times New Roman"/>
          <w:sz w:val="24"/>
          <w:szCs w:val="24"/>
          <w:lang w:val="fr-BE" w:eastAsia="nl-BE"/>
        </w:rPr>
        <w:t xml:space="preserve"> et des bénéfices pour la population. Cependant, aux fins de cet exercice, le recours aux statistiques du commerce </w:t>
      </w:r>
      <w:r w:rsidR="000C6E37">
        <w:rPr>
          <w:rFonts w:ascii="Times New Roman" w:eastAsia="MS Mincho" w:hAnsi="Times New Roman" w:cs="Times New Roman"/>
          <w:sz w:val="24"/>
          <w:szCs w:val="24"/>
          <w:lang w:val="fr-BE" w:eastAsia="nl-BE"/>
        </w:rPr>
        <w:t>est</w:t>
      </w:r>
      <w:r w:rsidRPr="00F34A4D">
        <w:rPr>
          <w:rFonts w:ascii="Times New Roman" w:eastAsia="MS Mincho" w:hAnsi="Times New Roman" w:cs="Times New Roman"/>
          <w:sz w:val="24"/>
          <w:szCs w:val="24"/>
          <w:lang w:val="fr-BE" w:eastAsia="nl-BE"/>
        </w:rPr>
        <w:t xml:space="preserve"> insuffisant. En effet, </w:t>
      </w:r>
      <w:r w:rsidR="000C6E37">
        <w:rPr>
          <w:rFonts w:ascii="Times New Roman" w:eastAsia="MS Mincho" w:hAnsi="Times New Roman" w:cs="Times New Roman"/>
          <w:sz w:val="24"/>
          <w:szCs w:val="24"/>
          <w:lang w:val="fr-BE" w:eastAsia="nl-BE"/>
        </w:rPr>
        <w:t xml:space="preserve">là encore, </w:t>
      </w:r>
      <w:r w:rsidRPr="00F34A4D">
        <w:rPr>
          <w:rFonts w:ascii="Times New Roman" w:eastAsia="MS Mincho" w:hAnsi="Times New Roman" w:cs="Times New Roman"/>
          <w:sz w:val="24"/>
          <w:szCs w:val="24"/>
          <w:lang w:val="fr-BE" w:eastAsia="nl-BE"/>
        </w:rPr>
        <w:t xml:space="preserve">dans les chiffres globaux </w:t>
      </w:r>
      <w:r w:rsidR="00AF508D">
        <w:rPr>
          <w:rFonts w:ascii="Times New Roman" w:eastAsia="MS Mincho" w:hAnsi="Times New Roman" w:cs="Times New Roman"/>
          <w:sz w:val="24"/>
          <w:szCs w:val="24"/>
          <w:lang w:val="fr-BE" w:eastAsia="nl-BE"/>
        </w:rPr>
        <w:t xml:space="preserve">disponibles (la seule source étant le </w:t>
      </w:r>
      <w:r w:rsidRPr="00F34A4D">
        <w:rPr>
          <w:rFonts w:ascii="Times New Roman" w:eastAsia="MS Mincho" w:hAnsi="Times New Roman" w:cs="Times New Roman"/>
          <w:sz w:val="24"/>
          <w:szCs w:val="24"/>
          <w:lang w:val="fr-BE" w:eastAsia="nl-BE"/>
        </w:rPr>
        <w:t>Maroc</w:t>
      </w:r>
      <w:r w:rsidR="00AF508D">
        <w:rPr>
          <w:rFonts w:ascii="Times New Roman" w:eastAsia="MS Mincho" w:hAnsi="Times New Roman" w:cs="Times New Roman"/>
          <w:sz w:val="24"/>
          <w:szCs w:val="24"/>
          <w:lang w:val="fr-BE" w:eastAsia="nl-BE"/>
        </w:rPr>
        <w:t>)</w:t>
      </w:r>
      <w:r w:rsidRPr="00F34A4D">
        <w:rPr>
          <w:rFonts w:ascii="Times New Roman" w:eastAsia="MS Mincho" w:hAnsi="Times New Roman" w:cs="Times New Roman"/>
          <w:sz w:val="24"/>
          <w:szCs w:val="24"/>
          <w:lang w:val="fr-BE" w:eastAsia="nl-BE"/>
        </w:rPr>
        <w:t xml:space="preserve">, la part du Sahara occidental n’est pas précisée. </w:t>
      </w:r>
      <w:r w:rsidR="000C6E37">
        <w:rPr>
          <w:rFonts w:ascii="Times New Roman" w:eastAsia="MS Mincho" w:hAnsi="Times New Roman" w:cs="Times New Roman"/>
          <w:sz w:val="24"/>
          <w:szCs w:val="24"/>
          <w:lang w:val="fr-BE" w:eastAsia="nl-BE"/>
        </w:rPr>
        <w:t>On sait qu’en 2015 34% des importations de phosphate de l’U</w:t>
      </w:r>
      <w:r w:rsidR="00584896">
        <w:rPr>
          <w:rFonts w:ascii="Times New Roman" w:eastAsia="MS Mincho" w:hAnsi="Times New Roman" w:cs="Times New Roman"/>
          <w:sz w:val="24"/>
          <w:szCs w:val="24"/>
          <w:lang w:val="fr-BE" w:eastAsia="nl-BE"/>
        </w:rPr>
        <w:t>nion</w:t>
      </w:r>
      <w:r w:rsidR="000C6E37">
        <w:rPr>
          <w:rFonts w:ascii="Times New Roman" w:eastAsia="MS Mincho" w:hAnsi="Times New Roman" w:cs="Times New Roman"/>
          <w:sz w:val="24"/>
          <w:szCs w:val="24"/>
          <w:lang w:val="fr-BE" w:eastAsia="nl-BE"/>
        </w:rPr>
        <w:t xml:space="preserve"> provenaient du Maroc</w:t>
      </w:r>
      <w:r w:rsidR="00560BA5">
        <w:rPr>
          <w:rFonts w:ascii="Times New Roman" w:eastAsia="MS Mincho" w:hAnsi="Times New Roman" w:cs="Times New Roman"/>
          <w:sz w:val="24"/>
          <w:szCs w:val="24"/>
          <w:lang w:val="fr-BE" w:eastAsia="nl-BE"/>
        </w:rPr>
        <w:t xml:space="preserve">, </w:t>
      </w:r>
      <w:r w:rsidR="000C6E37">
        <w:rPr>
          <w:rFonts w:ascii="Times New Roman" w:eastAsia="MS Mincho" w:hAnsi="Times New Roman" w:cs="Times New Roman"/>
          <w:sz w:val="24"/>
          <w:szCs w:val="24"/>
          <w:lang w:val="fr-BE" w:eastAsia="nl-BE"/>
        </w:rPr>
        <w:t>mais il n’est pas possible de préciser la part correspondant à des exportations du Sahara occidental.</w:t>
      </w:r>
    </w:p>
    <w:p w:rsidR="000C6E37" w:rsidRDefault="000C6E37" w:rsidP="0084736B">
      <w:pPr>
        <w:widowControl w:val="0"/>
        <w:spacing w:after="0" w:line="240" w:lineRule="auto"/>
        <w:jc w:val="both"/>
        <w:rPr>
          <w:rFonts w:ascii="Times New Roman" w:eastAsia="MS Mincho" w:hAnsi="Times New Roman" w:cs="Times New Roman"/>
          <w:sz w:val="24"/>
          <w:szCs w:val="24"/>
          <w:lang w:val="fr-BE" w:eastAsia="nl-BE"/>
        </w:rPr>
      </w:pPr>
    </w:p>
    <w:p w:rsidR="00F34A4D" w:rsidRPr="00F34A4D" w:rsidRDefault="00F34A4D" w:rsidP="0084736B">
      <w:pPr>
        <w:widowControl w:val="0"/>
        <w:spacing w:after="0" w:line="240" w:lineRule="auto"/>
        <w:jc w:val="both"/>
        <w:rPr>
          <w:rFonts w:ascii="Times New Roman" w:eastAsia="MS Mincho" w:hAnsi="Times New Roman" w:cs="Times New Roman"/>
          <w:sz w:val="24"/>
          <w:szCs w:val="24"/>
          <w:lang w:val="fr-BE" w:eastAsia="nl-BE"/>
        </w:rPr>
      </w:pPr>
      <w:r w:rsidRPr="00F34A4D">
        <w:rPr>
          <w:rFonts w:ascii="Times New Roman" w:eastAsia="MS Mincho" w:hAnsi="Times New Roman" w:cs="Times New Roman"/>
          <w:sz w:val="24"/>
          <w:szCs w:val="24"/>
          <w:lang w:val="fr-BE" w:eastAsia="nl-BE"/>
        </w:rPr>
        <w:t>Toutefois, en analysant les rapports spécifiques dédiés au secteur, il s'avère possible d’établir l’impact de la non</w:t>
      </w:r>
      <w:r w:rsidR="000C6E37">
        <w:rPr>
          <w:rFonts w:ascii="Times New Roman" w:eastAsia="MS Mincho" w:hAnsi="Times New Roman" w:cs="Times New Roman"/>
          <w:sz w:val="24"/>
          <w:szCs w:val="24"/>
          <w:lang w:val="fr-BE" w:eastAsia="nl-BE"/>
        </w:rPr>
        <w:t>-</w:t>
      </w:r>
      <w:r w:rsidRPr="00F34A4D">
        <w:rPr>
          <w:rFonts w:ascii="Times New Roman" w:eastAsia="MS Mincho" w:hAnsi="Times New Roman" w:cs="Times New Roman"/>
          <w:sz w:val="24"/>
          <w:szCs w:val="24"/>
          <w:lang w:val="fr-BE" w:eastAsia="nl-BE"/>
        </w:rPr>
        <w:t>application de la préférence tarifaire pour les différents produits phosphatés lors de leur importation dans l’Union européenne.</w:t>
      </w:r>
    </w:p>
    <w:p w:rsidR="009F2925" w:rsidRDefault="009F2925" w:rsidP="0084736B">
      <w:pPr>
        <w:widowControl w:val="0"/>
        <w:spacing w:after="0" w:line="240" w:lineRule="auto"/>
        <w:jc w:val="both"/>
        <w:rPr>
          <w:rFonts w:ascii="Times New Roman" w:eastAsia="MS Mincho" w:hAnsi="Times New Roman" w:cs="Times New Roman"/>
          <w:sz w:val="24"/>
          <w:szCs w:val="24"/>
          <w:lang w:val="fr-BE" w:eastAsia="nl-BE"/>
        </w:rPr>
      </w:pPr>
    </w:p>
    <w:p w:rsidR="00E52BB8" w:rsidRDefault="00E52BB8" w:rsidP="0084736B">
      <w:pPr>
        <w:widowControl w:val="0"/>
        <w:spacing w:after="0" w:line="240" w:lineRule="auto"/>
        <w:jc w:val="both"/>
        <w:rPr>
          <w:rFonts w:ascii="Times New Roman" w:eastAsia="MS Mincho" w:hAnsi="Times New Roman" w:cs="Times New Roman"/>
          <w:sz w:val="24"/>
          <w:szCs w:val="24"/>
          <w:lang w:val="fr-BE" w:eastAsia="nl-BE"/>
        </w:rPr>
      </w:pPr>
      <w:r w:rsidRPr="00E52BB8">
        <w:rPr>
          <w:rFonts w:ascii="Times New Roman" w:eastAsia="MS Mincho" w:hAnsi="Times New Roman" w:cs="Times New Roman"/>
          <w:sz w:val="24"/>
          <w:szCs w:val="24"/>
          <w:lang w:val="fr-BE" w:eastAsia="nl-BE"/>
        </w:rPr>
        <w:t>Parmi les engrais minéraux ou chimiques phosphatés, la nomenclature douanière appliquée par l'Union fait une distinction entre les "superphosphates"</w:t>
      </w:r>
      <w:r w:rsidRPr="00E52BB8">
        <w:rPr>
          <w:rFonts w:ascii="Times New Roman" w:eastAsia="Times New Roman" w:hAnsi="Times New Roman" w:cs="Times New Roman"/>
          <w:sz w:val="24"/>
          <w:szCs w:val="20"/>
          <w:vertAlign w:val="superscript"/>
          <w:lang w:val="fr-BE"/>
        </w:rPr>
        <w:footnoteReference w:id="50"/>
      </w:r>
      <w:r w:rsidRPr="00E52BB8">
        <w:rPr>
          <w:rFonts w:ascii="Times New Roman" w:eastAsia="Times New Roman" w:hAnsi="Times New Roman" w:cs="Times New Roman"/>
          <w:sz w:val="24"/>
          <w:szCs w:val="20"/>
          <w:lang w:val="fr-BE"/>
        </w:rPr>
        <w:t xml:space="preserve"> </w:t>
      </w:r>
      <w:r w:rsidRPr="00E52BB8">
        <w:rPr>
          <w:rFonts w:ascii="Times New Roman" w:eastAsia="MS Mincho" w:hAnsi="Times New Roman" w:cs="Times New Roman"/>
          <w:sz w:val="24"/>
          <w:szCs w:val="24"/>
          <w:lang w:val="fr-BE" w:eastAsia="nl-BE"/>
        </w:rPr>
        <w:t>et les autres types d’engrais phosphatés. La majeure partie du phosphate brut</w:t>
      </w:r>
      <w:r w:rsidRPr="00E52BB8">
        <w:rPr>
          <w:rFonts w:ascii="Times New Roman" w:eastAsia="MS Mincho" w:hAnsi="Times New Roman" w:cs="Times New Roman"/>
          <w:sz w:val="24"/>
          <w:szCs w:val="24"/>
          <w:vertAlign w:val="superscript"/>
          <w:lang w:val="fr-BE" w:eastAsia="nl-BE"/>
        </w:rPr>
        <w:footnoteReference w:id="51"/>
      </w:r>
      <w:r w:rsidRPr="00E52BB8">
        <w:rPr>
          <w:rFonts w:ascii="Times New Roman" w:eastAsia="MS Mincho" w:hAnsi="Times New Roman" w:cs="Times New Roman"/>
          <w:sz w:val="24"/>
          <w:szCs w:val="24"/>
          <w:lang w:val="fr-BE" w:eastAsia="nl-BE"/>
        </w:rPr>
        <w:t xml:space="preserve"> importé dans l'Union n'est pas assujettie à des droits de douane y compris dans le cadre d’un régime préférentiel. Pour ces produits, l’extension de l’accord d’association UE-Maroc aux produits du Sahara occidental  n'aurait donc aucun impact. Seuls les "superphosphates"</w:t>
      </w:r>
      <w:r w:rsidRPr="00E52BB8">
        <w:rPr>
          <w:rFonts w:ascii="Times New Roman" w:eastAsia="MS Mincho" w:hAnsi="Times New Roman" w:cs="Times New Roman"/>
          <w:sz w:val="24"/>
          <w:szCs w:val="24"/>
          <w:vertAlign w:val="superscript"/>
          <w:lang w:val="fr-BE" w:eastAsia="nl-BE"/>
        </w:rPr>
        <w:footnoteReference w:id="52"/>
      </w:r>
      <w:r w:rsidRPr="00E52BB8">
        <w:rPr>
          <w:rFonts w:ascii="Times New Roman" w:eastAsia="MS Mincho" w:hAnsi="Times New Roman" w:cs="Times New Roman"/>
          <w:sz w:val="24"/>
          <w:szCs w:val="24"/>
          <w:lang w:val="fr-BE" w:eastAsia="nl-BE"/>
        </w:rPr>
        <w:t xml:space="preserve"> sont soumis à des droits de douane à l’importation dans l’Union (4,8%). La question de l’impact de l’accord ne se pose donc que pour ces produits. </w:t>
      </w:r>
    </w:p>
    <w:p w:rsidR="00E52BB8" w:rsidRPr="00E52BB8" w:rsidRDefault="00E52BB8" w:rsidP="0084736B">
      <w:pPr>
        <w:widowControl w:val="0"/>
        <w:spacing w:after="0" w:line="240" w:lineRule="auto"/>
        <w:jc w:val="both"/>
        <w:rPr>
          <w:rFonts w:ascii="Times New Roman" w:eastAsia="MS Mincho" w:hAnsi="Times New Roman" w:cs="Times New Roman"/>
          <w:sz w:val="24"/>
          <w:szCs w:val="24"/>
          <w:lang w:val="fr-BE" w:eastAsia="nl-BE"/>
        </w:rPr>
      </w:pPr>
    </w:p>
    <w:p w:rsidR="00E52BB8" w:rsidRPr="00E52BB8" w:rsidRDefault="00343C0D" w:rsidP="0084736B">
      <w:pPr>
        <w:widowControl w:val="0"/>
        <w:spacing w:after="0" w:line="240" w:lineRule="auto"/>
        <w:jc w:val="both"/>
        <w:rPr>
          <w:rFonts w:ascii="Times New Roman" w:eastAsia="MS Mincho" w:hAnsi="Times New Roman" w:cs="Times New Roman"/>
          <w:sz w:val="24"/>
          <w:szCs w:val="24"/>
          <w:lang w:val="fr-BE" w:eastAsia="nl-BE"/>
        </w:rPr>
      </w:pPr>
      <w:r>
        <w:rPr>
          <w:rFonts w:ascii="Times New Roman" w:eastAsia="MS Mincho" w:hAnsi="Times New Roman" w:cs="Times New Roman"/>
          <w:sz w:val="24"/>
          <w:szCs w:val="24"/>
          <w:lang w:val="fr-BE" w:eastAsia="nl-BE"/>
        </w:rPr>
        <w:t xml:space="preserve">De </w:t>
      </w:r>
      <w:r w:rsidR="00E52BB8" w:rsidRPr="00E52BB8">
        <w:rPr>
          <w:rFonts w:ascii="Times New Roman" w:eastAsia="MS Mincho" w:hAnsi="Times New Roman" w:cs="Times New Roman"/>
          <w:sz w:val="24"/>
          <w:szCs w:val="24"/>
          <w:lang w:val="fr-BE" w:eastAsia="nl-BE"/>
        </w:rPr>
        <w:t>2014 à 2016, les droits de douane en jeu varient entre 1,13 million et 1,83 million d’euros. De ces importations dans l’U</w:t>
      </w:r>
      <w:r w:rsidR="00584896">
        <w:rPr>
          <w:rFonts w:ascii="Times New Roman" w:eastAsia="MS Mincho" w:hAnsi="Times New Roman" w:cs="Times New Roman"/>
          <w:sz w:val="24"/>
          <w:szCs w:val="24"/>
          <w:lang w:val="fr-BE" w:eastAsia="nl-BE"/>
        </w:rPr>
        <w:t>nion</w:t>
      </w:r>
      <w:r w:rsidR="00E52BB8" w:rsidRPr="00E52BB8">
        <w:rPr>
          <w:rFonts w:ascii="Times New Roman" w:eastAsia="MS Mincho" w:hAnsi="Times New Roman" w:cs="Times New Roman"/>
          <w:sz w:val="24"/>
          <w:szCs w:val="24"/>
          <w:lang w:val="fr-BE" w:eastAsia="nl-BE"/>
        </w:rPr>
        <w:t xml:space="preserve"> on peut considérer que la part des importations en provenance du Sahara occidental est marginale. En effet, comparé aux sites marocains, le site de Phosboucr</w:t>
      </w:r>
      <w:r w:rsidR="000A246D">
        <w:rPr>
          <w:rFonts w:ascii="Times New Roman" w:eastAsia="MS Mincho" w:hAnsi="Times New Roman" w:cs="Times New Roman"/>
          <w:sz w:val="24"/>
          <w:szCs w:val="24"/>
          <w:lang w:val="fr-BE" w:eastAsia="nl-BE"/>
        </w:rPr>
        <w:t>a</w:t>
      </w:r>
      <w:r w:rsidR="00E52BB8" w:rsidRPr="00E52BB8">
        <w:rPr>
          <w:rFonts w:ascii="Times New Roman" w:eastAsia="MS Mincho" w:hAnsi="Times New Roman" w:cs="Times New Roman"/>
          <w:sz w:val="24"/>
          <w:szCs w:val="24"/>
          <w:lang w:val="fr-BE" w:eastAsia="nl-BE"/>
        </w:rPr>
        <w:t xml:space="preserve">a a une capacité de production relativement faible ; de plus </w:t>
      </w:r>
      <w:r w:rsidR="001A5F3B">
        <w:rPr>
          <w:rFonts w:ascii="Times New Roman" w:eastAsia="MS Mincho" w:hAnsi="Times New Roman" w:cs="Times New Roman"/>
          <w:sz w:val="24"/>
          <w:szCs w:val="24"/>
          <w:lang w:val="fr-BE" w:eastAsia="nl-BE"/>
        </w:rPr>
        <w:t xml:space="preserve">selon des informations </w:t>
      </w:r>
      <w:r w:rsidR="00E52BB8" w:rsidRPr="00E52BB8">
        <w:rPr>
          <w:rFonts w:ascii="Times New Roman" w:eastAsia="MS Mincho" w:hAnsi="Times New Roman" w:cs="Times New Roman"/>
          <w:sz w:val="24"/>
          <w:szCs w:val="24"/>
          <w:lang w:val="fr-BE" w:eastAsia="nl-BE"/>
        </w:rPr>
        <w:t>marocaines</w:t>
      </w:r>
      <w:r w:rsidR="001A5F3B">
        <w:rPr>
          <w:rFonts w:ascii="Times New Roman" w:eastAsia="MS Mincho" w:hAnsi="Times New Roman" w:cs="Times New Roman"/>
          <w:sz w:val="24"/>
          <w:szCs w:val="24"/>
          <w:lang w:val="fr-BE" w:eastAsia="nl-BE"/>
        </w:rPr>
        <w:t>,</w:t>
      </w:r>
      <w:r w:rsidR="00E52BB8" w:rsidRPr="00E52BB8">
        <w:rPr>
          <w:rFonts w:ascii="Times New Roman" w:eastAsia="MS Mincho" w:hAnsi="Times New Roman" w:cs="Times New Roman"/>
          <w:sz w:val="24"/>
          <w:szCs w:val="24"/>
          <w:lang w:val="fr-BE" w:eastAsia="nl-BE"/>
        </w:rPr>
        <w:t xml:space="preserve"> les exportations de ce site n</w:t>
      </w:r>
      <w:r w:rsidR="001A5F3B">
        <w:rPr>
          <w:rFonts w:ascii="Times New Roman" w:eastAsia="MS Mincho" w:hAnsi="Times New Roman" w:cs="Times New Roman"/>
          <w:sz w:val="24"/>
          <w:szCs w:val="24"/>
          <w:lang w:val="fr-BE" w:eastAsia="nl-BE"/>
        </w:rPr>
        <w:t>e seraient</w:t>
      </w:r>
      <w:r w:rsidR="00E52BB8" w:rsidRPr="00E52BB8">
        <w:rPr>
          <w:rFonts w:ascii="Times New Roman" w:eastAsia="MS Mincho" w:hAnsi="Times New Roman" w:cs="Times New Roman"/>
          <w:sz w:val="24"/>
          <w:szCs w:val="24"/>
          <w:lang w:val="fr-BE" w:eastAsia="nl-BE"/>
        </w:rPr>
        <w:t xml:space="preserve"> pas destinées à l’U</w:t>
      </w:r>
      <w:r w:rsidR="00584896">
        <w:rPr>
          <w:rFonts w:ascii="Times New Roman" w:eastAsia="MS Mincho" w:hAnsi="Times New Roman" w:cs="Times New Roman"/>
          <w:sz w:val="24"/>
          <w:szCs w:val="24"/>
          <w:lang w:val="fr-BE" w:eastAsia="nl-BE"/>
        </w:rPr>
        <w:t>nion européenne</w:t>
      </w:r>
      <w:r w:rsidR="00E52BB8" w:rsidRPr="00E52BB8">
        <w:rPr>
          <w:rFonts w:ascii="Times New Roman" w:eastAsia="MS Mincho" w:hAnsi="Times New Roman" w:cs="Times New Roman"/>
          <w:sz w:val="24"/>
          <w:szCs w:val="24"/>
          <w:vertAlign w:val="superscript"/>
          <w:lang w:val="fr-BE" w:eastAsia="nl-BE"/>
        </w:rPr>
        <w:footnoteReference w:id="53"/>
      </w:r>
      <w:r w:rsidR="00E52BB8" w:rsidRPr="00E52BB8">
        <w:rPr>
          <w:rFonts w:ascii="Times New Roman" w:eastAsia="MS Mincho" w:hAnsi="Times New Roman" w:cs="Times New Roman"/>
          <w:sz w:val="24"/>
          <w:szCs w:val="24"/>
          <w:lang w:val="fr-BE" w:eastAsia="nl-BE"/>
        </w:rPr>
        <w:t>.</w:t>
      </w:r>
    </w:p>
    <w:p w:rsidR="009F2925" w:rsidRDefault="009F2925" w:rsidP="0084736B">
      <w:pPr>
        <w:widowControl w:val="0"/>
        <w:spacing w:after="0" w:line="240" w:lineRule="auto"/>
        <w:jc w:val="both"/>
        <w:rPr>
          <w:rFonts w:ascii="Times New Roman" w:eastAsia="MS Mincho" w:hAnsi="Times New Roman" w:cs="Times New Roman"/>
          <w:sz w:val="24"/>
          <w:szCs w:val="24"/>
          <w:lang w:val="fr-BE" w:eastAsia="nl-BE"/>
        </w:rPr>
      </w:pPr>
    </w:p>
    <w:p w:rsidR="00343C0D" w:rsidRPr="00343C0D" w:rsidRDefault="00343C0D" w:rsidP="00343C0D">
      <w:pPr>
        <w:widowControl w:val="0"/>
        <w:spacing w:after="0" w:line="240" w:lineRule="auto"/>
        <w:jc w:val="both"/>
        <w:rPr>
          <w:rFonts w:ascii="Times New Roman" w:eastAsia="MS Mincho" w:hAnsi="Times New Roman" w:cs="Times New Roman"/>
          <w:sz w:val="24"/>
          <w:szCs w:val="24"/>
          <w:lang w:val="fr-BE" w:eastAsia="nl-BE"/>
        </w:rPr>
      </w:pPr>
      <w:r w:rsidRPr="00343C0D">
        <w:rPr>
          <w:rFonts w:ascii="Times New Roman" w:eastAsia="MS Mincho" w:hAnsi="Times New Roman" w:cs="Times New Roman"/>
          <w:sz w:val="24"/>
          <w:szCs w:val="24"/>
          <w:lang w:val="fr-BE" w:eastAsia="nl-BE"/>
        </w:rPr>
        <w:t xml:space="preserve">Il doit donc être conclu de ce qui précède que </w:t>
      </w:r>
      <w:r w:rsidRPr="00343C0D">
        <w:rPr>
          <w:rFonts w:ascii="Times New Roman" w:eastAsia="MS Mincho" w:hAnsi="Times New Roman" w:cs="Times New Roman"/>
          <w:b/>
          <w:i/>
          <w:sz w:val="24"/>
          <w:szCs w:val="24"/>
          <w:lang w:val="fr-BE" w:eastAsia="nl-BE"/>
        </w:rPr>
        <w:t xml:space="preserve">l'impact sur la production actuelle des phosphates au Sahara occidental d'une non-application de la préférence tarifaire sur les droits de douane en jeu est limité voire nul </w:t>
      </w:r>
      <w:r w:rsidRPr="004E2E61">
        <w:rPr>
          <w:rFonts w:ascii="Times New Roman" w:eastAsia="MS Mincho" w:hAnsi="Times New Roman" w:cs="Times New Roman"/>
          <w:sz w:val="24"/>
          <w:szCs w:val="24"/>
          <w:lang w:val="fr-BE" w:eastAsia="nl-BE"/>
        </w:rPr>
        <w:t>ou</w:t>
      </w:r>
      <w:r w:rsidRPr="00343C0D">
        <w:rPr>
          <w:rFonts w:ascii="Times New Roman" w:eastAsia="MS Mincho" w:hAnsi="Times New Roman" w:cs="Times New Roman"/>
          <w:sz w:val="24"/>
          <w:szCs w:val="24"/>
          <w:lang w:val="fr-BE" w:eastAsia="nl-BE"/>
        </w:rPr>
        <w:t>, dit autrement, que l’octroi des préférences tarifaires prévues par l’accord d’association UE-Maroc n’a pas d’impact sur les importations actuelles de superphosphates à partir du Sahara occidental.</w:t>
      </w:r>
    </w:p>
    <w:p w:rsidR="00343C0D" w:rsidRDefault="00343C0D" w:rsidP="0084736B">
      <w:pPr>
        <w:widowControl w:val="0"/>
        <w:spacing w:after="0" w:line="240" w:lineRule="auto"/>
        <w:jc w:val="both"/>
        <w:rPr>
          <w:rFonts w:ascii="Times New Roman" w:eastAsia="MS Mincho" w:hAnsi="Times New Roman" w:cs="Times New Roman"/>
          <w:sz w:val="24"/>
          <w:szCs w:val="24"/>
          <w:lang w:val="fr-BE" w:eastAsia="nl-BE"/>
        </w:rPr>
      </w:pPr>
    </w:p>
    <w:p w:rsidR="00E52BB8" w:rsidRDefault="00F34A4D" w:rsidP="0084736B">
      <w:pPr>
        <w:widowControl w:val="0"/>
        <w:spacing w:after="0" w:line="240" w:lineRule="auto"/>
        <w:jc w:val="both"/>
        <w:rPr>
          <w:rFonts w:ascii="Times New Roman" w:eastAsia="MS Mincho" w:hAnsi="Times New Roman" w:cs="Times New Roman"/>
          <w:sz w:val="24"/>
          <w:szCs w:val="24"/>
          <w:lang w:val="fr-BE" w:eastAsia="nl-BE"/>
        </w:rPr>
      </w:pPr>
      <w:r w:rsidRPr="00F34A4D">
        <w:rPr>
          <w:rFonts w:ascii="Times New Roman" w:eastAsia="MS Mincho" w:hAnsi="Times New Roman" w:cs="Times New Roman"/>
          <w:sz w:val="24"/>
          <w:szCs w:val="24"/>
          <w:lang w:val="fr-BE" w:eastAsia="nl-BE"/>
        </w:rPr>
        <w:t xml:space="preserve">Cependant, </w:t>
      </w:r>
      <w:r w:rsidRPr="00DB3D18">
        <w:rPr>
          <w:rFonts w:ascii="Times New Roman" w:eastAsia="MS Mincho" w:hAnsi="Times New Roman" w:cs="Times New Roman"/>
          <w:b/>
          <w:i/>
          <w:sz w:val="24"/>
          <w:szCs w:val="24"/>
          <w:lang w:val="fr-BE" w:eastAsia="nl-BE"/>
        </w:rPr>
        <w:t>il y a certains produits dérivés</w:t>
      </w:r>
      <w:r w:rsidRPr="00DB3D18">
        <w:rPr>
          <w:rFonts w:ascii="Times New Roman" w:eastAsia="MS Mincho" w:hAnsi="Times New Roman" w:cs="Times New Roman"/>
          <w:b/>
          <w:i/>
          <w:sz w:val="24"/>
          <w:szCs w:val="24"/>
          <w:vertAlign w:val="superscript"/>
          <w:lang w:val="fr-BE" w:eastAsia="nl-BE"/>
        </w:rPr>
        <w:footnoteReference w:id="54"/>
      </w:r>
      <w:r w:rsidRPr="00DB3D18">
        <w:rPr>
          <w:rFonts w:ascii="Times New Roman" w:eastAsia="MS Mincho" w:hAnsi="Times New Roman" w:cs="Times New Roman"/>
          <w:b/>
          <w:i/>
          <w:sz w:val="24"/>
          <w:szCs w:val="24"/>
          <w:lang w:val="fr-BE" w:eastAsia="nl-BE"/>
        </w:rPr>
        <w:t xml:space="preserve"> des phosphates qui ne sont pas actuellement produits au Sahara occidental</w:t>
      </w:r>
      <w:r w:rsidRPr="00F50AD9">
        <w:rPr>
          <w:rFonts w:ascii="Times New Roman" w:eastAsia="MS Mincho" w:hAnsi="Times New Roman" w:cs="Times New Roman"/>
          <w:i/>
          <w:sz w:val="24"/>
          <w:szCs w:val="24"/>
          <w:lang w:val="fr-BE" w:eastAsia="nl-BE"/>
        </w:rPr>
        <w:t xml:space="preserve"> </w:t>
      </w:r>
      <w:r w:rsidR="00E52BB8" w:rsidRPr="00E52BB8">
        <w:rPr>
          <w:rFonts w:ascii="Times New Roman" w:eastAsia="MS Mincho" w:hAnsi="Times New Roman" w:cs="Times New Roman"/>
          <w:sz w:val="24"/>
          <w:szCs w:val="24"/>
          <w:lang w:val="fr-BE" w:eastAsia="nl-BE"/>
        </w:rPr>
        <w:t>en raison de l’absence de site industriel de transformation du phosphate sur le territoire</w:t>
      </w:r>
      <w:r w:rsidR="00E52BB8">
        <w:rPr>
          <w:rFonts w:ascii="Times New Roman" w:eastAsia="MS Mincho" w:hAnsi="Times New Roman" w:cs="Times New Roman"/>
          <w:sz w:val="24"/>
          <w:szCs w:val="24"/>
          <w:lang w:val="fr-BE" w:eastAsia="nl-BE"/>
        </w:rPr>
        <w:t xml:space="preserve"> </w:t>
      </w:r>
      <w:r w:rsidRPr="00DB3D18">
        <w:rPr>
          <w:rFonts w:ascii="Times New Roman" w:eastAsia="MS Mincho" w:hAnsi="Times New Roman" w:cs="Times New Roman"/>
          <w:b/>
          <w:i/>
          <w:sz w:val="24"/>
          <w:szCs w:val="24"/>
          <w:lang w:val="fr-BE" w:eastAsia="nl-BE"/>
        </w:rPr>
        <w:t>mais qui pourraient l'être et en ce cas bénéficieraient des préférences, car leur importation dans l'U</w:t>
      </w:r>
      <w:r w:rsidR="00584896" w:rsidRPr="00DB3D18">
        <w:rPr>
          <w:rFonts w:ascii="Times New Roman" w:eastAsia="MS Mincho" w:hAnsi="Times New Roman" w:cs="Times New Roman"/>
          <w:b/>
          <w:i/>
          <w:sz w:val="24"/>
          <w:szCs w:val="24"/>
          <w:lang w:val="fr-BE" w:eastAsia="nl-BE"/>
        </w:rPr>
        <w:t>nion</w:t>
      </w:r>
      <w:r w:rsidRPr="00DB3D18">
        <w:rPr>
          <w:rFonts w:ascii="Times New Roman" w:eastAsia="MS Mincho" w:hAnsi="Times New Roman" w:cs="Times New Roman"/>
          <w:b/>
          <w:i/>
          <w:sz w:val="24"/>
          <w:szCs w:val="24"/>
          <w:lang w:val="fr-BE" w:eastAsia="nl-BE"/>
        </w:rPr>
        <w:t xml:space="preserve"> est </w:t>
      </w:r>
      <w:r w:rsidR="00A51473" w:rsidRPr="00DB3D18">
        <w:rPr>
          <w:rFonts w:ascii="Times New Roman" w:eastAsia="MS Mincho" w:hAnsi="Times New Roman" w:cs="Times New Roman"/>
          <w:b/>
          <w:i/>
          <w:sz w:val="24"/>
          <w:szCs w:val="24"/>
          <w:lang w:val="fr-BE" w:eastAsia="nl-BE"/>
        </w:rPr>
        <w:t xml:space="preserve">aujourd’hui </w:t>
      </w:r>
      <w:r w:rsidRPr="00DB3D18">
        <w:rPr>
          <w:rFonts w:ascii="Times New Roman" w:eastAsia="MS Mincho" w:hAnsi="Times New Roman" w:cs="Times New Roman"/>
          <w:b/>
          <w:i/>
          <w:sz w:val="24"/>
          <w:szCs w:val="24"/>
          <w:lang w:val="fr-BE" w:eastAsia="nl-BE"/>
        </w:rPr>
        <w:t>assujettie à des droits de douane</w:t>
      </w:r>
      <w:r w:rsidRPr="00F34A4D">
        <w:rPr>
          <w:rFonts w:ascii="Times New Roman" w:eastAsia="MS Mincho" w:hAnsi="Times New Roman" w:cs="Times New Roman"/>
          <w:sz w:val="24"/>
          <w:szCs w:val="24"/>
          <w:lang w:val="fr-BE" w:eastAsia="nl-BE"/>
        </w:rPr>
        <w:t xml:space="preserve"> </w:t>
      </w:r>
      <w:r w:rsidR="00A51473" w:rsidRPr="00A51473">
        <w:rPr>
          <w:rFonts w:ascii="Times New Roman" w:eastAsia="MS Mincho" w:hAnsi="Times New Roman" w:cs="Times New Roman"/>
          <w:sz w:val="24"/>
          <w:szCs w:val="24"/>
          <w:lang w:val="fr-BE" w:eastAsia="nl-BE"/>
        </w:rPr>
        <w:t>compris entre 4,8% et 6,5%</w:t>
      </w:r>
      <w:r w:rsidR="00A51473">
        <w:rPr>
          <w:rFonts w:ascii="Times New Roman" w:eastAsia="MS Mincho" w:hAnsi="Times New Roman" w:cs="Times New Roman"/>
          <w:sz w:val="24"/>
          <w:szCs w:val="24"/>
          <w:lang w:val="fr-BE" w:eastAsia="nl-BE"/>
        </w:rPr>
        <w:t xml:space="preserve"> </w:t>
      </w:r>
      <w:r w:rsidR="00A51473" w:rsidRPr="00A51473">
        <w:rPr>
          <w:rFonts w:ascii="Times New Roman" w:eastAsia="MS Mincho" w:hAnsi="Times New Roman" w:cs="Times New Roman"/>
          <w:sz w:val="24"/>
          <w:szCs w:val="24"/>
          <w:lang w:val="fr-BE" w:eastAsia="nl-BE"/>
        </w:rPr>
        <w:t>lorsqu’ils sont originaires de pays avec lesquels l’U</w:t>
      </w:r>
      <w:r w:rsidR="00E52BB8">
        <w:rPr>
          <w:rFonts w:ascii="Times New Roman" w:eastAsia="MS Mincho" w:hAnsi="Times New Roman" w:cs="Times New Roman"/>
          <w:sz w:val="24"/>
          <w:szCs w:val="24"/>
          <w:lang w:val="fr-BE" w:eastAsia="nl-BE"/>
        </w:rPr>
        <w:t>nion</w:t>
      </w:r>
      <w:r w:rsidR="00A51473" w:rsidRPr="00A51473">
        <w:rPr>
          <w:rFonts w:ascii="Times New Roman" w:eastAsia="MS Mincho" w:hAnsi="Times New Roman" w:cs="Times New Roman"/>
          <w:sz w:val="24"/>
          <w:szCs w:val="24"/>
          <w:lang w:val="fr-BE" w:eastAsia="nl-BE"/>
        </w:rPr>
        <w:t xml:space="preserve"> n’a pas d’accord</w:t>
      </w:r>
      <w:r w:rsidR="00A51473">
        <w:rPr>
          <w:rFonts w:ascii="Times New Roman" w:eastAsia="MS Mincho" w:hAnsi="Times New Roman" w:cs="Times New Roman"/>
          <w:sz w:val="24"/>
          <w:szCs w:val="24"/>
          <w:lang w:val="fr-BE" w:eastAsia="nl-BE"/>
        </w:rPr>
        <w:t xml:space="preserve"> </w:t>
      </w:r>
      <w:r w:rsidRPr="00F34A4D">
        <w:rPr>
          <w:rFonts w:ascii="Times New Roman" w:eastAsia="MS Mincho" w:hAnsi="Times New Roman" w:cs="Times New Roman"/>
          <w:sz w:val="24"/>
          <w:szCs w:val="24"/>
          <w:lang w:val="fr-BE" w:eastAsia="nl-BE"/>
        </w:rPr>
        <w:t xml:space="preserve">préférentiel. </w:t>
      </w:r>
      <w:r w:rsidR="00E52BB8" w:rsidRPr="00E52BB8">
        <w:rPr>
          <w:rFonts w:ascii="Times New Roman" w:eastAsia="MS Mincho" w:hAnsi="Times New Roman" w:cs="Times New Roman"/>
          <w:sz w:val="24"/>
          <w:szCs w:val="24"/>
          <w:lang w:val="fr-BE" w:eastAsia="nl-BE"/>
        </w:rPr>
        <w:t>Il est donc nécessaire d’évaluer l’impact de l'exclusion des produits sahariens de la préférence tarifaire prévue par l’accord d’association UE-Maroc</w:t>
      </w:r>
      <w:r w:rsidR="00E52BB8">
        <w:rPr>
          <w:rFonts w:ascii="Times New Roman" w:eastAsia="MS Mincho" w:hAnsi="Times New Roman" w:cs="Times New Roman"/>
          <w:sz w:val="24"/>
          <w:szCs w:val="24"/>
          <w:lang w:val="fr-BE" w:eastAsia="nl-BE"/>
        </w:rPr>
        <w:t>; à cette fin</w:t>
      </w:r>
      <w:r w:rsidR="00E52BB8" w:rsidRPr="00E52BB8">
        <w:rPr>
          <w:rFonts w:ascii="Times New Roman" w:eastAsia="MS Mincho" w:hAnsi="Times New Roman" w:cs="Times New Roman"/>
          <w:sz w:val="24"/>
          <w:szCs w:val="24"/>
          <w:lang w:val="fr-BE" w:eastAsia="nl-BE"/>
        </w:rPr>
        <w:t xml:space="preserve">, il faut analyser si la transformation des matières originaires du Sahara occidental faites dans d’autres sites, au Maroc, a un impact sur la détermination de l’origine préférentielle. </w:t>
      </w:r>
    </w:p>
    <w:p w:rsidR="00A13E39" w:rsidRPr="00E52BB8" w:rsidRDefault="00A13E39" w:rsidP="0084736B">
      <w:pPr>
        <w:widowControl w:val="0"/>
        <w:spacing w:after="0" w:line="240" w:lineRule="auto"/>
        <w:jc w:val="both"/>
        <w:rPr>
          <w:rFonts w:ascii="Times New Roman" w:eastAsia="Times New Roman" w:hAnsi="Times New Roman" w:cs="Times New Roman"/>
          <w:sz w:val="24"/>
          <w:szCs w:val="20"/>
          <w:lang w:val="fr-BE"/>
        </w:rPr>
      </w:pPr>
    </w:p>
    <w:p w:rsidR="00E52BB8" w:rsidRPr="00E52BB8" w:rsidRDefault="00E52BB8" w:rsidP="0084736B">
      <w:pPr>
        <w:widowControl w:val="0"/>
        <w:spacing w:after="0" w:line="240" w:lineRule="auto"/>
        <w:jc w:val="both"/>
        <w:rPr>
          <w:rFonts w:ascii="Times New Roman" w:eastAsia="Times New Roman" w:hAnsi="Times New Roman" w:cs="Times New Roman"/>
          <w:sz w:val="24"/>
          <w:szCs w:val="20"/>
          <w:lang w:val="fr-BE"/>
        </w:rPr>
      </w:pPr>
      <w:r w:rsidRPr="00E52BB8">
        <w:rPr>
          <w:rFonts w:ascii="Times New Roman" w:eastAsia="Times New Roman" w:hAnsi="Times New Roman" w:cs="Times New Roman"/>
          <w:sz w:val="24"/>
          <w:szCs w:val="20"/>
          <w:lang w:val="fr-BE"/>
        </w:rPr>
        <w:t>La règle d’origine appliquée à ces produits dans le cadre de l’accord d’association est déterminante pour conclure si un impact est possible ou non. Cette question concerne l’acide phosphorique et certains engrais :</w:t>
      </w:r>
    </w:p>
    <w:p w:rsidR="00F34A4D" w:rsidRPr="00F34A4D" w:rsidRDefault="00F34A4D" w:rsidP="0084736B">
      <w:pPr>
        <w:widowControl w:val="0"/>
        <w:spacing w:after="0" w:line="240" w:lineRule="auto"/>
        <w:jc w:val="both"/>
        <w:rPr>
          <w:rFonts w:ascii="Times New Roman" w:eastAsia="Times New Roman" w:hAnsi="Times New Roman" w:cs="Times New Roman"/>
          <w:sz w:val="24"/>
          <w:szCs w:val="20"/>
          <w:lang w:val="fr-BE"/>
        </w:rPr>
      </w:pPr>
    </w:p>
    <w:p w:rsidR="00F34A4D" w:rsidRPr="003537E4" w:rsidRDefault="00F34A4D" w:rsidP="0084736B">
      <w:pPr>
        <w:widowControl w:val="0"/>
        <w:spacing w:after="0" w:line="240" w:lineRule="auto"/>
        <w:jc w:val="both"/>
        <w:rPr>
          <w:rFonts w:ascii="Times New Roman" w:eastAsia="Times New Roman" w:hAnsi="Times New Roman" w:cs="Times New Roman"/>
          <w:sz w:val="24"/>
          <w:szCs w:val="20"/>
          <w:u w:val="single"/>
          <w:lang w:val="fr-BE"/>
        </w:rPr>
      </w:pPr>
      <w:r w:rsidRPr="003537E4">
        <w:rPr>
          <w:rFonts w:ascii="Times New Roman" w:eastAsia="Times New Roman" w:hAnsi="Times New Roman" w:cs="Times New Roman"/>
          <w:sz w:val="24"/>
          <w:szCs w:val="20"/>
          <w:u w:val="single"/>
          <w:lang w:val="fr-BE"/>
        </w:rPr>
        <w:t>Acide Phosphorique (SH 29.19)</w:t>
      </w:r>
    </w:p>
    <w:p w:rsidR="009A55AD" w:rsidRPr="00B12774" w:rsidRDefault="009A55AD" w:rsidP="0084736B">
      <w:pPr>
        <w:widowControl w:val="0"/>
        <w:spacing w:after="0" w:line="240" w:lineRule="auto"/>
        <w:jc w:val="both"/>
        <w:rPr>
          <w:rFonts w:ascii="Times New Roman" w:eastAsia="Times New Roman" w:hAnsi="Times New Roman" w:cs="Times New Roman"/>
          <w:sz w:val="24"/>
          <w:szCs w:val="20"/>
          <w:lang w:val="fr-BE"/>
        </w:rPr>
      </w:pPr>
      <w:r w:rsidRPr="00B12774">
        <w:rPr>
          <w:rFonts w:ascii="Times New Roman" w:eastAsia="Times New Roman" w:hAnsi="Times New Roman" w:cs="Times New Roman"/>
          <w:sz w:val="24"/>
          <w:szCs w:val="20"/>
          <w:lang w:val="fr-BE"/>
        </w:rPr>
        <w:t>29.19 - Esters phosphoriques et leurs sels, y compris les lactophosphates; leurs dérivés halogénés, sulfonés, nitrés ou nitrosés.</w:t>
      </w:r>
    </w:p>
    <w:p w:rsidR="009A55AD" w:rsidRPr="00B12774" w:rsidRDefault="009A55AD" w:rsidP="0084736B">
      <w:pPr>
        <w:widowControl w:val="0"/>
        <w:spacing w:after="0" w:line="240" w:lineRule="auto"/>
        <w:jc w:val="both"/>
        <w:rPr>
          <w:rFonts w:ascii="Times New Roman" w:eastAsia="Times New Roman" w:hAnsi="Times New Roman" w:cs="Times New Roman"/>
          <w:sz w:val="24"/>
          <w:szCs w:val="20"/>
          <w:lang w:val="fr-BE"/>
        </w:rPr>
      </w:pPr>
    </w:p>
    <w:p w:rsidR="009A55AD" w:rsidRPr="00B12774" w:rsidRDefault="007C27AF"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Le d</w:t>
      </w:r>
      <w:r w:rsidR="009A55AD" w:rsidRPr="00B12774">
        <w:rPr>
          <w:rFonts w:ascii="Times New Roman" w:eastAsia="Times New Roman" w:hAnsi="Times New Roman" w:cs="Times New Roman"/>
          <w:sz w:val="24"/>
          <w:szCs w:val="20"/>
          <w:lang w:val="fr-BE"/>
        </w:rPr>
        <w:t xml:space="preserve">roit de douane </w:t>
      </w:r>
      <w:r w:rsidR="006C070E">
        <w:rPr>
          <w:rFonts w:ascii="Times New Roman" w:eastAsia="Times New Roman" w:hAnsi="Times New Roman" w:cs="Times New Roman"/>
          <w:sz w:val="24"/>
          <w:szCs w:val="20"/>
          <w:lang w:val="fr-BE"/>
        </w:rPr>
        <w:t>normal (clause de la nation la plus favorisée)</w:t>
      </w:r>
      <w:r w:rsidR="009A55AD" w:rsidRPr="00B12774">
        <w:rPr>
          <w:rFonts w:ascii="Times New Roman" w:eastAsia="Times New Roman" w:hAnsi="Times New Roman" w:cs="Times New Roman"/>
          <w:sz w:val="24"/>
          <w:szCs w:val="20"/>
          <w:lang w:val="fr-BE"/>
        </w:rPr>
        <w:t> </w:t>
      </w:r>
      <w:r>
        <w:rPr>
          <w:rFonts w:ascii="Times New Roman" w:eastAsia="Times New Roman" w:hAnsi="Times New Roman" w:cs="Times New Roman"/>
          <w:sz w:val="24"/>
          <w:szCs w:val="20"/>
          <w:lang w:val="fr-BE"/>
        </w:rPr>
        <w:t>est de</w:t>
      </w:r>
      <w:r w:rsidR="009A55AD" w:rsidRPr="00B12774">
        <w:rPr>
          <w:rFonts w:ascii="Times New Roman" w:eastAsia="Times New Roman" w:hAnsi="Times New Roman" w:cs="Times New Roman"/>
          <w:sz w:val="24"/>
          <w:szCs w:val="20"/>
          <w:lang w:val="fr-BE"/>
        </w:rPr>
        <w:t xml:space="preserve"> 6,5%</w:t>
      </w:r>
      <w:r>
        <w:rPr>
          <w:rFonts w:ascii="Times New Roman" w:eastAsia="Times New Roman" w:hAnsi="Times New Roman" w:cs="Times New Roman"/>
          <w:sz w:val="24"/>
          <w:szCs w:val="20"/>
          <w:lang w:val="fr-BE"/>
        </w:rPr>
        <w:t>.</w:t>
      </w:r>
    </w:p>
    <w:p w:rsidR="009A55AD" w:rsidRPr="00B12774" w:rsidRDefault="007C27AF"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Le d</w:t>
      </w:r>
      <w:r w:rsidR="009A55AD" w:rsidRPr="00B12774">
        <w:rPr>
          <w:rFonts w:ascii="Times New Roman" w:eastAsia="Times New Roman" w:hAnsi="Times New Roman" w:cs="Times New Roman"/>
          <w:sz w:val="24"/>
          <w:szCs w:val="20"/>
          <w:lang w:val="fr-BE"/>
        </w:rPr>
        <w:t>roit préférentiel dans le cadre de l’accord d’association </w:t>
      </w:r>
      <w:r>
        <w:rPr>
          <w:rFonts w:ascii="Times New Roman" w:eastAsia="Times New Roman" w:hAnsi="Times New Roman" w:cs="Times New Roman"/>
          <w:sz w:val="24"/>
          <w:szCs w:val="20"/>
          <w:lang w:val="fr-BE"/>
        </w:rPr>
        <w:t>est nul.</w:t>
      </w:r>
    </w:p>
    <w:p w:rsidR="009A55AD" w:rsidRPr="009B3A97" w:rsidRDefault="007C27AF"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La r</w:t>
      </w:r>
      <w:r w:rsidR="009A55AD" w:rsidRPr="00B12774">
        <w:rPr>
          <w:rFonts w:ascii="Times New Roman" w:eastAsia="Times New Roman" w:hAnsi="Times New Roman" w:cs="Times New Roman"/>
          <w:sz w:val="24"/>
          <w:szCs w:val="20"/>
          <w:lang w:val="fr-BE"/>
        </w:rPr>
        <w:t>ègle d’origine</w:t>
      </w:r>
      <w:r>
        <w:rPr>
          <w:rFonts w:ascii="Times New Roman" w:eastAsia="Times New Roman" w:hAnsi="Times New Roman" w:cs="Times New Roman"/>
          <w:sz w:val="24"/>
          <w:szCs w:val="20"/>
          <w:lang w:val="fr-BE"/>
        </w:rPr>
        <w:t xml:space="preserve"> applicable pour bénéficier de la préférence est</w:t>
      </w:r>
      <w:r w:rsidR="009A55AD" w:rsidRPr="00B12774">
        <w:rPr>
          <w:rFonts w:ascii="Times New Roman" w:eastAsia="Times New Roman" w:hAnsi="Times New Roman" w:cs="Times New Roman"/>
          <w:sz w:val="24"/>
          <w:szCs w:val="20"/>
          <w:lang w:val="fr-BE"/>
        </w:rPr>
        <w:t xml:space="preserve">: changement de </w:t>
      </w:r>
      <w:r w:rsidR="003537E4" w:rsidRPr="00B12774">
        <w:rPr>
          <w:rFonts w:ascii="Times New Roman" w:eastAsia="Times New Roman" w:hAnsi="Times New Roman" w:cs="Times New Roman"/>
          <w:sz w:val="24"/>
          <w:szCs w:val="20"/>
          <w:lang w:val="fr-BE"/>
        </w:rPr>
        <w:t>classement</w:t>
      </w:r>
      <w:r w:rsidR="009A55AD" w:rsidRPr="00B12774">
        <w:rPr>
          <w:rFonts w:ascii="Times New Roman" w:eastAsia="Times New Roman" w:hAnsi="Times New Roman" w:cs="Times New Roman"/>
          <w:sz w:val="24"/>
          <w:szCs w:val="20"/>
          <w:lang w:val="fr-BE"/>
        </w:rPr>
        <w:t xml:space="preserve"> tarifaire ou règle de valeur ajoutée (au maximum 40% de matières non-originaires</w:t>
      </w:r>
      <w:r w:rsidR="003537E4" w:rsidRPr="00B12774">
        <w:rPr>
          <w:rFonts w:ascii="Times New Roman" w:eastAsia="Times New Roman" w:hAnsi="Times New Roman" w:cs="Times New Roman"/>
          <w:sz w:val="24"/>
          <w:szCs w:val="20"/>
          <w:lang w:val="fr-BE"/>
        </w:rPr>
        <w:t>)</w:t>
      </w:r>
    </w:p>
    <w:p w:rsidR="00F34A4D" w:rsidRPr="009A55AD" w:rsidRDefault="00F34A4D" w:rsidP="0084736B">
      <w:pPr>
        <w:widowControl w:val="0"/>
        <w:spacing w:after="0" w:line="240" w:lineRule="auto"/>
        <w:jc w:val="both"/>
        <w:rPr>
          <w:rFonts w:ascii="Times New Roman" w:eastAsia="Times New Roman" w:hAnsi="Times New Roman" w:cs="Times New Roman"/>
          <w:sz w:val="24"/>
          <w:szCs w:val="20"/>
          <w:lang w:val="fr-BE"/>
        </w:rPr>
      </w:pPr>
    </w:p>
    <w:p w:rsidR="00F34A4D" w:rsidRPr="00F34A4D" w:rsidRDefault="00F34A4D" w:rsidP="0084736B">
      <w:pPr>
        <w:widowControl w:val="0"/>
        <w:spacing w:after="0" w:line="240" w:lineRule="auto"/>
        <w:jc w:val="both"/>
        <w:rPr>
          <w:rFonts w:ascii="Times New Roman" w:eastAsia="Times New Roman" w:hAnsi="Times New Roman" w:cs="Times New Roman"/>
          <w:sz w:val="24"/>
          <w:szCs w:val="20"/>
          <w:lang w:val="fr-BE"/>
        </w:rPr>
      </w:pPr>
      <w:r w:rsidRPr="00F34A4D">
        <w:rPr>
          <w:rFonts w:ascii="Times New Roman" w:eastAsia="Times New Roman" w:hAnsi="Times New Roman" w:cs="Times New Roman"/>
          <w:sz w:val="24"/>
          <w:szCs w:val="20"/>
          <w:lang w:val="fr-BE"/>
        </w:rPr>
        <w:t>La règle d’origine pour ce produit est un changement de position tarifaire. Sachant que le phosphate (potentiellement du Sahara occidental) est classé au chapitre 31</w:t>
      </w:r>
      <w:r w:rsidR="00D10149">
        <w:rPr>
          <w:rFonts w:ascii="Times New Roman" w:eastAsia="Times New Roman" w:hAnsi="Times New Roman" w:cs="Times New Roman"/>
          <w:sz w:val="24"/>
          <w:szCs w:val="20"/>
          <w:lang w:val="fr-BE"/>
        </w:rPr>
        <w:t xml:space="preserve"> </w:t>
      </w:r>
      <w:r w:rsidR="00060083">
        <w:rPr>
          <w:rFonts w:ascii="Times New Roman" w:eastAsia="Times New Roman" w:hAnsi="Times New Roman" w:cs="Times New Roman"/>
          <w:sz w:val="24"/>
          <w:szCs w:val="20"/>
          <w:lang w:val="fr-BE"/>
        </w:rPr>
        <w:t>du système harmonisé</w:t>
      </w:r>
      <w:r w:rsidRPr="00F34A4D">
        <w:rPr>
          <w:rFonts w:ascii="Times New Roman" w:eastAsia="Times New Roman" w:hAnsi="Times New Roman" w:cs="Times New Roman"/>
          <w:sz w:val="24"/>
          <w:szCs w:val="20"/>
          <w:lang w:val="fr-BE"/>
        </w:rPr>
        <w:t xml:space="preserve">, la production d’acide phosphorique dont le produit final relève du chapitre 29 </w:t>
      </w:r>
      <w:r w:rsidR="00060083">
        <w:rPr>
          <w:rFonts w:ascii="Times New Roman" w:eastAsia="Times New Roman" w:hAnsi="Times New Roman" w:cs="Times New Roman"/>
          <w:sz w:val="24"/>
          <w:szCs w:val="20"/>
          <w:lang w:val="fr-BE"/>
        </w:rPr>
        <w:t>du système harmonisé</w:t>
      </w:r>
      <w:r w:rsidR="00D10149">
        <w:rPr>
          <w:rFonts w:ascii="Times New Roman" w:eastAsia="Times New Roman" w:hAnsi="Times New Roman" w:cs="Times New Roman"/>
          <w:sz w:val="24"/>
          <w:szCs w:val="20"/>
          <w:lang w:val="fr-BE"/>
        </w:rPr>
        <w:t xml:space="preserve"> </w:t>
      </w:r>
      <w:r w:rsidRPr="00F34A4D">
        <w:rPr>
          <w:rFonts w:ascii="Times New Roman" w:eastAsia="Times New Roman" w:hAnsi="Times New Roman" w:cs="Times New Roman"/>
          <w:sz w:val="24"/>
          <w:szCs w:val="20"/>
          <w:lang w:val="fr-BE"/>
        </w:rPr>
        <w:t xml:space="preserve">résulte en un changement de chapitre et donc de position tarifaire. Par conséquent, la transformation est suffisante et </w:t>
      </w:r>
      <w:r w:rsidRPr="00E16AF1">
        <w:rPr>
          <w:rFonts w:ascii="Times New Roman" w:eastAsia="Times New Roman" w:hAnsi="Times New Roman" w:cs="Times New Roman"/>
          <w:i/>
          <w:sz w:val="24"/>
          <w:szCs w:val="20"/>
          <w:lang w:val="fr-BE"/>
        </w:rPr>
        <w:t>l’origine préférentielle de l’acide phosphorique ne dépend pas de l’origine du phosphate</w:t>
      </w:r>
      <w:r w:rsidR="009A55AD">
        <w:rPr>
          <w:rFonts w:ascii="Times New Roman" w:eastAsia="Times New Roman" w:hAnsi="Times New Roman" w:cs="Times New Roman"/>
          <w:i/>
          <w:sz w:val="24"/>
          <w:szCs w:val="20"/>
          <w:lang w:val="fr-BE"/>
        </w:rPr>
        <w:t xml:space="preserve"> </w:t>
      </w:r>
      <w:r w:rsidR="009A55AD" w:rsidRPr="009A55AD">
        <w:rPr>
          <w:rFonts w:ascii="Times New Roman" w:eastAsia="Times New Roman" w:hAnsi="Times New Roman" w:cs="Times New Roman"/>
          <w:i/>
          <w:sz w:val="24"/>
          <w:szCs w:val="20"/>
          <w:lang w:val="fr-BE"/>
        </w:rPr>
        <w:t>mis en œuvre</w:t>
      </w:r>
      <w:r w:rsidRPr="00F34A4D">
        <w:rPr>
          <w:rFonts w:ascii="Times New Roman" w:eastAsia="Times New Roman" w:hAnsi="Times New Roman" w:cs="Times New Roman"/>
          <w:sz w:val="24"/>
          <w:szCs w:val="20"/>
          <w:lang w:val="fr-BE"/>
        </w:rPr>
        <w:t xml:space="preserve">. </w:t>
      </w:r>
      <w:r w:rsidR="00050548">
        <w:rPr>
          <w:rFonts w:ascii="Times New Roman" w:eastAsia="Times New Roman" w:hAnsi="Times New Roman" w:cs="Times New Roman"/>
          <w:sz w:val="24"/>
          <w:szCs w:val="20"/>
          <w:lang w:val="fr-BE"/>
        </w:rPr>
        <w:t>L’origine, critère déterminant pour définir le taux du droit de douane applicable</w:t>
      </w:r>
      <w:r w:rsidR="00343C0D">
        <w:rPr>
          <w:rFonts w:ascii="Times New Roman" w:eastAsia="Times New Roman" w:hAnsi="Times New Roman" w:cs="Times New Roman"/>
          <w:sz w:val="24"/>
          <w:szCs w:val="20"/>
          <w:lang w:val="fr-BE"/>
        </w:rPr>
        <w:t>,</w:t>
      </w:r>
      <w:r w:rsidR="00050548">
        <w:rPr>
          <w:rFonts w:ascii="Times New Roman" w:eastAsia="Times New Roman" w:hAnsi="Times New Roman" w:cs="Times New Roman"/>
          <w:sz w:val="24"/>
          <w:szCs w:val="20"/>
          <w:lang w:val="fr-BE"/>
        </w:rPr>
        <w:t xml:space="preserve"> dépend du pays où a lieu la transformation du phosphate en acide phosphorique. </w:t>
      </w:r>
      <w:r w:rsidRPr="00F34A4D">
        <w:rPr>
          <w:rFonts w:ascii="Times New Roman" w:eastAsia="Times New Roman" w:hAnsi="Times New Roman" w:cs="Times New Roman"/>
          <w:sz w:val="24"/>
          <w:szCs w:val="20"/>
          <w:lang w:val="fr-BE"/>
        </w:rPr>
        <w:t>En conséquence, quelle que soit l’origine du phosphate</w:t>
      </w:r>
      <w:r w:rsidR="009A55AD">
        <w:rPr>
          <w:rFonts w:ascii="Times New Roman" w:eastAsia="Times New Roman" w:hAnsi="Times New Roman" w:cs="Times New Roman"/>
          <w:sz w:val="24"/>
          <w:szCs w:val="20"/>
          <w:lang w:val="fr-BE"/>
        </w:rPr>
        <w:t xml:space="preserve"> </w:t>
      </w:r>
      <w:r w:rsidR="009A55AD" w:rsidRPr="009A55AD">
        <w:rPr>
          <w:rFonts w:ascii="Times New Roman" w:eastAsia="Times New Roman" w:hAnsi="Times New Roman" w:cs="Times New Roman"/>
          <w:sz w:val="24"/>
          <w:szCs w:val="20"/>
          <w:lang w:val="fr-BE"/>
        </w:rPr>
        <w:t>mis en œuvre</w:t>
      </w:r>
      <w:r w:rsidRPr="00F34A4D">
        <w:rPr>
          <w:rFonts w:ascii="Times New Roman" w:eastAsia="Times New Roman" w:hAnsi="Times New Roman" w:cs="Times New Roman"/>
          <w:sz w:val="24"/>
          <w:szCs w:val="20"/>
          <w:lang w:val="fr-BE"/>
        </w:rPr>
        <w:t xml:space="preserve">, </w:t>
      </w:r>
      <w:r w:rsidRPr="00E16AF1">
        <w:rPr>
          <w:rFonts w:ascii="Times New Roman" w:eastAsia="Times New Roman" w:hAnsi="Times New Roman" w:cs="Times New Roman"/>
          <w:i/>
          <w:sz w:val="24"/>
          <w:szCs w:val="20"/>
          <w:lang w:val="fr-BE"/>
        </w:rPr>
        <w:t xml:space="preserve">l’acide phosphorique produit au Maroc peut bénéficier d’un traitement préférentiel lors de son importation </w:t>
      </w:r>
      <w:r w:rsidR="007C27AF">
        <w:rPr>
          <w:rFonts w:ascii="Times New Roman" w:eastAsia="Times New Roman" w:hAnsi="Times New Roman" w:cs="Times New Roman"/>
          <w:i/>
          <w:sz w:val="24"/>
          <w:szCs w:val="20"/>
          <w:lang w:val="fr-BE"/>
        </w:rPr>
        <w:t>dans l’</w:t>
      </w:r>
      <w:r w:rsidRPr="00E16AF1">
        <w:rPr>
          <w:rFonts w:ascii="Times New Roman" w:eastAsia="Times New Roman" w:hAnsi="Times New Roman" w:cs="Times New Roman"/>
          <w:i/>
          <w:sz w:val="24"/>
          <w:szCs w:val="20"/>
          <w:lang w:val="fr-BE"/>
        </w:rPr>
        <w:t>U</w:t>
      </w:r>
      <w:r w:rsidR="007C27AF">
        <w:rPr>
          <w:rFonts w:ascii="Times New Roman" w:eastAsia="Times New Roman" w:hAnsi="Times New Roman" w:cs="Times New Roman"/>
          <w:i/>
          <w:sz w:val="24"/>
          <w:szCs w:val="20"/>
          <w:lang w:val="fr-BE"/>
        </w:rPr>
        <w:t>nion</w:t>
      </w:r>
      <w:r w:rsidRPr="00F34A4D">
        <w:rPr>
          <w:rFonts w:ascii="Times New Roman" w:eastAsia="Times New Roman" w:hAnsi="Times New Roman" w:cs="Times New Roman"/>
          <w:sz w:val="24"/>
          <w:szCs w:val="20"/>
          <w:lang w:val="fr-BE"/>
        </w:rPr>
        <w:t>.</w:t>
      </w:r>
    </w:p>
    <w:p w:rsidR="00F34A4D" w:rsidRPr="00F34A4D" w:rsidRDefault="00F34A4D" w:rsidP="0084736B">
      <w:pPr>
        <w:widowControl w:val="0"/>
        <w:spacing w:after="0" w:line="240" w:lineRule="auto"/>
        <w:jc w:val="both"/>
        <w:rPr>
          <w:rFonts w:ascii="Times New Roman" w:eastAsia="Times New Roman" w:hAnsi="Times New Roman" w:cs="Times New Roman"/>
          <w:sz w:val="24"/>
          <w:szCs w:val="20"/>
          <w:lang w:val="fr-BE"/>
        </w:rPr>
      </w:pPr>
    </w:p>
    <w:p w:rsidR="00F34A4D" w:rsidRPr="008767AD" w:rsidRDefault="00F34A4D" w:rsidP="0084736B">
      <w:pPr>
        <w:widowControl w:val="0"/>
        <w:spacing w:after="0" w:line="240" w:lineRule="auto"/>
        <w:rPr>
          <w:rFonts w:ascii="Times New Roman" w:eastAsia="MS Mincho" w:hAnsi="Times New Roman" w:cs="Times New Roman"/>
          <w:sz w:val="24"/>
          <w:szCs w:val="24"/>
          <w:u w:val="single"/>
          <w:lang w:val="fr-BE" w:eastAsia="nl-BE"/>
        </w:rPr>
      </w:pPr>
      <w:r w:rsidRPr="008767AD">
        <w:rPr>
          <w:rFonts w:ascii="Times New Roman" w:eastAsia="MS Mincho" w:hAnsi="Times New Roman" w:cs="Times New Roman"/>
          <w:sz w:val="24"/>
          <w:szCs w:val="24"/>
          <w:u w:val="single"/>
          <w:lang w:val="fr-BE" w:eastAsia="nl-BE"/>
        </w:rPr>
        <w:t>Engrais (SH 31.05)</w:t>
      </w:r>
    </w:p>
    <w:p w:rsidR="009A55AD" w:rsidRPr="008767AD" w:rsidRDefault="009A55AD" w:rsidP="0084736B">
      <w:pPr>
        <w:widowControl w:val="0"/>
        <w:spacing w:after="0" w:line="240" w:lineRule="auto"/>
        <w:jc w:val="both"/>
        <w:rPr>
          <w:rFonts w:ascii="Times New Roman" w:eastAsia="Times New Roman" w:hAnsi="Times New Roman" w:cs="Times New Roman"/>
          <w:sz w:val="24"/>
          <w:szCs w:val="20"/>
          <w:lang w:val="fr-BE"/>
        </w:rPr>
      </w:pPr>
      <w:r w:rsidRPr="008767AD">
        <w:rPr>
          <w:rFonts w:ascii="Times New Roman" w:eastAsia="Times New Roman" w:hAnsi="Times New Roman" w:cs="Times New Roman"/>
          <w:sz w:val="24"/>
          <w:szCs w:val="20"/>
          <w:lang w:val="fr-BE"/>
        </w:rPr>
        <w:t>31.05 - Engrais minéraux ou chimiques contenant deux ou trois des éléments fertilisants: azote, phosphore et potassium; autres engrais; produits du présent chapitre présentés soit en tablettes ou formes similaires, soit en emballages d'un poids brut n'excédant pas 10 kg.</w:t>
      </w:r>
    </w:p>
    <w:p w:rsidR="009A55AD" w:rsidRPr="008767AD" w:rsidRDefault="009A55AD" w:rsidP="0084736B">
      <w:pPr>
        <w:widowControl w:val="0"/>
        <w:spacing w:after="0" w:line="240" w:lineRule="auto"/>
        <w:jc w:val="both"/>
        <w:rPr>
          <w:rFonts w:ascii="Times New Roman" w:eastAsia="Times New Roman" w:hAnsi="Times New Roman" w:cs="Times New Roman"/>
          <w:sz w:val="24"/>
          <w:szCs w:val="20"/>
          <w:lang w:val="fr-BE"/>
        </w:rPr>
      </w:pPr>
    </w:p>
    <w:p w:rsidR="009A55AD" w:rsidRPr="008767AD" w:rsidRDefault="007C27AF"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Le d</w:t>
      </w:r>
      <w:r w:rsidR="009A55AD" w:rsidRPr="008767AD">
        <w:rPr>
          <w:rFonts w:ascii="Times New Roman" w:eastAsia="Times New Roman" w:hAnsi="Times New Roman" w:cs="Times New Roman"/>
          <w:sz w:val="24"/>
          <w:szCs w:val="20"/>
          <w:lang w:val="fr-BE"/>
        </w:rPr>
        <w:t xml:space="preserve">roit de douane </w:t>
      </w:r>
      <w:r>
        <w:rPr>
          <w:rFonts w:ascii="Times New Roman" w:eastAsia="Times New Roman" w:hAnsi="Times New Roman" w:cs="Times New Roman"/>
          <w:sz w:val="24"/>
          <w:szCs w:val="20"/>
          <w:lang w:val="fr-BE"/>
        </w:rPr>
        <w:t>normal (clause de la nation la plus favorisée) est de</w:t>
      </w:r>
      <w:r w:rsidR="009A55AD" w:rsidRPr="008767AD">
        <w:rPr>
          <w:rFonts w:ascii="Times New Roman" w:eastAsia="Times New Roman" w:hAnsi="Times New Roman" w:cs="Times New Roman"/>
          <w:sz w:val="24"/>
          <w:szCs w:val="20"/>
          <w:lang w:val="fr-BE"/>
        </w:rPr>
        <w:t xml:space="preserve"> 6,5%</w:t>
      </w:r>
      <w:r>
        <w:rPr>
          <w:rFonts w:ascii="Times New Roman" w:eastAsia="Times New Roman" w:hAnsi="Times New Roman" w:cs="Times New Roman"/>
          <w:sz w:val="24"/>
          <w:szCs w:val="20"/>
          <w:lang w:val="fr-BE"/>
        </w:rPr>
        <w:t>.</w:t>
      </w:r>
    </w:p>
    <w:p w:rsidR="009A55AD" w:rsidRPr="008767AD" w:rsidRDefault="007C27AF"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Le d</w:t>
      </w:r>
      <w:r w:rsidR="009A55AD" w:rsidRPr="008767AD">
        <w:rPr>
          <w:rFonts w:ascii="Times New Roman" w:eastAsia="Times New Roman" w:hAnsi="Times New Roman" w:cs="Times New Roman"/>
          <w:sz w:val="24"/>
          <w:szCs w:val="20"/>
          <w:lang w:val="fr-BE"/>
        </w:rPr>
        <w:t>roit préférentiel dans le cadre de l’accord d’association</w:t>
      </w:r>
      <w:r>
        <w:rPr>
          <w:rFonts w:ascii="Times New Roman" w:eastAsia="Times New Roman" w:hAnsi="Times New Roman" w:cs="Times New Roman"/>
          <w:sz w:val="24"/>
          <w:szCs w:val="20"/>
          <w:lang w:val="fr-BE"/>
        </w:rPr>
        <w:t xml:space="preserve"> est nul.</w:t>
      </w:r>
    </w:p>
    <w:p w:rsidR="009A55AD" w:rsidRDefault="007C27AF" w:rsidP="0084736B">
      <w:pPr>
        <w:widowControl w:val="0"/>
        <w:spacing w:after="0" w:line="240" w:lineRule="auto"/>
        <w:jc w:val="both"/>
        <w:rPr>
          <w:rFonts w:ascii="Times New Roman" w:eastAsia="Times New Roman" w:hAnsi="Times New Roman" w:cs="Times New Roman"/>
          <w:sz w:val="24"/>
          <w:szCs w:val="20"/>
          <w:lang w:val="fr-BE"/>
        </w:rPr>
      </w:pPr>
      <w:r>
        <w:rPr>
          <w:rFonts w:ascii="Times New Roman" w:eastAsia="Times New Roman" w:hAnsi="Times New Roman" w:cs="Times New Roman"/>
          <w:sz w:val="24"/>
          <w:szCs w:val="20"/>
          <w:lang w:val="fr-BE"/>
        </w:rPr>
        <w:t>La r</w:t>
      </w:r>
      <w:r w:rsidR="00050548" w:rsidRPr="008767AD">
        <w:rPr>
          <w:rFonts w:ascii="Times New Roman" w:eastAsia="Times New Roman" w:hAnsi="Times New Roman" w:cs="Times New Roman"/>
          <w:sz w:val="24"/>
          <w:szCs w:val="20"/>
          <w:lang w:val="fr-BE"/>
        </w:rPr>
        <w:t>ègle d’origine</w:t>
      </w:r>
      <w:r>
        <w:rPr>
          <w:rFonts w:ascii="Times New Roman" w:eastAsia="Times New Roman" w:hAnsi="Times New Roman" w:cs="Times New Roman"/>
          <w:sz w:val="24"/>
          <w:szCs w:val="20"/>
          <w:lang w:val="fr-BE"/>
        </w:rPr>
        <w:t xml:space="preserve"> applicable pour bénéficier de la préférence est</w:t>
      </w:r>
      <w:r w:rsidR="00050548" w:rsidRPr="008767AD">
        <w:rPr>
          <w:rFonts w:ascii="Times New Roman" w:eastAsia="Times New Roman" w:hAnsi="Times New Roman" w:cs="Times New Roman"/>
          <w:sz w:val="24"/>
          <w:szCs w:val="20"/>
          <w:lang w:val="fr-BE"/>
        </w:rPr>
        <w:t xml:space="preserve">: changement de classement tarifaire </w:t>
      </w:r>
      <w:r w:rsidR="0081658B" w:rsidRPr="008767AD">
        <w:rPr>
          <w:rFonts w:ascii="Times New Roman" w:eastAsia="Times New Roman" w:hAnsi="Times New Roman" w:cs="Times New Roman"/>
          <w:sz w:val="24"/>
          <w:szCs w:val="20"/>
          <w:lang w:val="fr-BE"/>
        </w:rPr>
        <w:t>avec un</w:t>
      </w:r>
      <w:r w:rsidR="009A55AD" w:rsidRPr="008767AD">
        <w:rPr>
          <w:rFonts w:ascii="Times New Roman" w:eastAsia="Times New Roman" w:hAnsi="Times New Roman" w:cs="Times New Roman"/>
          <w:sz w:val="24"/>
          <w:szCs w:val="20"/>
          <w:lang w:val="fr-BE"/>
        </w:rPr>
        <w:t xml:space="preserve"> maximum </w:t>
      </w:r>
      <w:r w:rsidR="0081658B" w:rsidRPr="008767AD">
        <w:rPr>
          <w:rFonts w:ascii="Times New Roman" w:eastAsia="Times New Roman" w:hAnsi="Times New Roman" w:cs="Times New Roman"/>
          <w:sz w:val="24"/>
          <w:szCs w:val="20"/>
          <w:lang w:val="fr-BE"/>
        </w:rPr>
        <w:t xml:space="preserve">de </w:t>
      </w:r>
      <w:r w:rsidR="009A55AD" w:rsidRPr="008767AD">
        <w:rPr>
          <w:rFonts w:ascii="Times New Roman" w:eastAsia="Times New Roman" w:hAnsi="Times New Roman" w:cs="Times New Roman"/>
          <w:sz w:val="24"/>
          <w:szCs w:val="20"/>
          <w:lang w:val="fr-BE"/>
        </w:rPr>
        <w:t>50% de matières non-originaires</w:t>
      </w:r>
      <w:r w:rsidR="00450362" w:rsidRPr="008767AD">
        <w:rPr>
          <w:rFonts w:ascii="Times New Roman" w:eastAsia="Times New Roman" w:hAnsi="Times New Roman" w:cs="Times New Roman"/>
          <w:sz w:val="24"/>
          <w:szCs w:val="20"/>
          <w:lang w:val="fr-BE"/>
        </w:rPr>
        <w:t>,</w:t>
      </w:r>
      <w:r w:rsidR="009A55AD" w:rsidRPr="008767AD">
        <w:rPr>
          <w:rFonts w:ascii="Times New Roman" w:eastAsia="Times New Roman" w:hAnsi="Times New Roman" w:cs="Times New Roman"/>
          <w:sz w:val="24"/>
          <w:szCs w:val="20"/>
          <w:lang w:val="fr-BE"/>
        </w:rPr>
        <w:t xml:space="preserve"> ou règle de valeur ajoutée (au maximum 40% de matières non-originaires)</w:t>
      </w:r>
      <w:r w:rsidR="008767AD">
        <w:rPr>
          <w:rFonts w:ascii="Times New Roman" w:eastAsia="Times New Roman" w:hAnsi="Times New Roman" w:cs="Times New Roman"/>
          <w:sz w:val="24"/>
          <w:szCs w:val="20"/>
          <w:lang w:val="fr-BE"/>
        </w:rPr>
        <w:t>.</w:t>
      </w:r>
    </w:p>
    <w:p w:rsidR="008767AD" w:rsidRPr="008767AD" w:rsidRDefault="008767AD" w:rsidP="0084736B">
      <w:pPr>
        <w:widowControl w:val="0"/>
        <w:spacing w:after="0" w:line="240" w:lineRule="auto"/>
        <w:rPr>
          <w:rFonts w:ascii="Times New Roman" w:eastAsia="Times New Roman" w:hAnsi="Times New Roman" w:cs="Times New Roman"/>
          <w:sz w:val="24"/>
          <w:szCs w:val="20"/>
          <w:lang w:val="fr-BE"/>
        </w:rPr>
      </w:pPr>
    </w:p>
    <w:p w:rsidR="008767AD" w:rsidRDefault="00D10149" w:rsidP="0084736B">
      <w:pPr>
        <w:widowControl w:val="0"/>
        <w:spacing w:after="0" w:line="240" w:lineRule="auto"/>
        <w:jc w:val="both"/>
        <w:rPr>
          <w:rFonts w:ascii="Times New Roman" w:eastAsia="MS Mincho" w:hAnsi="Times New Roman" w:cs="Times New Roman"/>
          <w:sz w:val="24"/>
          <w:szCs w:val="24"/>
          <w:lang w:val="fr-BE" w:eastAsia="nl-BE"/>
        </w:rPr>
      </w:pPr>
      <w:r>
        <w:rPr>
          <w:rFonts w:ascii="Times New Roman" w:eastAsia="MS Mincho" w:hAnsi="Times New Roman" w:cs="Times New Roman"/>
          <w:sz w:val="24"/>
          <w:szCs w:val="24"/>
          <w:lang w:val="fr-BE" w:eastAsia="nl-BE"/>
        </w:rPr>
        <w:t>Si</w:t>
      </w:r>
      <w:r w:rsidR="00431D22">
        <w:rPr>
          <w:rFonts w:ascii="Times New Roman" w:eastAsia="MS Mincho" w:hAnsi="Times New Roman" w:cs="Times New Roman"/>
          <w:sz w:val="24"/>
          <w:szCs w:val="24"/>
          <w:lang w:val="fr-BE" w:eastAsia="nl-BE"/>
        </w:rPr>
        <w:t xml:space="preserve"> des préférences tarifaires étaient appliquées au</w:t>
      </w:r>
      <w:r>
        <w:rPr>
          <w:rFonts w:ascii="Times New Roman" w:eastAsia="MS Mincho" w:hAnsi="Times New Roman" w:cs="Times New Roman"/>
          <w:sz w:val="24"/>
          <w:szCs w:val="24"/>
          <w:lang w:val="fr-BE" w:eastAsia="nl-BE"/>
        </w:rPr>
        <w:t>x produits du</w:t>
      </w:r>
      <w:r w:rsidR="00431D22">
        <w:rPr>
          <w:rFonts w:ascii="Times New Roman" w:eastAsia="MS Mincho" w:hAnsi="Times New Roman" w:cs="Times New Roman"/>
          <w:sz w:val="24"/>
          <w:szCs w:val="24"/>
          <w:lang w:val="fr-BE" w:eastAsia="nl-BE"/>
        </w:rPr>
        <w:t xml:space="preserve"> Sahara occidental, l</w:t>
      </w:r>
      <w:r>
        <w:rPr>
          <w:rFonts w:ascii="Times New Roman" w:eastAsia="MS Mincho" w:hAnsi="Times New Roman" w:cs="Times New Roman"/>
          <w:sz w:val="24"/>
          <w:szCs w:val="24"/>
          <w:lang w:val="fr-BE" w:eastAsia="nl-BE"/>
        </w:rPr>
        <w:t>’</w:t>
      </w:r>
      <w:r w:rsidR="00431D22">
        <w:rPr>
          <w:rFonts w:ascii="Times New Roman" w:eastAsia="MS Mincho" w:hAnsi="Times New Roman" w:cs="Times New Roman"/>
          <w:sz w:val="24"/>
          <w:szCs w:val="24"/>
          <w:lang w:val="fr-BE" w:eastAsia="nl-BE"/>
        </w:rPr>
        <w:t xml:space="preserve">acide phosphorique qui </w:t>
      </w:r>
      <w:r>
        <w:rPr>
          <w:rFonts w:ascii="Times New Roman" w:eastAsia="MS Mincho" w:hAnsi="Times New Roman" w:cs="Times New Roman"/>
          <w:sz w:val="24"/>
          <w:szCs w:val="24"/>
          <w:lang w:val="fr-BE" w:eastAsia="nl-BE"/>
        </w:rPr>
        <w:t>serait produit</w:t>
      </w:r>
      <w:r w:rsidR="00431D22">
        <w:rPr>
          <w:rFonts w:ascii="Times New Roman" w:eastAsia="MS Mincho" w:hAnsi="Times New Roman" w:cs="Times New Roman"/>
          <w:sz w:val="24"/>
          <w:szCs w:val="24"/>
          <w:lang w:val="fr-BE" w:eastAsia="nl-BE"/>
        </w:rPr>
        <w:t xml:space="preserve"> à Laâyoune bénéficierait de préférences</w:t>
      </w:r>
      <w:r>
        <w:rPr>
          <w:rFonts w:ascii="Times New Roman" w:eastAsia="MS Mincho" w:hAnsi="Times New Roman" w:cs="Times New Roman"/>
          <w:sz w:val="24"/>
          <w:szCs w:val="24"/>
          <w:lang w:val="fr-BE" w:eastAsia="nl-BE"/>
        </w:rPr>
        <w:t> ;</w:t>
      </w:r>
      <w:r w:rsidR="00431D22">
        <w:rPr>
          <w:rFonts w:ascii="Times New Roman" w:eastAsia="MS Mincho" w:hAnsi="Times New Roman" w:cs="Times New Roman"/>
          <w:sz w:val="24"/>
          <w:szCs w:val="24"/>
          <w:lang w:val="fr-BE" w:eastAsia="nl-BE"/>
        </w:rPr>
        <w:t xml:space="preserve"> ce serait aussi le cas pour ce qui concerne les engrais et ceci à double titre car pour avoir une origine préférentielle il faudrait qu'au minimum 50 % des matières premières soient originaires ce dont bénéficierait Phosboucr</w:t>
      </w:r>
      <w:r w:rsidR="000A246D">
        <w:rPr>
          <w:rFonts w:ascii="Times New Roman" w:eastAsia="MS Mincho" w:hAnsi="Times New Roman" w:cs="Times New Roman"/>
          <w:sz w:val="24"/>
          <w:szCs w:val="24"/>
          <w:lang w:val="fr-BE" w:eastAsia="nl-BE"/>
        </w:rPr>
        <w:t>a</w:t>
      </w:r>
      <w:r w:rsidR="00431D22">
        <w:rPr>
          <w:rFonts w:ascii="Times New Roman" w:eastAsia="MS Mincho" w:hAnsi="Times New Roman" w:cs="Times New Roman"/>
          <w:sz w:val="24"/>
          <w:szCs w:val="24"/>
          <w:lang w:val="fr-BE" w:eastAsia="nl-BE"/>
        </w:rPr>
        <w:t xml:space="preserve">a. </w:t>
      </w:r>
      <w:r w:rsidR="0081658B" w:rsidRPr="008767AD">
        <w:rPr>
          <w:rFonts w:ascii="Times New Roman" w:eastAsia="MS Mincho" w:hAnsi="Times New Roman" w:cs="Times New Roman"/>
          <w:sz w:val="24"/>
          <w:szCs w:val="24"/>
          <w:lang w:val="fr-BE" w:eastAsia="nl-BE"/>
        </w:rPr>
        <w:t>Les projets du groupe OCP visant au développement d’un complexe industriel pour la production d’engrais à Laâyoune (acide phosphorique et engrais)</w:t>
      </w:r>
      <w:r w:rsidR="00431D22">
        <w:rPr>
          <w:rFonts w:ascii="Times New Roman" w:eastAsia="MS Mincho" w:hAnsi="Times New Roman" w:cs="Times New Roman"/>
          <w:sz w:val="24"/>
          <w:szCs w:val="24"/>
          <w:lang w:val="fr-BE" w:eastAsia="nl-BE"/>
        </w:rPr>
        <w:t>,</w:t>
      </w:r>
      <w:r w:rsidR="0081658B" w:rsidRPr="008767AD">
        <w:rPr>
          <w:rFonts w:ascii="Times New Roman" w:eastAsia="MS Mincho" w:hAnsi="Times New Roman" w:cs="Times New Roman"/>
          <w:sz w:val="24"/>
          <w:szCs w:val="24"/>
          <w:lang w:val="fr-BE" w:eastAsia="nl-BE"/>
        </w:rPr>
        <w:t xml:space="preserve"> mais aussi la construction d’un nouveau quai au port de Laâyoune</w:t>
      </w:r>
      <w:r w:rsidR="00431D22">
        <w:rPr>
          <w:rFonts w:ascii="Times New Roman" w:eastAsia="MS Mincho" w:hAnsi="Times New Roman" w:cs="Times New Roman"/>
          <w:sz w:val="24"/>
          <w:szCs w:val="24"/>
          <w:lang w:val="fr-BE" w:eastAsia="nl-BE"/>
        </w:rPr>
        <w:t>,</w:t>
      </w:r>
      <w:r w:rsidR="0081658B" w:rsidRPr="008767AD">
        <w:rPr>
          <w:rFonts w:ascii="Times New Roman" w:eastAsia="MS Mincho" w:hAnsi="Times New Roman" w:cs="Times New Roman"/>
          <w:sz w:val="24"/>
          <w:szCs w:val="24"/>
          <w:lang w:val="fr-BE" w:eastAsia="nl-BE"/>
        </w:rPr>
        <w:t xml:space="preserve"> pourraient </w:t>
      </w:r>
      <w:r w:rsidR="00431D22">
        <w:rPr>
          <w:rFonts w:ascii="Times New Roman" w:eastAsia="MS Mincho" w:hAnsi="Times New Roman" w:cs="Times New Roman"/>
          <w:sz w:val="24"/>
          <w:szCs w:val="24"/>
          <w:lang w:val="fr-BE" w:eastAsia="nl-BE"/>
        </w:rPr>
        <w:t xml:space="preserve">donc </w:t>
      </w:r>
      <w:r w:rsidR="0081658B" w:rsidRPr="008767AD">
        <w:rPr>
          <w:rFonts w:ascii="Times New Roman" w:eastAsia="MS Mincho" w:hAnsi="Times New Roman" w:cs="Times New Roman"/>
          <w:sz w:val="24"/>
          <w:szCs w:val="24"/>
          <w:lang w:val="fr-BE" w:eastAsia="nl-BE"/>
        </w:rPr>
        <w:t>être affectés par l’absence de traitement tarifaire préférentiel pour les produits en question.</w:t>
      </w:r>
    </w:p>
    <w:p w:rsidR="00E274CE" w:rsidRDefault="00E274CE" w:rsidP="0084736B">
      <w:pPr>
        <w:widowControl w:val="0"/>
        <w:spacing w:after="0" w:line="240" w:lineRule="auto"/>
        <w:jc w:val="both"/>
        <w:rPr>
          <w:rFonts w:ascii="Times New Roman" w:eastAsia="MS Mincho" w:hAnsi="Times New Roman" w:cs="Times New Roman"/>
          <w:b/>
          <w:sz w:val="24"/>
          <w:szCs w:val="24"/>
          <w:u w:val="single"/>
          <w:lang w:val="fr-BE" w:eastAsia="nl-BE"/>
        </w:rPr>
      </w:pPr>
    </w:p>
    <w:p w:rsidR="007C27AF" w:rsidRPr="00E52BB8" w:rsidRDefault="007C27AF" w:rsidP="0084736B">
      <w:pPr>
        <w:widowControl w:val="0"/>
        <w:spacing w:after="0" w:line="240" w:lineRule="auto"/>
        <w:jc w:val="both"/>
        <w:rPr>
          <w:rFonts w:ascii="Times New Roman" w:eastAsia="Times New Roman" w:hAnsi="Times New Roman" w:cs="Times New Roman"/>
          <w:sz w:val="24"/>
          <w:szCs w:val="20"/>
          <w:lang w:val="fr-BE"/>
        </w:rPr>
      </w:pPr>
      <w:r w:rsidRPr="00F34A4D">
        <w:rPr>
          <w:rFonts w:ascii="Times New Roman" w:eastAsia="MS Mincho" w:hAnsi="Times New Roman" w:cs="Times New Roman"/>
          <w:sz w:val="24"/>
          <w:szCs w:val="24"/>
          <w:lang w:val="fr-BE" w:eastAsia="nl-BE"/>
        </w:rPr>
        <w:t>En effet, des annonces ont été faites concernant de futurs investissements pour la production d’une gamme élargie d’engrais partie intégrante d’un plan de développement. Ce plan est basé sur la création d’un complexe chimique intégré à Phosboucr</w:t>
      </w:r>
      <w:r w:rsidR="000A246D">
        <w:rPr>
          <w:rFonts w:ascii="Times New Roman" w:eastAsia="MS Mincho" w:hAnsi="Times New Roman" w:cs="Times New Roman"/>
          <w:sz w:val="24"/>
          <w:szCs w:val="24"/>
          <w:lang w:val="fr-BE" w:eastAsia="nl-BE"/>
        </w:rPr>
        <w:t>a</w:t>
      </w:r>
      <w:r w:rsidRPr="00F34A4D">
        <w:rPr>
          <w:rFonts w:ascii="Times New Roman" w:eastAsia="MS Mincho" w:hAnsi="Times New Roman" w:cs="Times New Roman"/>
          <w:sz w:val="24"/>
          <w:szCs w:val="24"/>
          <w:lang w:val="fr-BE" w:eastAsia="nl-BE"/>
        </w:rPr>
        <w:t>a permettant également de gagner une flexibilité accrue face aux changements des cours du marché de la roche de phosphate brute</w:t>
      </w:r>
      <w:r>
        <w:rPr>
          <w:rFonts w:ascii="Times New Roman" w:eastAsia="MS Mincho" w:hAnsi="Times New Roman" w:cs="Times New Roman"/>
          <w:sz w:val="24"/>
          <w:szCs w:val="24"/>
          <w:lang w:val="fr-BE" w:eastAsia="nl-BE"/>
        </w:rPr>
        <w:t xml:space="preserve"> (le montant de</w:t>
      </w:r>
      <w:r w:rsidRPr="00F34A4D">
        <w:rPr>
          <w:rFonts w:ascii="Times New Roman" w:eastAsia="MS Mincho" w:hAnsi="Times New Roman" w:cs="Times New Roman"/>
          <w:sz w:val="24"/>
          <w:szCs w:val="24"/>
          <w:lang w:val="fr-BE" w:eastAsia="nl-BE"/>
        </w:rPr>
        <w:t xml:space="preserve"> </w:t>
      </w:r>
      <w:r>
        <w:rPr>
          <w:rFonts w:ascii="Times New Roman" w:eastAsia="MS Mincho" w:hAnsi="Times New Roman" w:cs="Times New Roman"/>
          <w:sz w:val="24"/>
          <w:szCs w:val="24"/>
          <w:lang w:val="fr-BE" w:eastAsia="nl-BE"/>
        </w:rPr>
        <w:t>c</w:t>
      </w:r>
      <w:r w:rsidRPr="00F34A4D">
        <w:rPr>
          <w:rFonts w:ascii="Times New Roman" w:eastAsia="MS Mincho" w:hAnsi="Times New Roman" w:cs="Times New Roman"/>
          <w:sz w:val="24"/>
          <w:szCs w:val="24"/>
          <w:lang w:val="fr-BE" w:eastAsia="nl-BE"/>
        </w:rPr>
        <w:t>et investissement est évalué à 1,2 milliard USD</w:t>
      </w:r>
      <w:r>
        <w:rPr>
          <w:rFonts w:ascii="Times New Roman" w:eastAsia="MS Mincho" w:hAnsi="Times New Roman" w:cs="Times New Roman"/>
          <w:sz w:val="24"/>
          <w:szCs w:val="24"/>
          <w:lang w:val="fr-BE" w:eastAsia="nl-BE"/>
        </w:rPr>
        <w:t>)</w:t>
      </w:r>
      <w:r w:rsidRPr="00F34A4D">
        <w:rPr>
          <w:rFonts w:ascii="Times New Roman" w:eastAsia="MS Mincho" w:hAnsi="Times New Roman" w:cs="Times New Roman"/>
          <w:sz w:val="24"/>
          <w:szCs w:val="24"/>
          <w:lang w:val="fr-BE" w:eastAsia="nl-BE"/>
        </w:rPr>
        <w:t>.</w:t>
      </w:r>
    </w:p>
    <w:p w:rsidR="007C27AF" w:rsidRDefault="007C27AF" w:rsidP="0084736B">
      <w:pPr>
        <w:widowControl w:val="0"/>
        <w:spacing w:after="0" w:line="240" w:lineRule="auto"/>
        <w:jc w:val="both"/>
        <w:rPr>
          <w:rFonts w:ascii="Times New Roman" w:eastAsia="MS Mincho" w:hAnsi="Times New Roman" w:cs="Times New Roman"/>
          <w:sz w:val="24"/>
          <w:szCs w:val="24"/>
          <w:lang w:val="fr-BE" w:eastAsia="nl-BE"/>
        </w:rPr>
      </w:pPr>
    </w:p>
    <w:p w:rsidR="006776FD" w:rsidRPr="006776FD" w:rsidRDefault="007C27AF" w:rsidP="0084736B">
      <w:pPr>
        <w:widowControl w:val="0"/>
        <w:spacing w:after="0" w:line="240" w:lineRule="auto"/>
        <w:jc w:val="both"/>
        <w:rPr>
          <w:rFonts w:ascii="Times New Roman" w:eastAsia="MS Mincho" w:hAnsi="Times New Roman" w:cs="Times New Roman"/>
          <w:sz w:val="24"/>
          <w:szCs w:val="24"/>
          <w:lang w:val="fr-BE" w:eastAsia="nl-BE"/>
        </w:rPr>
      </w:pPr>
      <w:r w:rsidRPr="00F34A4D">
        <w:rPr>
          <w:rFonts w:ascii="Times New Roman" w:eastAsia="MS Mincho" w:hAnsi="Times New Roman" w:cs="Times New Roman"/>
          <w:sz w:val="24"/>
          <w:szCs w:val="24"/>
          <w:lang w:val="fr-BE" w:eastAsia="nl-BE"/>
        </w:rPr>
        <w:t>Les détails de ce plan d’investissement sont présentés par O</w:t>
      </w:r>
      <w:r>
        <w:rPr>
          <w:rFonts w:ascii="Times New Roman" w:eastAsia="MS Mincho" w:hAnsi="Times New Roman" w:cs="Times New Roman"/>
          <w:sz w:val="24"/>
          <w:szCs w:val="24"/>
          <w:lang w:val="fr-BE" w:eastAsia="nl-BE"/>
        </w:rPr>
        <w:t>CP</w:t>
      </w:r>
      <w:r w:rsidRPr="00F34A4D">
        <w:rPr>
          <w:rFonts w:ascii="Times New Roman" w:eastAsia="MS Mincho" w:hAnsi="Times New Roman" w:cs="Times New Roman"/>
          <w:sz w:val="24"/>
          <w:szCs w:val="24"/>
          <w:lang w:val="fr-BE" w:eastAsia="nl-BE"/>
        </w:rPr>
        <w:t xml:space="preserve"> pour un total </w:t>
      </w:r>
      <w:r>
        <w:rPr>
          <w:rFonts w:ascii="Times New Roman" w:eastAsia="MS Mincho" w:hAnsi="Times New Roman" w:cs="Times New Roman"/>
          <w:sz w:val="24"/>
          <w:szCs w:val="24"/>
          <w:lang w:val="fr-BE" w:eastAsia="nl-BE"/>
        </w:rPr>
        <w:t xml:space="preserve">(comprenant aussi d'autres investissements à plus longue échéance) </w:t>
      </w:r>
      <w:r w:rsidRPr="00F34A4D">
        <w:rPr>
          <w:rFonts w:ascii="Times New Roman" w:eastAsia="MS Mincho" w:hAnsi="Times New Roman" w:cs="Times New Roman"/>
          <w:sz w:val="24"/>
          <w:szCs w:val="24"/>
          <w:lang w:val="fr-BE" w:eastAsia="nl-BE"/>
        </w:rPr>
        <w:t>d</w:t>
      </w:r>
      <w:r>
        <w:rPr>
          <w:rFonts w:ascii="Times New Roman" w:eastAsia="MS Mincho" w:hAnsi="Times New Roman" w:cs="Times New Roman"/>
          <w:sz w:val="24"/>
          <w:szCs w:val="24"/>
          <w:lang w:val="fr-BE" w:eastAsia="nl-BE"/>
        </w:rPr>
        <w:t>e plus de</w:t>
      </w:r>
      <w:r w:rsidRPr="00F34A4D">
        <w:rPr>
          <w:rFonts w:ascii="Times New Roman" w:eastAsia="MS Mincho" w:hAnsi="Times New Roman" w:cs="Times New Roman"/>
          <w:sz w:val="24"/>
          <w:szCs w:val="24"/>
          <w:lang w:val="fr-BE" w:eastAsia="nl-BE"/>
        </w:rPr>
        <w:t xml:space="preserve"> 2 milliards USD</w:t>
      </w:r>
      <w:r w:rsidR="003C1C65" w:rsidRPr="00F34A4D">
        <w:rPr>
          <w:rFonts w:ascii="Times New Roman" w:eastAsia="MS Mincho" w:hAnsi="Times New Roman" w:cs="Times New Roman"/>
          <w:sz w:val="24"/>
          <w:szCs w:val="24"/>
          <w:vertAlign w:val="superscript"/>
          <w:lang w:val="fr-BE" w:eastAsia="nl-BE"/>
        </w:rPr>
        <w:footnoteReference w:id="55"/>
      </w:r>
      <w:r w:rsidR="00060083">
        <w:rPr>
          <w:rFonts w:ascii="Times New Roman" w:eastAsia="MS Mincho" w:hAnsi="Times New Roman" w:cs="Times New Roman"/>
          <w:sz w:val="24"/>
          <w:szCs w:val="24"/>
          <w:lang w:val="fr-BE" w:eastAsia="nl-BE"/>
        </w:rPr>
        <w:t>.</w:t>
      </w:r>
      <w:r w:rsidR="0018489E">
        <w:rPr>
          <w:rFonts w:ascii="Times New Roman" w:eastAsia="MS Mincho" w:hAnsi="Times New Roman" w:cs="Times New Roman"/>
          <w:sz w:val="24"/>
          <w:szCs w:val="24"/>
          <w:lang w:val="fr-BE" w:eastAsia="nl-BE"/>
        </w:rPr>
        <w:t xml:space="preserve"> </w:t>
      </w:r>
      <w:r w:rsidR="006776FD" w:rsidRPr="006776FD">
        <w:rPr>
          <w:rFonts w:ascii="Times New Roman" w:eastAsia="MS Mincho" w:hAnsi="Times New Roman" w:cs="Times New Roman"/>
          <w:sz w:val="24"/>
          <w:szCs w:val="24"/>
          <w:lang w:val="fr-BE" w:eastAsia="nl-BE"/>
        </w:rPr>
        <w:t>Ces projets seraient remis en cause si les préférences ne pouvaient être accordées aux produits du Sahara occidental, avec les conséquences que cela entraînerait pour l’emploi local.</w:t>
      </w:r>
    </w:p>
    <w:p w:rsidR="006776FD" w:rsidRPr="00431D22" w:rsidRDefault="006776FD" w:rsidP="0084736B">
      <w:pPr>
        <w:widowControl w:val="0"/>
        <w:spacing w:after="0" w:line="240" w:lineRule="auto"/>
        <w:jc w:val="both"/>
        <w:rPr>
          <w:rFonts w:ascii="Times New Roman" w:eastAsia="MS Mincho" w:hAnsi="Times New Roman" w:cs="Times New Roman"/>
          <w:b/>
          <w:sz w:val="24"/>
          <w:szCs w:val="24"/>
          <w:u w:val="single"/>
          <w:lang w:val="fr-BE" w:eastAsia="nl-BE"/>
        </w:rPr>
      </w:pPr>
    </w:p>
    <w:p w:rsidR="00F34A4D" w:rsidRPr="00EB03AA" w:rsidRDefault="00F34A4D" w:rsidP="00FC36AF">
      <w:pPr>
        <w:pStyle w:val="Heading4"/>
        <w:rPr>
          <w:rFonts w:eastAsia="MS Mincho"/>
          <w:lang w:val="fr-BE" w:eastAsia="nl-BE"/>
        </w:rPr>
      </w:pPr>
      <w:r w:rsidRPr="00EB03AA">
        <w:rPr>
          <w:rFonts w:eastAsia="MS Mincho"/>
          <w:lang w:val="fr-BE" w:eastAsia="nl-BE"/>
        </w:rPr>
        <w:t>Conclusion</w:t>
      </w:r>
    </w:p>
    <w:p w:rsidR="009F2925" w:rsidRDefault="009F2925" w:rsidP="0084736B">
      <w:pPr>
        <w:widowControl w:val="0"/>
        <w:spacing w:after="0" w:line="240" w:lineRule="auto"/>
        <w:jc w:val="both"/>
        <w:rPr>
          <w:rFonts w:ascii="Times New Roman" w:eastAsia="MS Mincho" w:hAnsi="Times New Roman" w:cs="Times New Roman"/>
          <w:sz w:val="24"/>
          <w:szCs w:val="24"/>
          <w:lang w:val="fr-BE" w:eastAsia="nl-BE"/>
        </w:rPr>
      </w:pPr>
    </w:p>
    <w:p w:rsidR="00502405" w:rsidRPr="00502405" w:rsidRDefault="00502405" w:rsidP="00502405">
      <w:pPr>
        <w:widowControl w:val="0"/>
        <w:spacing w:after="0" w:line="240" w:lineRule="auto"/>
        <w:jc w:val="both"/>
        <w:rPr>
          <w:rFonts w:ascii="Times New Roman" w:eastAsia="MS Mincho" w:hAnsi="Times New Roman" w:cs="Times New Roman"/>
          <w:sz w:val="24"/>
          <w:szCs w:val="24"/>
          <w:lang w:val="fr-BE" w:eastAsia="nl-BE"/>
        </w:rPr>
      </w:pPr>
      <w:r w:rsidRPr="00502405">
        <w:rPr>
          <w:rFonts w:ascii="Times New Roman" w:eastAsia="MS Mincho" w:hAnsi="Times New Roman" w:cs="Times New Roman"/>
          <w:sz w:val="24"/>
          <w:szCs w:val="24"/>
          <w:lang w:val="fr-BE" w:eastAsia="nl-BE"/>
        </w:rPr>
        <w:t xml:space="preserve">Au vu de son état actuel, </w:t>
      </w:r>
      <w:r w:rsidRPr="00502405">
        <w:rPr>
          <w:rFonts w:ascii="Times New Roman" w:eastAsia="MS Mincho" w:hAnsi="Times New Roman" w:cs="Times New Roman"/>
          <w:b/>
          <w:i/>
          <w:sz w:val="24"/>
          <w:szCs w:val="24"/>
          <w:lang w:val="fr-BE" w:eastAsia="nl-BE"/>
        </w:rPr>
        <w:t>l’industrie du phosphate du Sahara occidental</w:t>
      </w:r>
      <w:r w:rsidRPr="00502405">
        <w:rPr>
          <w:rFonts w:ascii="Times New Roman" w:eastAsia="MS Mincho" w:hAnsi="Times New Roman" w:cs="Times New Roman"/>
          <w:sz w:val="24"/>
          <w:szCs w:val="24"/>
          <w:lang w:val="fr-BE" w:eastAsia="nl-BE"/>
        </w:rPr>
        <w:t xml:space="preserve"> – et donc l'activité économique dans ce secteur mais aussi l'emploi et d'autres aspects socio-économiques - </w:t>
      </w:r>
      <w:r w:rsidRPr="00502405">
        <w:rPr>
          <w:rFonts w:ascii="Times New Roman" w:eastAsia="MS Mincho" w:hAnsi="Times New Roman" w:cs="Times New Roman"/>
          <w:b/>
          <w:i/>
          <w:sz w:val="24"/>
          <w:szCs w:val="24"/>
          <w:lang w:val="fr-BE" w:eastAsia="nl-BE"/>
        </w:rPr>
        <w:t>n’est pas immédiatement et directement impactée par l’exclusion du Sahara occidental de l’accord d’association</w:t>
      </w:r>
      <w:r w:rsidRPr="00502405">
        <w:rPr>
          <w:rFonts w:ascii="Times New Roman" w:eastAsia="MS Mincho" w:hAnsi="Times New Roman" w:cs="Times New Roman"/>
          <w:sz w:val="24"/>
          <w:szCs w:val="24"/>
          <w:lang w:val="fr-BE" w:eastAsia="nl-BE"/>
        </w:rPr>
        <w:t>. On peut identifier trois raisons principales à cela: 1. certains produits (phosphates bruts) sont assujettis à droit zéro (</w:t>
      </w:r>
      <w:r w:rsidR="008E4965">
        <w:rPr>
          <w:rFonts w:ascii="Times New Roman" w:eastAsia="MS Mincho" w:hAnsi="Times New Roman" w:cs="Times New Roman"/>
          <w:sz w:val="24"/>
          <w:szCs w:val="24"/>
          <w:lang w:val="fr-BE" w:eastAsia="nl-BE"/>
        </w:rPr>
        <w:t>clause de la n</w:t>
      </w:r>
      <w:r w:rsidRPr="00502405">
        <w:rPr>
          <w:rFonts w:ascii="Times New Roman" w:eastAsia="MS Mincho" w:hAnsi="Times New Roman" w:cs="Times New Roman"/>
          <w:sz w:val="24"/>
          <w:szCs w:val="24"/>
          <w:lang w:val="fr-BE" w:eastAsia="nl-BE"/>
        </w:rPr>
        <w:t xml:space="preserve">ation la </w:t>
      </w:r>
      <w:r w:rsidR="008E4965">
        <w:rPr>
          <w:rFonts w:ascii="Times New Roman" w:eastAsia="MS Mincho" w:hAnsi="Times New Roman" w:cs="Times New Roman"/>
          <w:sz w:val="24"/>
          <w:szCs w:val="24"/>
          <w:lang w:val="fr-BE" w:eastAsia="nl-BE"/>
        </w:rPr>
        <w:t>p</w:t>
      </w:r>
      <w:r w:rsidRPr="00502405">
        <w:rPr>
          <w:rFonts w:ascii="Times New Roman" w:eastAsia="MS Mincho" w:hAnsi="Times New Roman" w:cs="Times New Roman"/>
          <w:sz w:val="24"/>
          <w:szCs w:val="24"/>
          <w:lang w:val="fr-BE" w:eastAsia="nl-BE"/>
        </w:rPr>
        <w:t xml:space="preserve">lus </w:t>
      </w:r>
      <w:r w:rsidR="008E4965">
        <w:rPr>
          <w:rFonts w:ascii="Times New Roman" w:eastAsia="MS Mincho" w:hAnsi="Times New Roman" w:cs="Times New Roman"/>
          <w:sz w:val="24"/>
          <w:szCs w:val="24"/>
          <w:lang w:val="fr-BE" w:eastAsia="nl-BE"/>
        </w:rPr>
        <w:t>f</w:t>
      </w:r>
      <w:r w:rsidRPr="00502405">
        <w:rPr>
          <w:rFonts w:ascii="Times New Roman" w:eastAsia="MS Mincho" w:hAnsi="Times New Roman" w:cs="Times New Roman"/>
          <w:sz w:val="24"/>
          <w:szCs w:val="24"/>
          <w:lang w:val="fr-BE" w:eastAsia="nl-BE"/>
        </w:rPr>
        <w:t xml:space="preserve">avorisée, 2 - il n'y a pas de production de phosphates pour lesquels un marché existe au sein de l'Union, 3 - la transformation au Maroc (ou au sein de tout autre pays avec lequel l’Union européenne a conclu un accord préférentiel) de certains phosphates produits au Sahara occidental serait suffisante pour conférer à ces produits une origine préférentielle Maroc, donc </w:t>
      </w:r>
      <w:r w:rsidR="000C65F5">
        <w:rPr>
          <w:rFonts w:ascii="Times New Roman" w:eastAsia="MS Mincho" w:hAnsi="Times New Roman" w:cs="Times New Roman"/>
          <w:sz w:val="24"/>
          <w:szCs w:val="24"/>
          <w:lang w:val="fr-BE" w:eastAsia="nl-BE"/>
        </w:rPr>
        <w:t xml:space="preserve">le bénéfice </w:t>
      </w:r>
      <w:r w:rsidRPr="00502405">
        <w:rPr>
          <w:rFonts w:ascii="Times New Roman" w:eastAsia="MS Mincho" w:hAnsi="Times New Roman" w:cs="Times New Roman"/>
          <w:sz w:val="24"/>
          <w:szCs w:val="24"/>
          <w:lang w:val="fr-BE" w:eastAsia="nl-BE"/>
        </w:rPr>
        <w:t>des préférences pour ces produits transformés ne dépend pas de l'origine des minerais.</w:t>
      </w:r>
    </w:p>
    <w:p w:rsidR="009F2925" w:rsidRDefault="009F2925" w:rsidP="0084736B">
      <w:pPr>
        <w:widowControl w:val="0"/>
        <w:spacing w:after="0" w:line="240" w:lineRule="auto"/>
        <w:jc w:val="both"/>
        <w:rPr>
          <w:rFonts w:ascii="Times New Roman" w:eastAsia="MS Mincho" w:hAnsi="Times New Roman" w:cs="Times New Roman"/>
          <w:sz w:val="24"/>
          <w:szCs w:val="24"/>
          <w:lang w:val="fr-BE" w:eastAsia="nl-BE"/>
        </w:rPr>
      </w:pPr>
    </w:p>
    <w:p w:rsidR="009F2925" w:rsidRDefault="00295203" w:rsidP="0084736B">
      <w:pPr>
        <w:widowControl w:val="0"/>
        <w:spacing w:after="0" w:line="240" w:lineRule="auto"/>
        <w:jc w:val="both"/>
        <w:rPr>
          <w:rFonts w:ascii="Times New Roman" w:eastAsia="Calibri" w:hAnsi="Times New Roman" w:cs="Times New Roman"/>
          <w:sz w:val="24"/>
          <w:lang w:val="fr-BE" w:eastAsia="fr-FR"/>
        </w:rPr>
      </w:pPr>
      <w:r>
        <w:rPr>
          <w:rFonts w:ascii="Times New Roman" w:eastAsia="MS Mincho" w:hAnsi="Times New Roman" w:cs="Times New Roman"/>
          <w:sz w:val="24"/>
          <w:szCs w:val="24"/>
          <w:lang w:val="fr-BE" w:eastAsia="nl-BE"/>
        </w:rPr>
        <w:t>Dans le même temps</w:t>
      </w:r>
      <w:r w:rsidR="00F34A4D" w:rsidRPr="00F34A4D">
        <w:rPr>
          <w:rFonts w:ascii="Times New Roman" w:eastAsia="MS Mincho" w:hAnsi="Times New Roman" w:cs="Times New Roman"/>
          <w:sz w:val="24"/>
          <w:szCs w:val="24"/>
          <w:lang w:val="fr-BE" w:eastAsia="nl-BE"/>
        </w:rPr>
        <w:t xml:space="preserve">, </w:t>
      </w:r>
      <w:r>
        <w:rPr>
          <w:rFonts w:ascii="Times New Roman" w:eastAsia="MS Mincho" w:hAnsi="Times New Roman" w:cs="Times New Roman"/>
          <w:sz w:val="24"/>
          <w:szCs w:val="24"/>
          <w:lang w:val="fr-BE" w:eastAsia="nl-BE"/>
        </w:rPr>
        <w:t xml:space="preserve">il apparaît que </w:t>
      </w:r>
      <w:r w:rsidR="00591CFC" w:rsidRPr="00DB3D18">
        <w:rPr>
          <w:rFonts w:ascii="Times New Roman" w:eastAsia="MS Mincho" w:hAnsi="Times New Roman" w:cs="Times New Roman"/>
          <w:b/>
          <w:i/>
          <w:sz w:val="24"/>
          <w:szCs w:val="24"/>
          <w:lang w:val="fr-BE" w:eastAsia="nl-BE"/>
        </w:rPr>
        <w:t>l'octroi de préférences au</w:t>
      </w:r>
      <w:r w:rsidR="009A55AD" w:rsidRPr="00DB3D18">
        <w:rPr>
          <w:rFonts w:ascii="Times New Roman" w:eastAsia="MS Mincho" w:hAnsi="Times New Roman" w:cs="Times New Roman"/>
          <w:b/>
          <w:i/>
          <w:sz w:val="24"/>
          <w:szCs w:val="24"/>
          <w:lang w:val="fr-BE" w:eastAsia="nl-BE"/>
        </w:rPr>
        <w:t>x produits originaires du</w:t>
      </w:r>
      <w:r w:rsidR="00591CFC" w:rsidRPr="00DB3D18">
        <w:rPr>
          <w:rFonts w:ascii="Times New Roman" w:eastAsia="MS Mincho" w:hAnsi="Times New Roman" w:cs="Times New Roman"/>
          <w:b/>
          <w:i/>
          <w:sz w:val="24"/>
          <w:szCs w:val="24"/>
          <w:lang w:val="fr-BE" w:eastAsia="nl-BE"/>
        </w:rPr>
        <w:t xml:space="preserve"> Sahara occidental aurait un impact sur le développement futur </w:t>
      </w:r>
      <w:r w:rsidRPr="00DB3D18">
        <w:rPr>
          <w:rFonts w:ascii="Times New Roman" w:eastAsia="MS Mincho" w:hAnsi="Times New Roman" w:cs="Times New Roman"/>
          <w:b/>
          <w:i/>
          <w:sz w:val="24"/>
          <w:szCs w:val="24"/>
          <w:lang w:val="fr-BE" w:eastAsia="nl-BE"/>
        </w:rPr>
        <w:t xml:space="preserve">de la </w:t>
      </w:r>
      <w:r w:rsidR="00591CFC" w:rsidRPr="00DB3D18">
        <w:rPr>
          <w:rFonts w:ascii="Times New Roman" w:eastAsia="MS Mincho" w:hAnsi="Times New Roman" w:cs="Times New Roman"/>
          <w:b/>
          <w:i/>
          <w:sz w:val="24"/>
          <w:szCs w:val="24"/>
          <w:lang w:val="fr-BE" w:eastAsia="nl-BE"/>
        </w:rPr>
        <w:t>production de certains phosphates</w:t>
      </w:r>
      <w:r w:rsidR="00310EA0">
        <w:rPr>
          <w:rFonts w:ascii="Times New Roman" w:eastAsia="MS Mincho" w:hAnsi="Times New Roman" w:cs="Times New Roman"/>
          <w:sz w:val="24"/>
          <w:szCs w:val="24"/>
          <w:lang w:val="fr-BE" w:eastAsia="nl-BE"/>
        </w:rPr>
        <w:t>.</w:t>
      </w:r>
      <w:r w:rsidR="00591CFC">
        <w:rPr>
          <w:rFonts w:ascii="Times New Roman" w:eastAsia="MS Mincho" w:hAnsi="Times New Roman" w:cs="Times New Roman"/>
          <w:sz w:val="24"/>
          <w:szCs w:val="24"/>
          <w:lang w:val="fr-BE" w:eastAsia="nl-BE"/>
        </w:rPr>
        <w:t xml:space="preserve"> </w:t>
      </w:r>
      <w:r w:rsidR="00310EA0">
        <w:rPr>
          <w:rFonts w:ascii="Times New Roman" w:eastAsia="MS Mincho" w:hAnsi="Times New Roman" w:cs="Times New Roman"/>
          <w:sz w:val="24"/>
          <w:szCs w:val="24"/>
          <w:lang w:val="fr-BE" w:eastAsia="nl-BE"/>
        </w:rPr>
        <w:t xml:space="preserve">En effet, </w:t>
      </w:r>
      <w:r w:rsidR="00310EA0" w:rsidRPr="00DB3D18">
        <w:rPr>
          <w:rFonts w:ascii="Times New Roman" w:eastAsia="MS Mincho" w:hAnsi="Times New Roman" w:cs="Times New Roman"/>
          <w:b/>
          <w:i/>
          <w:sz w:val="24"/>
          <w:szCs w:val="24"/>
          <w:lang w:val="fr-BE" w:eastAsia="nl-BE"/>
        </w:rPr>
        <w:t xml:space="preserve">d'importants </w:t>
      </w:r>
      <w:r w:rsidR="00F34A4D" w:rsidRPr="00DB3D18">
        <w:rPr>
          <w:rFonts w:ascii="Times New Roman" w:eastAsia="MS Mincho" w:hAnsi="Times New Roman" w:cs="Times New Roman"/>
          <w:b/>
          <w:i/>
          <w:sz w:val="24"/>
          <w:szCs w:val="24"/>
          <w:lang w:val="fr-BE" w:eastAsia="nl-BE"/>
        </w:rPr>
        <w:t>investissements annoncés</w:t>
      </w:r>
      <w:r w:rsidR="00F34A4D" w:rsidRPr="00F34A4D">
        <w:rPr>
          <w:rFonts w:ascii="Times New Roman" w:eastAsia="MS Mincho" w:hAnsi="Times New Roman" w:cs="Times New Roman"/>
          <w:sz w:val="24"/>
          <w:szCs w:val="24"/>
          <w:lang w:val="fr-BE" w:eastAsia="nl-BE"/>
        </w:rPr>
        <w:t xml:space="preserve"> </w:t>
      </w:r>
      <w:r w:rsidR="00F34A4D" w:rsidRPr="00002064">
        <w:rPr>
          <w:rFonts w:ascii="Times New Roman" w:eastAsia="MS Mincho" w:hAnsi="Times New Roman" w:cs="Times New Roman"/>
          <w:sz w:val="24"/>
          <w:szCs w:val="24"/>
          <w:lang w:val="fr-BE" w:eastAsia="nl-BE"/>
        </w:rPr>
        <w:t>(</w:t>
      </w:r>
      <w:r w:rsidR="00080601" w:rsidRPr="0018489E">
        <w:rPr>
          <w:rFonts w:ascii="Times New Roman" w:eastAsia="MS Mincho" w:hAnsi="Times New Roman" w:cs="Times New Roman"/>
          <w:sz w:val="24"/>
          <w:szCs w:val="24"/>
          <w:lang w:val="fr-BE" w:eastAsia="nl-BE"/>
        </w:rPr>
        <w:t xml:space="preserve">plus de </w:t>
      </w:r>
      <w:r w:rsidR="00F34A4D" w:rsidRPr="0018489E">
        <w:rPr>
          <w:rFonts w:ascii="Times New Roman" w:eastAsia="MS Mincho" w:hAnsi="Times New Roman" w:cs="Times New Roman"/>
          <w:sz w:val="24"/>
          <w:szCs w:val="24"/>
          <w:lang w:val="fr-BE" w:eastAsia="nl-BE"/>
        </w:rPr>
        <w:t xml:space="preserve">2 milliards </w:t>
      </w:r>
      <w:r w:rsidR="003537E4" w:rsidRPr="00E64BDB">
        <w:rPr>
          <w:rFonts w:ascii="Times New Roman" w:eastAsia="MS Mincho" w:hAnsi="Times New Roman" w:cs="Times New Roman"/>
          <w:sz w:val="24"/>
          <w:szCs w:val="24"/>
          <w:lang w:val="fr-BE" w:eastAsia="nl-BE"/>
        </w:rPr>
        <w:t>USD</w:t>
      </w:r>
      <w:r w:rsidR="00F34A4D" w:rsidRPr="00002064">
        <w:rPr>
          <w:rFonts w:ascii="Times New Roman" w:eastAsia="MS Mincho" w:hAnsi="Times New Roman" w:cs="Times New Roman"/>
          <w:sz w:val="24"/>
          <w:szCs w:val="24"/>
          <w:lang w:val="fr-BE" w:eastAsia="nl-BE"/>
        </w:rPr>
        <w:t>)</w:t>
      </w:r>
      <w:r w:rsidR="00F34A4D" w:rsidRPr="00F34A4D">
        <w:rPr>
          <w:rFonts w:ascii="Times New Roman" w:eastAsia="MS Mincho" w:hAnsi="Times New Roman" w:cs="Times New Roman"/>
          <w:sz w:val="24"/>
          <w:szCs w:val="24"/>
          <w:lang w:val="fr-BE" w:eastAsia="nl-BE"/>
        </w:rPr>
        <w:t xml:space="preserve"> dans la production de produits dérivés du phosphate au Sahara occidental </w:t>
      </w:r>
      <w:r w:rsidR="00080601">
        <w:rPr>
          <w:rFonts w:ascii="Times New Roman" w:eastAsia="MS Mincho" w:hAnsi="Times New Roman" w:cs="Times New Roman"/>
          <w:sz w:val="24"/>
          <w:szCs w:val="24"/>
          <w:lang w:val="fr-BE" w:eastAsia="nl-BE"/>
        </w:rPr>
        <w:t xml:space="preserve">(notamment l'acide phosphorique et les engrais) </w:t>
      </w:r>
      <w:r w:rsidR="00CA3E3D" w:rsidRPr="00DB3D18">
        <w:rPr>
          <w:rFonts w:ascii="Times New Roman" w:eastAsia="MS Mincho" w:hAnsi="Times New Roman" w:cs="Times New Roman"/>
          <w:b/>
          <w:i/>
          <w:sz w:val="24"/>
          <w:szCs w:val="24"/>
          <w:lang w:val="fr-BE" w:eastAsia="nl-BE"/>
        </w:rPr>
        <w:t xml:space="preserve">seraient </w:t>
      </w:r>
      <w:r w:rsidR="00F34A4D" w:rsidRPr="00DB3D18">
        <w:rPr>
          <w:rFonts w:ascii="Times New Roman" w:eastAsia="MS Mincho" w:hAnsi="Times New Roman" w:cs="Times New Roman"/>
          <w:b/>
          <w:i/>
          <w:sz w:val="24"/>
          <w:szCs w:val="24"/>
          <w:lang w:val="fr-BE" w:eastAsia="nl-BE"/>
        </w:rPr>
        <w:t xml:space="preserve">compromis </w:t>
      </w:r>
      <w:r w:rsidR="00CA3E3D" w:rsidRPr="00DB3D18">
        <w:rPr>
          <w:rFonts w:ascii="Times New Roman" w:eastAsia="MS Mincho" w:hAnsi="Times New Roman" w:cs="Times New Roman"/>
          <w:b/>
          <w:i/>
          <w:sz w:val="24"/>
          <w:szCs w:val="24"/>
          <w:lang w:val="fr-BE" w:eastAsia="nl-BE"/>
        </w:rPr>
        <w:t xml:space="preserve">si </w:t>
      </w:r>
      <w:r w:rsidR="00F34A4D" w:rsidRPr="00DB3D18">
        <w:rPr>
          <w:rFonts w:ascii="Times New Roman" w:eastAsia="MS Mincho" w:hAnsi="Times New Roman" w:cs="Times New Roman"/>
          <w:b/>
          <w:i/>
          <w:sz w:val="24"/>
          <w:szCs w:val="24"/>
          <w:lang w:val="fr-BE" w:eastAsia="nl-BE"/>
        </w:rPr>
        <w:t>les exportations vers l’U</w:t>
      </w:r>
      <w:r w:rsidR="006776FD" w:rsidRPr="00DB3D18">
        <w:rPr>
          <w:rFonts w:ascii="Times New Roman" w:eastAsia="MS Mincho" w:hAnsi="Times New Roman" w:cs="Times New Roman"/>
          <w:b/>
          <w:i/>
          <w:sz w:val="24"/>
          <w:szCs w:val="24"/>
          <w:lang w:val="fr-BE" w:eastAsia="nl-BE"/>
        </w:rPr>
        <w:t>nion</w:t>
      </w:r>
      <w:r w:rsidR="00F34A4D" w:rsidRPr="00DB3D18">
        <w:rPr>
          <w:rFonts w:ascii="Times New Roman" w:eastAsia="MS Mincho" w:hAnsi="Times New Roman" w:cs="Times New Roman"/>
          <w:b/>
          <w:i/>
          <w:sz w:val="24"/>
          <w:szCs w:val="24"/>
          <w:lang w:val="fr-BE" w:eastAsia="nl-BE"/>
        </w:rPr>
        <w:t xml:space="preserve"> </w:t>
      </w:r>
      <w:r w:rsidR="00CA3E3D" w:rsidRPr="00DB3D18">
        <w:rPr>
          <w:rFonts w:ascii="Times New Roman" w:eastAsia="MS Mincho" w:hAnsi="Times New Roman" w:cs="Times New Roman"/>
          <w:b/>
          <w:i/>
          <w:sz w:val="24"/>
          <w:szCs w:val="24"/>
          <w:lang w:val="fr-BE" w:eastAsia="nl-BE"/>
        </w:rPr>
        <w:t xml:space="preserve">de ces produits phosphatés </w:t>
      </w:r>
      <w:r w:rsidR="00F34A4D" w:rsidRPr="00DB3D18">
        <w:rPr>
          <w:rFonts w:ascii="Times New Roman" w:eastAsia="MS Mincho" w:hAnsi="Times New Roman" w:cs="Times New Roman"/>
          <w:b/>
          <w:i/>
          <w:sz w:val="24"/>
          <w:szCs w:val="24"/>
          <w:lang w:val="fr-BE" w:eastAsia="nl-BE"/>
        </w:rPr>
        <w:t xml:space="preserve">ne </w:t>
      </w:r>
      <w:r w:rsidRPr="00DB3D18">
        <w:rPr>
          <w:rFonts w:ascii="Times New Roman" w:eastAsia="MS Mincho" w:hAnsi="Times New Roman" w:cs="Times New Roman"/>
          <w:b/>
          <w:i/>
          <w:sz w:val="24"/>
          <w:szCs w:val="24"/>
          <w:lang w:val="fr-BE" w:eastAsia="nl-BE"/>
        </w:rPr>
        <w:t>pouvai</w:t>
      </w:r>
      <w:r w:rsidR="008462F9" w:rsidRPr="00DB3D18">
        <w:rPr>
          <w:rFonts w:ascii="Times New Roman" w:eastAsia="MS Mincho" w:hAnsi="Times New Roman" w:cs="Times New Roman"/>
          <w:b/>
          <w:i/>
          <w:sz w:val="24"/>
          <w:szCs w:val="24"/>
          <w:lang w:val="fr-BE" w:eastAsia="nl-BE"/>
        </w:rPr>
        <w:t>en</w:t>
      </w:r>
      <w:r w:rsidRPr="00DB3D18">
        <w:rPr>
          <w:rFonts w:ascii="Times New Roman" w:eastAsia="MS Mincho" w:hAnsi="Times New Roman" w:cs="Times New Roman"/>
          <w:b/>
          <w:i/>
          <w:sz w:val="24"/>
          <w:szCs w:val="24"/>
          <w:lang w:val="fr-BE" w:eastAsia="nl-BE"/>
        </w:rPr>
        <w:t xml:space="preserve">t </w:t>
      </w:r>
      <w:r w:rsidR="00CA3E3D" w:rsidRPr="00DB3D18">
        <w:rPr>
          <w:rFonts w:ascii="Times New Roman" w:eastAsia="MS Mincho" w:hAnsi="Times New Roman" w:cs="Times New Roman"/>
          <w:b/>
          <w:i/>
          <w:sz w:val="24"/>
          <w:szCs w:val="24"/>
          <w:lang w:val="fr-BE" w:eastAsia="nl-BE"/>
        </w:rPr>
        <w:t xml:space="preserve">pas </w:t>
      </w:r>
      <w:r w:rsidR="00F34A4D" w:rsidRPr="00DB3D18">
        <w:rPr>
          <w:rFonts w:ascii="Times New Roman" w:eastAsia="MS Mincho" w:hAnsi="Times New Roman" w:cs="Times New Roman"/>
          <w:b/>
          <w:i/>
          <w:sz w:val="24"/>
          <w:szCs w:val="24"/>
          <w:lang w:val="fr-BE" w:eastAsia="nl-BE"/>
        </w:rPr>
        <w:t>bénéficier d’un traitement préférentiel</w:t>
      </w:r>
      <w:r w:rsidR="00CA3E3D">
        <w:rPr>
          <w:rFonts w:ascii="Times New Roman" w:eastAsia="MS Mincho" w:hAnsi="Times New Roman" w:cs="Times New Roman"/>
          <w:sz w:val="24"/>
          <w:szCs w:val="24"/>
          <w:lang w:val="fr-BE" w:eastAsia="nl-BE"/>
        </w:rPr>
        <w:t xml:space="preserve">. En </w:t>
      </w:r>
      <w:r w:rsidR="00F34A4D" w:rsidRPr="00F34A4D">
        <w:rPr>
          <w:rFonts w:ascii="Times New Roman" w:eastAsia="MS Mincho" w:hAnsi="Times New Roman" w:cs="Times New Roman"/>
          <w:sz w:val="24"/>
          <w:szCs w:val="24"/>
          <w:lang w:val="fr-BE" w:eastAsia="nl-BE"/>
        </w:rPr>
        <w:t>l'absence de préférences</w:t>
      </w:r>
      <w:r w:rsidR="00CA3E3D">
        <w:rPr>
          <w:rFonts w:ascii="Times New Roman" w:eastAsia="MS Mincho" w:hAnsi="Times New Roman" w:cs="Times New Roman"/>
          <w:sz w:val="24"/>
          <w:szCs w:val="24"/>
          <w:lang w:val="fr-BE" w:eastAsia="nl-BE"/>
        </w:rPr>
        <w:t>,</w:t>
      </w:r>
      <w:r w:rsidR="00F34A4D" w:rsidRPr="00F34A4D">
        <w:rPr>
          <w:rFonts w:ascii="Times New Roman" w:eastAsia="MS Mincho" w:hAnsi="Times New Roman" w:cs="Times New Roman"/>
          <w:sz w:val="24"/>
          <w:szCs w:val="24"/>
          <w:lang w:val="fr-BE" w:eastAsia="nl-BE"/>
        </w:rPr>
        <w:t xml:space="preserve"> les investissements dans d'autres endroits où la production bénéficierait de préférences (par exemple au Maroc) </w:t>
      </w:r>
      <w:r w:rsidR="00A3694A">
        <w:rPr>
          <w:rFonts w:ascii="Times New Roman" w:eastAsia="MS Mincho" w:hAnsi="Times New Roman" w:cs="Times New Roman"/>
          <w:sz w:val="24"/>
          <w:szCs w:val="24"/>
          <w:lang w:val="fr-BE" w:eastAsia="nl-BE"/>
        </w:rPr>
        <w:t xml:space="preserve">seraient </w:t>
      </w:r>
      <w:r w:rsidR="00F34A4D" w:rsidRPr="00F34A4D">
        <w:rPr>
          <w:rFonts w:ascii="Times New Roman" w:eastAsia="MS Mincho" w:hAnsi="Times New Roman" w:cs="Times New Roman"/>
          <w:sz w:val="24"/>
          <w:szCs w:val="24"/>
          <w:lang w:val="fr-BE" w:eastAsia="nl-BE"/>
        </w:rPr>
        <w:t xml:space="preserve">plus </w:t>
      </w:r>
      <w:r w:rsidR="000F326B" w:rsidRPr="00F34A4D">
        <w:rPr>
          <w:rFonts w:ascii="Times New Roman" w:eastAsia="MS Mincho" w:hAnsi="Times New Roman" w:cs="Times New Roman"/>
          <w:sz w:val="24"/>
          <w:szCs w:val="24"/>
          <w:lang w:val="fr-BE" w:eastAsia="nl-BE"/>
        </w:rPr>
        <w:t>attrayant</w:t>
      </w:r>
      <w:r w:rsidR="000F326B">
        <w:rPr>
          <w:rFonts w:ascii="Times New Roman" w:eastAsia="MS Mincho" w:hAnsi="Times New Roman" w:cs="Times New Roman"/>
          <w:sz w:val="24"/>
          <w:szCs w:val="24"/>
          <w:lang w:val="fr-BE" w:eastAsia="nl-BE"/>
        </w:rPr>
        <w:t>s</w:t>
      </w:r>
      <w:r w:rsidR="000F326B" w:rsidRPr="00F34A4D">
        <w:rPr>
          <w:rFonts w:ascii="Times New Roman" w:eastAsia="MS Mincho" w:hAnsi="Times New Roman" w:cs="Times New Roman"/>
          <w:sz w:val="24"/>
          <w:szCs w:val="24"/>
          <w:lang w:val="fr-BE" w:eastAsia="nl-BE"/>
        </w:rPr>
        <w:t xml:space="preserve"> </w:t>
      </w:r>
      <w:r w:rsidR="00F34A4D" w:rsidRPr="00F34A4D">
        <w:rPr>
          <w:rFonts w:ascii="Times New Roman" w:eastAsia="MS Mincho" w:hAnsi="Times New Roman" w:cs="Times New Roman"/>
          <w:sz w:val="24"/>
          <w:szCs w:val="24"/>
          <w:lang w:val="fr-BE" w:eastAsia="nl-BE"/>
        </w:rPr>
        <w:t xml:space="preserve">qu'au Sahara occidental. </w:t>
      </w:r>
      <w:r w:rsidR="003537E4" w:rsidRPr="003537E4">
        <w:rPr>
          <w:rFonts w:ascii="Times New Roman" w:eastAsia="MS Mincho" w:hAnsi="Times New Roman" w:cs="Times New Roman"/>
          <w:sz w:val="24"/>
          <w:szCs w:val="24"/>
          <w:lang w:val="fr-BE" w:eastAsia="nl-BE"/>
        </w:rPr>
        <w:t>L'inter</w:t>
      </w:r>
      <w:r w:rsidR="00050548">
        <w:rPr>
          <w:rFonts w:ascii="Times New Roman" w:eastAsia="MS Mincho" w:hAnsi="Times New Roman" w:cs="Times New Roman"/>
          <w:sz w:val="24"/>
          <w:szCs w:val="24"/>
          <w:lang w:val="fr-BE" w:eastAsia="nl-BE"/>
        </w:rPr>
        <w:t>r</w:t>
      </w:r>
      <w:r w:rsidR="003537E4" w:rsidRPr="003537E4">
        <w:rPr>
          <w:rFonts w:ascii="Times New Roman" w:eastAsia="MS Mincho" w:hAnsi="Times New Roman" w:cs="Times New Roman"/>
          <w:sz w:val="24"/>
          <w:szCs w:val="24"/>
          <w:lang w:val="fr-BE" w:eastAsia="nl-BE"/>
        </w:rPr>
        <w:t>uption des investisseme</w:t>
      </w:r>
      <w:r w:rsidR="00050548">
        <w:rPr>
          <w:rFonts w:ascii="Times New Roman" w:eastAsia="MS Mincho" w:hAnsi="Times New Roman" w:cs="Times New Roman"/>
          <w:sz w:val="24"/>
          <w:szCs w:val="24"/>
          <w:lang w:val="fr-BE" w:eastAsia="nl-BE"/>
        </w:rPr>
        <w:t>nts au Sahara occidental aurai</w:t>
      </w:r>
      <w:r w:rsidR="003537E4" w:rsidRPr="003537E4">
        <w:rPr>
          <w:rFonts w:ascii="Times New Roman" w:eastAsia="MS Mincho" w:hAnsi="Times New Roman" w:cs="Times New Roman"/>
          <w:sz w:val="24"/>
          <w:szCs w:val="24"/>
          <w:lang w:val="fr-BE" w:eastAsia="nl-BE"/>
        </w:rPr>
        <w:t>t un impact sur la capacité de production, la diversité des produits et donc sur les emplois dans la filière des phosphates dans la région</w:t>
      </w:r>
      <w:r w:rsidR="000970D6">
        <w:rPr>
          <w:rFonts w:ascii="Times New Roman" w:eastAsia="MS Mincho" w:hAnsi="Times New Roman" w:cs="Times New Roman"/>
          <w:sz w:val="24"/>
          <w:szCs w:val="24"/>
          <w:lang w:val="fr-BE" w:eastAsia="nl-BE"/>
        </w:rPr>
        <w:t>.</w:t>
      </w:r>
    </w:p>
    <w:p w:rsidR="006A40D3" w:rsidRPr="009F2925" w:rsidRDefault="006A40D3" w:rsidP="0084736B">
      <w:pPr>
        <w:widowControl w:val="0"/>
        <w:spacing w:after="0" w:line="240" w:lineRule="auto"/>
        <w:jc w:val="both"/>
        <w:rPr>
          <w:rFonts w:ascii="Times New Roman" w:eastAsia="Calibri" w:hAnsi="Times New Roman" w:cs="Times New Roman"/>
          <w:sz w:val="24"/>
          <w:lang w:val="fr-BE" w:eastAsia="fr-FR"/>
        </w:rPr>
      </w:pPr>
    </w:p>
    <w:p w:rsidR="00E25DEE" w:rsidRDefault="00514E29" w:rsidP="00FC36AF">
      <w:pPr>
        <w:pStyle w:val="Heading1"/>
        <w:rPr>
          <w:rFonts w:eastAsia="Calibri"/>
          <w:lang w:val="fr-FR"/>
        </w:rPr>
      </w:pPr>
      <w:bookmarkStart w:id="26" w:name="_Toc514257471"/>
      <w:r>
        <w:rPr>
          <w:rFonts w:eastAsia="Calibri"/>
          <w:lang w:val="fr-FR"/>
        </w:rPr>
        <w:t>CONSULTATIONS DES POPULATIONS CONCERNEES</w:t>
      </w:r>
      <w:r w:rsidR="00056FA8">
        <w:rPr>
          <w:rFonts w:eastAsia="Calibri"/>
          <w:lang w:val="fr-FR"/>
        </w:rPr>
        <w:t xml:space="preserve"> PAR LA </w:t>
      </w:r>
      <w:r w:rsidR="00684BF7">
        <w:rPr>
          <w:rFonts w:eastAsia="Calibri"/>
          <w:lang w:val="fr-FR"/>
        </w:rPr>
        <w:t>MODIFICATION DES PROTOCOLES N° 1 ET N° 4 DE L’ACCORD D’ASSOCIATION</w:t>
      </w:r>
      <w:bookmarkEnd w:id="26"/>
      <w:r w:rsidR="00056FA8">
        <w:rPr>
          <w:rFonts w:eastAsia="Calibri"/>
          <w:lang w:val="fr-FR"/>
        </w:rPr>
        <w:t xml:space="preserve"> </w:t>
      </w:r>
    </w:p>
    <w:p w:rsidR="00E25DEE" w:rsidRPr="00C04BAD" w:rsidRDefault="00E25DEE" w:rsidP="00E25DEE">
      <w:pPr>
        <w:widowControl w:val="0"/>
        <w:spacing w:after="0" w:line="240" w:lineRule="auto"/>
        <w:jc w:val="both"/>
        <w:outlineLvl w:val="0"/>
        <w:rPr>
          <w:rFonts w:ascii="Times New Roman" w:eastAsia="Calibri" w:hAnsi="Times New Roman" w:cs="Times New Roman"/>
          <w:smallCaps/>
          <w:sz w:val="24"/>
          <w:lang w:val="fr-FR"/>
        </w:rPr>
      </w:pPr>
    </w:p>
    <w:p w:rsidR="008201F2" w:rsidRPr="004E2E61" w:rsidRDefault="008201F2" w:rsidP="004E2E61">
      <w:pPr>
        <w:pStyle w:val="Heading2"/>
        <w:rPr>
          <w:rFonts w:eastAsia="Arial Unicode MS"/>
          <w:u w:color="000000"/>
          <w:bdr w:val="nil"/>
          <w:lang w:val="fr-BE" w:eastAsia="en-GB"/>
        </w:rPr>
      </w:pPr>
      <w:bookmarkStart w:id="27" w:name="_Toc512247851"/>
      <w:bookmarkStart w:id="28" w:name="_Toc30"/>
      <w:bookmarkStart w:id="29" w:name="_Toc514257472"/>
      <w:bookmarkEnd w:id="27"/>
      <w:r w:rsidRPr="004E2E61">
        <w:rPr>
          <w:rFonts w:eastAsia="Arial Unicode MS"/>
          <w:u w:color="000000"/>
          <w:bdr w:val="nil"/>
          <w:lang w:val="fr-BE" w:eastAsia="en-GB"/>
        </w:rPr>
        <w:t>Objectif et portée de l'exercice de consultation</w:t>
      </w:r>
      <w:bookmarkEnd w:id="28"/>
      <w:bookmarkEnd w:id="29"/>
    </w:p>
    <w:p w:rsidR="008201F2" w:rsidRPr="008201F2" w:rsidRDefault="008201F2" w:rsidP="008201F2">
      <w:pPr>
        <w:pBdr>
          <w:top w:val="nil"/>
          <w:left w:val="nil"/>
          <w:bottom w:val="nil"/>
          <w:right w:val="nil"/>
          <w:between w:val="nil"/>
          <w:bar w:val="nil"/>
        </w:pBdr>
        <w:spacing w:after="0" w:line="240" w:lineRule="auto"/>
        <w:jc w:val="both"/>
        <w:rPr>
          <w:rFonts w:ascii="Times New Roman" w:eastAsia="Times New Roman" w:hAnsi="Times New Roman" w:cs="Times New Roman"/>
          <w:b/>
          <w:bCs/>
          <w:i/>
          <w:iCs/>
          <w:color w:val="000000"/>
          <w:sz w:val="24"/>
          <w:szCs w:val="24"/>
          <w:u w:val="single" w:color="000000"/>
          <w:bdr w:val="nil"/>
          <w:lang w:val="fr-FR" w:eastAsia="en-GB"/>
        </w:rPr>
      </w:pPr>
    </w:p>
    <w:p w:rsidR="008201F2" w:rsidRPr="008201F2" w:rsidRDefault="008201F2" w:rsidP="008201F2">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L'un des objectifs de </w:t>
      </w:r>
      <w:r>
        <w:rPr>
          <w:rFonts w:ascii="Times New Roman" w:eastAsia="Calibri" w:hAnsi="Times New Roman" w:cs="Calibri"/>
          <w:color w:val="000000"/>
          <w:sz w:val="24"/>
          <w:szCs w:val="24"/>
          <w:u w:color="000000"/>
          <w:bdr w:val="nil"/>
          <w:lang w:val="fr-FR" w:eastAsia="en-GB"/>
        </w:rPr>
        <w:t>la</w:t>
      </w:r>
      <w:r w:rsidRPr="008201F2">
        <w:rPr>
          <w:rFonts w:ascii="Times New Roman" w:eastAsia="Calibri" w:hAnsi="Times New Roman" w:cs="Calibri"/>
          <w:color w:val="000000"/>
          <w:sz w:val="24"/>
          <w:szCs w:val="24"/>
          <w:u w:color="000000"/>
          <w:bdr w:val="nil"/>
          <w:lang w:val="fr-FR" w:eastAsia="en-GB"/>
        </w:rPr>
        <w:t xml:space="preserve"> négociation était de veiller à ce que, dans la préparation de l</w:t>
      </w:r>
      <w:r>
        <w:rPr>
          <w:rFonts w:ascii="Times New Roman" w:eastAsia="Calibri" w:hAnsi="Times New Roman" w:cs="Calibri"/>
          <w:color w:val="000000"/>
          <w:sz w:val="24"/>
          <w:szCs w:val="24"/>
          <w:u w:color="000000"/>
          <w:bdr w:val="nil"/>
          <w:lang w:val="fr-FR" w:eastAsia="en-GB"/>
        </w:rPr>
        <w:t>a modification des protocoles n° 1 et 4 de</w:t>
      </w:r>
      <w:r w:rsidRPr="008201F2">
        <w:rPr>
          <w:rFonts w:ascii="Times New Roman" w:eastAsia="Calibri" w:hAnsi="Times New Roman" w:cs="Calibri"/>
          <w:color w:val="000000"/>
          <w:sz w:val="24"/>
          <w:szCs w:val="24"/>
          <w:u w:color="000000"/>
          <w:bdr w:val="nil"/>
          <w:lang w:val="fr-FR" w:eastAsia="en-GB"/>
        </w:rPr>
        <w:t xml:space="preserve"> l'</w:t>
      </w:r>
      <w:r>
        <w:rPr>
          <w:rFonts w:ascii="Times New Roman" w:eastAsia="Calibri" w:hAnsi="Times New Roman" w:cs="Calibri"/>
          <w:color w:val="000000"/>
          <w:sz w:val="24"/>
          <w:szCs w:val="24"/>
          <w:u w:color="000000"/>
          <w:bdr w:val="nil"/>
          <w:lang w:val="fr-FR" w:eastAsia="en-GB"/>
        </w:rPr>
        <w:t>a</w:t>
      </w:r>
      <w:r w:rsidRPr="008201F2">
        <w:rPr>
          <w:rFonts w:ascii="Times New Roman" w:eastAsia="Calibri" w:hAnsi="Times New Roman" w:cs="Calibri"/>
          <w:color w:val="000000"/>
          <w:sz w:val="24"/>
          <w:szCs w:val="24"/>
          <w:u w:color="000000"/>
          <w:bdr w:val="nil"/>
          <w:lang w:val="fr-FR" w:eastAsia="en-GB"/>
        </w:rPr>
        <w:t xml:space="preserve">ccord </w:t>
      </w:r>
      <w:r>
        <w:rPr>
          <w:rFonts w:ascii="Times New Roman" w:eastAsia="Calibri" w:hAnsi="Times New Roman" w:cs="Calibri"/>
          <w:color w:val="000000"/>
          <w:sz w:val="24"/>
          <w:szCs w:val="24"/>
          <w:u w:color="000000"/>
          <w:bdr w:val="nil"/>
          <w:lang w:val="fr-FR" w:eastAsia="en-GB"/>
        </w:rPr>
        <w:t xml:space="preserve">d’association </w:t>
      </w:r>
      <w:r w:rsidRPr="008201F2">
        <w:rPr>
          <w:rFonts w:ascii="Times New Roman" w:eastAsia="Calibri" w:hAnsi="Times New Roman" w:cs="Calibri"/>
          <w:color w:val="000000"/>
          <w:sz w:val="24"/>
          <w:szCs w:val="24"/>
          <w:u w:color="000000"/>
          <w:bdr w:val="nil"/>
          <w:lang w:val="fr-FR" w:eastAsia="en-GB"/>
        </w:rPr>
        <w:t xml:space="preserve">UE-Maroc, "les populations concernées par ce dernier aient été associées de manière appropriée." </w:t>
      </w:r>
      <w:r w:rsidRPr="008201F2">
        <w:rPr>
          <w:rFonts w:ascii="Times New Roman" w:eastAsia="Calibri" w:hAnsi="Times New Roman" w:cs="Calibri"/>
          <w:color w:val="000000"/>
          <w:sz w:val="24"/>
          <w:szCs w:val="24"/>
          <w:u w:color="000000"/>
          <w:bdr w:val="nil"/>
          <w:lang w:val="fr-BE" w:eastAsia="en-GB"/>
        </w:rPr>
        <w:t>À</w:t>
      </w:r>
      <w:r w:rsidRPr="008201F2">
        <w:rPr>
          <w:rFonts w:ascii="Times New Roman" w:eastAsia="Calibri" w:hAnsi="Times New Roman" w:cs="Calibri"/>
          <w:color w:val="000000"/>
          <w:sz w:val="24"/>
          <w:szCs w:val="24"/>
          <w:u w:color="000000"/>
          <w:bdr w:val="nil"/>
          <w:lang w:val="fr-FR" w:eastAsia="en-GB"/>
        </w:rPr>
        <w:t xml:space="preserve"> cette fin, </w:t>
      </w:r>
      <w:r>
        <w:rPr>
          <w:rFonts w:ascii="Times New Roman" w:eastAsia="Calibri" w:hAnsi="Times New Roman" w:cs="Calibri"/>
          <w:color w:val="000000"/>
          <w:sz w:val="24"/>
          <w:szCs w:val="24"/>
          <w:u w:color="000000"/>
          <w:bdr w:val="nil"/>
          <w:lang w:val="fr-FR" w:eastAsia="en-GB"/>
        </w:rPr>
        <w:t xml:space="preserve">les services de </w:t>
      </w:r>
      <w:r w:rsidRPr="008201F2">
        <w:rPr>
          <w:rFonts w:ascii="Times New Roman" w:eastAsia="Calibri" w:hAnsi="Times New Roman" w:cs="Calibri"/>
          <w:color w:val="000000"/>
          <w:sz w:val="24"/>
          <w:szCs w:val="24"/>
          <w:u w:color="000000"/>
          <w:bdr w:val="nil"/>
          <w:lang w:val="fr-FR" w:eastAsia="en-GB"/>
        </w:rPr>
        <w:t xml:space="preserve">la Commission </w:t>
      </w:r>
      <w:r>
        <w:rPr>
          <w:rFonts w:ascii="Times New Roman" w:eastAsia="Calibri" w:hAnsi="Times New Roman" w:cs="Calibri"/>
          <w:color w:val="000000"/>
          <w:sz w:val="24"/>
          <w:szCs w:val="24"/>
          <w:u w:color="000000"/>
          <w:bdr w:val="nil"/>
          <w:lang w:val="fr-FR" w:eastAsia="en-GB"/>
        </w:rPr>
        <w:t xml:space="preserve">et le SEAE </w:t>
      </w:r>
      <w:r w:rsidRPr="008201F2">
        <w:rPr>
          <w:rFonts w:ascii="Times New Roman" w:eastAsia="Calibri" w:hAnsi="Times New Roman" w:cs="Calibri"/>
          <w:color w:val="000000"/>
          <w:sz w:val="24"/>
          <w:szCs w:val="24"/>
          <w:u w:color="000000"/>
          <w:bdr w:val="nil"/>
          <w:lang w:val="fr-FR" w:eastAsia="en-GB"/>
        </w:rPr>
        <w:t>s</w:t>
      </w:r>
      <w:r>
        <w:rPr>
          <w:rFonts w:ascii="Times New Roman" w:eastAsia="Calibri" w:hAnsi="Times New Roman" w:cs="Calibri"/>
          <w:color w:val="000000"/>
          <w:sz w:val="24"/>
          <w:szCs w:val="24"/>
          <w:u w:color="000000"/>
          <w:bdr w:val="nil"/>
          <w:lang w:val="fr-FR" w:eastAsia="en-GB"/>
        </w:rPr>
        <w:t>e sont</w:t>
      </w:r>
      <w:r w:rsidRPr="008201F2">
        <w:rPr>
          <w:rFonts w:ascii="Times New Roman" w:eastAsia="Calibri" w:hAnsi="Times New Roman" w:cs="Calibri"/>
          <w:color w:val="000000"/>
          <w:sz w:val="24"/>
          <w:szCs w:val="24"/>
          <w:u w:color="000000"/>
          <w:bdr w:val="nil"/>
          <w:lang w:val="fr-FR" w:eastAsia="en-GB"/>
        </w:rPr>
        <w:t xml:space="preserve"> employé</w:t>
      </w:r>
      <w:r>
        <w:rPr>
          <w:rFonts w:ascii="Times New Roman" w:eastAsia="Calibri" w:hAnsi="Times New Roman" w:cs="Calibri"/>
          <w:color w:val="000000"/>
          <w:sz w:val="24"/>
          <w:szCs w:val="24"/>
          <w:u w:color="000000"/>
          <w:bdr w:val="nil"/>
          <w:lang w:val="fr-FR" w:eastAsia="en-GB"/>
        </w:rPr>
        <w:t>s</w:t>
      </w:r>
      <w:r w:rsidRPr="008201F2">
        <w:rPr>
          <w:rFonts w:ascii="Times New Roman" w:eastAsia="Calibri" w:hAnsi="Times New Roman" w:cs="Calibri"/>
          <w:color w:val="000000"/>
          <w:sz w:val="24"/>
          <w:szCs w:val="24"/>
          <w:u w:color="000000"/>
          <w:bdr w:val="nil"/>
          <w:lang w:val="fr-FR" w:eastAsia="en-GB"/>
        </w:rPr>
        <w:t xml:space="preserve"> à ce que </w:t>
      </w:r>
      <w:r>
        <w:rPr>
          <w:rFonts w:ascii="Times New Roman" w:eastAsia="Calibri" w:hAnsi="Times New Roman" w:cs="Calibri"/>
          <w:color w:val="000000"/>
          <w:sz w:val="24"/>
          <w:szCs w:val="24"/>
          <w:u w:color="000000"/>
          <w:bdr w:val="nil"/>
          <w:lang w:val="fr-FR" w:eastAsia="en-GB"/>
        </w:rPr>
        <w:t>leur</w:t>
      </w:r>
      <w:r w:rsidRPr="008201F2">
        <w:rPr>
          <w:rFonts w:ascii="Times New Roman" w:eastAsia="Calibri" w:hAnsi="Times New Roman" w:cs="Calibri"/>
          <w:color w:val="000000"/>
          <w:sz w:val="24"/>
          <w:szCs w:val="24"/>
          <w:u w:color="000000"/>
          <w:bdr w:val="nil"/>
          <w:lang w:val="fr-FR" w:eastAsia="en-GB"/>
        </w:rPr>
        <w:t xml:space="preserve"> approche, tant dans la conception de l</w:t>
      </w:r>
      <w:r>
        <w:rPr>
          <w:rFonts w:ascii="Times New Roman" w:eastAsia="Calibri" w:hAnsi="Times New Roman" w:cs="Calibri"/>
          <w:color w:val="000000"/>
          <w:sz w:val="24"/>
          <w:szCs w:val="24"/>
          <w:u w:color="000000"/>
          <w:bdr w:val="nil"/>
          <w:lang w:val="fr-FR" w:eastAsia="en-GB"/>
        </w:rPr>
        <w:t>a modification</w:t>
      </w:r>
      <w:r w:rsidRPr="008201F2">
        <w:rPr>
          <w:rFonts w:ascii="Times New Roman" w:eastAsia="Calibri" w:hAnsi="Times New Roman" w:cs="Calibri"/>
          <w:color w:val="000000"/>
          <w:sz w:val="24"/>
          <w:szCs w:val="24"/>
          <w:u w:color="000000"/>
          <w:bdr w:val="nil"/>
          <w:lang w:val="fr-FR" w:eastAsia="en-GB"/>
        </w:rPr>
        <w:t xml:space="preserve"> que dans la manière de consulter les populations concernées, </w:t>
      </w:r>
      <w:r w:rsidR="000412E7">
        <w:rPr>
          <w:rFonts w:ascii="Times New Roman" w:eastAsia="Calibri" w:hAnsi="Times New Roman" w:cs="Calibri"/>
          <w:color w:val="000000"/>
          <w:sz w:val="24"/>
          <w:szCs w:val="24"/>
          <w:u w:color="000000"/>
          <w:bdr w:val="nil"/>
          <w:lang w:val="fr-FR" w:eastAsia="en-GB"/>
        </w:rPr>
        <w:t>respecte</w:t>
      </w:r>
      <w:r w:rsidRPr="008201F2">
        <w:rPr>
          <w:rFonts w:ascii="Times New Roman" w:eastAsia="Calibri" w:hAnsi="Times New Roman" w:cs="Calibri"/>
          <w:color w:val="000000"/>
          <w:sz w:val="24"/>
          <w:szCs w:val="24"/>
          <w:u w:color="000000"/>
          <w:bdr w:val="nil"/>
          <w:lang w:val="fr-FR" w:eastAsia="en-GB"/>
        </w:rPr>
        <w:t xml:space="preserve"> </w:t>
      </w:r>
      <w:r w:rsidR="00C9293C">
        <w:rPr>
          <w:rFonts w:ascii="Times New Roman" w:eastAsia="Calibri" w:hAnsi="Times New Roman" w:cs="Calibri"/>
          <w:color w:val="000000"/>
          <w:sz w:val="24"/>
          <w:szCs w:val="24"/>
          <w:u w:color="000000"/>
          <w:bdr w:val="nil"/>
          <w:lang w:val="fr-FR" w:eastAsia="en-GB"/>
        </w:rPr>
        <w:t>le</w:t>
      </w:r>
      <w:r w:rsidRPr="008201F2">
        <w:rPr>
          <w:rFonts w:ascii="Times New Roman" w:eastAsia="Calibri" w:hAnsi="Times New Roman" w:cs="Calibri"/>
          <w:color w:val="000000"/>
          <w:sz w:val="24"/>
          <w:szCs w:val="24"/>
          <w:u w:color="000000"/>
          <w:bdr w:val="nil"/>
          <w:lang w:val="fr-FR" w:eastAsia="en-GB"/>
        </w:rPr>
        <w:t xml:space="preserve"> jugement de la C</w:t>
      </w:r>
      <w:r>
        <w:rPr>
          <w:rFonts w:ascii="Times New Roman" w:eastAsia="Calibri" w:hAnsi="Times New Roman" w:cs="Calibri"/>
          <w:color w:val="000000"/>
          <w:sz w:val="24"/>
          <w:szCs w:val="24"/>
          <w:u w:color="000000"/>
          <w:bdr w:val="nil"/>
          <w:lang w:val="fr-FR" w:eastAsia="en-GB"/>
        </w:rPr>
        <w:t xml:space="preserve">our de </w:t>
      </w:r>
      <w:r w:rsidR="000C65F5">
        <w:rPr>
          <w:rFonts w:ascii="Times New Roman" w:eastAsia="Calibri" w:hAnsi="Times New Roman" w:cs="Calibri"/>
          <w:color w:val="000000"/>
          <w:sz w:val="24"/>
          <w:szCs w:val="24"/>
          <w:u w:color="000000"/>
          <w:bdr w:val="nil"/>
          <w:lang w:val="fr-FR" w:eastAsia="en-GB"/>
        </w:rPr>
        <w:t>j</w:t>
      </w:r>
      <w:r>
        <w:rPr>
          <w:rFonts w:ascii="Times New Roman" w:eastAsia="Calibri" w:hAnsi="Times New Roman" w:cs="Calibri"/>
          <w:color w:val="000000"/>
          <w:sz w:val="24"/>
          <w:szCs w:val="24"/>
          <w:u w:color="000000"/>
          <w:bdr w:val="nil"/>
          <w:lang w:val="fr-FR" w:eastAsia="en-GB"/>
        </w:rPr>
        <w:t>ustice de l’</w:t>
      </w:r>
      <w:r w:rsidRPr="008201F2">
        <w:rPr>
          <w:rFonts w:ascii="Times New Roman" w:eastAsia="Calibri" w:hAnsi="Times New Roman" w:cs="Calibri"/>
          <w:color w:val="000000"/>
          <w:sz w:val="24"/>
          <w:szCs w:val="24"/>
          <w:u w:color="000000"/>
          <w:bdr w:val="nil"/>
          <w:lang w:val="fr-FR" w:eastAsia="en-GB"/>
        </w:rPr>
        <w:t>U</w:t>
      </w:r>
      <w:r>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w:t>
      </w:r>
      <w:r w:rsidR="000412E7">
        <w:rPr>
          <w:rFonts w:ascii="Times New Roman" w:eastAsia="Calibri" w:hAnsi="Times New Roman" w:cs="Calibri"/>
          <w:color w:val="000000"/>
          <w:sz w:val="24"/>
          <w:szCs w:val="24"/>
          <w:u w:color="000000"/>
          <w:bdr w:val="nil"/>
          <w:lang w:val="fr-FR" w:eastAsia="en-GB"/>
        </w:rPr>
        <w:t xml:space="preserve">du 21 décembre 2016 </w:t>
      </w:r>
      <w:r>
        <w:rPr>
          <w:rFonts w:ascii="Times New Roman" w:eastAsia="Calibri" w:hAnsi="Times New Roman" w:cs="Calibri"/>
          <w:color w:val="000000"/>
          <w:sz w:val="24"/>
          <w:szCs w:val="24"/>
          <w:u w:color="000000"/>
          <w:bdr w:val="nil"/>
          <w:lang w:val="fr-FR" w:eastAsia="en-GB"/>
        </w:rPr>
        <w:t>et</w:t>
      </w:r>
      <w:r w:rsidRPr="008201F2">
        <w:rPr>
          <w:rFonts w:ascii="Times New Roman" w:eastAsia="Calibri" w:hAnsi="Times New Roman" w:cs="Calibri"/>
          <w:color w:val="000000"/>
          <w:sz w:val="24"/>
          <w:szCs w:val="24"/>
          <w:u w:color="000000"/>
          <w:bdr w:val="nil"/>
          <w:lang w:val="fr-FR" w:eastAsia="en-GB"/>
        </w:rPr>
        <w:t xml:space="preserve"> sans préjuger aucunement de l'issue du processus des Nations unies ni en entraver le bon déroulement. A ce titre, la nature encore non-résolue du processus d'auto-détermination du Sahara occidental était une dimension importante à prendre en compte par </w:t>
      </w:r>
      <w:r>
        <w:rPr>
          <w:rFonts w:ascii="Times New Roman" w:eastAsia="Calibri" w:hAnsi="Times New Roman" w:cs="Calibri"/>
          <w:color w:val="000000"/>
          <w:sz w:val="24"/>
          <w:szCs w:val="24"/>
          <w:u w:color="000000"/>
          <w:bdr w:val="nil"/>
          <w:lang w:val="fr-FR" w:eastAsia="en-GB"/>
        </w:rPr>
        <w:t xml:space="preserve">les services de </w:t>
      </w:r>
      <w:r w:rsidRPr="008201F2">
        <w:rPr>
          <w:rFonts w:ascii="Times New Roman" w:eastAsia="Calibri" w:hAnsi="Times New Roman" w:cs="Calibri"/>
          <w:color w:val="000000"/>
          <w:sz w:val="24"/>
          <w:szCs w:val="24"/>
          <w:u w:color="000000"/>
          <w:bdr w:val="nil"/>
          <w:lang w:val="fr-FR" w:eastAsia="en-GB"/>
        </w:rPr>
        <w:t>la Commission</w:t>
      </w:r>
      <w:r>
        <w:rPr>
          <w:rFonts w:ascii="Times New Roman" w:eastAsia="Calibri" w:hAnsi="Times New Roman" w:cs="Calibri"/>
          <w:color w:val="000000"/>
          <w:sz w:val="24"/>
          <w:szCs w:val="24"/>
          <w:u w:color="000000"/>
          <w:bdr w:val="nil"/>
          <w:lang w:val="fr-FR" w:eastAsia="en-GB"/>
        </w:rPr>
        <w:t xml:space="preserve"> et le </w:t>
      </w:r>
      <w:r w:rsidR="004E2E61">
        <w:rPr>
          <w:rFonts w:ascii="Times New Roman" w:eastAsia="Calibri" w:hAnsi="Times New Roman" w:cs="Calibri"/>
          <w:color w:val="000000"/>
          <w:sz w:val="24"/>
          <w:szCs w:val="24"/>
          <w:u w:color="000000"/>
          <w:bdr w:val="nil"/>
          <w:lang w:val="fr-FR" w:eastAsia="en-GB"/>
        </w:rPr>
        <w:t xml:space="preserve">SEAE. </w:t>
      </w:r>
      <w:r w:rsidRPr="008201F2">
        <w:rPr>
          <w:rFonts w:ascii="Times New Roman" w:eastAsia="Calibri" w:hAnsi="Times New Roman" w:cs="Calibri"/>
          <w:color w:val="000000"/>
          <w:sz w:val="24"/>
          <w:szCs w:val="24"/>
          <w:u w:color="000000"/>
          <w:bdr w:val="nil"/>
          <w:lang w:val="fr-FR" w:eastAsia="en-GB"/>
        </w:rPr>
        <w:t xml:space="preserve">En outre, et </w:t>
      </w:r>
      <w:r>
        <w:rPr>
          <w:rFonts w:ascii="Times New Roman" w:eastAsia="Calibri" w:hAnsi="Times New Roman" w:cs="Calibri"/>
          <w:color w:val="000000"/>
          <w:sz w:val="24"/>
          <w:szCs w:val="24"/>
          <w:u w:color="000000"/>
          <w:bdr w:val="nil"/>
          <w:lang w:val="fr-FR" w:eastAsia="en-GB"/>
        </w:rPr>
        <w:t>a</w:t>
      </w:r>
      <w:r w:rsidRPr="008201F2">
        <w:rPr>
          <w:rFonts w:ascii="Times New Roman" w:eastAsia="Calibri" w:hAnsi="Times New Roman" w:cs="Calibri"/>
          <w:color w:val="000000"/>
          <w:sz w:val="24"/>
          <w:szCs w:val="24"/>
          <w:u w:color="000000"/>
          <w:bdr w:val="nil"/>
          <w:lang w:val="fr-FR" w:eastAsia="en-GB"/>
        </w:rPr>
        <w:t xml:space="preserve">lors même que les consultations s'inscrivaient dans un contexte politique hautement complexe et sensible, </w:t>
      </w:r>
      <w:r w:rsidRPr="008201F2">
        <w:rPr>
          <w:rFonts w:ascii="Times New Roman" w:eastAsia="Calibri" w:hAnsi="Times New Roman" w:cs="Calibri"/>
          <w:b/>
          <w:bCs/>
          <w:color w:val="000000"/>
          <w:sz w:val="24"/>
          <w:szCs w:val="24"/>
          <w:u w:color="000000"/>
          <w:bdr w:val="nil"/>
          <w:lang w:val="fr-FR" w:eastAsia="en-GB"/>
        </w:rPr>
        <w:t>la question posée n'était pas celle du statut final du territoire mais celle de savoir si l'U</w:t>
      </w:r>
      <w:r>
        <w:rPr>
          <w:rFonts w:ascii="Times New Roman" w:eastAsia="Calibri" w:hAnsi="Times New Roman" w:cs="Calibri"/>
          <w:b/>
          <w:bCs/>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w:t>
      </w:r>
      <w:r w:rsidRPr="008201F2">
        <w:rPr>
          <w:rFonts w:ascii="Times New Roman" w:eastAsia="Calibri" w:hAnsi="Times New Roman" w:cs="Calibri"/>
          <w:b/>
          <w:bCs/>
          <w:color w:val="000000"/>
          <w:sz w:val="24"/>
          <w:szCs w:val="24"/>
          <w:u w:color="000000"/>
          <w:bdr w:val="nil"/>
          <w:lang w:val="fr-FR" w:eastAsia="en-GB"/>
        </w:rPr>
        <w:t>devait appliquer des préférences tarifaires dans le cadre de l'</w:t>
      </w:r>
      <w:r>
        <w:rPr>
          <w:rFonts w:ascii="Times New Roman" w:eastAsia="Calibri" w:hAnsi="Times New Roman" w:cs="Calibri"/>
          <w:b/>
          <w:bCs/>
          <w:color w:val="000000"/>
          <w:sz w:val="24"/>
          <w:szCs w:val="24"/>
          <w:u w:color="000000"/>
          <w:bdr w:val="nil"/>
          <w:lang w:val="fr-FR" w:eastAsia="en-GB"/>
        </w:rPr>
        <w:t>a</w:t>
      </w:r>
      <w:r w:rsidRPr="008201F2">
        <w:rPr>
          <w:rFonts w:ascii="Times New Roman" w:eastAsia="Calibri" w:hAnsi="Times New Roman" w:cs="Calibri"/>
          <w:b/>
          <w:bCs/>
          <w:color w:val="000000"/>
          <w:sz w:val="24"/>
          <w:szCs w:val="24"/>
          <w:u w:color="000000"/>
          <w:bdr w:val="nil"/>
          <w:lang w:val="fr-FR" w:eastAsia="en-GB"/>
        </w:rPr>
        <w:t xml:space="preserve">ccord </w:t>
      </w:r>
      <w:r>
        <w:rPr>
          <w:rFonts w:ascii="Times New Roman" w:eastAsia="Calibri" w:hAnsi="Times New Roman" w:cs="Calibri"/>
          <w:b/>
          <w:bCs/>
          <w:color w:val="000000"/>
          <w:sz w:val="24"/>
          <w:szCs w:val="24"/>
          <w:u w:color="000000"/>
          <w:bdr w:val="nil"/>
          <w:lang w:val="fr-FR" w:eastAsia="en-GB"/>
        </w:rPr>
        <w:t>d’association</w:t>
      </w:r>
      <w:r w:rsidRPr="008201F2">
        <w:rPr>
          <w:rFonts w:ascii="Times New Roman" w:eastAsia="Calibri" w:hAnsi="Times New Roman" w:cs="Calibri"/>
          <w:b/>
          <w:bCs/>
          <w:color w:val="000000"/>
          <w:sz w:val="24"/>
          <w:szCs w:val="24"/>
          <w:u w:color="000000"/>
          <w:bdr w:val="nil"/>
          <w:lang w:val="fr-FR" w:eastAsia="en-GB"/>
        </w:rPr>
        <w:t xml:space="preserve"> UE-Maroc aux produits provenant du Sahara occidental</w:t>
      </w:r>
      <w:r w:rsidRPr="008201F2">
        <w:rPr>
          <w:rFonts w:ascii="Times New Roman" w:eastAsia="Calibri" w:hAnsi="Times New Roman" w:cs="Calibri"/>
          <w:color w:val="000000"/>
          <w:sz w:val="24"/>
          <w:szCs w:val="24"/>
          <w:u w:color="000000"/>
          <w:bdr w:val="nil"/>
          <w:lang w:val="fr-FR" w:eastAsia="en-GB"/>
        </w:rPr>
        <w:t xml:space="preserve">. Cet angle particulier retenu par </w:t>
      </w:r>
      <w:r>
        <w:rPr>
          <w:rFonts w:ascii="Times New Roman" w:eastAsia="Calibri" w:hAnsi="Times New Roman" w:cs="Calibri"/>
          <w:color w:val="000000"/>
          <w:sz w:val="24"/>
          <w:szCs w:val="24"/>
          <w:u w:color="000000"/>
          <w:bdr w:val="nil"/>
          <w:lang w:val="fr-FR" w:eastAsia="en-GB"/>
        </w:rPr>
        <w:t xml:space="preserve">les services de </w:t>
      </w:r>
      <w:r w:rsidRPr="008201F2">
        <w:rPr>
          <w:rFonts w:ascii="Times New Roman" w:eastAsia="Calibri" w:hAnsi="Times New Roman" w:cs="Calibri"/>
          <w:color w:val="000000"/>
          <w:sz w:val="24"/>
          <w:szCs w:val="24"/>
          <w:u w:color="000000"/>
          <w:bdr w:val="nil"/>
          <w:lang w:val="fr-FR" w:eastAsia="en-GB"/>
        </w:rPr>
        <w:t xml:space="preserve">la Commission </w:t>
      </w:r>
      <w:r>
        <w:rPr>
          <w:rFonts w:ascii="Times New Roman" w:eastAsia="Calibri" w:hAnsi="Times New Roman" w:cs="Calibri"/>
          <w:color w:val="000000"/>
          <w:sz w:val="24"/>
          <w:szCs w:val="24"/>
          <w:u w:color="000000"/>
          <w:bdr w:val="nil"/>
          <w:lang w:val="fr-FR" w:eastAsia="en-GB"/>
        </w:rPr>
        <w:t xml:space="preserve">et le SEAE </w:t>
      </w:r>
      <w:r w:rsidRPr="008201F2">
        <w:rPr>
          <w:rFonts w:ascii="Times New Roman" w:eastAsia="Calibri" w:hAnsi="Times New Roman" w:cs="Calibri"/>
          <w:color w:val="000000"/>
          <w:sz w:val="24"/>
          <w:szCs w:val="24"/>
          <w:u w:color="000000"/>
          <w:bdr w:val="nil"/>
          <w:lang w:val="fr-FR" w:eastAsia="en-GB"/>
        </w:rPr>
        <w:t>se fondait sur le caractère essentiellement économique de l'</w:t>
      </w:r>
      <w:r>
        <w:rPr>
          <w:rFonts w:ascii="Times New Roman" w:eastAsia="Calibri" w:hAnsi="Times New Roman" w:cs="Calibri"/>
          <w:color w:val="000000"/>
          <w:sz w:val="24"/>
          <w:szCs w:val="24"/>
          <w:u w:color="000000"/>
          <w:bdr w:val="nil"/>
          <w:lang w:val="fr-FR" w:eastAsia="en-GB"/>
        </w:rPr>
        <w:t>a</w:t>
      </w:r>
      <w:r w:rsidRPr="008201F2">
        <w:rPr>
          <w:rFonts w:ascii="Times New Roman" w:eastAsia="Calibri" w:hAnsi="Times New Roman" w:cs="Calibri"/>
          <w:color w:val="000000"/>
          <w:sz w:val="24"/>
          <w:szCs w:val="24"/>
          <w:u w:color="000000"/>
          <w:bdr w:val="nil"/>
          <w:lang w:val="fr-FR" w:eastAsia="en-GB"/>
        </w:rPr>
        <w:t>ccord ainsi que sur le souci de l'U</w:t>
      </w:r>
      <w:r>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d'éviter de fragiliser des flux d'échanges commerciaux traditionnels. </w:t>
      </w:r>
    </w:p>
    <w:p w:rsidR="008201F2" w:rsidRPr="00493B88" w:rsidRDefault="008201F2" w:rsidP="008201F2">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fr-FR" w:eastAsia="en-GB"/>
        </w:rPr>
      </w:pPr>
    </w:p>
    <w:p w:rsidR="008201F2" w:rsidRPr="004E2E61" w:rsidRDefault="008201F2" w:rsidP="004E2E61">
      <w:pPr>
        <w:pStyle w:val="Heading2"/>
        <w:rPr>
          <w:rFonts w:eastAsia="Arial Unicode MS"/>
          <w:b w:val="0"/>
          <w:bCs w:val="0"/>
          <w:u w:color="000000"/>
          <w:bdr w:val="nil"/>
          <w:lang w:val="en-US" w:eastAsia="en-GB"/>
        </w:rPr>
      </w:pPr>
      <w:bookmarkStart w:id="30" w:name="_Toc31"/>
      <w:bookmarkStart w:id="31" w:name="_Toc514257473"/>
      <w:r w:rsidRPr="00002064">
        <w:rPr>
          <w:rFonts w:eastAsia="Arial Unicode MS"/>
          <w:u w:color="000000"/>
          <w:bdr w:val="nil"/>
          <w:lang w:val="fr-FR" w:eastAsia="en-GB"/>
        </w:rPr>
        <w:t>Principaux</w:t>
      </w:r>
      <w:r w:rsidRPr="003B46DB">
        <w:rPr>
          <w:rFonts w:eastAsia="Arial Unicode MS"/>
          <w:u w:color="000000"/>
          <w:bdr w:val="nil"/>
          <w:lang w:val="fr-FR" w:eastAsia="en-GB"/>
        </w:rPr>
        <w:t xml:space="preserve"> résultats</w:t>
      </w:r>
      <w:bookmarkEnd w:id="30"/>
      <w:bookmarkEnd w:id="31"/>
    </w:p>
    <w:p w:rsidR="008201F2" w:rsidRPr="008201F2" w:rsidRDefault="008201F2" w:rsidP="008201F2">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eastAsia="en-GB"/>
        </w:rPr>
      </w:pPr>
    </w:p>
    <w:p w:rsidR="00C763FD" w:rsidRPr="008201F2" w:rsidRDefault="00C763FD" w:rsidP="00C763FD">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Dans le cadre susmentionné, l'exercice de consultation poursuivi par les services de la Commission européenne et le SEAE a revêtu une triple dimension. </w:t>
      </w:r>
      <w:r>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n tant que partenaire de la n</w:t>
      </w:r>
      <w:r>
        <w:rPr>
          <w:rFonts w:ascii="Times New Roman" w:eastAsia="Calibri" w:hAnsi="Times New Roman" w:cs="Calibri"/>
          <w:color w:val="000000"/>
          <w:sz w:val="24"/>
          <w:szCs w:val="24"/>
          <w:u w:color="000000"/>
          <w:bdr w:val="nil"/>
          <w:lang w:val="fr-FR" w:eastAsia="en-GB"/>
        </w:rPr>
        <w:t>é</w:t>
      </w:r>
      <w:r w:rsidRPr="008201F2">
        <w:rPr>
          <w:rFonts w:ascii="Times New Roman" w:eastAsia="Calibri" w:hAnsi="Times New Roman" w:cs="Calibri"/>
          <w:color w:val="000000"/>
          <w:sz w:val="24"/>
          <w:szCs w:val="24"/>
          <w:u w:color="000000"/>
          <w:bdr w:val="nil"/>
          <w:lang w:val="fr-FR" w:eastAsia="en-GB"/>
        </w:rPr>
        <w:t>gociation</w:t>
      </w:r>
      <w:r>
        <w:rPr>
          <w:rFonts w:ascii="Times New Roman" w:eastAsia="Calibri" w:hAnsi="Times New Roman" w:cs="Calibri"/>
          <w:color w:val="000000"/>
          <w:sz w:val="24"/>
          <w:szCs w:val="24"/>
          <w:u w:color="000000"/>
          <w:bdr w:val="nil"/>
          <w:lang w:val="fr-FR" w:eastAsia="en-GB"/>
        </w:rPr>
        <w:t>, le</w:t>
      </w:r>
      <w:r w:rsidRPr="008201F2">
        <w:rPr>
          <w:rFonts w:ascii="Times New Roman" w:eastAsia="Calibri" w:hAnsi="Times New Roman" w:cs="Calibri"/>
          <w:color w:val="000000"/>
          <w:sz w:val="24"/>
          <w:szCs w:val="24"/>
          <w:u w:color="000000"/>
          <w:bdr w:val="nil"/>
          <w:lang w:val="fr-FR" w:eastAsia="en-GB"/>
        </w:rPr>
        <w:t xml:space="preserve"> </w:t>
      </w:r>
      <w:r w:rsidRPr="00262B93">
        <w:rPr>
          <w:rFonts w:ascii="Times New Roman" w:eastAsia="Arial Unicode MS" w:hAnsi="Times New Roman" w:cs="Times New Roman"/>
          <w:sz w:val="24"/>
          <w:szCs w:val="24"/>
          <w:bdr w:val="nil"/>
          <w:lang w:val="fr-BE"/>
        </w:rPr>
        <w:t>Gouvernement du Maroc</w:t>
      </w:r>
      <w:r>
        <w:rPr>
          <w:rFonts w:ascii="Times New Roman" w:eastAsia="Arial Unicode MS" w:hAnsi="Times New Roman" w:cs="Times New Roman"/>
          <w:sz w:val="24"/>
          <w:szCs w:val="24"/>
          <w:bdr w:val="nil"/>
          <w:lang w:val="fr-BE"/>
        </w:rPr>
        <w:t xml:space="preserve"> a mené pour sa part </w:t>
      </w:r>
      <w:r w:rsidRPr="008201F2">
        <w:rPr>
          <w:rFonts w:ascii="Times New Roman" w:eastAsia="Calibri" w:hAnsi="Times New Roman" w:cs="Calibri"/>
          <w:color w:val="000000"/>
          <w:sz w:val="24"/>
          <w:szCs w:val="24"/>
          <w:u w:color="000000"/>
          <w:bdr w:val="nil"/>
          <w:lang w:val="fr-FR" w:eastAsia="en-GB"/>
        </w:rPr>
        <w:t xml:space="preserve">un </w:t>
      </w:r>
      <w:r>
        <w:rPr>
          <w:rFonts w:ascii="Times New Roman" w:eastAsia="Calibri" w:hAnsi="Times New Roman" w:cs="Calibri"/>
          <w:color w:val="000000"/>
          <w:sz w:val="24"/>
          <w:szCs w:val="24"/>
          <w:u w:color="000000"/>
          <w:bdr w:val="nil"/>
          <w:lang w:val="fr-FR" w:eastAsia="en-GB"/>
        </w:rPr>
        <w:t xml:space="preserve">large exercice de </w:t>
      </w:r>
      <w:r w:rsidRPr="008201F2">
        <w:rPr>
          <w:rFonts w:ascii="Times New Roman" w:eastAsia="Calibri" w:hAnsi="Times New Roman" w:cs="Calibri"/>
          <w:color w:val="000000"/>
          <w:sz w:val="24"/>
          <w:szCs w:val="24"/>
          <w:u w:color="000000"/>
          <w:bdr w:val="nil"/>
          <w:lang w:val="fr-FR" w:eastAsia="en-GB"/>
        </w:rPr>
        <w:t>consultation des élus régionaux</w:t>
      </w:r>
      <w:r>
        <w:rPr>
          <w:rFonts w:ascii="Times New Roman" w:eastAsia="Calibri" w:hAnsi="Times New Roman" w:cs="Calibri"/>
          <w:color w:val="000000"/>
          <w:sz w:val="24"/>
          <w:szCs w:val="24"/>
          <w:u w:color="000000"/>
          <w:bdr w:val="nil"/>
          <w:lang w:val="fr-FR" w:eastAsia="en-GB"/>
        </w:rPr>
        <w:t>, en vertu et</w:t>
      </w:r>
      <w:r w:rsidRPr="008201F2">
        <w:rPr>
          <w:rFonts w:ascii="Times New Roman" w:eastAsia="Calibri" w:hAnsi="Times New Roman" w:cs="Calibri"/>
          <w:color w:val="000000"/>
          <w:sz w:val="24"/>
          <w:szCs w:val="24"/>
          <w:u w:color="000000"/>
          <w:bdr w:val="nil"/>
          <w:lang w:val="fr-FR" w:eastAsia="en-GB"/>
        </w:rPr>
        <w:t xml:space="preserve"> </w:t>
      </w:r>
      <w:r>
        <w:rPr>
          <w:rFonts w:ascii="Times New Roman" w:eastAsia="Calibri" w:hAnsi="Times New Roman" w:cs="Calibri"/>
          <w:color w:val="000000"/>
          <w:sz w:val="24"/>
          <w:szCs w:val="24"/>
          <w:u w:color="000000"/>
          <w:bdr w:val="nil"/>
          <w:lang w:val="fr-FR" w:eastAsia="en-GB"/>
        </w:rPr>
        <w:t>dans le respect</w:t>
      </w:r>
      <w:r w:rsidRPr="008201F2">
        <w:rPr>
          <w:rFonts w:ascii="Times New Roman" w:eastAsia="Calibri" w:hAnsi="Times New Roman" w:cs="Calibri"/>
          <w:color w:val="000000"/>
          <w:sz w:val="24"/>
          <w:szCs w:val="24"/>
          <w:u w:color="000000"/>
          <w:bdr w:val="nil"/>
          <w:lang w:val="fr-FR" w:eastAsia="en-GB"/>
        </w:rPr>
        <w:t xml:space="preserve"> de ses propres règles institutionnelles</w:t>
      </w:r>
      <w:r>
        <w:rPr>
          <w:rFonts w:ascii="Times New Roman" w:eastAsia="Calibri" w:hAnsi="Times New Roman" w:cs="Calibri"/>
          <w:color w:val="000000"/>
          <w:sz w:val="24"/>
          <w:szCs w:val="24"/>
          <w:u w:color="000000"/>
          <w:bdr w:val="nil"/>
          <w:lang w:val="fr-FR" w:eastAsia="en-GB"/>
        </w:rPr>
        <w:t>, et en a partagé les conclusions avec les services de la Commission européenne et le SEAE</w:t>
      </w:r>
      <w:r w:rsidRPr="008201F2">
        <w:rPr>
          <w:rFonts w:ascii="Times New Roman" w:eastAsia="Calibri" w:hAnsi="Times New Roman" w:cs="Calibri"/>
          <w:color w:val="000000"/>
          <w:sz w:val="24"/>
          <w:szCs w:val="24"/>
          <w:u w:color="000000"/>
          <w:bdr w:val="nil"/>
          <w:lang w:val="fr-FR" w:eastAsia="en-GB"/>
        </w:rPr>
        <w:t xml:space="preserve">. </w:t>
      </w:r>
      <w:r>
        <w:rPr>
          <w:rFonts w:ascii="Times New Roman" w:eastAsia="Calibri" w:hAnsi="Times New Roman" w:cs="Calibri"/>
          <w:color w:val="000000"/>
          <w:sz w:val="24"/>
          <w:szCs w:val="24"/>
          <w:u w:color="000000"/>
          <w:bdr w:val="nil"/>
          <w:lang w:val="fr-FR" w:eastAsia="en-GB"/>
        </w:rPr>
        <w:t>Par ailleurs, ces derniers ont également</w:t>
      </w:r>
      <w:r w:rsidRPr="008201F2">
        <w:rPr>
          <w:rFonts w:ascii="Times New Roman" w:eastAsia="Calibri" w:hAnsi="Times New Roman" w:cs="Calibri"/>
          <w:color w:val="000000"/>
          <w:sz w:val="24"/>
          <w:szCs w:val="24"/>
          <w:u w:color="000000"/>
          <w:bdr w:val="nil"/>
          <w:lang w:val="fr-FR" w:eastAsia="en-GB"/>
        </w:rPr>
        <w:t xml:space="preserve"> souhaité consulter le plus large éventail possible d'organisations politiques, socio-économiques ou issues de la société civile susceptibles de représenter les intérêts locaux ou régionaux du Sahara occidental. </w:t>
      </w:r>
      <w:r>
        <w:rPr>
          <w:rFonts w:ascii="Times New Roman" w:eastAsia="Calibri" w:hAnsi="Times New Roman" w:cs="Calibri"/>
          <w:color w:val="000000"/>
          <w:sz w:val="24"/>
          <w:szCs w:val="24"/>
          <w:u w:color="000000"/>
          <w:bdr w:val="nil"/>
          <w:lang w:val="fr-FR" w:eastAsia="en-GB"/>
        </w:rPr>
        <w:t xml:space="preserve"> </w:t>
      </w:r>
      <w:r w:rsidRPr="008201F2">
        <w:rPr>
          <w:rFonts w:ascii="Times New Roman" w:eastAsia="Calibri" w:hAnsi="Times New Roman" w:cs="Calibri"/>
          <w:color w:val="000000"/>
          <w:sz w:val="24"/>
          <w:szCs w:val="24"/>
          <w:u w:color="000000"/>
          <w:bdr w:val="nil"/>
          <w:lang w:val="fr-FR" w:eastAsia="en-GB"/>
        </w:rPr>
        <w:t xml:space="preserve">Enfin, des discussions </w:t>
      </w:r>
      <w:r>
        <w:rPr>
          <w:rFonts w:ascii="Times New Roman" w:eastAsia="Calibri" w:hAnsi="Times New Roman" w:cs="Calibri"/>
          <w:color w:val="000000"/>
          <w:sz w:val="24"/>
          <w:szCs w:val="24"/>
          <w:u w:color="000000"/>
          <w:bdr w:val="nil"/>
          <w:lang w:val="fr-FR" w:eastAsia="en-GB"/>
        </w:rPr>
        <w:t xml:space="preserve">ont aussi eu lieu </w:t>
      </w:r>
      <w:r w:rsidRPr="008201F2">
        <w:rPr>
          <w:rFonts w:ascii="Times New Roman" w:eastAsia="Calibri" w:hAnsi="Times New Roman" w:cs="Calibri"/>
          <w:color w:val="000000"/>
          <w:sz w:val="24"/>
          <w:szCs w:val="24"/>
          <w:u w:color="000000"/>
          <w:bdr w:val="nil"/>
          <w:lang w:val="fr-FR" w:eastAsia="en-GB"/>
        </w:rPr>
        <w:t xml:space="preserve">avec le Front Polisario, en tant qu'une des parties au processus de paix conduit par les Nations unies.  </w:t>
      </w:r>
    </w:p>
    <w:p w:rsidR="008201F2" w:rsidRPr="008201F2" w:rsidRDefault="008201F2" w:rsidP="008201F2">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fr-FR" w:eastAsia="en-GB"/>
        </w:rPr>
      </w:pPr>
    </w:p>
    <w:p w:rsidR="008201F2" w:rsidRDefault="008201F2" w:rsidP="004E2E61">
      <w:pPr>
        <w:pBdr>
          <w:top w:val="nil"/>
          <w:left w:val="nil"/>
          <w:bottom w:val="nil"/>
          <w:right w:val="nil"/>
          <w:between w:val="nil"/>
          <w:bar w:val="nil"/>
        </w:pBdr>
        <w:jc w:val="both"/>
        <w:rPr>
          <w:rFonts w:ascii="Times New Roman" w:eastAsia="Calibri" w:hAnsi="Times New Roman" w:cs="Calibri"/>
          <w:i/>
          <w:iCs/>
          <w:color w:val="000000"/>
          <w:sz w:val="24"/>
          <w:szCs w:val="24"/>
          <w:u w:color="000000"/>
          <w:bdr w:val="nil"/>
          <w:lang w:val="fr-FR" w:eastAsia="en-GB"/>
        </w:rPr>
      </w:pPr>
      <w:r w:rsidRPr="00AC1DF3">
        <w:rPr>
          <w:rFonts w:ascii="Times New Roman" w:eastAsia="Calibri" w:hAnsi="Times New Roman" w:cs="Calibri"/>
          <w:i/>
          <w:iCs/>
          <w:color w:val="000000"/>
          <w:sz w:val="24"/>
          <w:szCs w:val="24"/>
          <w:u w:color="000000"/>
          <w:bdr w:val="nil"/>
          <w:lang w:val="fr-FR" w:eastAsia="en-GB"/>
        </w:rPr>
        <w:t>Résultats des consultations par les autorités marocaines des représentants élus du Sahara occidental au sein des organes constitutionnels nationaux, régionaux et locaux.</w:t>
      </w: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Les 5 et 6 mars</w:t>
      </w:r>
      <w:r>
        <w:rPr>
          <w:rFonts w:ascii="Times New Roman" w:eastAsia="Calibri" w:hAnsi="Times New Roman" w:cs="Calibri"/>
          <w:color w:val="000000"/>
          <w:sz w:val="24"/>
          <w:szCs w:val="24"/>
          <w:u w:color="000000"/>
          <w:bdr w:val="nil"/>
          <w:lang w:val="fr-FR" w:eastAsia="en-GB"/>
        </w:rPr>
        <w:t xml:space="preserve"> 2018</w:t>
      </w:r>
      <w:r w:rsidRPr="008201F2">
        <w:rPr>
          <w:rFonts w:ascii="Times New Roman" w:eastAsia="Calibri" w:hAnsi="Times New Roman" w:cs="Calibri"/>
          <w:color w:val="000000"/>
          <w:sz w:val="24"/>
          <w:szCs w:val="24"/>
          <w:u w:color="000000"/>
          <w:bdr w:val="nil"/>
          <w:lang w:val="fr-FR" w:eastAsia="en-GB"/>
        </w:rPr>
        <w:t>, les autorités marocaines ont consulté les représentants élus des organes constitutionnels nationaux, régionaux et locaux. Ces consultations ont impliqué les quatre conseils régionaux les plus directement intéressés</w:t>
      </w:r>
      <w:r w:rsidR="002060D5">
        <w:rPr>
          <w:rStyle w:val="FootnoteReference"/>
          <w:rFonts w:ascii="Times New Roman" w:eastAsia="Calibri" w:hAnsi="Times New Roman" w:cs="Calibri"/>
          <w:color w:val="000000"/>
          <w:sz w:val="24"/>
          <w:szCs w:val="24"/>
          <w:u w:color="000000"/>
          <w:bdr w:val="nil"/>
          <w:lang w:val="fr-FR" w:eastAsia="en-GB"/>
        </w:rPr>
        <w:footnoteReference w:id="56"/>
      </w:r>
      <w:r w:rsidRPr="008201F2">
        <w:rPr>
          <w:rFonts w:ascii="Times New Roman" w:eastAsia="Calibri" w:hAnsi="Times New Roman" w:cs="Calibri"/>
          <w:color w:val="000000"/>
          <w:sz w:val="24"/>
          <w:szCs w:val="24"/>
          <w:u w:color="000000"/>
          <w:bdr w:val="nil"/>
          <w:lang w:val="fr-FR" w:eastAsia="en-GB"/>
        </w:rPr>
        <w:t xml:space="preserve">, leurs Chambres régionales professionnelles </w:t>
      </w:r>
      <w:r w:rsidR="004E2E61" w:rsidRPr="008201F2">
        <w:rPr>
          <w:rFonts w:ascii="Times New Roman" w:eastAsia="Calibri" w:hAnsi="Times New Roman" w:cs="Calibri"/>
          <w:color w:val="000000"/>
          <w:sz w:val="24"/>
          <w:szCs w:val="24"/>
          <w:u w:color="000000"/>
          <w:bdr w:val="nil"/>
          <w:lang w:val="fr-FR" w:eastAsia="en-GB"/>
        </w:rPr>
        <w:t>d’agriculture</w:t>
      </w:r>
      <w:r w:rsidRPr="008201F2">
        <w:rPr>
          <w:rFonts w:ascii="Times New Roman" w:eastAsia="Calibri" w:hAnsi="Times New Roman" w:cs="Calibri"/>
          <w:color w:val="000000"/>
          <w:sz w:val="24"/>
          <w:szCs w:val="24"/>
          <w:u w:color="000000"/>
          <w:bdr w:val="nil"/>
          <w:lang w:val="fr-FR" w:eastAsia="en-GB"/>
        </w:rPr>
        <w:t xml:space="preserve"> respectives ainsi que la Commission des affaires étrangères de la chambre haute du Parlement marocain ("Chambre des Conseillers"). Les représentants des conseils régionaux </w:t>
      </w:r>
      <w:r>
        <w:rPr>
          <w:rFonts w:ascii="Times New Roman" w:eastAsia="Calibri" w:hAnsi="Times New Roman" w:cs="Calibri"/>
          <w:color w:val="000000"/>
          <w:sz w:val="24"/>
          <w:szCs w:val="24"/>
          <w:u w:color="000000"/>
          <w:bdr w:val="nil"/>
          <w:lang w:val="fr-FR" w:eastAsia="en-GB"/>
        </w:rPr>
        <w:t>ont</w:t>
      </w:r>
      <w:r w:rsidRPr="008201F2">
        <w:rPr>
          <w:rFonts w:ascii="Times New Roman" w:eastAsia="Calibri" w:hAnsi="Times New Roman" w:cs="Calibri"/>
          <w:color w:val="000000"/>
          <w:sz w:val="24"/>
          <w:szCs w:val="24"/>
          <w:u w:color="000000"/>
          <w:bdr w:val="nil"/>
          <w:lang w:val="fr-FR" w:eastAsia="en-GB"/>
        </w:rPr>
        <w:t xml:space="preserve"> été élus en 2015 dans le cadre des premières élections régionales au suffrage universel direct tenues au Maroc</w:t>
      </w:r>
      <w:r w:rsidR="002060D5">
        <w:rPr>
          <w:rStyle w:val="FootnoteReference"/>
          <w:rFonts w:ascii="Times New Roman" w:eastAsia="Calibri" w:hAnsi="Times New Roman" w:cs="Calibri"/>
          <w:color w:val="000000"/>
          <w:sz w:val="24"/>
          <w:szCs w:val="24"/>
          <w:u w:color="000000"/>
          <w:bdr w:val="nil"/>
          <w:lang w:val="fr-FR" w:eastAsia="en-GB"/>
        </w:rPr>
        <w:footnoteReference w:id="57"/>
      </w:r>
      <w:r w:rsidRPr="008201F2">
        <w:rPr>
          <w:rFonts w:ascii="Times New Roman" w:eastAsia="Calibri" w:hAnsi="Times New Roman" w:cs="Calibri"/>
          <w:color w:val="000000"/>
          <w:sz w:val="24"/>
          <w:szCs w:val="24"/>
          <w:u w:color="000000"/>
          <w:bdr w:val="nil"/>
          <w:lang w:val="fr-FR" w:eastAsia="en-GB"/>
        </w:rPr>
        <w:t>. S'agissant de l'origine des représentants élus, le compte rendu des autorités marocaines indique que tous les conseillers régionaux des régions  de La</w:t>
      </w:r>
      <w:r w:rsidR="00994749">
        <w:rPr>
          <w:rFonts w:ascii="Times New Roman" w:eastAsia="Calibri" w:hAnsi="Times New Roman" w:cs="Calibri"/>
          <w:color w:val="000000"/>
          <w:sz w:val="24"/>
          <w:szCs w:val="24"/>
          <w:u w:color="000000"/>
          <w:bdr w:val="nil"/>
          <w:lang w:val="fr-FR" w:eastAsia="en-GB"/>
        </w:rPr>
        <w:t>â</w:t>
      </w:r>
      <w:r w:rsidRPr="008201F2">
        <w:rPr>
          <w:rFonts w:ascii="Times New Roman" w:eastAsia="Calibri" w:hAnsi="Times New Roman" w:cs="Calibri"/>
          <w:color w:val="000000"/>
          <w:sz w:val="24"/>
          <w:szCs w:val="24"/>
          <w:u w:color="000000"/>
          <w:bdr w:val="nil"/>
          <w:lang w:val="fr-FR" w:eastAsia="en-GB"/>
        </w:rPr>
        <w:t>youne Sakia el Hamra et Dakhla</w:t>
      </w:r>
      <w:r w:rsidR="00994749">
        <w:rPr>
          <w:rFonts w:ascii="Times New Roman" w:eastAsia="Calibri" w:hAnsi="Times New Roman" w:cs="Calibri"/>
          <w:color w:val="000000"/>
          <w:sz w:val="24"/>
          <w:szCs w:val="24"/>
          <w:u w:color="000000"/>
          <w:bdr w:val="nil"/>
          <w:lang w:val="fr-FR" w:eastAsia="en-GB"/>
        </w:rPr>
        <w:t>-O</w:t>
      </w:r>
      <w:r w:rsidRPr="008201F2">
        <w:rPr>
          <w:rFonts w:ascii="Times New Roman" w:eastAsia="Calibri" w:hAnsi="Times New Roman" w:cs="Calibri"/>
          <w:color w:val="000000"/>
          <w:sz w:val="24"/>
          <w:szCs w:val="24"/>
          <w:u w:color="000000"/>
          <w:bdr w:val="nil"/>
          <w:lang w:val="fr-FR" w:eastAsia="en-GB"/>
        </w:rPr>
        <w:t xml:space="preserve">ued </w:t>
      </w:r>
      <w:r w:rsidR="00994749">
        <w:rPr>
          <w:rFonts w:ascii="Times New Roman" w:eastAsia="Calibri" w:hAnsi="Times New Roman" w:cs="Calibri"/>
          <w:color w:val="000000"/>
          <w:sz w:val="24"/>
          <w:szCs w:val="24"/>
          <w:u w:color="000000"/>
          <w:bdr w:val="nil"/>
          <w:lang w:val="fr-FR" w:eastAsia="en-GB"/>
        </w:rPr>
        <w:t>ed D</w:t>
      </w:r>
      <w:r w:rsidRPr="008201F2">
        <w:rPr>
          <w:rFonts w:ascii="Times New Roman" w:eastAsia="Calibri" w:hAnsi="Times New Roman" w:cs="Calibri"/>
          <w:color w:val="000000"/>
          <w:sz w:val="24"/>
          <w:szCs w:val="24"/>
          <w:u w:color="000000"/>
          <w:bdr w:val="nil"/>
          <w:lang w:val="fr-FR" w:eastAsia="en-GB"/>
        </w:rPr>
        <w:t>ahab, les deux régions qui couvrent la quasi-intégralité du territoire du Sahara occidental, de même que les membres des chambres régionales d'agriculture de ces dernières, sont issus de tribus locales sahraouies. La moitié des membres de la Commission des affaires étrangères sont également de même origine sahraouie, dont le président.</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Le rapport officiel émanant des autorités marocaines sur le résultat de la consultation des institutions légales marocaines fait apparaître un attachement unanime des représentants locaux, régionaux et nationaux envers le partenariat </w:t>
      </w:r>
      <w:r w:rsidR="006D0C71">
        <w:rPr>
          <w:rFonts w:ascii="Times New Roman" w:eastAsia="Calibri" w:hAnsi="Times New Roman" w:cs="Calibri"/>
          <w:color w:val="000000"/>
          <w:sz w:val="24"/>
          <w:szCs w:val="24"/>
          <w:u w:color="000000"/>
          <w:bdr w:val="nil"/>
          <w:lang w:val="fr-FR" w:eastAsia="en-GB"/>
        </w:rPr>
        <w:t>entre l’</w:t>
      </w:r>
      <w:r w:rsidRPr="008201F2">
        <w:rPr>
          <w:rFonts w:ascii="Times New Roman" w:eastAsia="Calibri" w:hAnsi="Times New Roman" w:cs="Calibri"/>
          <w:color w:val="000000"/>
          <w:sz w:val="24"/>
          <w:szCs w:val="24"/>
          <w:u w:color="000000"/>
          <w:bdr w:val="nil"/>
          <w:lang w:val="fr-FR" w:eastAsia="en-GB"/>
        </w:rPr>
        <w:t>U</w:t>
      </w:r>
      <w:r w:rsidR="006D0C71">
        <w:rPr>
          <w:rFonts w:ascii="Times New Roman" w:eastAsia="Calibri" w:hAnsi="Times New Roman" w:cs="Calibri"/>
          <w:color w:val="000000"/>
          <w:sz w:val="24"/>
          <w:szCs w:val="24"/>
          <w:u w:color="000000"/>
          <w:bdr w:val="nil"/>
          <w:lang w:val="fr-FR" w:eastAsia="en-GB"/>
        </w:rPr>
        <w:t xml:space="preserve">nion européenne et le </w:t>
      </w:r>
      <w:r w:rsidRPr="008201F2">
        <w:rPr>
          <w:rFonts w:ascii="Times New Roman" w:eastAsia="Calibri" w:hAnsi="Times New Roman" w:cs="Calibri"/>
          <w:color w:val="000000"/>
          <w:sz w:val="24"/>
          <w:szCs w:val="24"/>
          <w:u w:color="000000"/>
          <w:bdr w:val="nil"/>
          <w:lang w:val="fr-FR" w:eastAsia="en-GB"/>
        </w:rPr>
        <w:t>Maroc sur l'agriculture et la pêche et sa pleine cohérence avec les politiques de développement socio-économique nationales poursuivies dans ces domaines. Les représentants élus se félicitent de l'aboutissement des négociations et soulignent les importants bénéfices socio-économiques en découlant, notamment au regard de la promotion des exportations. A titre d'exemple, un conseil régional mentionne les agrumes et huiles végétales parmi les produits d'exportation prometteurs à encourager, tandis qu'une chambre régionale d'agriculture souligne le marché potentiel qui pourrait s'ouvrir en matière de produits c</w:t>
      </w:r>
      <w:r w:rsidR="006D0C71">
        <w:rPr>
          <w:rFonts w:ascii="Times New Roman" w:eastAsia="Calibri" w:hAnsi="Times New Roman" w:cs="Calibri"/>
          <w:color w:val="000000"/>
          <w:sz w:val="24"/>
          <w:szCs w:val="24"/>
          <w:u w:color="000000"/>
          <w:bdr w:val="nil"/>
          <w:lang w:val="fr-FR" w:eastAsia="en-GB"/>
        </w:rPr>
        <w:t>amelins</w:t>
      </w:r>
      <w:r w:rsidRPr="008201F2">
        <w:rPr>
          <w:rFonts w:ascii="Times New Roman" w:eastAsia="Calibri" w:hAnsi="Times New Roman" w:cs="Calibri"/>
          <w:color w:val="000000"/>
          <w:sz w:val="24"/>
          <w:szCs w:val="24"/>
          <w:u w:color="000000"/>
          <w:bdr w:val="nil"/>
          <w:lang w:val="fr-FR" w:eastAsia="en-GB"/>
        </w:rPr>
        <w:t xml:space="preserve"> et la nécessité de coopérer avec l'U</w:t>
      </w:r>
      <w:r w:rsidR="006D0C71">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pour mettre </w:t>
      </w:r>
      <w:r w:rsidR="006D0C71">
        <w:rPr>
          <w:rFonts w:ascii="Times New Roman" w:eastAsia="Calibri" w:hAnsi="Times New Roman" w:cs="Calibri"/>
          <w:color w:val="000000"/>
          <w:sz w:val="24"/>
          <w:szCs w:val="24"/>
          <w:u w:color="000000"/>
          <w:bdr w:val="nil"/>
          <w:lang w:val="fr-FR" w:eastAsia="en-GB"/>
        </w:rPr>
        <w:t>les produits du</w:t>
      </w:r>
      <w:r w:rsidRPr="008201F2">
        <w:rPr>
          <w:rFonts w:ascii="Times New Roman" w:eastAsia="Calibri" w:hAnsi="Times New Roman" w:cs="Calibri"/>
          <w:color w:val="000000"/>
          <w:sz w:val="24"/>
          <w:szCs w:val="24"/>
          <w:u w:color="000000"/>
          <w:bdr w:val="nil"/>
          <w:lang w:val="fr-FR" w:eastAsia="en-GB"/>
        </w:rPr>
        <w:t xml:space="preserve"> Maroc </w:t>
      </w:r>
      <w:r w:rsidR="006D0C71">
        <w:rPr>
          <w:rFonts w:ascii="Times New Roman" w:eastAsia="Calibri" w:hAnsi="Times New Roman" w:cs="Calibri"/>
          <w:color w:val="000000"/>
          <w:sz w:val="24"/>
          <w:szCs w:val="24"/>
          <w:u w:color="000000"/>
          <w:bdr w:val="nil"/>
          <w:lang w:val="fr-FR" w:eastAsia="en-GB"/>
        </w:rPr>
        <w:t>en conformité avec les</w:t>
      </w:r>
      <w:r w:rsidRPr="008201F2">
        <w:rPr>
          <w:rFonts w:ascii="Times New Roman" w:eastAsia="Calibri" w:hAnsi="Times New Roman" w:cs="Calibri"/>
          <w:color w:val="000000"/>
          <w:sz w:val="24"/>
          <w:szCs w:val="24"/>
          <w:u w:color="000000"/>
          <w:bdr w:val="nil"/>
          <w:lang w:val="fr-FR" w:eastAsia="en-GB"/>
        </w:rPr>
        <w:t xml:space="preserve"> normes européennes en matière sanitaire et phytosanitaire. Les représentants élus ont également exprimé leur intérêt pour développer les mécanismes d'accompagnement appropriés pour assurer l'échange d'information et le suivi nécessaires afin d'optimiser les bénéfices de de l'accord </w:t>
      </w:r>
      <w:r w:rsidR="006D0C71">
        <w:rPr>
          <w:rFonts w:ascii="Times New Roman" w:eastAsia="Calibri" w:hAnsi="Times New Roman" w:cs="Calibri"/>
          <w:color w:val="000000"/>
          <w:sz w:val="24"/>
          <w:szCs w:val="24"/>
          <w:u w:color="000000"/>
          <w:bdr w:val="nil"/>
          <w:lang w:val="fr-FR" w:eastAsia="en-GB"/>
        </w:rPr>
        <w:t xml:space="preserve">d’association </w:t>
      </w:r>
      <w:r w:rsidRPr="008201F2">
        <w:rPr>
          <w:rFonts w:ascii="Times New Roman" w:eastAsia="Calibri" w:hAnsi="Times New Roman" w:cs="Calibri"/>
          <w:color w:val="000000"/>
          <w:sz w:val="24"/>
          <w:szCs w:val="24"/>
          <w:u w:color="000000"/>
          <w:bdr w:val="nil"/>
          <w:lang w:val="fr-FR" w:eastAsia="en-GB"/>
        </w:rPr>
        <w:t>UE-Maroc.</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AC1DF3" w:rsidRDefault="00AC1DF3" w:rsidP="00AC1DF3">
      <w:pPr>
        <w:pBdr>
          <w:top w:val="nil"/>
          <w:left w:val="nil"/>
          <w:bottom w:val="nil"/>
          <w:right w:val="nil"/>
          <w:between w:val="nil"/>
          <w:bar w:val="nil"/>
        </w:pBdr>
        <w:jc w:val="both"/>
        <w:rPr>
          <w:rFonts w:ascii="Times New Roman" w:eastAsia="Calibri" w:hAnsi="Times New Roman" w:cs="Calibri"/>
          <w:i/>
          <w:iCs/>
          <w:color w:val="000000"/>
          <w:sz w:val="24"/>
          <w:szCs w:val="24"/>
          <w:u w:color="000000"/>
          <w:bdr w:val="nil"/>
          <w:lang w:val="fr-FR" w:eastAsia="en-GB"/>
        </w:rPr>
      </w:pPr>
      <w:r w:rsidRPr="008201F2">
        <w:rPr>
          <w:rFonts w:ascii="Times New Roman" w:eastAsia="Calibri" w:hAnsi="Times New Roman" w:cs="Calibri"/>
          <w:i/>
          <w:iCs/>
          <w:color w:val="000000"/>
          <w:sz w:val="24"/>
          <w:szCs w:val="24"/>
          <w:u w:color="000000"/>
          <w:bdr w:val="nil"/>
          <w:lang w:val="fr-FR" w:eastAsia="en-GB"/>
        </w:rPr>
        <w:t xml:space="preserve">Résultats des consultations </w:t>
      </w:r>
      <w:r>
        <w:rPr>
          <w:rFonts w:ascii="Times New Roman" w:eastAsia="Calibri" w:hAnsi="Times New Roman" w:cs="Calibri"/>
          <w:i/>
          <w:iCs/>
          <w:color w:val="000000"/>
          <w:sz w:val="24"/>
          <w:szCs w:val="24"/>
          <w:u w:color="000000"/>
          <w:bdr w:val="nil"/>
          <w:lang w:val="fr-FR" w:eastAsia="en-GB"/>
        </w:rPr>
        <w:t xml:space="preserve">menées par les services de la Commission européenne et le SEAE auprès </w:t>
      </w:r>
      <w:r w:rsidRPr="00AC1DF3">
        <w:rPr>
          <w:rFonts w:ascii="Times New Roman" w:eastAsia="Calibri" w:hAnsi="Times New Roman" w:cs="Calibri"/>
          <w:i/>
          <w:iCs/>
          <w:color w:val="000000"/>
          <w:sz w:val="24"/>
          <w:szCs w:val="24"/>
          <w:u w:color="000000"/>
          <w:bdr w:val="nil"/>
          <w:lang w:val="fr-FR" w:eastAsia="en-GB"/>
        </w:rPr>
        <w:t>d'organisations politiques, socio-économiques ou issues de la société civile</w:t>
      </w:r>
      <w:r w:rsidRPr="008201F2">
        <w:rPr>
          <w:rFonts w:ascii="Times New Roman" w:eastAsia="Calibri" w:hAnsi="Times New Roman" w:cs="Calibri"/>
          <w:i/>
          <w:iCs/>
          <w:color w:val="000000"/>
          <w:sz w:val="24"/>
          <w:szCs w:val="24"/>
          <w:u w:color="000000"/>
          <w:bdr w:val="nil"/>
          <w:lang w:val="fr-FR" w:eastAsia="en-GB"/>
        </w:rPr>
        <w:t>.</w:t>
      </w: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AC1DF3">
        <w:rPr>
          <w:rFonts w:ascii="Times New Roman" w:eastAsia="Calibri" w:hAnsi="Times New Roman" w:cs="Calibri"/>
          <w:color w:val="000000"/>
          <w:sz w:val="24"/>
          <w:szCs w:val="24"/>
          <w:u w:color="000000"/>
          <w:bdr w:val="nil"/>
          <w:lang w:val="fr-FR" w:eastAsia="en-GB"/>
        </w:rPr>
        <w:t xml:space="preserve">Le second niveau de consultations, celles-ci </w:t>
      </w:r>
      <w:r w:rsidRPr="00F94351">
        <w:rPr>
          <w:rFonts w:ascii="Times New Roman" w:eastAsia="Calibri" w:hAnsi="Times New Roman" w:cs="Calibri"/>
          <w:color w:val="000000"/>
          <w:sz w:val="24"/>
          <w:szCs w:val="24"/>
          <w:u w:color="000000"/>
          <w:bdr w:val="nil"/>
          <w:lang w:val="fr-FR" w:eastAsia="en-GB"/>
        </w:rPr>
        <w:t xml:space="preserve">directement poursuivies par </w:t>
      </w:r>
      <w:r w:rsidR="006D0C71" w:rsidRPr="00F94351">
        <w:rPr>
          <w:rFonts w:ascii="Times New Roman" w:eastAsia="Calibri" w:hAnsi="Times New Roman" w:cs="Calibri"/>
          <w:color w:val="000000"/>
          <w:sz w:val="24"/>
          <w:szCs w:val="24"/>
          <w:u w:color="000000"/>
          <w:bdr w:val="nil"/>
          <w:lang w:val="fr-FR" w:eastAsia="en-GB"/>
        </w:rPr>
        <w:t xml:space="preserve">les services de </w:t>
      </w:r>
      <w:r w:rsidRPr="00AC1DF3">
        <w:rPr>
          <w:rFonts w:ascii="Times New Roman" w:eastAsia="Calibri" w:hAnsi="Times New Roman" w:cs="Calibri"/>
          <w:color w:val="000000"/>
          <w:sz w:val="24"/>
          <w:szCs w:val="24"/>
          <w:u w:color="000000"/>
          <w:bdr w:val="nil"/>
          <w:lang w:val="fr-FR" w:eastAsia="en-GB"/>
        </w:rPr>
        <w:t xml:space="preserve">la Commission </w:t>
      </w:r>
      <w:r w:rsidR="006D0C71" w:rsidRPr="00AC1DF3">
        <w:rPr>
          <w:rFonts w:ascii="Times New Roman" w:eastAsia="Calibri" w:hAnsi="Times New Roman" w:cs="Calibri"/>
          <w:color w:val="000000"/>
          <w:sz w:val="24"/>
          <w:szCs w:val="24"/>
          <w:u w:color="000000"/>
          <w:bdr w:val="nil"/>
          <w:lang w:val="fr-FR" w:eastAsia="en-GB"/>
        </w:rPr>
        <w:t xml:space="preserve">européenne </w:t>
      </w:r>
      <w:r w:rsidRPr="00AC1DF3">
        <w:rPr>
          <w:rFonts w:ascii="Times New Roman" w:eastAsia="Calibri" w:hAnsi="Times New Roman" w:cs="Calibri"/>
          <w:color w:val="000000"/>
          <w:sz w:val="24"/>
          <w:szCs w:val="24"/>
          <w:u w:color="000000"/>
          <w:bdr w:val="nil"/>
          <w:lang w:val="fr-FR" w:eastAsia="en-GB"/>
        </w:rPr>
        <w:t>et le SEAE, avait pour champ le plus vaste éventail possible de</w:t>
      </w:r>
      <w:r w:rsidRPr="008201F2">
        <w:rPr>
          <w:rFonts w:ascii="Times New Roman" w:eastAsia="Calibri" w:hAnsi="Times New Roman" w:cs="Calibri"/>
          <w:color w:val="000000"/>
          <w:sz w:val="24"/>
          <w:szCs w:val="24"/>
          <w:u w:color="000000"/>
          <w:bdr w:val="nil"/>
          <w:lang w:val="fr-FR" w:eastAsia="en-GB"/>
        </w:rPr>
        <w:t xml:space="preserve"> parties prenantes émanant du Sahara occidental. L'objectif était d</w:t>
      </w:r>
      <w:r w:rsidR="002024CF">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mesurer le soutien à l'accord </w:t>
      </w:r>
      <w:r w:rsidR="002024CF">
        <w:rPr>
          <w:rFonts w:ascii="Times New Roman" w:eastAsia="Calibri" w:hAnsi="Times New Roman" w:cs="Calibri"/>
          <w:color w:val="000000"/>
          <w:sz w:val="24"/>
          <w:szCs w:val="24"/>
          <w:u w:color="000000"/>
          <w:bdr w:val="nil"/>
          <w:lang w:val="fr-FR" w:eastAsia="en-GB"/>
        </w:rPr>
        <w:t xml:space="preserve">d’association </w:t>
      </w:r>
      <w:r w:rsidRPr="008201F2">
        <w:rPr>
          <w:rFonts w:ascii="Times New Roman" w:eastAsia="Calibri" w:hAnsi="Times New Roman" w:cs="Calibri"/>
          <w:color w:val="000000"/>
          <w:sz w:val="24"/>
          <w:szCs w:val="24"/>
          <w:u w:color="000000"/>
          <w:bdr w:val="nil"/>
          <w:lang w:val="fr-FR" w:eastAsia="en-GB"/>
        </w:rPr>
        <w:t>UE-Maroc parmi les opérateurs de terrain, au-delà des organes institutionnels.</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A cette fin, invitation fut lancée à un vaste échantillon régional d</w:t>
      </w:r>
      <w:r w:rsidR="005C661E">
        <w:rPr>
          <w:rFonts w:ascii="Times New Roman" w:eastAsia="Calibri" w:hAnsi="Times New Roman" w:cs="Calibri"/>
          <w:color w:val="000000"/>
          <w:sz w:val="24"/>
          <w:szCs w:val="24"/>
          <w:u w:color="000000"/>
          <w:bdr w:val="nil"/>
          <w:lang w:val="fr-FR" w:eastAsia="en-GB"/>
        </w:rPr>
        <w:t>’acteurs</w:t>
      </w:r>
      <w:r w:rsidRPr="008201F2">
        <w:rPr>
          <w:rFonts w:ascii="Times New Roman" w:eastAsia="Calibri" w:hAnsi="Times New Roman" w:cs="Calibri"/>
          <w:color w:val="000000"/>
          <w:sz w:val="24"/>
          <w:szCs w:val="24"/>
          <w:u w:color="000000"/>
          <w:bdr w:val="nil"/>
          <w:lang w:val="fr-FR" w:eastAsia="en-GB"/>
        </w:rPr>
        <w:t xml:space="preserve"> politiques locaux, forces vives économiques, organisations de la société civile, notamment dans le domaine des droits de l'homme.  Les réunions se sont tenues entre la mi-février et la mi-mars 2018. La liste complète des organisations ainsi consultées est disponible en annexe.</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Cinq des organisations de la société civile consultées par les services de la Commission Européenne et le SEAE </w:t>
      </w:r>
      <w:r w:rsidR="000412E7">
        <w:rPr>
          <w:rFonts w:ascii="Times New Roman" w:eastAsia="Calibri" w:hAnsi="Times New Roman" w:cs="Calibri"/>
          <w:color w:val="000000"/>
          <w:sz w:val="24"/>
          <w:szCs w:val="24"/>
          <w:u w:color="000000"/>
          <w:bdr w:val="nil"/>
          <w:lang w:val="fr-FR" w:eastAsia="en-GB"/>
        </w:rPr>
        <w:t>ont</w:t>
      </w:r>
      <w:r w:rsidRPr="008201F2">
        <w:rPr>
          <w:rFonts w:ascii="Times New Roman" w:eastAsia="Calibri" w:hAnsi="Times New Roman" w:cs="Calibri"/>
          <w:color w:val="000000"/>
          <w:sz w:val="24"/>
          <w:szCs w:val="24"/>
          <w:u w:color="000000"/>
          <w:bdr w:val="nil"/>
          <w:lang w:val="fr-FR" w:eastAsia="en-GB"/>
        </w:rPr>
        <w:t xml:space="preserve"> déclin</w:t>
      </w:r>
      <w:r w:rsidR="000412E7">
        <w:rPr>
          <w:rFonts w:ascii="Times New Roman" w:eastAsia="Calibri" w:hAnsi="Times New Roman" w:cs="Calibri"/>
          <w:color w:val="000000"/>
          <w:sz w:val="24"/>
          <w:szCs w:val="24"/>
          <w:u w:color="000000"/>
          <w:bdr w:val="nil"/>
          <w:lang w:val="fr-FR" w:eastAsia="en-GB"/>
        </w:rPr>
        <w:t>é</w:t>
      </w:r>
      <w:r w:rsidRPr="008201F2">
        <w:rPr>
          <w:rFonts w:ascii="Times New Roman" w:eastAsia="Calibri" w:hAnsi="Times New Roman" w:cs="Calibri"/>
          <w:color w:val="000000"/>
          <w:sz w:val="24"/>
          <w:szCs w:val="24"/>
          <w:u w:color="000000"/>
          <w:bdr w:val="nil"/>
          <w:lang w:val="fr-FR" w:eastAsia="en-GB"/>
        </w:rPr>
        <w:t xml:space="preserve"> l'invitation</w:t>
      </w:r>
      <w:r w:rsidR="002060D5">
        <w:rPr>
          <w:rStyle w:val="FootnoteReference"/>
          <w:rFonts w:ascii="Times New Roman" w:eastAsia="Calibri" w:hAnsi="Times New Roman" w:cs="Calibri"/>
          <w:color w:val="000000"/>
          <w:sz w:val="24"/>
          <w:szCs w:val="24"/>
          <w:u w:color="000000"/>
          <w:bdr w:val="nil"/>
          <w:lang w:val="fr-FR" w:eastAsia="en-GB"/>
        </w:rPr>
        <w:footnoteReference w:id="58"/>
      </w:r>
      <w:r w:rsidRPr="008201F2">
        <w:rPr>
          <w:rFonts w:ascii="Times New Roman" w:eastAsia="Calibri" w:hAnsi="Times New Roman" w:cs="Calibri"/>
          <w:color w:val="000000"/>
          <w:sz w:val="24"/>
          <w:szCs w:val="24"/>
          <w:u w:color="000000"/>
          <w:bdr w:val="nil"/>
          <w:lang w:val="fr-FR" w:eastAsia="en-GB"/>
        </w:rPr>
        <w:t>. Se distinguant par leur proximité ou sympathie envers le Front Polisario, celles-ci arguèrent pour l'essentiel qu'il convenait tout d'abord de consulter ce dernier en leur lieu et place, que la consultation n'était pas compatible avec le droit international ou avec l</w:t>
      </w:r>
      <w:r w:rsidR="002024CF">
        <w:rPr>
          <w:rFonts w:ascii="Times New Roman" w:eastAsia="Calibri" w:hAnsi="Times New Roman" w:cs="Calibri"/>
          <w:color w:val="000000"/>
          <w:sz w:val="24"/>
          <w:szCs w:val="24"/>
          <w:u w:color="000000"/>
          <w:bdr w:val="nil"/>
          <w:lang w:val="fr-FR" w:eastAsia="en-GB"/>
        </w:rPr>
        <w:t>’arrêt</w:t>
      </w:r>
      <w:r w:rsidRPr="008201F2">
        <w:rPr>
          <w:rFonts w:ascii="Times New Roman" w:eastAsia="Calibri" w:hAnsi="Times New Roman" w:cs="Calibri"/>
          <w:color w:val="000000"/>
          <w:sz w:val="24"/>
          <w:szCs w:val="24"/>
          <w:u w:color="000000"/>
          <w:bdr w:val="nil"/>
          <w:lang w:val="fr-FR" w:eastAsia="en-GB"/>
        </w:rPr>
        <w:t xml:space="preserve"> de la C</w:t>
      </w:r>
      <w:r w:rsidR="002024CF">
        <w:rPr>
          <w:rFonts w:ascii="Times New Roman" w:eastAsia="Calibri" w:hAnsi="Times New Roman" w:cs="Calibri"/>
          <w:color w:val="000000"/>
          <w:sz w:val="24"/>
          <w:szCs w:val="24"/>
          <w:u w:color="000000"/>
          <w:bdr w:val="nil"/>
          <w:lang w:val="fr-FR" w:eastAsia="en-GB"/>
        </w:rPr>
        <w:t xml:space="preserve">our de </w:t>
      </w:r>
      <w:r w:rsidR="000C65F5">
        <w:rPr>
          <w:rFonts w:ascii="Times New Roman" w:eastAsia="Calibri" w:hAnsi="Times New Roman" w:cs="Calibri"/>
          <w:color w:val="000000"/>
          <w:sz w:val="24"/>
          <w:szCs w:val="24"/>
          <w:u w:color="000000"/>
          <w:bdr w:val="nil"/>
          <w:lang w:val="fr-FR" w:eastAsia="en-GB"/>
        </w:rPr>
        <w:t>j</w:t>
      </w:r>
      <w:r w:rsidR="002024CF">
        <w:rPr>
          <w:rFonts w:ascii="Times New Roman" w:eastAsia="Calibri" w:hAnsi="Times New Roman" w:cs="Calibri"/>
          <w:color w:val="000000"/>
          <w:sz w:val="24"/>
          <w:szCs w:val="24"/>
          <w:u w:color="000000"/>
          <w:bdr w:val="nil"/>
          <w:lang w:val="fr-FR" w:eastAsia="en-GB"/>
        </w:rPr>
        <w:t>ustice de l’</w:t>
      </w:r>
      <w:r w:rsidRPr="008201F2">
        <w:rPr>
          <w:rFonts w:ascii="Times New Roman" w:eastAsia="Calibri" w:hAnsi="Times New Roman" w:cs="Calibri"/>
          <w:color w:val="000000"/>
          <w:sz w:val="24"/>
          <w:szCs w:val="24"/>
          <w:u w:color="000000"/>
          <w:bdr w:val="nil"/>
          <w:lang w:val="fr-FR" w:eastAsia="en-GB"/>
        </w:rPr>
        <w:t>U</w:t>
      </w:r>
      <w:r w:rsidR="002024CF">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w:t>
      </w:r>
      <w:r w:rsidR="00FB23AD">
        <w:rPr>
          <w:rFonts w:ascii="Times New Roman" w:eastAsia="Calibri" w:hAnsi="Times New Roman" w:cs="Calibri"/>
          <w:color w:val="000000"/>
          <w:sz w:val="24"/>
          <w:szCs w:val="24"/>
          <w:u w:color="000000"/>
          <w:bdr w:val="nil"/>
          <w:lang w:val="fr-FR" w:eastAsia="en-GB"/>
        </w:rPr>
        <w:t xml:space="preserve">du 21 décembre 2016 </w:t>
      </w:r>
      <w:r w:rsidRPr="008201F2">
        <w:rPr>
          <w:rFonts w:ascii="Times New Roman" w:eastAsia="Calibri" w:hAnsi="Times New Roman" w:cs="Calibri"/>
          <w:color w:val="000000"/>
          <w:sz w:val="24"/>
          <w:szCs w:val="24"/>
          <w:u w:color="000000"/>
          <w:bdr w:val="nil"/>
          <w:lang w:val="fr-FR" w:eastAsia="en-GB"/>
        </w:rPr>
        <w:t xml:space="preserve">et qu'aucune consultation en matière d'accord commercial ne saurait avoir lieu en présence d'une "occupation armée." En réponse, les services de la Commission </w:t>
      </w:r>
      <w:r w:rsidR="0018489E">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uropéenne et le SEAE </w:t>
      </w:r>
      <w:r w:rsidR="000412E7">
        <w:rPr>
          <w:rFonts w:ascii="Times New Roman" w:eastAsia="Calibri" w:hAnsi="Times New Roman" w:cs="Calibri"/>
          <w:color w:val="000000"/>
          <w:sz w:val="24"/>
          <w:szCs w:val="24"/>
          <w:u w:color="000000"/>
          <w:bdr w:val="nil"/>
          <w:lang w:val="fr-FR" w:eastAsia="en-GB"/>
        </w:rPr>
        <w:t xml:space="preserve">ont </w:t>
      </w:r>
      <w:r w:rsidRPr="008201F2">
        <w:rPr>
          <w:rFonts w:ascii="Times New Roman" w:eastAsia="Calibri" w:hAnsi="Times New Roman" w:cs="Calibri"/>
          <w:color w:val="000000"/>
          <w:sz w:val="24"/>
          <w:szCs w:val="24"/>
          <w:u w:color="000000"/>
          <w:bdr w:val="nil"/>
          <w:lang w:val="fr-FR" w:eastAsia="en-GB"/>
        </w:rPr>
        <w:t>réitér</w:t>
      </w:r>
      <w:r w:rsidR="000412E7">
        <w:rPr>
          <w:rFonts w:ascii="Times New Roman" w:eastAsia="Calibri" w:hAnsi="Times New Roman" w:cs="Calibri"/>
          <w:color w:val="000000"/>
          <w:sz w:val="24"/>
          <w:szCs w:val="24"/>
          <w:u w:color="000000"/>
          <w:bdr w:val="nil"/>
          <w:lang w:val="fr-FR" w:eastAsia="en-GB"/>
        </w:rPr>
        <w:t>é</w:t>
      </w:r>
      <w:r w:rsidRPr="008201F2">
        <w:rPr>
          <w:rFonts w:ascii="Times New Roman" w:eastAsia="Calibri" w:hAnsi="Times New Roman" w:cs="Calibri"/>
          <w:color w:val="000000"/>
          <w:sz w:val="24"/>
          <w:szCs w:val="24"/>
          <w:u w:color="000000"/>
          <w:bdr w:val="nil"/>
          <w:lang w:val="fr-FR" w:eastAsia="en-GB"/>
        </w:rPr>
        <w:t xml:space="preserve"> à chacune leur invitation ainsi que leur disposition au dialogue sur la base d'un agenda ouvert.</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Les autres organisations de la société civile et un certain nombre de représentants politiques locaux </w:t>
      </w:r>
      <w:r w:rsidR="000412E7">
        <w:rPr>
          <w:rFonts w:ascii="Times New Roman" w:eastAsia="Calibri" w:hAnsi="Times New Roman" w:cs="Calibri"/>
          <w:color w:val="000000"/>
          <w:sz w:val="24"/>
          <w:szCs w:val="24"/>
          <w:u w:color="000000"/>
          <w:bdr w:val="nil"/>
          <w:lang w:val="fr-FR" w:eastAsia="en-GB"/>
        </w:rPr>
        <w:t xml:space="preserve">ont </w:t>
      </w:r>
      <w:r w:rsidRPr="008201F2">
        <w:rPr>
          <w:rFonts w:ascii="Times New Roman" w:eastAsia="Calibri" w:hAnsi="Times New Roman" w:cs="Calibri"/>
          <w:color w:val="000000"/>
          <w:sz w:val="24"/>
          <w:szCs w:val="24"/>
          <w:u w:color="000000"/>
          <w:bdr w:val="nil"/>
          <w:lang w:val="fr-FR" w:eastAsia="en-GB"/>
        </w:rPr>
        <w:t>accept</w:t>
      </w:r>
      <w:r w:rsidR="000412E7">
        <w:rPr>
          <w:rFonts w:ascii="Times New Roman" w:eastAsia="Calibri" w:hAnsi="Times New Roman" w:cs="Calibri"/>
          <w:color w:val="000000"/>
          <w:sz w:val="24"/>
          <w:szCs w:val="24"/>
          <w:u w:color="000000"/>
          <w:bdr w:val="nil"/>
          <w:lang w:val="fr-FR" w:eastAsia="en-GB"/>
        </w:rPr>
        <w:t>é</w:t>
      </w:r>
      <w:r w:rsidRPr="008201F2">
        <w:rPr>
          <w:rFonts w:ascii="Times New Roman" w:eastAsia="Calibri" w:hAnsi="Times New Roman" w:cs="Calibri"/>
          <w:color w:val="000000"/>
          <w:sz w:val="24"/>
          <w:szCs w:val="24"/>
          <w:u w:color="000000"/>
          <w:bdr w:val="nil"/>
          <w:lang w:val="fr-FR" w:eastAsia="en-GB"/>
        </w:rPr>
        <w:t xml:space="preserve"> l'invitation d'exprimer leurs vues sur l</w:t>
      </w:r>
      <w:r w:rsidR="007C0B76">
        <w:rPr>
          <w:rFonts w:ascii="Times New Roman" w:eastAsia="Calibri" w:hAnsi="Times New Roman" w:cs="Calibri"/>
          <w:color w:val="000000"/>
          <w:sz w:val="24"/>
          <w:szCs w:val="24"/>
          <w:u w:color="000000"/>
          <w:bdr w:val="nil"/>
          <w:lang w:val="fr-FR" w:eastAsia="en-GB"/>
        </w:rPr>
        <w:t>a modification</w:t>
      </w:r>
      <w:r w:rsidRPr="008201F2">
        <w:rPr>
          <w:rFonts w:ascii="Times New Roman" w:eastAsia="Calibri" w:hAnsi="Times New Roman" w:cs="Calibri"/>
          <w:color w:val="000000"/>
          <w:sz w:val="24"/>
          <w:szCs w:val="24"/>
          <w:u w:color="000000"/>
          <w:bdr w:val="nil"/>
          <w:lang w:val="fr-FR" w:eastAsia="en-GB"/>
        </w:rPr>
        <w:t xml:space="preserve"> proposé</w:t>
      </w:r>
      <w:r w:rsidR="007C0B76">
        <w:rPr>
          <w:rFonts w:ascii="Times New Roman" w:eastAsia="Calibri" w:hAnsi="Times New Roman" w:cs="Calibri"/>
          <w:color w:val="000000"/>
          <w:sz w:val="24"/>
          <w:szCs w:val="24"/>
          <w:u w:color="000000"/>
          <w:bdr w:val="nil"/>
          <w:lang w:val="fr-FR" w:eastAsia="en-GB"/>
        </w:rPr>
        <w:t>e</w:t>
      </w:r>
      <w:r w:rsidR="002024CF">
        <w:rPr>
          <w:rFonts w:ascii="Times New Roman" w:eastAsia="Calibri" w:hAnsi="Times New Roman" w:cs="Calibri"/>
          <w:color w:val="000000"/>
          <w:sz w:val="24"/>
          <w:szCs w:val="24"/>
          <w:u w:color="000000"/>
          <w:bdr w:val="nil"/>
          <w:lang w:val="fr-FR" w:eastAsia="en-GB"/>
        </w:rPr>
        <w:t xml:space="preserve"> </w:t>
      </w:r>
      <w:r w:rsidRPr="008201F2">
        <w:rPr>
          <w:rFonts w:ascii="Times New Roman" w:eastAsia="Calibri" w:hAnsi="Times New Roman" w:cs="Calibri"/>
          <w:color w:val="000000"/>
          <w:sz w:val="24"/>
          <w:szCs w:val="24"/>
          <w:u w:color="000000"/>
          <w:bdr w:val="nil"/>
          <w:lang w:val="fr-FR" w:eastAsia="en-GB"/>
        </w:rPr>
        <w:t xml:space="preserve">(cf. </w:t>
      </w:r>
      <w:r w:rsidR="002024CF">
        <w:rPr>
          <w:rFonts w:ascii="Times New Roman" w:eastAsia="Calibri" w:hAnsi="Times New Roman" w:cs="Calibri"/>
          <w:color w:val="000000"/>
          <w:sz w:val="24"/>
          <w:szCs w:val="24"/>
          <w:u w:color="000000"/>
          <w:bdr w:val="nil"/>
          <w:lang w:val="fr-FR" w:eastAsia="en-GB"/>
        </w:rPr>
        <w:t>a</w:t>
      </w:r>
      <w:r w:rsidRPr="008201F2">
        <w:rPr>
          <w:rFonts w:ascii="Times New Roman" w:eastAsia="Calibri" w:hAnsi="Times New Roman" w:cs="Calibri"/>
          <w:color w:val="000000"/>
          <w:sz w:val="24"/>
          <w:szCs w:val="24"/>
          <w:u w:color="000000"/>
          <w:bdr w:val="nil"/>
          <w:lang w:val="fr-FR" w:eastAsia="en-GB"/>
        </w:rPr>
        <w:t>nnexe). Outre qu'elles refl</w:t>
      </w:r>
      <w:r w:rsidR="000412E7">
        <w:rPr>
          <w:rFonts w:ascii="Times New Roman" w:eastAsia="Calibri" w:hAnsi="Times New Roman" w:cs="Calibri"/>
          <w:color w:val="000000"/>
          <w:sz w:val="24"/>
          <w:szCs w:val="24"/>
          <w:u w:color="000000"/>
          <w:bdr w:val="nil"/>
          <w:lang w:val="fr-FR" w:eastAsia="en-GB"/>
        </w:rPr>
        <w:t>ètent</w:t>
      </w:r>
      <w:r w:rsidRPr="008201F2">
        <w:rPr>
          <w:rFonts w:ascii="Times New Roman" w:eastAsia="Calibri" w:hAnsi="Times New Roman" w:cs="Calibri"/>
          <w:color w:val="000000"/>
          <w:sz w:val="24"/>
          <w:szCs w:val="24"/>
          <w:u w:color="000000"/>
          <w:bdr w:val="nil"/>
          <w:lang w:val="fr-FR" w:eastAsia="en-GB"/>
        </w:rPr>
        <w:t xml:space="preserve"> la polarisation du débat politique sur le Sahara occidental, ces consultations ont fait res</w:t>
      </w:r>
      <w:r w:rsidR="002024CF">
        <w:rPr>
          <w:rFonts w:ascii="Times New Roman" w:eastAsia="Calibri" w:hAnsi="Times New Roman" w:cs="Calibri"/>
          <w:color w:val="000000"/>
          <w:sz w:val="24"/>
          <w:szCs w:val="24"/>
          <w:u w:color="000000"/>
          <w:bdr w:val="nil"/>
          <w:lang w:val="fr-FR" w:eastAsia="en-GB"/>
        </w:rPr>
        <w:t>s</w:t>
      </w:r>
      <w:r w:rsidRPr="008201F2">
        <w:rPr>
          <w:rFonts w:ascii="Times New Roman" w:eastAsia="Calibri" w:hAnsi="Times New Roman" w:cs="Calibri"/>
          <w:color w:val="000000"/>
          <w:sz w:val="24"/>
          <w:szCs w:val="24"/>
          <w:u w:color="000000"/>
          <w:bdr w:val="nil"/>
          <w:lang w:val="fr-FR" w:eastAsia="en-GB"/>
        </w:rPr>
        <w:t>ortir une reconnaissance générale du progrès socio-économique qu'a vécu  le Sahara occidental au cours des dernières années. Dans cette optique, les accords avec l'U</w:t>
      </w:r>
      <w:r w:rsidR="002024CF">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w:t>
      </w:r>
      <w:r w:rsidR="000412E7">
        <w:rPr>
          <w:rFonts w:ascii="Times New Roman" w:eastAsia="Calibri" w:hAnsi="Times New Roman" w:cs="Calibri"/>
          <w:color w:val="000000"/>
          <w:sz w:val="24"/>
          <w:szCs w:val="24"/>
          <w:u w:color="000000"/>
          <w:bdr w:val="nil"/>
          <w:lang w:val="fr-FR" w:eastAsia="en-GB"/>
        </w:rPr>
        <w:t>sont</w:t>
      </w:r>
      <w:r w:rsidRPr="008201F2">
        <w:rPr>
          <w:rFonts w:ascii="Times New Roman" w:eastAsia="Calibri" w:hAnsi="Times New Roman" w:cs="Calibri"/>
          <w:color w:val="000000"/>
          <w:sz w:val="24"/>
          <w:szCs w:val="24"/>
          <w:u w:color="000000"/>
          <w:bdr w:val="nil"/>
          <w:lang w:val="fr-FR" w:eastAsia="en-GB"/>
        </w:rPr>
        <w:t xml:space="preserve"> perçus comme un puissant levier propre à favoriser un développement ultérieur vers une perspective de croissance durable.</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Les représentants politiques consultés, tous d'origine sahraouie, ont majoritairement appelé de leurs </w:t>
      </w:r>
      <w:r w:rsidR="00523775">
        <w:rPr>
          <w:rFonts w:ascii="Times New Roman" w:eastAsia="Calibri" w:hAnsi="Times New Roman" w:cs="Calibri"/>
          <w:color w:val="000000"/>
          <w:sz w:val="24"/>
          <w:szCs w:val="24"/>
          <w:u w:color="000000"/>
          <w:bdr w:val="nil"/>
          <w:lang w:val="fr-FR" w:eastAsia="en-GB"/>
        </w:rPr>
        <w:t>vœux</w:t>
      </w:r>
      <w:r w:rsidRPr="008201F2">
        <w:rPr>
          <w:rFonts w:ascii="Times New Roman" w:eastAsia="Calibri" w:hAnsi="Times New Roman" w:cs="Calibri"/>
          <w:color w:val="000000"/>
          <w:sz w:val="24"/>
          <w:szCs w:val="24"/>
          <w:u w:color="000000"/>
          <w:bdr w:val="nil"/>
          <w:lang w:val="fr-FR" w:eastAsia="en-GB"/>
        </w:rPr>
        <w:t xml:space="preserve"> la poursuite de relations commerciales entre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et la région dans le cadre des relations </w:t>
      </w:r>
      <w:r w:rsidR="00523775">
        <w:rPr>
          <w:rFonts w:ascii="Times New Roman" w:eastAsia="Calibri" w:hAnsi="Times New Roman" w:cs="Calibri"/>
          <w:color w:val="000000"/>
          <w:sz w:val="24"/>
          <w:szCs w:val="24"/>
          <w:u w:color="000000"/>
          <w:bdr w:val="nil"/>
          <w:lang w:val="fr-FR" w:eastAsia="en-GB"/>
        </w:rPr>
        <w:t xml:space="preserve">entre l’Union européenne et le </w:t>
      </w:r>
      <w:r w:rsidRPr="008201F2">
        <w:rPr>
          <w:rFonts w:ascii="Times New Roman" w:eastAsia="Calibri" w:hAnsi="Times New Roman" w:cs="Calibri"/>
          <w:color w:val="000000"/>
          <w:sz w:val="24"/>
          <w:szCs w:val="24"/>
          <w:u w:color="000000"/>
          <w:bdr w:val="nil"/>
          <w:lang w:val="fr-FR" w:eastAsia="en-GB"/>
        </w:rPr>
        <w:t xml:space="preserve">Maroc. Tout en professant un attachement profond à leur identité et foyer culturel sahraoui, ils ont aussi reconnu que la prospérité de la région et son développement socio-économique demeuraient intimement liés aux efforts de développement du Maroc et </w:t>
      </w:r>
      <w:r w:rsidR="0018489E">
        <w:rPr>
          <w:rFonts w:ascii="Times New Roman" w:eastAsia="Calibri" w:hAnsi="Times New Roman" w:cs="Calibri"/>
          <w:color w:val="000000"/>
          <w:sz w:val="24"/>
          <w:szCs w:val="24"/>
          <w:u w:color="000000"/>
          <w:bdr w:val="nil"/>
          <w:lang w:val="fr-FR" w:eastAsia="en-GB"/>
        </w:rPr>
        <w:t xml:space="preserve">à </w:t>
      </w:r>
      <w:r w:rsidRPr="008201F2">
        <w:rPr>
          <w:rFonts w:ascii="Times New Roman" w:eastAsia="Calibri" w:hAnsi="Times New Roman" w:cs="Calibri"/>
          <w:color w:val="000000"/>
          <w:sz w:val="24"/>
          <w:szCs w:val="24"/>
          <w:u w:color="000000"/>
          <w:bdr w:val="nil"/>
          <w:lang w:val="fr-FR" w:eastAsia="en-GB"/>
        </w:rPr>
        <w:t>l'accès aux marchés étrangers dont ils sont porteurs. Pour preuve de leur représentativité, les représentants locaux et régionaux du Sahara occidental se sont prévalus du fait qu'ils étaient issus des premières élections régionales et locales au suffrage direct jamais tenues, élections observées internationalement et dont le taux de participation dans leurs régions avait excédé la moyenne nationale.</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Les représentants élus consid</w:t>
      </w:r>
      <w:r w:rsidR="000412E7">
        <w:rPr>
          <w:rFonts w:ascii="Times New Roman" w:eastAsia="Calibri" w:hAnsi="Times New Roman" w:cs="Calibri"/>
          <w:color w:val="000000"/>
          <w:sz w:val="24"/>
          <w:szCs w:val="24"/>
          <w:u w:color="000000"/>
          <w:bdr w:val="nil"/>
          <w:lang w:val="fr-FR" w:eastAsia="en-GB"/>
        </w:rPr>
        <w:t>èrent</w:t>
      </w:r>
      <w:r w:rsidRPr="008201F2">
        <w:rPr>
          <w:rFonts w:ascii="Times New Roman" w:eastAsia="Calibri" w:hAnsi="Times New Roman" w:cs="Calibri"/>
          <w:color w:val="000000"/>
          <w:sz w:val="24"/>
          <w:szCs w:val="24"/>
          <w:u w:color="000000"/>
          <w:bdr w:val="nil"/>
          <w:lang w:val="fr-FR" w:eastAsia="en-GB"/>
        </w:rPr>
        <w:t xml:space="preserve"> la promotion de relations commerciales avec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comme un complément indispensable au nouveau modèle de développement poursuivi par </w:t>
      </w:r>
      <w:r w:rsidR="00523775">
        <w:rPr>
          <w:rFonts w:ascii="Times New Roman" w:eastAsia="Calibri" w:hAnsi="Times New Roman" w:cs="Calibri"/>
          <w:color w:val="000000"/>
          <w:sz w:val="24"/>
          <w:szCs w:val="24"/>
          <w:u w:color="000000"/>
          <w:bdr w:val="nil"/>
          <w:lang w:val="fr-FR" w:eastAsia="en-GB"/>
        </w:rPr>
        <w:t>le Maroc</w:t>
      </w:r>
      <w:r w:rsidRPr="008201F2">
        <w:rPr>
          <w:rFonts w:ascii="Times New Roman" w:eastAsia="Calibri" w:hAnsi="Times New Roman" w:cs="Calibri"/>
          <w:color w:val="000000"/>
          <w:sz w:val="24"/>
          <w:szCs w:val="24"/>
          <w:u w:color="000000"/>
          <w:bdr w:val="nil"/>
          <w:lang w:val="fr-FR" w:eastAsia="en-GB"/>
        </w:rPr>
        <w:t xml:space="preserve"> au Sahara occidental depuis 2015. L'ambition de ce dernier </w:t>
      </w:r>
      <w:r w:rsidR="000412E7">
        <w:rPr>
          <w:rFonts w:ascii="Times New Roman" w:eastAsia="Calibri" w:hAnsi="Times New Roman" w:cs="Calibri"/>
          <w:color w:val="000000"/>
          <w:sz w:val="24"/>
          <w:szCs w:val="24"/>
          <w:u w:color="000000"/>
          <w:bdr w:val="nil"/>
          <w:lang w:val="fr-FR" w:eastAsia="en-GB"/>
        </w:rPr>
        <w:t>est</w:t>
      </w:r>
      <w:r w:rsidRPr="008201F2">
        <w:rPr>
          <w:rFonts w:ascii="Times New Roman" w:eastAsia="Calibri" w:hAnsi="Times New Roman" w:cs="Calibri"/>
          <w:color w:val="000000"/>
          <w:sz w:val="24"/>
          <w:szCs w:val="24"/>
          <w:u w:color="000000"/>
          <w:bdr w:val="nil"/>
          <w:lang w:val="fr-FR" w:eastAsia="en-GB"/>
        </w:rPr>
        <w:t xml:space="preserve"> d'opérer une mutation d'une économie d'inspiration étatiste par trop dépendante des subventions d'</w:t>
      </w:r>
      <w:r w:rsidR="00523775">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tat vers un modèle plus ouvert vers l'extérieur et plus économiquement opérationnel, de nature à encourager l'investissement privé à travers des partenariats public-privé. De ce point de vue, la possibilité d'entretenir des relations commerciales avec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premier partenaire commercial du Maroc, </w:t>
      </w:r>
      <w:r w:rsidR="000412E7">
        <w:rPr>
          <w:rFonts w:ascii="Times New Roman" w:eastAsia="Calibri" w:hAnsi="Times New Roman" w:cs="Calibri"/>
          <w:color w:val="000000"/>
          <w:sz w:val="24"/>
          <w:szCs w:val="24"/>
          <w:u w:color="000000"/>
          <w:bdr w:val="nil"/>
          <w:lang w:val="fr-FR" w:eastAsia="en-GB"/>
        </w:rPr>
        <w:t>est</w:t>
      </w:r>
      <w:r w:rsidRPr="008201F2">
        <w:rPr>
          <w:rFonts w:ascii="Times New Roman" w:eastAsia="Calibri" w:hAnsi="Times New Roman" w:cs="Calibri"/>
          <w:color w:val="000000"/>
          <w:sz w:val="24"/>
          <w:szCs w:val="24"/>
          <w:u w:color="000000"/>
          <w:bdr w:val="nil"/>
          <w:lang w:val="fr-FR" w:eastAsia="en-GB"/>
        </w:rPr>
        <w:t xml:space="preserve"> vu</w:t>
      </w:r>
      <w:r w:rsidR="000412E7">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comme un "cordon ombilical". Faute de cela, les efforts de diversification économique au-delà de l'exploitation traditionnelle des matières premières vers l'agriculture et la pêche (c'est à dire au-delà des phosphates) s'étioleraient rapidement.</w:t>
      </w: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Lors même que les dirigeants politiques sahraouis admettent que l'Etat marocain a investi massivement dans le développement d'infrastructures régionales, avec des retombées positives sur la population dans son ensemble,  ils ne manquent pas de souligner que des préférences tarifaires avec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n'en demeurent pas moins nécessaires pour optimiser et rentabiliser de tels investissements.  Leur attente </w:t>
      </w:r>
      <w:r w:rsidR="000412E7">
        <w:rPr>
          <w:rFonts w:ascii="Times New Roman" w:eastAsia="Calibri" w:hAnsi="Times New Roman" w:cs="Calibri"/>
          <w:color w:val="000000"/>
          <w:sz w:val="24"/>
          <w:szCs w:val="24"/>
          <w:u w:color="000000"/>
          <w:bdr w:val="nil"/>
          <w:lang w:val="fr-FR" w:eastAsia="en-GB"/>
        </w:rPr>
        <w:t>est</w:t>
      </w:r>
      <w:r w:rsidRPr="008201F2">
        <w:rPr>
          <w:rFonts w:ascii="Times New Roman" w:eastAsia="Calibri" w:hAnsi="Times New Roman" w:cs="Calibri"/>
          <w:color w:val="000000"/>
          <w:sz w:val="24"/>
          <w:szCs w:val="24"/>
          <w:u w:color="000000"/>
          <w:bdr w:val="nil"/>
          <w:lang w:val="fr-FR" w:eastAsia="en-GB"/>
        </w:rPr>
        <w:t xml:space="preserve"> que de telles préférences améliorent le climat des affaires et prom</w:t>
      </w:r>
      <w:r w:rsidR="000412E7">
        <w:rPr>
          <w:rFonts w:ascii="Times New Roman" w:eastAsia="Calibri" w:hAnsi="Times New Roman" w:cs="Calibri"/>
          <w:color w:val="000000"/>
          <w:sz w:val="24"/>
          <w:szCs w:val="24"/>
          <w:u w:color="000000"/>
          <w:bdr w:val="nil"/>
          <w:lang w:val="fr-FR" w:eastAsia="en-GB"/>
        </w:rPr>
        <w:t xml:space="preserve">euvent </w:t>
      </w:r>
      <w:r w:rsidRPr="008201F2">
        <w:rPr>
          <w:rFonts w:ascii="Times New Roman" w:eastAsia="Calibri" w:hAnsi="Times New Roman" w:cs="Calibri"/>
          <w:color w:val="000000"/>
          <w:sz w:val="24"/>
          <w:szCs w:val="24"/>
          <w:u w:color="000000"/>
          <w:bdr w:val="nil"/>
          <w:lang w:val="fr-FR" w:eastAsia="en-GB"/>
        </w:rPr>
        <w:t>les investissements directs européens, confortant ainsi le nouveau modèle régional de développement durable et participatif. A l'inverse, la persistance d'incertitudes juridiques hypothéquant  les flux commerciaux entre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et le Sahara occidental aurait un coût socio-économique important, ainsi qu'en témoign</w:t>
      </w:r>
      <w:r w:rsidR="000412E7">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déjà le ralentissement des échanges avec certains </w:t>
      </w:r>
      <w:r w:rsidR="00523775">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tats européens ou dans certains secteurs. Tarir l'accès du Sahara occidental à certains marchés ou investissements ne ferait qu'accuser sa dépendance économique à un système dépassé de relations "centre-périphérie". Cela ne ferait qu'handicaper l'émergence d'évolutions socio-économiques et politiques au moment même où le développement économique du Sahara occidental pren</w:t>
      </w:r>
      <w:r w:rsidR="000412E7">
        <w:rPr>
          <w:rFonts w:ascii="Times New Roman" w:eastAsia="Calibri" w:hAnsi="Times New Roman" w:cs="Calibri"/>
          <w:color w:val="000000"/>
          <w:sz w:val="24"/>
          <w:szCs w:val="24"/>
          <w:u w:color="000000"/>
          <w:bdr w:val="nil"/>
          <w:lang w:val="fr-FR" w:eastAsia="en-GB"/>
        </w:rPr>
        <w:t>d</w:t>
      </w:r>
      <w:r w:rsidRPr="008201F2">
        <w:rPr>
          <w:rFonts w:ascii="Times New Roman" w:eastAsia="Calibri" w:hAnsi="Times New Roman" w:cs="Calibri"/>
          <w:color w:val="000000"/>
          <w:sz w:val="24"/>
          <w:szCs w:val="24"/>
          <w:u w:color="000000"/>
          <w:bdr w:val="nil"/>
          <w:lang w:val="fr-FR" w:eastAsia="en-GB"/>
        </w:rPr>
        <w:t xml:space="preserve"> finalement son essor.</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Les services de la Commission </w:t>
      </w:r>
      <w:r w:rsidR="00523775">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uropéenne et le SEAE ont aussi consulté plus d'une quinzaine de forces vives socio-économiques, exportateurs, entrepreneurs, organisations de la société civile protectrices de l'environnement  ou des droits de l'homme. Presque toutes s</w:t>
      </w:r>
      <w:r w:rsidR="000412E7">
        <w:rPr>
          <w:rFonts w:ascii="Times New Roman" w:eastAsia="Calibri" w:hAnsi="Times New Roman" w:cs="Calibri"/>
          <w:color w:val="000000"/>
          <w:sz w:val="24"/>
          <w:szCs w:val="24"/>
          <w:u w:color="000000"/>
          <w:bdr w:val="nil"/>
          <w:lang w:val="fr-FR" w:eastAsia="en-GB"/>
        </w:rPr>
        <w:t xml:space="preserve">e sont </w:t>
      </w:r>
      <w:r w:rsidRPr="008201F2">
        <w:rPr>
          <w:rFonts w:ascii="Times New Roman" w:eastAsia="Calibri" w:hAnsi="Times New Roman" w:cs="Calibri"/>
          <w:color w:val="000000"/>
          <w:sz w:val="24"/>
          <w:szCs w:val="24"/>
          <w:u w:color="000000"/>
          <w:bdr w:val="nil"/>
          <w:lang w:val="fr-FR" w:eastAsia="en-GB"/>
        </w:rPr>
        <w:t>exprim</w:t>
      </w:r>
      <w:r w:rsidR="000412E7">
        <w:rPr>
          <w:rFonts w:ascii="Times New Roman" w:eastAsia="Calibri" w:hAnsi="Times New Roman" w:cs="Calibri"/>
          <w:color w:val="000000"/>
          <w:sz w:val="24"/>
          <w:szCs w:val="24"/>
          <w:u w:color="000000"/>
          <w:bdr w:val="nil"/>
          <w:lang w:val="fr-FR" w:eastAsia="en-GB"/>
        </w:rPr>
        <w:t>ées</w:t>
      </w:r>
      <w:r w:rsidRPr="008201F2">
        <w:rPr>
          <w:rFonts w:ascii="Times New Roman" w:eastAsia="Calibri" w:hAnsi="Times New Roman" w:cs="Calibri"/>
          <w:color w:val="000000"/>
          <w:sz w:val="24"/>
          <w:szCs w:val="24"/>
          <w:u w:color="000000"/>
          <w:bdr w:val="nil"/>
          <w:lang w:val="fr-FR" w:eastAsia="en-GB"/>
        </w:rPr>
        <w:t xml:space="preserve"> en faveur du maintien de relations commerciales préférentielles avec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De telles relations </w:t>
      </w:r>
      <w:r w:rsidR="000412E7">
        <w:rPr>
          <w:rFonts w:ascii="Times New Roman" w:eastAsia="Calibri" w:hAnsi="Times New Roman" w:cs="Calibri"/>
          <w:color w:val="000000"/>
          <w:sz w:val="24"/>
          <w:szCs w:val="24"/>
          <w:u w:color="000000"/>
          <w:bdr w:val="nil"/>
          <w:lang w:val="fr-FR" w:eastAsia="en-GB"/>
        </w:rPr>
        <w:t>s</w:t>
      </w:r>
      <w:r w:rsidR="00C9293C">
        <w:rPr>
          <w:rFonts w:ascii="Times New Roman" w:eastAsia="Calibri" w:hAnsi="Times New Roman" w:cs="Calibri"/>
          <w:color w:val="000000"/>
          <w:sz w:val="24"/>
          <w:szCs w:val="24"/>
          <w:u w:color="000000"/>
          <w:bdr w:val="nil"/>
          <w:lang w:val="fr-FR" w:eastAsia="en-GB"/>
        </w:rPr>
        <w:t>eraie</w:t>
      </w:r>
      <w:r w:rsidR="000412E7">
        <w:rPr>
          <w:rFonts w:ascii="Times New Roman" w:eastAsia="Calibri" w:hAnsi="Times New Roman" w:cs="Calibri"/>
          <w:color w:val="000000"/>
          <w:sz w:val="24"/>
          <w:szCs w:val="24"/>
          <w:u w:color="000000"/>
          <w:bdr w:val="nil"/>
          <w:lang w:val="fr-FR" w:eastAsia="en-GB"/>
        </w:rPr>
        <w:t>nt</w:t>
      </w:r>
      <w:r w:rsidRPr="008201F2">
        <w:rPr>
          <w:rFonts w:ascii="Times New Roman" w:eastAsia="Calibri" w:hAnsi="Times New Roman" w:cs="Calibri"/>
          <w:color w:val="000000"/>
          <w:sz w:val="24"/>
          <w:szCs w:val="24"/>
          <w:u w:color="000000"/>
          <w:bdr w:val="nil"/>
          <w:lang w:val="fr-FR" w:eastAsia="en-GB"/>
        </w:rPr>
        <w:t xml:space="preserve"> vitales pour le maintien de relations commerciales stables et pour l'investissement, gages d'un meilleur emploi local. </w:t>
      </w:r>
      <w:r w:rsidR="003B46DB" w:rsidRPr="008201F2">
        <w:rPr>
          <w:rFonts w:ascii="Times New Roman" w:eastAsia="Calibri" w:hAnsi="Times New Roman" w:cs="Calibri"/>
          <w:color w:val="000000"/>
          <w:sz w:val="24"/>
          <w:szCs w:val="24"/>
          <w:u w:color="000000"/>
          <w:bdr w:val="nil"/>
          <w:lang w:val="fr-FR" w:eastAsia="en-GB"/>
        </w:rPr>
        <w:t xml:space="preserve">Certaines ont toutefois fait observer que </w:t>
      </w:r>
      <w:r w:rsidR="003B46DB" w:rsidRPr="0076054B">
        <w:rPr>
          <w:rFonts w:ascii="Times New Roman" w:eastAsia="Arial Unicode MS" w:hAnsi="Times New Roman" w:cs="Times New Roman"/>
          <w:sz w:val="24"/>
          <w:szCs w:val="24"/>
          <w:bdr w:val="nil"/>
          <w:lang w:val="fr-BE"/>
        </w:rPr>
        <w:t xml:space="preserve">les </w:t>
      </w:r>
      <w:r w:rsidR="003B46DB">
        <w:rPr>
          <w:rFonts w:ascii="Times New Roman" w:eastAsia="Arial Unicode MS" w:hAnsi="Times New Roman" w:cs="Times New Roman"/>
          <w:sz w:val="24"/>
          <w:szCs w:val="24"/>
          <w:bdr w:val="nil"/>
          <w:lang w:val="fr-BE"/>
        </w:rPr>
        <w:t>bénéfices accordés par l'U</w:t>
      </w:r>
      <w:r w:rsidR="00E64BDB">
        <w:rPr>
          <w:rFonts w:ascii="Times New Roman" w:eastAsia="Arial Unicode MS" w:hAnsi="Times New Roman" w:cs="Times New Roman"/>
          <w:sz w:val="24"/>
          <w:szCs w:val="24"/>
          <w:bdr w:val="nil"/>
          <w:lang w:val="fr-BE"/>
        </w:rPr>
        <w:t>nion européenne</w:t>
      </w:r>
      <w:r w:rsidR="003B46DB">
        <w:rPr>
          <w:rFonts w:ascii="Times New Roman" w:eastAsia="Arial Unicode MS" w:hAnsi="Times New Roman" w:cs="Times New Roman"/>
          <w:sz w:val="24"/>
          <w:szCs w:val="24"/>
          <w:bdr w:val="nil"/>
          <w:lang w:val="fr-BE"/>
        </w:rPr>
        <w:t xml:space="preserve"> au </w:t>
      </w:r>
      <w:r w:rsidR="003B46DB" w:rsidRPr="0076054B">
        <w:rPr>
          <w:rFonts w:ascii="Times New Roman" w:eastAsia="Arial Unicode MS" w:hAnsi="Times New Roman" w:cs="Times New Roman"/>
          <w:sz w:val="24"/>
          <w:szCs w:val="24"/>
          <w:bdr w:val="nil"/>
          <w:lang w:val="fr-BE"/>
        </w:rPr>
        <w:t xml:space="preserve">Sahara occidental </w:t>
      </w:r>
      <w:r w:rsidR="003B46DB" w:rsidRPr="008201F2">
        <w:rPr>
          <w:rFonts w:ascii="Times New Roman" w:eastAsia="Calibri" w:hAnsi="Times New Roman" w:cs="Calibri"/>
          <w:color w:val="000000"/>
          <w:sz w:val="24"/>
          <w:szCs w:val="24"/>
          <w:u w:color="000000"/>
          <w:bdr w:val="nil"/>
          <w:lang w:val="fr-FR" w:eastAsia="en-GB"/>
        </w:rPr>
        <w:t xml:space="preserve">gagneraient à être plus équitablement répartis parmi les populations locales, notamment en raison du caractère peu diversifié de l'économie régionale. </w:t>
      </w:r>
      <w:r w:rsidRPr="008201F2">
        <w:rPr>
          <w:rFonts w:ascii="Times New Roman" w:eastAsia="Calibri" w:hAnsi="Times New Roman" w:cs="Calibri"/>
          <w:color w:val="000000"/>
          <w:sz w:val="24"/>
          <w:szCs w:val="24"/>
          <w:u w:color="000000"/>
          <w:bdr w:val="nil"/>
          <w:lang w:val="fr-FR" w:eastAsia="en-GB"/>
        </w:rPr>
        <w:t>En vertu de quoi, l'impact des préférences tarifaires sur les différents segments de la population dev</w:t>
      </w:r>
      <w:r w:rsidR="00523775">
        <w:rPr>
          <w:rFonts w:ascii="Times New Roman" w:eastAsia="Calibri" w:hAnsi="Times New Roman" w:cs="Calibri"/>
          <w:color w:val="000000"/>
          <w:sz w:val="24"/>
          <w:szCs w:val="24"/>
          <w:u w:color="000000"/>
          <w:bdr w:val="nil"/>
          <w:lang w:val="fr-FR" w:eastAsia="en-GB"/>
        </w:rPr>
        <w:t>r</w:t>
      </w:r>
      <w:r w:rsidRPr="008201F2">
        <w:rPr>
          <w:rFonts w:ascii="Times New Roman" w:eastAsia="Calibri" w:hAnsi="Times New Roman" w:cs="Calibri"/>
          <w:color w:val="000000"/>
          <w:sz w:val="24"/>
          <w:szCs w:val="24"/>
          <w:u w:color="000000"/>
          <w:bdr w:val="nil"/>
          <w:lang w:val="fr-FR" w:eastAsia="en-GB"/>
        </w:rPr>
        <w:t>ait être suivi et des mesures d'accompagnement considérées afin d'optimiser les effets bénéfiques au profit des groupes sociaux les moins avantagés, tels que les populations nomades. La communauté de valeurs entre l'U</w:t>
      </w:r>
      <w:r w:rsidR="00523775">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et l</w:t>
      </w:r>
      <w:r w:rsidR="00523775">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Maroc faciliterait la mise en place concertée de tels mécanismes de suivi et d'orientation.</w:t>
      </w: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S'agissant du respect des droits socio-économiques et politiques au Sahara occidental, certaines inquiétudes exprimées par </w:t>
      </w:r>
      <w:r w:rsidR="00AC1DF3">
        <w:rPr>
          <w:rFonts w:ascii="Times New Roman" w:eastAsia="Calibri" w:hAnsi="Times New Roman" w:cs="Calibri"/>
          <w:color w:val="000000"/>
          <w:sz w:val="24"/>
          <w:szCs w:val="24"/>
          <w:u w:color="000000"/>
          <w:bdr w:val="nil"/>
          <w:lang w:val="fr-FR" w:eastAsia="en-GB"/>
        </w:rPr>
        <w:t xml:space="preserve">des acteurs de </w:t>
      </w:r>
      <w:r w:rsidR="004E2E61" w:rsidRPr="008201F2">
        <w:rPr>
          <w:rFonts w:ascii="Times New Roman" w:eastAsia="Calibri" w:hAnsi="Times New Roman" w:cs="Calibri"/>
          <w:color w:val="000000"/>
          <w:sz w:val="24"/>
          <w:szCs w:val="24"/>
          <w:u w:color="000000"/>
          <w:bdr w:val="nil"/>
          <w:lang w:val="fr-FR" w:eastAsia="en-GB"/>
        </w:rPr>
        <w:t>la</w:t>
      </w:r>
      <w:r w:rsidRPr="008201F2">
        <w:rPr>
          <w:rFonts w:ascii="Times New Roman" w:eastAsia="Calibri" w:hAnsi="Times New Roman" w:cs="Calibri"/>
          <w:color w:val="000000"/>
          <w:sz w:val="24"/>
          <w:szCs w:val="24"/>
          <w:u w:color="000000"/>
          <w:bdr w:val="nil"/>
          <w:lang w:val="fr-FR" w:eastAsia="en-GB"/>
        </w:rPr>
        <w:t xml:space="preserve"> société civile présentent quelqu</w:t>
      </w:r>
      <w:r w:rsidR="00523775">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analogie avec celles exprimées quant à la situation des droits de l'homme au Maroc en général. Il a été notamment fait état de restrictions à la liberté d'expression, de faits de corruption et d'insuffisances en matière de responsabilité des pouvoirs publics (</w:t>
      </w:r>
      <w:r w:rsidR="00523775">
        <w:rPr>
          <w:rFonts w:ascii="Times New Roman" w:eastAsia="Calibri" w:hAnsi="Times New Roman" w:cs="Calibri"/>
          <w:color w:val="000000"/>
          <w:sz w:val="24"/>
          <w:szCs w:val="24"/>
          <w:u w:color="000000"/>
          <w:bdr w:val="nil"/>
          <w:lang w:val="fr-FR" w:eastAsia="en-GB"/>
        </w:rPr>
        <w:t>« </w:t>
      </w:r>
      <w:r w:rsidRPr="008201F2">
        <w:rPr>
          <w:rFonts w:ascii="Times New Roman" w:eastAsia="Calibri" w:hAnsi="Times New Roman" w:cs="Calibri"/>
          <w:color w:val="000000"/>
          <w:sz w:val="24"/>
          <w:szCs w:val="24"/>
          <w:u w:color="000000"/>
          <w:bdr w:val="nil"/>
          <w:lang w:val="fr-FR" w:eastAsia="en-GB"/>
        </w:rPr>
        <w:t>accountability</w:t>
      </w:r>
      <w:r w:rsidR="00523775">
        <w:rPr>
          <w:rFonts w:ascii="Times New Roman" w:eastAsia="Calibri" w:hAnsi="Times New Roman" w:cs="Calibri"/>
          <w:color w:val="000000"/>
          <w:sz w:val="24"/>
          <w:szCs w:val="24"/>
          <w:u w:color="000000"/>
          <w:bdr w:val="nil"/>
          <w:lang w:val="fr-FR" w:eastAsia="en-GB"/>
        </w:rPr>
        <w:t> »</w:t>
      </w:r>
      <w:r w:rsidRPr="008201F2">
        <w:rPr>
          <w:rFonts w:ascii="Times New Roman" w:eastAsia="Calibri" w:hAnsi="Times New Roman" w:cs="Calibri"/>
          <w:color w:val="000000"/>
          <w:sz w:val="24"/>
          <w:szCs w:val="24"/>
          <w:u w:color="000000"/>
          <w:bdr w:val="nil"/>
          <w:lang w:val="fr-FR" w:eastAsia="en-GB"/>
        </w:rPr>
        <w:t xml:space="preserve">). Cependant, parmi les questions qui se </w:t>
      </w:r>
      <w:r w:rsidR="000412E7">
        <w:rPr>
          <w:rFonts w:ascii="Times New Roman" w:eastAsia="Calibri" w:hAnsi="Times New Roman" w:cs="Calibri"/>
          <w:color w:val="000000"/>
          <w:sz w:val="24"/>
          <w:szCs w:val="24"/>
          <w:u w:color="000000"/>
          <w:bdr w:val="nil"/>
          <w:lang w:val="fr-FR" w:eastAsia="en-GB"/>
        </w:rPr>
        <w:t xml:space="preserve">sont </w:t>
      </w:r>
      <w:r w:rsidRPr="008201F2">
        <w:rPr>
          <w:rFonts w:ascii="Times New Roman" w:eastAsia="Calibri" w:hAnsi="Times New Roman" w:cs="Calibri"/>
          <w:color w:val="000000"/>
          <w:sz w:val="24"/>
          <w:szCs w:val="24"/>
          <w:u w:color="000000"/>
          <w:bdr w:val="nil"/>
          <w:lang w:val="fr-FR" w:eastAsia="en-GB"/>
        </w:rPr>
        <w:t>manifest</w:t>
      </w:r>
      <w:r w:rsidR="000412E7">
        <w:rPr>
          <w:rFonts w:ascii="Times New Roman" w:eastAsia="Calibri" w:hAnsi="Times New Roman" w:cs="Calibri"/>
          <w:color w:val="000000"/>
          <w:sz w:val="24"/>
          <w:szCs w:val="24"/>
          <w:u w:color="000000"/>
          <w:bdr w:val="nil"/>
          <w:lang w:val="fr-FR" w:eastAsia="en-GB"/>
        </w:rPr>
        <w:t>ées</w:t>
      </w:r>
      <w:r w:rsidRPr="008201F2">
        <w:rPr>
          <w:rFonts w:ascii="Times New Roman" w:eastAsia="Calibri" w:hAnsi="Times New Roman" w:cs="Calibri"/>
          <w:color w:val="000000"/>
          <w:sz w:val="24"/>
          <w:szCs w:val="24"/>
          <w:u w:color="000000"/>
          <w:bdr w:val="nil"/>
          <w:lang w:val="fr-FR" w:eastAsia="en-GB"/>
        </w:rPr>
        <w:t xml:space="preserve"> avec plus d'acuité au Sahara occidental qu'ailleurs figurent notamment celles relatives aux droits civils et politiques. Au nombre des questions mentionnées, il convient de citer les difficultés dont certaines organisations ont pu faire l'expérience pour obtenir leur enregistrement, les restrictions susceptibles d'entraver l'activité de certains défenseurs des droits de l'homme ou encore celles pouvant s'appliquer à l'accès au territoire du Sahara occidental pour certains étrangers, tels que journalistes, avocats ou défenseurs des droits de l'homme. Si aucune politique de discrimination systématique sur des critères ethniques n'a été évoquée quant à l'accès à l'emploi ou aux droits sociaux, certains cas individuels d'abus administratifs ou de privation de droits ont néanmoins été mentionnés. Tandis que la plupart des interlocuteurs s'accordent sur le nécessaire maintien du leadership des Nations Unies dans la conduite du processus politique au Sahara occidental, nombreux </w:t>
      </w:r>
      <w:r w:rsidR="00C9293C">
        <w:rPr>
          <w:rFonts w:ascii="Times New Roman" w:eastAsia="Calibri" w:hAnsi="Times New Roman" w:cs="Calibri"/>
          <w:color w:val="000000"/>
          <w:sz w:val="24"/>
          <w:szCs w:val="24"/>
          <w:u w:color="000000"/>
          <w:bdr w:val="nil"/>
          <w:lang w:val="fr-FR" w:eastAsia="en-GB"/>
        </w:rPr>
        <w:t>sont</w:t>
      </w:r>
      <w:r w:rsidRPr="008201F2">
        <w:rPr>
          <w:rFonts w:ascii="Times New Roman" w:eastAsia="Calibri" w:hAnsi="Times New Roman" w:cs="Calibri"/>
          <w:color w:val="000000"/>
          <w:sz w:val="24"/>
          <w:szCs w:val="24"/>
          <w:u w:color="000000"/>
          <w:bdr w:val="nil"/>
          <w:lang w:val="fr-FR" w:eastAsia="en-GB"/>
        </w:rPr>
        <w:t xml:space="preserve"> également ceux qui </w:t>
      </w:r>
      <w:r w:rsidR="00C9293C">
        <w:rPr>
          <w:rFonts w:ascii="Times New Roman" w:eastAsia="Calibri" w:hAnsi="Times New Roman" w:cs="Calibri"/>
          <w:color w:val="000000"/>
          <w:sz w:val="24"/>
          <w:szCs w:val="24"/>
          <w:u w:color="000000"/>
          <w:bdr w:val="nil"/>
          <w:lang w:val="fr-FR" w:eastAsia="en-GB"/>
        </w:rPr>
        <w:t xml:space="preserve">ont </w:t>
      </w:r>
      <w:r w:rsidRPr="008201F2">
        <w:rPr>
          <w:rFonts w:ascii="Times New Roman" w:eastAsia="Calibri" w:hAnsi="Times New Roman" w:cs="Calibri"/>
          <w:color w:val="000000"/>
          <w:sz w:val="24"/>
          <w:szCs w:val="24"/>
          <w:u w:color="000000"/>
          <w:bdr w:val="nil"/>
          <w:lang w:val="fr-FR" w:eastAsia="en-GB"/>
        </w:rPr>
        <w:t>soulign</w:t>
      </w:r>
      <w:r w:rsidR="00C9293C">
        <w:rPr>
          <w:rFonts w:ascii="Times New Roman" w:eastAsia="Calibri" w:hAnsi="Times New Roman" w:cs="Calibri"/>
          <w:color w:val="000000"/>
          <w:sz w:val="24"/>
          <w:szCs w:val="24"/>
          <w:u w:color="000000"/>
          <w:bdr w:val="nil"/>
          <w:lang w:val="fr-FR" w:eastAsia="en-GB"/>
        </w:rPr>
        <w:t>é</w:t>
      </w:r>
      <w:r w:rsidRPr="008201F2">
        <w:rPr>
          <w:rFonts w:ascii="Times New Roman" w:eastAsia="Calibri" w:hAnsi="Times New Roman" w:cs="Calibri"/>
          <w:color w:val="000000"/>
          <w:sz w:val="24"/>
          <w:szCs w:val="24"/>
          <w:u w:color="000000"/>
          <w:bdr w:val="nil"/>
          <w:lang w:val="fr-FR" w:eastAsia="en-GB"/>
        </w:rPr>
        <w:t xml:space="preserve"> le "droit au développement" de la population dans l'attente de l'aboutissement du processus politique. Ainsi que résumé par un interlocuteur, être privé de ce droit au développement pénalis</w:t>
      </w:r>
      <w:r w:rsidR="00C9293C">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déjà les populations sahraouies, les priver d'accès aux marchés européens pour cause de contentieux sur un accord </w:t>
      </w:r>
      <w:r w:rsidR="007B37F5">
        <w:rPr>
          <w:rFonts w:ascii="Times New Roman" w:eastAsia="Calibri" w:hAnsi="Times New Roman" w:cs="Calibri"/>
          <w:color w:val="000000"/>
          <w:sz w:val="24"/>
          <w:szCs w:val="24"/>
          <w:u w:color="000000"/>
          <w:bdr w:val="nil"/>
          <w:lang w:val="fr-FR" w:eastAsia="en-GB"/>
        </w:rPr>
        <w:t>entre l’</w:t>
      </w:r>
      <w:r w:rsidRPr="008201F2">
        <w:rPr>
          <w:rFonts w:ascii="Times New Roman" w:eastAsia="Calibri" w:hAnsi="Times New Roman" w:cs="Calibri"/>
          <w:color w:val="000000"/>
          <w:sz w:val="24"/>
          <w:szCs w:val="24"/>
          <w:u w:color="000000"/>
          <w:bdr w:val="nil"/>
          <w:lang w:val="fr-FR" w:eastAsia="en-GB"/>
        </w:rPr>
        <w:t>U</w:t>
      </w:r>
      <w:r w:rsidR="007B37F5">
        <w:rPr>
          <w:rFonts w:ascii="Times New Roman" w:eastAsia="Calibri" w:hAnsi="Times New Roman" w:cs="Calibri"/>
          <w:color w:val="000000"/>
          <w:sz w:val="24"/>
          <w:szCs w:val="24"/>
          <w:u w:color="000000"/>
          <w:bdr w:val="nil"/>
          <w:lang w:val="fr-FR" w:eastAsia="en-GB"/>
        </w:rPr>
        <w:t xml:space="preserve">nion européenne et le </w:t>
      </w:r>
      <w:r w:rsidRPr="008201F2">
        <w:rPr>
          <w:rFonts w:ascii="Times New Roman" w:eastAsia="Calibri" w:hAnsi="Times New Roman" w:cs="Calibri"/>
          <w:color w:val="000000"/>
          <w:sz w:val="24"/>
          <w:szCs w:val="24"/>
          <w:u w:color="000000"/>
          <w:bdr w:val="nil"/>
          <w:lang w:val="fr-FR" w:eastAsia="en-GB"/>
        </w:rPr>
        <w:t xml:space="preserve">Maroc les pénaliserait doublement. De nombreux interlocuteurs ont aussi souligné que la pleine jouissance des droits de l'homme présupposait aussi le développement économique et que l'accès des populations à un système de santé décent ou à l'éducation ne pouvait être satisfait sans ressources économiques. Selon ces derniers, les ressources provenant des activités de pêche et d'agriculture </w:t>
      </w:r>
      <w:r w:rsidR="00C9293C">
        <w:rPr>
          <w:rFonts w:ascii="Times New Roman" w:eastAsia="Calibri" w:hAnsi="Times New Roman" w:cs="Calibri"/>
          <w:color w:val="000000"/>
          <w:sz w:val="24"/>
          <w:szCs w:val="24"/>
          <w:u w:color="000000"/>
          <w:bdr w:val="nil"/>
          <w:lang w:val="fr-FR" w:eastAsia="en-GB"/>
        </w:rPr>
        <w:t>sont</w:t>
      </w:r>
      <w:r w:rsidRPr="008201F2">
        <w:rPr>
          <w:rFonts w:ascii="Times New Roman" w:eastAsia="Calibri" w:hAnsi="Times New Roman" w:cs="Calibri"/>
          <w:color w:val="000000"/>
          <w:sz w:val="24"/>
          <w:szCs w:val="24"/>
          <w:u w:color="000000"/>
          <w:bdr w:val="nil"/>
          <w:lang w:val="fr-FR" w:eastAsia="en-GB"/>
        </w:rPr>
        <w:t xml:space="preserve"> essentielles pour le territoire, d'où l'urgence de trouver une solution à la question du statut du Sahara occidental. Entretemps, et dans l'attente d'une solution politique, il import</w:t>
      </w:r>
      <w:r w:rsidR="00C9293C">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toutefois de répondre au plus tôt aux nécessités socio-économiques du moment et l'exploitation des ressources </w:t>
      </w:r>
      <w:r w:rsidR="00C9293C">
        <w:rPr>
          <w:rFonts w:ascii="Times New Roman" w:eastAsia="Calibri" w:hAnsi="Times New Roman" w:cs="Calibri"/>
          <w:color w:val="000000"/>
          <w:sz w:val="24"/>
          <w:szCs w:val="24"/>
          <w:u w:color="000000"/>
          <w:bdr w:val="nil"/>
          <w:lang w:val="fr-FR" w:eastAsia="en-GB"/>
        </w:rPr>
        <w:t>est</w:t>
      </w:r>
      <w:r w:rsidRPr="008201F2">
        <w:rPr>
          <w:rFonts w:ascii="Times New Roman" w:eastAsia="Calibri" w:hAnsi="Times New Roman" w:cs="Calibri"/>
          <w:color w:val="000000"/>
          <w:sz w:val="24"/>
          <w:szCs w:val="24"/>
          <w:u w:color="000000"/>
          <w:bdr w:val="nil"/>
          <w:lang w:val="fr-FR" w:eastAsia="en-GB"/>
        </w:rPr>
        <w:t xml:space="preserve"> la condition même d'une vie digne.</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Les interconnections et la solidarité entre régions </w:t>
      </w:r>
      <w:r w:rsidR="00C9293C">
        <w:rPr>
          <w:rFonts w:ascii="Times New Roman" w:eastAsia="Calibri" w:hAnsi="Times New Roman" w:cs="Calibri"/>
          <w:color w:val="000000"/>
          <w:sz w:val="24"/>
          <w:szCs w:val="24"/>
          <w:u w:color="000000"/>
          <w:bdr w:val="nil"/>
          <w:lang w:val="fr-FR" w:eastAsia="en-GB"/>
        </w:rPr>
        <w:t>serait</w:t>
      </w:r>
      <w:r w:rsidRPr="008201F2">
        <w:rPr>
          <w:rFonts w:ascii="Times New Roman" w:eastAsia="Calibri" w:hAnsi="Times New Roman" w:cs="Calibri"/>
          <w:color w:val="000000"/>
          <w:sz w:val="24"/>
          <w:szCs w:val="24"/>
          <w:u w:color="000000"/>
          <w:bdr w:val="nil"/>
          <w:lang w:val="fr-FR" w:eastAsia="en-GB"/>
        </w:rPr>
        <w:t xml:space="preserve"> aussi une question cruciale. A ce titre, le cas de la ville de Smara et les conséquences désastreuses de son éventuel isolement en cas de rupture des liens commerciaux avec Ta</w:t>
      </w:r>
      <w:r w:rsidR="007B37F5">
        <w:rPr>
          <w:rFonts w:ascii="Times New Roman" w:eastAsia="Calibri" w:hAnsi="Times New Roman" w:cs="Calibri"/>
          <w:color w:val="000000"/>
          <w:sz w:val="24"/>
          <w:szCs w:val="24"/>
          <w:u w:color="000000"/>
          <w:bdr w:val="nil"/>
          <w:lang w:val="fr-FR" w:eastAsia="en-GB"/>
        </w:rPr>
        <w:t>n-</w:t>
      </w:r>
      <w:r w:rsidRPr="008201F2">
        <w:rPr>
          <w:rFonts w:ascii="Times New Roman" w:eastAsia="Calibri" w:hAnsi="Times New Roman" w:cs="Calibri"/>
          <w:color w:val="000000"/>
          <w:sz w:val="24"/>
          <w:szCs w:val="24"/>
          <w:u w:color="000000"/>
          <w:bdr w:val="nil"/>
          <w:lang w:val="fr-FR" w:eastAsia="en-GB"/>
        </w:rPr>
        <w:t>Ta</w:t>
      </w:r>
      <w:r w:rsidR="007B37F5">
        <w:rPr>
          <w:rFonts w:ascii="Times New Roman" w:eastAsia="Calibri" w:hAnsi="Times New Roman" w:cs="Calibri"/>
          <w:color w:val="000000"/>
          <w:sz w:val="24"/>
          <w:szCs w:val="24"/>
          <w:u w:color="000000"/>
          <w:bdr w:val="nil"/>
          <w:lang w:val="fr-FR" w:eastAsia="en-GB"/>
        </w:rPr>
        <w:t>n</w:t>
      </w:r>
      <w:r w:rsidRPr="008201F2">
        <w:rPr>
          <w:rFonts w:ascii="Times New Roman" w:eastAsia="Calibri" w:hAnsi="Times New Roman" w:cs="Calibri"/>
          <w:color w:val="000000"/>
          <w:sz w:val="24"/>
          <w:szCs w:val="24"/>
          <w:u w:color="000000"/>
          <w:bdr w:val="nil"/>
          <w:lang w:val="fr-FR" w:eastAsia="en-GB"/>
        </w:rPr>
        <w:t xml:space="preserve"> a été mentionné.</w:t>
      </w: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Au sujet de la répartition équitable des ressources, la présence assez nombreuse des Sahraouis dans le tissu économique a souvent été évoquée, bien qu'aucun système de suivi transparent n'ait pu être mis en place pour s'assurer que les ressources bénéficiaient à la population dans son entier. Le rôle de la société civile et des acteurs associatifs </w:t>
      </w:r>
      <w:r w:rsidR="00C9293C">
        <w:rPr>
          <w:rFonts w:ascii="Times New Roman" w:eastAsia="Calibri" w:hAnsi="Times New Roman" w:cs="Calibri"/>
          <w:color w:val="000000"/>
          <w:sz w:val="24"/>
          <w:szCs w:val="24"/>
          <w:u w:color="000000"/>
          <w:bdr w:val="nil"/>
          <w:lang w:val="fr-FR" w:eastAsia="en-GB"/>
        </w:rPr>
        <w:t>est</w:t>
      </w:r>
      <w:r w:rsidRPr="008201F2">
        <w:rPr>
          <w:rFonts w:ascii="Times New Roman" w:eastAsia="Calibri" w:hAnsi="Times New Roman" w:cs="Calibri"/>
          <w:color w:val="000000"/>
          <w:sz w:val="24"/>
          <w:szCs w:val="24"/>
          <w:u w:color="000000"/>
          <w:bdr w:val="nil"/>
          <w:lang w:val="fr-FR" w:eastAsia="en-GB"/>
        </w:rPr>
        <w:t xml:space="preserve"> donc essentiel pour garantir une gestion correcte des ressources et la responsabilité administrative des pouvoirs publics.</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La question de la diaspora et des droits des personnes ayant décidé de rentrer au Sahara occidental </w:t>
      </w:r>
      <w:r w:rsidR="00E64BDB">
        <w:rPr>
          <w:rFonts w:ascii="Times New Roman" w:eastAsia="Calibri" w:hAnsi="Times New Roman" w:cs="Calibri"/>
          <w:color w:val="000000"/>
          <w:sz w:val="24"/>
          <w:szCs w:val="24"/>
          <w:u w:color="000000"/>
          <w:bdr w:val="nil"/>
          <w:lang w:val="fr-FR" w:eastAsia="en-GB"/>
        </w:rPr>
        <w:t>a</w:t>
      </w:r>
      <w:r w:rsidRPr="008201F2">
        <w:rPr>
          <w:rFonts w:ascii="Times New Roman" w:eastAsia="Calibri" w:hAnsi="Times New Roman" w:cs="Calibri"/>
          <w:color w:val="000000"/>
          <w:sz w:val="24"/>
          <w:szCs w:val="24"/>
          <w:u w:color="000000"/>
          <w:bdr w:val="nil"/>
          <w:lang w:val="fr-FR" w:eastAsia="en-GB"/>
        </w:rPr>
        <w:t xml:space="preserve"> aussi été évoquée. </w:t>
      </w:r>
      <w:r w:rsidR="004E2E61">
        <w:rPr>
          <w:rFonts w:ascii="Times New Roman" w:eastAsia="Calibri" w:hAnsi="Times New Roman" w:cs="Calibri"/>
          <w:color w:val="000000"/>
          <w:sz w:val="24"/>
          <w:szCs w:val="24"/>
          <w:u w:color="000000"/>
          <w:bdr w:val="nil"/>
          <w:lang w:val="fr-FR" w:eastAsia="en-GB"/>
        </w:rPr>
        <w:t xml:space="preserve">Aucune </w:t>
      </w:r>
      <w:r w:rsidRPr="008201F2">
        <w:rPr>
          <w:rFonts w:ascii="Times New Roman" w:eastAsia="Calibri" w:hAnsi="Times New Roman" w:cs="Calibri"/>
          <w:color w:val="000000"/>
          <w:sz w:val="24"/>
          <w:szCs w:val="24"/>
          <w:u w:color="000000"/>
          <w:bdr w:val="nil"/>
          <w:lang w:val="fr-FR" w:eastAsia="en-GB"/>
        </w:rPr>
        <w:t>restriction ne p</w:t>
      </w:r>
      <w:r w:rsidR="004E2E61">
        <w:rPr>
          <w:rFonts w:ascii="Times New Roman" w:eastAsia="Calibri" w:hAnsi="Times New Roman" w:cs="Calibri"/>
          <w:color w:val="000000"/>
          <w:sz w:val="24"/>
          <w:szCs w:val="24"/>
          <w:u w:color="000000"/>
          <w:bdr w:val="nil"/>
          <w:lang w:val="fr-FR" w:eastAsia="en-GB"/>
        </w:rPr>
        <w:t>èser</w:t>
      </w:r>
      <w:r w:rsidRPr="008201F2">
        <w:rPr>
          <w:rFonts w:ascii="Times New Roman" w:eastAsia="Calibri" w:hAnsi="Times New Roman" w:cs="Calibri"/>
          <w:color w:val="000000"/>
          <w:sz w:val="24"/>
          <w:szCs w:val="24"/>
          <w:u w:color="000000"/>
          <w:bdr w:val="nil"/>
          <w:lang w:val="fr-FR" w:eastAsia="en-GB"/>
        </w:rPr>
        <w:t>ait sur le retour des Sahraouis de Tindouf</w:t>
      </w:r>
      <w:r w:rsidR="003F3F5A">
        <w:rPr>
          <w:rFonts w:ascii="Times New Roman" w:eastAsia="Calibri" w:hAnsi="Times New Roman" w:cs="Calibri"/>
          <w:color w:val="000000"/>
          <w:sz w:val="24"/>
          <w:szCs w:val="24"/>
          <w:u w:color="000000"/>
          <w:bdr w:val="nil"/>
          <w:lang w:val="fr-FR" w:eastAsia="en-GB"/>
        </w:rPr>
        <w:t xml:space="preserve"> (Algérie)</w:t>
      </w:r>
      <w:r w:rsidRPr="008201F2">
        <w:rPr>
          <w:rFonts w:ascii="Times New Roman" w:eastAsia="Calibri" w:hAnsi="Times New Roman" w:cs="Calibri"/>
          <w:color w:val="000000"/>
          <w:sz w:val="24"/>
          <w:szCs w:val="24"/>
          <w:u w:color="000000"/>
          <w:bdr w:val="nil"/>
          <w:lang w:val="fr-FR" w:eastAsia="en-GB"/>
        </w:rPr>
        <w:t xml:space="preserve"> vers le Sahara occidental. Au contraire, le Maroc a</w:t>
      </w:r>
      <w:r w:rsidR="00C9293C">
        <w:rPr>
          <w:rFonts w:ascii="Times New Roman" w:eastAsia="Calibri" w:hAnsi="Times New Roman" w:cs="Calibri"/>
          <w:color w:val="000000"/>
          <w:sz w:val="24"/>
          <w:szCs w:val="24"/>
          <w:u w:color="000000"/>
          <w:bdr w:val="nil"/>
          <w:lang w:val="fr-FR" w:eastAsia="en-GB"/>
        </w:rPr>
        <w:t>urait</w:t>
      </w:r>
      <w:r w:rsidRPr="008201F2">
        <w:rPr>
          <w:rFonts w:ascii="Times New Roman" w:eastAsia="Calibri" w:hAnsi="Times New Roman" w:cs="Calibri"/>
          <w:color w:val="000000"/>
          <w:sz w:val="24"/>
          <w:szCs w:val="24"/>
          <w:u w:color="000000"/>
          <w:bdr w:val="nil"/>
          <w:lang w:val="fr-FR" w:eastAsia="en-GB"/>
        </w:rPr>
        <w:t xml:space="preserve"> mis en œuvre une politique de discrimination positive offrant aux populations "rapatriées" emplois (parfois à des niveaux élevés) et logements. Toutefois, aux dires de certains interlocuteurs, les populations des camps vivent sous un régime de stricts contrôles et celles qui </w:t>
      </w:r>
      <w:r w:rsidR="00C9293C">
        <w:rPr>
          <w:rFonts w:ascii="Times New Roman" w:eastAsia="Calibri" w:hAnsi="Times New Roman" w:cs="Calibri"/>
          <w:color w:val="000000"/>
          <w:sz w:val="24"/>
          <w:szCs w:val="24"/>
          <w:u w:color="000000"/>
          <w:bdr w:val="nil"/>
          <w:lang w:val="fr-FR" w:eastAsia="en-GB"/>
        </w:rPr>
        <w:t>ont</w:t>
      </w:r>
      <w:r w:rsidRPr="008201F2">
        <w:rPr>
          <w:rFonts w:ascii="Times New Roman" w:eastAsia="Calibri" w:hAnsi="Times New Roman" w:cs="Calibri"/>
          <w:color w:val="000000"/>
          <w:sz w:val="24"/>
          <w:szCs w:val="24"/>
          <w:u w:color="000000"/>
          <w:bdr w:val="nil"/>
          <w:lang w:val="fr-FR" w:eastAsia="en-GB"/>
        </w:rPr>
        <w:t xml:space="preserve"> pu partir </w:t>
      </w:r>
      <w:r w:rsidR="00C9293C">
        <w:rPr>
          <w:rFonts w:ascii="Times New Roman" w:eastAsia="Calibri" w:hAnsi="Times New Roman" w:cs="Calibri"/>
          <w:color w:val="000000"/>
          <w:sz w:val="24"/>
          <w:szCs w:val="24"/>
          <w:u w:color="000000"/>
          <w:bdr w:val="nil"/>
          <w:lang w:val="fr-FR" w:eastAsia="en-GB"/>
        </w:rPr>
        <w:t>sont</w:t>
      </w:r>
      <w:r w:rsidRPr="008201F2">
        <w:rPr>
          <w:rFonts w:ascii="Times New Roman" w:eastAsia="Calibri" w:hAnsi="Times New Roman" w:cs="Calibri"/>
          <w:color w:val="000000"/>
          <w:sz w:val="24"/>
          <w:szCs w:val="24"/>
          <w:u w:color="000000"/>
          <w:bdr w:val="nil"/>
          <w:lang w:val="fr-FR" w:eastAsia="en-GB"/>
        </w:rPr>
        <w:t xml:space="preserve"> déjà parties.</w:t>
      </w: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i/>
          <w:color w:val="000000"/>
          <w:sz w:val="24"/>
          <w:szCs w:val="24"/>
          <w:u w:color="000000"/>
          <w:bdr w:val="nil"/>
          <w:lang w:val="fr-FR" w:eastAsia="en-GB"/>
        </w:rPr>
      </w:pPr>
      <w:r w:rsidRPr="002060D5">
        <w:rPr>
          <w:rFonts w:ascii="Times New Roman" w:eastAsia="Calibri" w:hAnsi="Times New Roman" w:cs="Calibri"/>
          <w:i/>
          <w:color w:val="000000"/>
          <w:sz w:val="24"/>
          <w:szCs w:val="24"/>
          <w:u w:color="000000"/>
          <w:bdr w:val="nil"/>
          <w:lang w:val="fr-FR" w:eastAsia="en-GB"/>
        </w:rPr>
        <w:t>Résultat des consultations avec le Front Polisario</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50240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L</w:t>
      </w:r>
      <w:r w:rsidR="003F3F5A">
        <w:rPr>
          <w:rFonts w:ascii="Times New Roman" w:eastAsia="Calibri" w:hAnsi="Times New Roman" w:cs="Calibri"/>
          <w:color w:val="000000"/>
          <w:sz w:val="24"/>
          <w:szCs w:val="24"/>
          <w:u w:color="000000"/>
          <w:bdr w:val="nil"/>
          <w:lang w:val="fr-FR" w:eastAsia="en-GB"/>
        </w:rPr>
        <w:t>e SEAE</w:t>
      </w:r>
      <w:r w:rsidRPr="008201F2">
        <w:rPr>
          <w:rFonts w:ascii="Times New Roman" w:eastAsia="Calibri" w:hAnsi="Times New Roman" w:cs="Calibri"/>
          <w:color w:val="000000"/>
          <w:sz w:val="24"/>
          <w:szCs w:val="24"/>
          <w:u w:color="000000"/>
          <w:bdr w:val="nil"/>
          <w:lang w:val="fr-FR" w:eastAsia="en-GB"/>
        </w:rPr>
        <w:t xml:space="preserve"> a aussi tenu des consultations avec le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Polisario, en tant qu'une des parties au processus des Nations Unies. Rappelant que de telles consultations revêtaient une nature technique, l</w:t>
      </w:r>
      <w:r w:rsidR="003F3F5A">
        <w:rPr>
          <w:rFonts w:ascii="Times New Roman" w:eastAsia="Calibri" w:hAnsi="Times New Roman" w:cs="Calibri"/>
          <w:color w:val="000000"/>
          <w:sz w:val="24"/>
          <w:szCs w:val="24"/>
          <w:u w:color="000000"/>
          <w:bdr w:val="nil"/>
          <w:lang w:val="fr-FR" w:eastAsia="en-GB"/>
        </w:rPr>
        <w:t>e SEAE</w:t>
      </w:r>
      <w:r w:rsidRPr="008201F2">
        <w:rPr>
          <w:rFonts w:ascii="Times New Roman" w:eastAsia="Calibri" w:hAnsi="Times New Roman" w:cs="Calibri"/>
          <w:color w:val="000000"/>
          <w:sz w:val="24"/>
          <w:szCs w:val="24"/>
          <w:u w:color="000000"/>
          <w:bdr w:val="nil"/>
          <w:lang w:val="fr-FR" w:eastAsia="en-GB"/>
        </w:rPr>
        <w:t xml:space="preserve"> a précisé qu'elles ne remettaient pas en cause la politique de l'Union </w:t>
      </w:r>
      <w:r w:rsidR="003F3F5A">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uropéenne quant à la non-reconnaissance </w:t>
      </w:r>
      <w:r w:rsidR="00F94351">
        <w:rPr>
          <w:rFonts w:ascii="Times New Roman" w:eastAsia="Calibri" w:hAnsi="Times New Roman" w:cs="Calibri"/>
          <w:color w:val="000000"/>
          <w:sz w:val="24"/>
          <w:szCs w:val="24"/>
          <w:u w:color="000000"/>
          <w:bdr w:val="nil"/>
          <w:lang w:val="fr-FR" w:eastAsia="en-GB"/>
        </w:rPr>
        <w:t xml:space="preserve">diplomatique </w:t>
      </w:r>
      <w:r w:rsidRPr="008201F2">
        <w:rPr>
          <w:rFonts w:ascii="Times New Roman" w:eastAsia="Calibri" w:hAnsi="Times New Roman" w:cs="Calibri"/>
          <w:color w:val="000000"/>
          <w:sz w:val="24"/>
          <w:szCs w:val="24"/>
          <w:u w:color="000000"/>
          <w:bdr w:val="nil"/>
          <w:lang w:val="fr-FR" w:eastAsia="en-GB"/>
        </w:rPr>
        <w:t xml:space="preserve">du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Polisario</w:t>
      </w:r>
      <w:r w:rsidR="00F94351">
        <w:rPr>
          <w:rFonts w:ascii="Times New Roman" w:eastAsia="Calibri" w:hAnsi="Times New Roman" w:cs="Calibri"/>
          <w:color w:val="000000"/>
          <w:sz w:val="24"/>
          <w:szCs w:val="24"/>
          <w:u w:color="000000"/>
          <w:bdr w:val="nil"/>
          <w:lang w:val="fr-FR" w:eastAsia="en-GB"/>
        </w:rPr>
        <w:t xml:space="preserve"> par les Etats membres de l’Union européenne</w:t>
      </w:r>
      <w:r w:rsidRPr="008201F2">
        <w:rPr>
          <w:rFonts w:ascii="Times New Roman" w:eastAsia="Calibri" w:hAnsi="Times New Roman" w:cs="Calibri"/>
          <w:color w:val="000000"/>
          <w:sz w:val="24"/>
          <w:szCs w:val="24"/>
          <w:u w:color="000000"/>
          <w:bdr w:val="nil"/>
          <w:lang w:val="fr-FR" w:eastAsia="en-GB"/>
        </w:rPr>
        <w:t>.</w:t>
      </w:r>
    </w:p>
    <w:p w:rsidR="00502405" w:rsidRDefault="0050240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50240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Sans souhaiter aborder les aspects relatifs à l</w:t>
      </w:r>
      <w:r w:rsidR="003F3F5A">
        <w:rPr>
          <w:rFonts w:ascii="Times New Roman" w:eastAsia="Calibri" w:hAnsi="Times New Roman" w:cs="Calibri"/>
          <w:color w:val="000000"/>
          <w:sz w:val="24"/>
          <w:szCs w:val="24"/>
          <w:u w:color="000000"/>
          <w:bdr w:val="nil"/>
          <w:lang w:val="fr-FR" w:eastAsia="en-GB"/>
        </w:rPr>
        <w:t>a modification des protocoles de l’accord d’association</w:t>
      </w:r>
      <w:r w:rsidRPr="008201F2">
        <w:rPr>
          <w:rFonts w:ascii="Times New Roman" w:eastAsia="Calibri" w:hAnsi="Times New Roman" w:cs="Calibri"/>
          <w:color w:val="000000"/>
          <w:sz w:val="24"/>
          <w:szCs w:val="24"/>
          <w:u w:color="000000"/>
          <w:bdr w:val="nil"/>
          <w:lang w:val="fr-FR" w:eastAsia="en-GB"/>
        </w:rPr>
        <w:t xml:space="preserve"> à proprement parler, le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 xml:space="preserve">Polisario a regretté son absence d'implication dans la négociation alors même que le droit international lui conférerait pouvoir de représentation en pareil cas. De la sorte, selon le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Polisario, l'approche européenne rev</w:t>
      </w:r>
      <w:r w:rsidR="00C9293C">
        <w:rPr>
          <w:rFonts w:ascii="Times New Roman" w:eastAsia="Calibri" w:hAnsi="Times New Roman" w:cs="Calibri"/>
          <w:color w:val="000000"/>
          <w:sz w:val="24"/>
          <w:szCs w:val="24"/>
          <w:u w:color="000000"/>
          <w:bdr w:val="nil"/>
          <w:lang w:val="fr-FR" w:eastAsia="en-GB"/>
        </w:rPr>
        <w:t>ient</w:t>
      </w:r>
      <w:r w:rsidRPr="008201F2">
        <w:rPr>
          <w:rFonts w:ascii="Times New Roman" w:eastAsia="Calibri" w:hAnsi="Times New Roman" w:cs="Calibri"/>
          <w:color w:val="000000"/>
          <w:sz w:val="24"/>
          <w:szCs w:val="24"/>
          <w:u w:color="000000"/>
          <w:bdr w:val="nil"/>
          <w:lang w:val="fr-FR" w:eastAsia="en-GB"/>
        </w:rPr>
        <w:t xml:space="preserve"> à circonvenir </w:t>
      </w:r>
      <w:r w:rsidR="003F3F5A">
        <w:rPr>
          <w:rFonts w:ascii="Times New Roman" w:eastAsia="Calibri" w:hAnsi="Times New Roman" w:cs="Calibri"/>
          <w:color w:val="000000"/>
          <w:sz w:val="24"/>
          <w:szCs w:val="24"/>
          <w:u w:color="000000"/>
          <w:bdr w:val="nil"/>
          <w:lang w:val="fr-FR" w:eastAsia="en-GB"/>
        </w:rPr>
        <w:t>le</w:t>
      </w:r>
      <w:r w:rsidRPr="008201F2">
        <w:rPr>
          <w:rFonts w:ascii="Times New Roman" w:eastAsia="Calibri" w:hAnsi="Times New Roman" w:cs="Calibri"/>
          <w:color w:val="000000"/>
          <w:sz w:val="24"/>
          <w:szCs w:val="24"/>
          <w:u w:color="000000"/>
          <w:bdr w:val="nil"/>
          <w:lang w:val="fr-FR" w:eastAsia="en-GB"/>
        </w:rPr>
        <w:t xml:space="preserve"> jugement de la C</w:t>
      </w:r>
      <w:r w:rsidR="003F3F5A">
        <w:rPr>
          <w:rFonts w:ascii="Times New Roman" w:eastAsia="Calibri" w:hAnsi="Times New Roman" w:cs="Calibri"/>
          <w:color w:val="000000"/>
          <w:sz w:val="24"/>
          <w:szCs w:val="24"/>
          <w:u w:color="000000"/>
          <w:bdr w:val="nil"/>
          <w:lang w:val="fr-FR" w:eastAsia="en-GB"/>
        </w:rPr>
        <w:t xml:space="preserve">our de </w:t>
      </w:r>
      <w:r w:rsidR="000C65F5">
        <w:rPr>
          <w:rFonts w:ascii="Times New Roman" w:eastAsia="Calibri" w:hAnsi="Times New Roman" w:cs="Calibri"/>
          <w:color w:val="000000"/>
          <w:sz w:val="24"/>
          <w:szCs w:val="24"/>
          <w:u w:color="000000"/>
          <w:bdr w:val="nil"/>
          <w:lang w:val="fr-FR" w:eastAsia="en-GB"/>
        </w:rPr>
        <w:t>j</w:t>
      </w:r>
      <w:r w:rsidR="003F3F5A">
        <w:rPr>
          <w:rFonts w:ascii="Times New Roman" w:eastAsia="Calibri" w:hAnsi="Times New Roman" w:cs="Calibri"/>
          <w:color w:val="000000"/>
          <w:sz w:val="24"/>
          <w:szCs w:val="24"/>
          <w:u w:color="000000"/>
          <w:bdr w:val="nil"/>
          <w:lang w:val="fr-FR" w:eastAsia="en-GB"/>
        </w:rPr>
        <w:t>ustice de l’</w:t>
      </w:r>
      <w:r w:rsidRPr="008201F2">
        <w:rPr>
          <w:rFonts w:ascii="Times New Roman" w:eastAsia="Calibri" w:hAnsi="Times New Roman" w:cs="Calibri"/>
          <w:color w:val="000000"/>
          <w:sz w:val="24"/>
          <w:szCs w:val="24"/>
          <w:u w:color="000000"/>
          <w:bdr w:val="nil"/>
          <w:lang w:val="fr-FR" w:eastAsia="en-GB"/>
        </w:rPr>
        <w:t>U</w:t>
      </w:r>
      <w:r w:rsidR="003F3F5A">
        <w:rPr>
          <w:rFonts w:ascii="Times New Roman" w:eastAsia="Calibri" w:hAnsi="Times New Roman" w:cs="Calibri"/>
          <w:color w:val="000000"/>
          <w:sz w:val="24"/>
          <w:szCs w:val="24"/>
          <w:u w:color="000000"/>
          <w:bdr w:val="nil"/>
          <w:lang w:val="fr-FR" w:eastAsia="en-GB"/>
        </w:rPr>
        <w:t>nion européenne</w:t>
      </w:r>
      <w:r w:rsidR="00C9293C">
        <w:rPr>
          <w:rFonts w:ascii="Times New Roman" w:eastAsia="Calibri" w:hAnsi="Times New Roman" w:cs="Calibri"/>
          <w:color w:val="000000"/>
          <w:sz w:val="24"/>
          <w:szCs w:val="24"/>
          <w:u w:color="000000"/>
          <w:bdr w:val="nil"/>
          <w:lang w:val="fr-FR" w:eastAsia="en-GB"/>
        </w:rPr>
        <w:t xml:space="preserve"> du 21 décembre 2016</w:t>
      </w:r>
      <w:r w:rsidRPr="008201F2">
        <w:rPr>
          <w:rFonts w:ascii="Times New Roman" w:eastAsia="Calibri" w:hAnsi="Times New Roman" w:cs="Calibri"/>
          <w:color w:val="000000"/>
          <w:sz w:val="24"/>
          <w:szCs w:val="24"/>
          <w:u w:color="000000"/>
          <w:bdr w:val="nil"/>
          <w:lang w:val="fr-FR" w:eastAsia="en-GB"/>
        </w:rPr>
        <w:t xml:space="preserve"> en entérinant la politique de "fait accompli" du Maroc, minant ainsi le processus de paix. Pour cette raison le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Polisario ne p</w:t>
      </w:r>
      <w:r w:rsidR="00C9293C">
        <w:rPr>
          <w:rFonts w:ascii="Times New Roman" w:eastAsia="Calibri" w:hAnsi="Times New Roman" w:cs="Calibri"/>
          <w:color w:val="000000"/>
          <w:sz w:val="24"/>
          <w:szCs w:val="24"/>
          <w:u w:color="000000"/>
          <w:bdr w:val="nil"/>
          <w:lang w:val="fr-FR" w:eastAsia="en-GB"/>
        </w:rPr>
        <w:t>eut</w:t>
      </w:r>
      <w:r w:rsidRPr="008201F2">
        <w:rPr>
          <w:rFonts w:ascii="Times New Roman" w:eastAsia="Calibri" w:hAnsi="Times New Roman" w:cs="Calibri"/>
          <w:color w:val="000000"/>
          <w:sz w:val="24"/>
          <w:szCs w:val="24"/>
          <w:u w:color="000000"/>
          <w:bdr w:val="nil"/>
          <w:lang w:val="fr-FR" w:eastAsia="en-GB"/>
        </w:rPr>
        <w:t xml:space="preserve"> que rejeter l</w:t>
      </w:r>
      <w:r w:rsidR="003F3F5A">
        <w:rPr>
          <w:rFonts w:ascii="Times New Roman" w:eastAsia="Calibri" w:hAnsi="Times New Roman" w:cs="Calibri"/>
          <w:color w:val="000000"/>
          <w:sz w:val="24"/>
          <w:szCs w:val="24"/>
          <w:u w:color="000000"/>
          <w:bdr w:val="nil"/>
          <w:lang w:val="fr-FR" w:eastAsia="en-GB"/>
        </w:rPr>
        <w:t>a modification</w:t>
      </w:r>
      <w:r w:rsidRPr="008201F2">
        <w:rPr>
          <w:rFonts w:ascii="Times New Roman" w:eastAsia="Calibri" w:hAnsi="Times New Roman" w:cs="Calibri"/>
          <w:color w:val="000000"/>
          <w:sz w:val="24"/>
          <w:szCs w:val="24"/>
          <w:u w:color="000000"/>
          <w:bdr w:val="nil"/>
          <w:lang w:val="fr-FR" w:eastAsia="en-GB"/>
        </w:rPr>
        <w:t xml:space="preserve">, tant pour son contenu (tous les bénéfices reviendraient au Maroc) que pour la procédure de consultation suivie, et l'attaquerait donc en justice s'il était adopté. Quoi qu'il en soit, toute consultation </w:t>
      </w:r>
      <w:r w:rsidR="00C9293C">
        <w:rPr>
          <w:rFonts w:ascii="Times New Roman" w:eastAsia="Calibri" w:hAnsi="Times New Roman" w:cs="Calibri"/>
          <w:color w:val="000000"/>
          <w:sz w:val="24"/>
          <w:szCs w:val="24"/>
          <w:u w:color="000000"/>
          <w:bdr w:val="nil"/>
          <w:lang w:val="fr-FR" w:eastAsia="en-GB"/>
        </w:rPr>
        <w:t>serait</w:t>
      </w:r>
      <w:r w:rsidRPr="008201F2">
        <w:rPr>
          <w:rFonts w:ascii="Times New Roman" w:eastAsia="Calibri" w:hAnsi="Times New Roman" w:cs="Calibri"/>
          <w:color w:val="000000"/>
          <w:sz w:val="24"/>
          <w:szCs w:val="24"/>
          <w:u w:color="000000"/>
          <w:bdr w:val="nil"/>
          <w:lang w:val="fr-FR" w:eastAsia="en-GB"/>
        </w:rPr>
        <w:t xml:space="preserve"> devenue sans objet puisque le projet d'accord a déjà été paraphé. Par ses concessions répétées au Maroc, l'Union </w:t>
      </w:r>
      <w:r w:rsidR="003F3F5A">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uropéenne risqu</w:t>
      </w:r>
      <w:r w:rsidR="00C9293C">
        <w:rPr>
          <w:rFonts w:ascii="Times New Roman" w:eastAsia="Calibri" w:hAnsi="Times New Roman" w:cs="Calibri"/>
          <w:color w:val="000000"/>
          <w:sz w:val="24"/>
          <w:szCs w:val="24"/>
          <w:u w:color="000000"/>
          <w:bdr w:val="nil"/>
          <w:lang w:val="fr-FR" w:eastAsia="en-GB"/>
        </w:rPr>
        <w:t>e</w:t>
      </w:r>
      <w:r w:rsidRPr="008201F2">
        <w:rPr>
          <w:rFonts w:ascii="Times New Roman" w:eastAsia="Calibri" w:hAnsi="Times New Roman" w:cs="Calibri"/>
          <w:color w:val="000000"/>
          <w:sz w:val="24"/>
          <w:szCs w:val="24"/>
          <w:u w:color="000000"/>
          <w:bdr w:val="nil"/>
          <w:lang w:val="fr-FR" w:eastAsia="en-GB"/>
        </w:rPr>
        <w:t xml:space="preserve">, selon le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 xml:space="preserve">Polisario, de mettre en danger </w:t>
      </w:r>
      <w:r w:rsidR="00502405">
        <w:rPr>
          <w:rFonts w:ascii="Times New Roman" w:eastAsia="Calibri" w:hAnsi="Times New Roman" w:cs="Calibri"/>
          <w:color w:val="000000"/>
          <w:sz w:val="24"/>
          <w:szCs w:val="24"/>
          <w:u w:color="000000"/>
          <w:bdr w:val="nil"/>
          <w:lang w:val="fr-FR" w:eastAsia="en-GB"/>
        </w:rPr>
        <w:t>le processus des Nations Unies.</w:t>
      </w:r>
    </w:p>
    <w:p w:rsidR="00E64BDB" w:rsidRDefault="00E64BDB"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Dans de telles conditions, la question de savoir si l</w:t>
      </w:r>
      <w:r w:rsidR="003F3F5A">
        <w:rPr>
          <w:rFonts w:ascii="Times New Roman" w:eastAsia="Calibri" w:hAnsi="Times New Roman" w:cs="Calibri"/>
          <w:color w:val="000000"/>
          <w:sz w:val="24"/>
          <w:szCs w:val="24"/>
          <w:u w:color="000000"/>
          <w:bdr w:val="nil"/>
          <w:lang w:val="fr-FR" w:eastAsia="en-GB"/>
        </w:rPr>
        <w:t>a modification des protocoles de l’accord d’association</w:t>
      </w:r>
      <w:r w:rsidRPr="008201F2">
        <w:rPr>
          <w:rFonts w:ascii="Times New Roman" w:eastAsia="Calibri" w:hAnsi="Times New Roman" w:cs="Calibri"/>
          <w:color w:val="000000"/>
          <w:sz w:val="24"/>
          <w:szCs w:val="24"/>
          <w:u w:color="000000"/>
          <w:bdr w:val="nil"/>
          <w:lang w:val="fr-FR" w:eastAsia="en-GB"/>
        </w:rPr>
        <w:t xml:space="preserve"> </w:t>
      </w:r>
      <w:r w:rsidR="00C9293C">
        <w:rPr>
          <w:rFonts w:ascii="Times New Roman" w:eastAsia="Calibri" w:hAnsi="Times New Roman" w:cs="Calibri"/>
          <w:color w:val="000000"/>
          <w:sz w:val="24"/>
          <w:szCs w:val="24"/>
          <w:u w:color="000000"/>
          <w:bdr w:val="nil"/>
          <w:lang w:val="fr-FR" w:eastAsia="en-GB"/>
        </w:rPr>
        <w:t>est</w:t>
      </w:r>
      <w:r w:rsidRPr="008201F2">
        <w:rPr>
          <w:rFonts w:ascii="Times New Roman" w:eastAsia="Calibri" w:hAnsi="Times New Roman" w:cs="Calibri"/>
          <w:color w:val="000000"/>
          <w:sz w:val="24"/>
          <w:szCs w:val="24"/>
          <w:u w:color="000000"/>
          <w:bdr w:val="nil"/>
          <w:lang w:val="fr-FR" w:eastAsia="en-GB"/>
        </w:rPr>
        <w:t xml:space="preserve"> bénéfique ou non aux populations sahraouies </w:t>
      </w:r>
      <w:r w:rsidR="00C9293C">
        <w:rPr>
          <w:rFonts w:ascii="Times New Roman" w:eastAsia="Calibri" w:hAnsi="Times New Roman" w:cs="Calibri"/>
          <w:color w:val="000000"/>
          <w:sz w:val="24"/>
          <w:szCs w:val="24"/>
          <w:u w:color="000000"/>
          <w:bdr w:val="nil"/>
          <w:lang w:val="fr-FR" w:eastAsia="en-GB"/>
        </w:rPr>
        <w:t>serait</w:t>
      </w:r>
      <w:r w:rsidRPr="008201F2">
        <w:rPr>
          <w:rFonts w:ascii="Times New Roman" w:eastAsia="Calibri" w:hAnsi="Times New Roman" w:cs="Calibri"/>
          <w:color w:val="000000"/>
          <w:sz w:val="24"/>
          <w:szCs w:val="24"/>
          <w:u w:color="000000"/>
          <w:bdr w:val="nil"/>
          <w:lang w:val="fr-FR" w:eastAsia="en-GB"/>
        </w:rPr>
        <w:t xml:space="preserve"> devenue subsidiaire. Ces arguments </w:t>
      </w:r>
      <w:r w:rsidR="00C9293C">
        <w:rPr>
          <w:rFonts w:ascii="Times New Roman" w:eastAsia="Calibri" w:hAnsi="Times New Roman" w:cs="Calibri"/>
          <w:color w:val="000000"/>
          <w:sz w:val="24"/>
          <w:szCs w:val="24"/>
          <w:u w:color="000000"/>
          <w:bdr w:val="nil"/>
          <w:lang w:val="fr-FR" w:eastAsia="en-GB"/>
        </w:rPr>
        <w:t>ont</w:t>
      </w:r>
      <w:r w:rsidRPr="008201F2">
        <w:rPr>
          <w:rFonts w:ascii="Times New Roman" w:eastAsia="Calibri" w:hAnsi="Times New Roman" w:cs="Calibri"/>
          <w:color w:val="000000"/>
          <w:sz w:val="24"/>
          <w:szCs w:val="24"/>
          <w:u w:color="000000"/>
          <w:bdr w:val="nil"/>
          <w:lang w:val="fr-FR" w:eastAsia="en-GB"/>
        </w:rPr>
        <w:t xml:space="preserve"> pour l'essentiel </w:t>
      </w:r>
      <w:r w:rsidR="00C9293C">
        <w:rPr>
          <w:rFonts w:ascii="Times New Roman" w:eastAsia="Calibri" w:hAnsi="Times New Roman" w:cs="Calibri"/>
          <w:color w:val="000000"/>
          <w:sz w:val="24"/>
          <w:szCs w:val="24"/>
          <w:u w:color="000000"/>
          <w:bdr w:val="nil"/>
          <w:lang w:val="fr-FR" w:eastAsia="en-GB"/>
        </w:rPr>
        <w:t xml:space="preserve">été </w:t>
      </w:r>
      <w:r w:rsidRPr="008201F2">
        <w:rPr>
          <w:rFonts w:ascii="Times New Roman" w:eastAsia="Calibri" w:hAnsi="Times New Roman" w:cs="Calibri"/>
          <w:color w:val="000000"/>
          <w:sz w:val="24"/>
          <w:szCs w:val="24"/>
          <w:u w:color="000000"/>
          <w:bdr w:val="nil"/>
          <w:lang w:val="fr-FR" w:eastAsia="en-GB"/>
        </w:rPr>
        <w:t xml:space="preserve">repris dans un communiqué de presse publié peu après par le </w:t>
      </w:r>
      <w:r w:rsidR="003F3F5A">
        <w:rPr>
          <w:rFonts w:ascii="Times New Roman" w:eastAsia="Calibri" w:hAnsi="Times New Roman" w:cs="Calibri"/>
          <w:color w:val="000000"/>
          <w:sz w:val="24"/>
          <w:szCs w:val="24"/>
          <w:u w:color="000000"/>
          <w:bdr w:val="nil"/>
          <w:lang w:val="fr-FR" w:eastAsia="en-GB"/>
        </w:rPr>
        <w:t xml:space="preserve">Front </w:t>
      </w:r>
      <w:r w:rsidRPr="008201F2">
        <w:rPr>
          <w:rFonts w:ascii="Times New Roman" w:eastAsia="Calibri" w:hAnsi="Times New Roman" w:cs="Calibri"/>
          <w:color w:val="000000"/>
          <w:sz w:val="24"/>
          <w:szCs w:val="24"/>
          <w:u w:color="000000"/>
          <w:bdr w:val="nil"/>
          <w:lang w:val="fr-FR" w:eastAsia="en-GB"/>
        </w:rPr>
        <w:t xml:space="preserve">Polisario (9 février 2018). </w:t>
      </w:r>
    </w:p>
    <w:p w:rsidR="008201F2" w:rsidRPr="004E2E61" w:rsidRDefault="008201F2" w:rsidP="004E2E61">
      <w:pPr>
        <w:pStyle w:val="Heading2"/>
        <w:rPr>
          <w:rFonts w:eastAsia="Arial Unicode MS"/>
          <w:b w:val="0"/>
          <w:bCs w:val="0"/>
          <w:u w:color="000000"/>
          <w:bdr w:val="nil"/>
          <w:lang w:val="en-US" w:eastAsia="en-GB"/>
        </w:rPr>
      </w:pPr>
      <w:bookmarkStart w:id="32" w:name="_Toc514257474"/>
      <w:r w:rsidRPr="004E2E61">
        <w:rPr>
          <w:rFonts w:eastAsia="Arial Unicode MS"/>
          <w:u w:color="000000"/>
          <w:bdr w:val="nil"/>
          <w:lang w:val="en-US" w:eastAsia="en-GB"/>
        </w:rPr>
        <w:t>Conclusion</w:t>
      </w:r>
      <w:bookmarkEnd w:id="32"/>
    </w:p>
    <w:p w:rsidR="008201F2"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 xml:space="preserve">Le processus de consultation mené par les services de la Commission Européenne et le SEAE indique que la majorité des populations vivant actuellement au Sahara occidental est très largement en faveur de l'extension des préférences tarifaires aux produits du Sahara occidental dans le cadre de l'accord </w:t>
      </w:r>
      <w:r w:rsidR="003F3F5A">
        <w:rPr>
          <w:rFonts w:ascii="Times New Roman" w:eastAsia="Calibri" w:hAnsi="Times New Roman" w:cs="Calibri"/>
          <w:color w:val="000000"/>
          <w:sz w:val="24"/>
          <w:szCs w:val="24"/>
          <w:u w:color="000000"/>
          <w:bdr w:val="nil"/>
          <w:lang w:val="fr-FR" w:eastAsia="en-GB"/>
        </w:rPr>
        <w:t xml:space="preserve">d’association </w:t>
      </w:r>
      <w:r w:rsidRPr="008201F2">
        <w:rPr>
          <w:rFonts w:ascii="Times New Roman" w:eastAsia="Calibri" w:hAnsi="Times New Roman" w:cs="Calibri"/>
          <w:color w:val="000000"/>
          <w:sz w:val="24"/>
          <w:szCs w:val="24"/>
          <w:u w:color="000000"/>
          <w:bdr w:val="nil"/>
          <w:lang w:val="fr-FR" w:eastAsia="en-GB"/>
        </w:rPr>
        <w:t xml:space="preserve">UE-Maroc. Une opinion positive a également été exprimée par les représentants élus du Sahara occidental au sein des organes nationaux, régionaux et locaux </w:t>
      </w:r>
      <w:r w:rsidR="0013309B">
        <w:rPr>
          <w:rFonts w:ascii="Times New Roman" w:eastAsia="Calibri" w:hAnsi="Times New Roman" w:cs="Calibri"/>
          <w:color w:val="000000"/>
          <w:sz w:val="24"/>
          <w:szCs w:val="24"/>
          <w:u w:color="000000"/>
          <w:bdr w:val="nil"/>
          <w:lang w:val="fr-FR" w:eastAsia="en-GB"/>
        </w:rPr>
        <w:t xml:space="preserve">suite à l'exercice de sensibilisation et consultation mené par les autorités </w:t>
      </w:r>
      <w:r w:rsidR="0013309B" w:rsidRPr="008201F2">
        <w:rPr>
          <w:rFonts w:ascii="Times New Roman" w:eastAsia="Calibri" w:hAnsi="Times New Roman" w:cs="Calibri"/>
          <w:color w:val="000000"/>
          <w:sz w:val="24"/>
          <w:szCs w:val="24"/>
          <w:u w:color="000000"/>
          <w:bdr w:val="nil"/>
          <w:lang w:val="fr-FR" w:eastAsia="en-GB"/>
        </w:rPr>
        <w:t>dans le cadre institutionnel marocain</w:t>
      </w:r>
      <w:r w:rsidRPr="008201F2">
        <w:rPr>
          <w:rFonts w:ascii="Times New Roman" w:eastAsia="Calibri" w:hAnsi="Times New Roman" w:cs="Calibri"/>
          <w:color w:val="000000"/>
          <w:sz w:val="24"/>
          <w:szCs w:val="24"/>
          <w:u w:color="000000"/>
          <w:bdr w:val="nil"/>
          <w:lang w:val="fr-FR" w:eastAsia="en-GB"/>
        </w:rPr>
        <w:t>. Cette opinion est partagée par une large majorité d'organisations socio-économique</w:t>
      </w:r>
      <w:r w:rsidR="003F3F5A">
        <w:rPr>
          <w:rFonts w:ascii="Times New Roman" w:eastAsia="Calibri" w:hAnsi="Times New Roman" w:cs="Calibri"/>
          <w:color w:val="000000"/>
          <w:sz w:val="24"/>
          <w:szCs w:val="24"/>
          <w:u w:color="000000"/>
          <w:bdr w:val="nil"/>
          <w:lang w:val="fr-FR" w:eastAsia="en-GB"/>
        </w:rPr>
        <w:t>s</w:t>
      </w:r>
      <w:r w:rsidRPr="008201F2">
        <w:rPr>
          <w:rFonts w:ascii="Times New Roman" w:eastAsia="Calibri" w:hAnsi="Times New Roman" w:cs="Calibri"/>
          <w:color w:val="000000"/>
          <w:sz w:val="24"/>
          <w:szCs w:val="24"/>
          <w:u w:color="000000"/>
          <w:bdr w:val="nil"/>
          <w:lang w:val="fr-FR" w:eastAsia="en-GB"/>
        </w:rPr>
        <w:t xml:space="preserve"> de terrain au sein de la société civile. Les préférences tarifaires de l'U</w:t>
      </w:r>
      <w:r w:rsidR="003F3F5A">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et, d'une manière plus générale, l'existence d'un cadre juridique stable pour les échanges commerciaux avec l'U</w:t>
      </w:r>
      <w:r w:rsidR="003F3F5A">
        <w:rPr>
          <w:rFonts w:ascii="Times New Roman" w:eastAsia="Calibri" w:hAnsi="Times New Roman" w:cs="Calibri"/>
          <w:color w:val="000000"/>
          <w:sz w:val="24"/>
          <w:szCs w:val="24"/>
          <w:u w:color="000000"/>
          <w:bdr w:val="nil"/>
          <w:lang w:val="fr-FR" w:eastAsia="en-GB"/>
        </w:rPr>
        <w:t>nion européenne</w:t>
      </w:r>
      <w:r w:rsidRPr="008201F2">
        <w:rPr>
          <w:rFonts w:ascii="Times New Roman" w:eastAsia="Calibri" w:hAnsi="Times New Roman" w:cs="Calibri"/>
          <w:color w:val="000000"/>
          <w:sz w:val="24"/>
          <w:szCs w:val="24"/>
          <w:u w:color="000000"/>
          <w:bdr w:val="nil"/>
          <w:lang w:val="fr-FR" w:eastAsia="en-GB"/>
        </w:rPr>
        <w:t xml:space="preserve"> sont considérés essentiels au développement durable d</w:t>
      </w:r>
      <w:r w:rsidR="003F3F5A">
        <w:rPr>
          <w:rFonts w:ascii="Times New Roman" w:eastAsia="Calibri" w:hAnsi="Times New Roman" w:cs="Calibri"/>
          <w:color w:val="000000"/>
          <w:sz w:val="24"/>
          <w:szCs w:val="24"/>
          <w:u w:color="000000"/>
          <w:bdr w:val="nil"/>
          <w:lang w:val="fr-FR" w:eastAsia="en-GB"/>
        </w:rPr>
        <w:t>u territoire</w:t>
      </w:r>
      <w:r w:rsidRPr="008201F2">
        <w:rPr>
          <w:rFonts w:ascii="Times New Roman" w:eastAsia="Calibri" w:hAnsi="Times New Roman" w:cs="Calibri"/>
          <w:color w:val="000000"/>
          <w:sz w:val="24"/>
          <w:szCs w:val="24"/>
          <w:u w:color="000000"/>
          <w:bdr w:val="nil"/>
          <w:lang w:val="fr-FR" w:eastAsia="en-GB"/>
        </w:rPr>
        <w:t xml:space="preserve"> et pour l'amélioration des conditions socio-économiques de la population qui y réside. Bien que certaines inquiétudes existent en matière de droits de l'homme, la couverture des produits du Sahara occidental </w:t>
      </w:r>
      <w:r w:rsidR="003F3F5A">
        <w:rPr>
          <w:rFonts w:ascii="Times New Roman" w:eastAsia="Calibri" w:hAnsi="Times New Roman" w:cs="Calibri"/>
          <w:color w:val="000000"/>
          <w:sz w:val="24"/>
          <w:szCs w:val="24"/>
          <w:u w:color="000000"/>
          <w:bdr w:val="nil"/>
          <w:lang w:val="fr-FR" w:eastAsia="en-GB"/>
        </w:rPr>
        <w:t xml:space="preserve">par </w:t>
      </w:r>
      <w:r w:rsidRPr="008201F2">
        <w:rPr>
          <w:rFonts w:ascii="Times New Roman" w:eastAsia="Calibri" w:hAnsi="Times New Roman" w:cs="Calibri"/>
          <w:color w:val="000000"/>
          <w:sz w:val="24"/>
          <w:szCs w:val="24"/>
          <w:u w:color="000000"/>
          <w:bdr w:val="nil"/>
          <w:lang w:val="fr-FR" w:eastAsia="en-GB"/>
        </w:rPr>
        <w:t>l'</w:t>
      </w:r>
      <w:r w:rsidR="003F3F5A">
        <w:rPr>
          <w:rFonts w:ascii="Times New Roman" w:eastAsia="Calibri" w:hAnsi="Times New Roman" w:cs="Calibri"/>
          <w:color w:val="000000"/>
          <w:sz w:val="24"/>
          <w:szCs w:val="24"/>
          <w:u w:color="000000"/>
          <w:bdr w:val="nil"/>
          <w:lang w:val="fr-FR" w:eastAsia="en-GB"/>
        </w:rPr>
        <w:t>a</w:t>
      </w:r>
      <w:r w:rsidRPr="008201F2">
        <w:rPr>
          <w:rFonts w:ascii="Times New Roman" w:eastAsia="Calibri" w:hAnsi="Times New Roman" w:cs="Calibri"/>
          <w:color w:val="000000"/>
          <w:sz w:val="24"/>
          <w:szCs w:val="24"/>
          <w:u w:color="000000"/>
          <w:bdr w:val="nil"/>
          <w:lang w:val="fr-FR" w:eastAsia="en-GB"/>
        </w:rPr>
        <w:t xml:space="preserve">ccord </w:t>
      </w:r>
      <w:r w:rsidR="003F3F5A">
        <w:rPr>
          <w:rFonts w:ascii="Times New Roman" w:eastAsia="Calibri" w:hAnsi="Times New Roman" w:cs="Calibri"/>
          <w:color w:val="000000"/>
          <w:sz w:val="24"/>
          <w:szCs w:val="24"/>
          <w:u w:color="000000"/>
          <w:bdr w:val="nil"/>
          <w:lang w:val="fr-FR" w:eastAsia="en-GB"/>
        </w:rPr>
        <w:t>d’association UE-Maroc</w:t>
      </w:r>
      <w:r w:rsidRPr="008201F2">
        <w:rPr>
          <w:rFonts w:ascii="Times New Roman" w:eastAsia="Calibri" w:hAnsi="Times New Roman" w:cs="Calibri"/>
          <w:color w:val="000000"/>
          <w:sz w:val="24"/>
          <w:szCs w:val="24"/>
          <w:u w:color="000000"/>
          <w:bdr w:val="nil"/>
          <w:lang w:val="fr-FR" w:eastAsia="en-GB"/>
        </w:rPr>
        <w:t xml:space="preserve"> ou d'autres accords est perçue comme un levier pour améliorer les standards en matière socio-économique et de droits de l'homme dans la région. Cette perception générale est sans préjudice des diverses opinions que peuvent par ailleurs nourrir les interlocuteurs quant au statut d</w:t>
      </w:r>
      <w:r w:rsidR="003F3F5A">
        <w:rPr>
          <w:rFonts w:ascii="Times New Roman" w:eastAsia="Calibri" w:hAnsi="Times New Roman" w:cs="Calibri"/>
          <w:color w:val="000000"/>
          <w:sz w:val="24"/>
          <w:szCs w:val="24"/>
          <w:u w:color="000000"/>
          <w:bdr w:val="nil"/>
          <w:lang w:val="fr-FR" w:eastAsia="en-GB"/>
        </w:rPr>
        <w:t>u territoire</w:t>
      </w:r>
      <w:r w:rsidRPr="008201F2">
        <w:rPr>
          <w:rFonts w:ascii="Times New Roman" w:eastAsia="Calibri" w:hAnsi="Times New Roman" w:cs="Calibri"/>
          <w:color w:val="000000"/>
          <w:sz w:val="24"/>
          <w:szCs w:val="24"/>
          <w:u w:color="000000"/>
          <w:bdr w:val="nil"/>
          <w:lang w:val="fr-FR" w:eastAsia="en-GB"/>
        </w:rPr>
        <w:t>, pour lequel ils sont unanimes à considérer le processus des Nations Unies comme le seul valable.</w:t>
      </w:r>
    </w:p>
    <w:p w:rsidR="002060D5" w:rsidRPr="002060D5" w:rsidRDefault="002060D5"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8201F2">
        <w:rPr>
          <w:rFonts w:ascii="Times New Roman" w:eastAsia="Calibri" w:hAnsi="Times New Roman" w:cs="Calibri"/>
          <w:color w:val="000000"/>
          <w:sz w:val="24"/>
          <w:szCs w:val="24"/>
          <w:u w:color="000000"/>
          <w:bdr w:val="nil"/>
          <w:lang w:val="fr-FR" w:eastAsia="en-GB"/>
        </w:rPr>
        <w:t>Le Front Polisario rejette l</w:t>
      </w:r>
      <w:r w:rsidR="003F3F5A">
        <w:rPr>
          <w:rFonts w:ascii="Times New Roman" w:eastAsia="Calibri" w:hAnsi="Times New Roman" w:cs="Calibri"/>
          <w:color w:val="000000"/>
          <w:sz w:val="24"/>
          <w:szCs w:val="24"/>
          <w:u w:color="000000"/>
          <w:bdr w:val="nil"/>
          <w:lang w:val="fr-FR" w:eastAsia="en-GB"/>
        </w:rPr>
        <w:t>a modification</w:t>
      </w:r>
      <w:r w:rsidRPr="008201F2">
        <w:rPr>
          <w:rFonts w:ascii="Times New Roman" w:eastAsia="Calibri" w:hAnsi="Times New Roman" w:cs="Calibri"/>
          <w:color w:val="000000"/>
          <w:sz w:val="24"/>
          <w:szCs w:val="24"/>
          <w:u w:color="000000"/>
          <w:bdr w:val="nil"/>
          <w:lang w:val="fr-FR" w:eastAsia="en-GB"/>
        </w:rPr>
        <w:t xml:space="preserve"> visant à étendre les préférences tarifaires aux produits du Sahara occidental dans le cadre de l'accord </w:t>
      </w:r>
      <w:r w:rsidR="003F3F5A">
        <w:rPr>
          <w:rFonts w:ascii="Times New Roman" w:eastAsia="Calibri" w:hAnsi="Times New Roman" w:cs="Calibri"/>
          <w:color w:val="000000"/>
          <w:sz w:val="24"/>
          <w:szCs w:val="24"/>
          <w:u w:color="000000"/>
          <w:bdr w:val="nil"/>
          <w:lang w:val="fr-FR" w:eastAsia="en-GB"/>
        </w:rPr>
        <w:t xml:space="preserve">d’association </w:t>
      </w:r>
      <w:r w:rsidRPr="008201F2">
        <w:rPr>
          <w:rFonts w:ascii="Times New Roman" w:eastAsia="Calibri" w:hAnsi="Times New Roman" w:cs="Calibri"/>
          <w:color w:val="000000"/>
          <w:sz w:val="24"/>
          <w:szCs w:val="24"/>
          <w:u w:color="000000"/>
          <w:bdr w:val="nil"/>
          <w:lang w:val="fr-FR" w:eastAsia="en-GB"/>
        </w:rPr>
        <w:t>UE-Maroc</w:t>
      </w:r>
      <w:r w:rsidR="008C54C6">
        <w:rPr>
          <w:rFonts w:ascii="Times New Roman" w:eastAsia="Calibri" w:hAnsi="Times New Roman" w:cs="Calibri"/>
          <w:color w:val="000000"/>
          <w:sz w:val="24"/>
          <w:szCs w:val="24"/>
          <w:u w:color="000000"/>
          <w:bdr w:val="nil"/>
          <w:lang w:val="fr-FR" w:eastAsia="en-GB"/>
        </w:rPr>
        <w:t xml:space="preserve"> essentiellement car </w:t>
      </w:r>
      <w:r w:rsidRPr="008201F2">
        <w:rPr>
          <w:rFonts w:ascii="Times New Roman" w:eastAsia="Calibri" w:hAnsi="Times New Roman" w:cs="Calibri"/>
          <w:color w:val="000000"/>
          <w:sz w:val="24"/>
          <w:szCs w:val="24"/>
          <w:u w:color="000000"/>
          <w:bdr w:val="nil"/>
          <w:lang w:val="fr-FR" w:eastAsia="en-GB"/>
        </w:rPr>
        <w:t xml:space="preserve">la couverture du Sahara occidental </w:t>
      </w:r>
      <w:r w:rsidR="003F3F5A">
        <w:rPr>
          <w:rFonts w:ascii="Times New Roman" w:eastAsia="Calibri" w:hAnsi="Times New Roman" w:cs="Calibri"/>
          <w:color w:val="000000"/>
          <w:sz w:val="24"/>
          <w:szCs w:val="24"/>
          <w:u w:color="000000"/>
          <w:bdr w:val="nil"/>
          <w:lang w:val="fr-FR" w:eastAsia="en-GB"/>
        </w:rPr>
        <w:t>par</w:t>
      </w:r>
      <w:r w:rsidRPr="008201F2">
        <w:rPr>
          <w:rFonts w:ascii="Times New Roman" w:eastAsia="Calibri" w:hAnsi="Times New Roman" w:cs="Calibri"/>
          <w:color w:val="000000"/>
          <w:sz w:val="24"/>
          <w:szCs w:val="24"/>
          <w:u w:color="000000"/>
          <w:bdr w:val="nil"/>
          <w:lang w:val="fr-FR" w:eastAsia="en-GB"/>
        </w:rPr>
        <w:t xml:space="preserve"> </w:t>
      </w:r>
      <w:r w:rsidR="003F3F5A">
        <w:rPr>
          <w:rFonts w:ascii="Times New Roman" w:eastAsia="Calibri" w:hAnsi="Times New Roman" w:cs="Calibri"/>
          <w:color w:val="000000"/>
          <w:sz w:val="24"/>
          <w:szCs w:val="24"/>
          <w:u w:color="000000"/>
          <w:bdr w:val="nil"/>
          <w:lang w:val="fr-FR" w:eastAsia="en-GB"/>
        </w:rPr>
        <w:t>l’</w:t>
      </w:r>
      <w:r w:rsidRPr="008201F2">
        <w:rPr>
          <w:rFonts w:ascii="Times New Roman" w:eastAsia="Calibri" w:hAnsi="Times New Roman" w:cs="Calibri"/>
          <w:color w:val="000000"/>
          <w:sz w:val="24"/>
          <w:szCs w:val="24"/>
          <w:u w:color="000000"/>
          <w:bdr w:val="nil"/>
          <w:lang w:val="fr-FR" w:eastAsia="en-GB"/>
        </w:rPr>
        <w:t xml:space="preserve">accord </w:t>
      </w:r>
      <w:r w:rsidR="003F3F5A">
        <w:rPr>
          <w:rFonts w:ascii="Times New Roman" w:eastAsia="Calibri" w:hAnsi="Times New Roman" w:cs="Calibri"/>
          <w:color w:val="000000"/>
          <w:sz w:val="24"/>
          <w:szCs w:val="24"/>
          <w:u w:color="000000"/>
          <w:bdr w:val="nil"/>
          <w:lang w:val="fr-FR" w:eastAsia="en-GB"/>
        </w:rPr>
        <w:t xml:space="preserve">d’association </w:t>
      </w:r>
      <w:r w:rsidRPr="008201F2">
        <w:rPr>
          <w:rFonts w:ascii="Times New Roman" w:eastAsia="Calibri" w:hAnsi="Times New Roman" w:cs="Calibri"/>
          <w:color w:val="000000"/>
          <w:sz w:val="24"/>
          <w:szCs w:val="24"/>
          <w:u w:color="000000"/>
          <w:bdr w:val="nil"/>
          <w:lang w:val="fr-FR" w:eastAsia="en-GB"/>
        </w:rPr>
        <w:t>UE-Maroc est perçue comme consolidant la souveraineté du Maroc sur le Sahara occidental, et non parce que l'extension des préférences tarifaires s'exercerait au détriment des intérêts de développement des populations vivant sur le territoire.</w:t>
      </w:r>
    </w:p>
    <w:p w:rsidR="008201F2"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p>
    <w:p w:rsidR="00FA3118" w:rsidRPr="002060D5" w:rsidRDefault="008201F2" w:rsidP="002060D5">
      <w:pPr>
        <w:pBdr>
          <w:top w:val="nil"/>
          <w:left w:val="nil"/>
          <w:bottom w:val="nil"/>
          <w:right w:val="nil"/>
          <w:between w:val="nil"/>
          <w:bar w:val="nil"/>
        </w:pBdr>
        <w:spacing w:after="0" w:line="240" w:lineRule="auto"/>
        <w:jc w:val="both"/>
        <w:rPr>
          <w:rFonts w:ascii="Times New Roman" w:eastAsia="Calibri" w:hAnsi="Times New Roman" w:cs="Calibri"/>
          <w:color w:val="000000"/>
          <w:sz w:val="24"/>
          <w:szCs w:val="24"/>
          <w:u w:color="000000"/>
          <w:bdr w:val="nil"/>
          <w:lang w:val="fr-FR" w:eastAsia="en-GB"/>
        </w:rPr>
      </w:pPr>
      <w:r w:rsidRPr="002060D5">
        <w:rPr>
          <w:rFonts w:ascii="Times New Roman" w:eastAsia="Calibri" w:hAnsi="Times New Roman" w:cs="Calibri"/>
          <w:color w:val="000000"/>
          <w:sz w:val="24"/>
          <w:szCs w:val="24"/>
          <w:u w:color="000000"/>
          <w:bdr w:val="nil"/>
          <w:lang w:val="fr-FR" w:eastAsia="en-GB"/>
        </w:rPr>
        <w:t>En résumé, la procédure de consultation conduite par les services de la Commission Européenne et l</w:t>
      </w:r>
      <w:r w:rsidR="003F3F5A" w:rsidRPr="002060D5">
        <w:rPr>
          <w:rFonts w:ascii="Times New Roman" w:eastAsia="Calibri" w:hAnsi="Times New Roman" w:cs="Calibri"/>
          <w:color w:val="000000"/>
          <w:sz w:val="24"/>
          <w:szCs w:val="24"/>
          <w:u w:color="000000"/>
          <w:bdr w:val="nil"/>
          <w:lang w:val="fr-FR" w:eastAsia="en-GB"/>
        </w:rPr>
        <w:t>e SEAE</w:t>
      </w:r>
      <w:r w:rsidRPr="002060D5">
        <w:rPr>
          <w:rFonts w:ascii="Times New Roman" w:eastAsia="Calibri" w:hAnsi="Times New Roman" w:cs="Calibri"/>
          <w:color w:val="000000"/>
          <w:sz w:val="24"/>
          <w:szCs w:val="24"/>
          <w:u w:color="000000"/>
          <w:bdr w:val="nil"/>
          <w:lang w:val="fr-FR" w:eastAsia="en-GB"/>
        </w:rPr>
        <w:t xml:space="preserve"> indique une opinion positive majoritaire en faveur de l</w:t>
      </w:r>
      <w:r w:rsidR="003F3F5A" w:rsidRPr="002060D5">
        <w:rPr>
          <w:rFonts w:ascii="Times New Roman" w:eastAsia="Calibri" w:hAnsi="Times New Roman" w:cs="Calibri"/>
          <w:color w:val="000000"/>
          <w:sz w:val="24"/>
          <w:szCs w:val="24"/>
          <w:u w:color="000000"/>
          <w:bdr w:val="nil"/>
          <w:lang w:val="fr-FR" w:eastAsia="en-GB"/>
        </w:rPr>
        <w:t>a modification</w:t>
      </w:r>
      <w:r w:rsidRPr="002060D5">
        <w:rPr>
          <w:rFonts w:ascii="Times New Roman" w:eastAsia="Calibri" w:hAnsi="Times New Roman" w:cs="Calibri"/>
          <w:color w:val="000000"/>
          <w:sz w:val="24"/>
          <w:szCs w:val="24"/>
          <w:u w:color="000000"/>
          <w:bdr w:val="nil"/>
          <w:lang w:val="fr-FR" w:eastAsia="en-GB"/>
        </w:rPr>
        <w:t xml:space="preserve"> portant extension des préférences tarifaires </w:t>
      </w:r>
      <w:r w:rsidR="003F3F5A" w:rsidRPr="002060D5">
        <w:rPr>
          <w:rFonts w:ascii="Times New Roman" w:eastAsia="Calibri" w:hAnsi="Times New Roman" w:cs="Calibri"/>
          <w:color w:val="000000"/>
          <w:sz w:val="24"/>
          <w:szCs w:val="24"/>
          <w:u w:color="000000"/>
          <w:bdr w:val="nil"/>
          <w:lang w:val="fr-FR" w:eastAsia="en-GB"/>
        </w:rPr>
        <w:t xml:space="preserve">prévues par l’accord d’association UE-Maroc </w:t>
      </w:r>
      <w:r w:rsidRPr="002060D5">
        <w:rPr>
          <w:rFonts w:ascii="Times New Roman" w:eastAsia="Calibri" w:hAnsi="Times New Roman" w:cs="Calibri"/>
          <w:color w:val="000000"/>
          <w:sz w:val="24"/>
          <w:szCs w:val="24"/>
          <w:u w:color="000000"/>
          <w:bdr w:val="nil"/>
          <w:lang w:val="fr-FR" w:eastAsia="en-GB"/>
        </w:rPr>
        <w:t>aux produits du Sahara occidental. Une opinion favorable s'est manifestée pour faire en sorte que cet</w:t>
      </w:r>
      <w:r w:rsidR="003F3F5A" w:rsidRPr="002060D5">
        <w:rPr>
          <w:rFonts w:ascii="Times New Roman" w:eastAsia="Calibri" w:hAnsi="Times New Roman" w:cs="Calibri"/>
          <w:color w:val="000000"/>
          <w:sz w:val="24"/>
          <w:szCs w:val="24"/>
          <w:u w:color="000000"/>
          <w:bdr w:val="nil"/>
          <w:lang w:val="fr-FR" w:eastAsia="en-GB"/>
        </w:rPr>
        <w:t>te modification</w:t>
      </w:r>
      <w:r w:rsidRPr="002060D5">
        <w:rPr>
          <w:rFonts w:ascii="Times New Roman" w:eastAsia="Calibri" w:hAnsi="Times New Roman" w:cs="Calibri"/>
          <w:color w:val="000000"/>
          <w:sz w:val="24"/>
          <w:szCs w:val="24"/>
          <w:u w:color="000000"/>
          <w:bdr w:val="nil"/>
          <w:lang w:val="fr-FR" w:eastAsia="en-GB"/>
        </w:rPr>
        <w:t xml:space="preserve"> soit conçu</w:t>
      </w:r>
      <w:r w:rsidR="003F3F5A" w:rsidRPr="002060D5">
        <w:rPr>
          <w:rFonts w:ascii="Times New Roman" w:eastAsia="Calibri" w:hAnsi="Times New Roman" w:cs="Calibri"/>
          <w:color w:val="000000"/>
          <w:sz w:val="24"/>
          <w:szCs w:val="24"/>
          <w:u w:color="000000"/>
          <w:bdr w:val="nil"/>
          <w:lang w:val="fr-FR" w:eastAsia="en-GB"/>
        </w:rPr>
        <w:t>e</w:t>
      </w:r>
      <w:r w:rsidRPr="002060D5">
        <w:rPr>
          <w:rFonts w:ascii="Times New Roman" w:eastAsia="Calibri" w:hAnsi="Times New Roman" w:cs="Calibri"/>
          <w:color w:val="000000"/>
          <w:sz w:val="24"/>
          <w:szCs w:val="24"/>
          <w:u w:color="000000"/>
          <w:bdr w:val="nil"/>
          <w:lang w:val="fr-FR" w:eastAsia="en-GB"/>
        </w:rPr>
        <w:t xml:space="preserve"> de telle manière à ne porter aucun préjudice au processus des Nations Unies et il doit être veillé à ce que cet</w:t>
      </w:r>
      <w:r w:rsidR="003F3F5A" w:rsidRPr="002060D5">
        <w:rPr>
          <w:rFonts w:ascii="Times New Roman" w:eastAsia="Calibri" w:hAnsi="Times New Roman" w:cs="Calibri"/>
          <w:color w:val="000000"/>
          <w:sz w:val="24"/>
          <w:szCs w:val="24"/>
          <w:u w:color="000000"/>
          <w:bdr w:val="nil"/>
          <w:lang w:val="fr-FR" w:eastAsia="en-GB"/>
        </w:rPr>
        <w:t>te modification</w:t>
      </w:r>
      <w:r w:rsidRPr="002060D5">
        <w:rPr>
          <w:rFonts w:ascii="Times New Roman" w:eastAsia="Calibri" w:hAnsi="Times New Roman" w:cs="Calibri"/>
          <w:color w:val="000000"/>
          <w:sz w:val="24"/>
          <w:szCs w:val="24"/>
          <w:u w:color="000000"/>
          <w:bdr w:val="nil"/>
          <w:lang w:val="fr-FR" w:eastAsia="en-GB"/>
        </w:rPr>
        <w:t xml:space="preserve"> ne soit pas conçu</w:t>
      </w:r>
      <w:r w:rsidR="003F3F5A" w:rsidRPr="002060D5">
        <w:rPr>
          <w:rFonts w:ascii="Times New Roman" w:eastAsia="Calibri" w:hAnsi="Times New Roman" w:cs="Calibri"/>
          <w:color w:val="000000"/>
          <w:sz w:val="24"/>
          <w:szCs w:val="24"/>
          <w:u w:color="000000"/>
          <w:bdr w:val="nil"/>
          <w:lang w:val="fr-FR" w:eastAsia="en-GB"/>
        </w:rPr>
        <w:t>e</w:t>
      </w:r>
      <w:r w:rsidRPr="002060D5">
        <w:rPr>
          <w:rFonts w:ascii="Times New Roman" w:eastAsia="Calibri" w:hAnsi="Times New Roman" w:cs="Calibri"/>
          <w:color w:val="000000"/>
          <w:sz w:val="24"/>
          <w:szCs w:val="24"/>
          <w:u w:color="000000"/>
          <w:bdr w:val="nil"/>
          <w:lang w:val="fr-FR" w:eastAsia="en-GB"/>
        </w:rPr>
        <w:t xml:space="preserve"> comme une reconnaissance implicite de la revendication de souveraineté marocaine sur le territoire du Sahara occidental. Des recommandations ont aussi été exprimées en vue d'accompagner l</w:t>
      </w:r>
      <w:r w:rsidR="000726AA" w:rsidRPr="002060D5">
        <w:rPr>
          <w:rFonts w:ascii="Times New Roman" w:eastAsia="Calibri" w:hAnsi="Times New Roman" w:cs="Calibri"/>
          <w:color w:val="000000"/>
          <w:sz w:val="24"/>
          <w:szCs w:val="24"/>
          <w:u w:color="000000"/>
          <w:bdr w:val="nil"/>
          <w:lang w:val="fr-FR" w:eastAsia="en-GB"/>
        </w:rPr>
        <w:t>a modification</w:t>
      </w:r>
      <w:r w:rsidRPr="002060D5">
        <w:rPr>
          <w:rFonts w:ascii="Times New Roman" w:eastAsia="Calibri" w:hAnsi="Times New Roman" w:cs="Calibri"/>
          <w:color w:val="000000"/>
          <w:sz w:val="24"/>
          <w:szCs w:val="24"/>
          <w:u w:color="000000"/>
          <w:bdr w:val="nil"/>
          <w:lang w:val="fr-FR" w:eastAsia="en-GB"/>
        </w:rPr>
        <w:t xml:space="preserve"> par un soutien accru de l'Union Européenne au processus des Nations Unies, étant entendu que seul un accord de paix durable et mutuellement acceptable sera de nature à conforter la stabilité politique et juridique de l'</w:t>
      </w:r>
      <w:r w:rsidR="00E64BDB">
        <w:rPr>
          <w:rFonts w:ascii="Times New Roman" w:eastAsia="Calibri" w:hAnsi="Times New Roman" w:cs="Calibri"/>
          <w:color w:val="000000"/>
          <w:sz w:val="24"/>
          <w:szCs w:val="24"/>
          <w:u w:color="000000"/>
          <w:bdr w:val="nil"/>
          <w:lang w:val="fr-FR" w:eastAsia="en-GB"/>
        </w:rPr>
        <w:t>a</w:t>
      </w:r>
      <w:r w:rsidRPr="002060D5">
        <w:rPr>
          <w:rFonts w:ascii="Times New Roman" w:eastAsia="Calibri" w:hAnsi="Times New Roman" w:cs="Calibri"/>
          <w:color w:val="000000"/>
          <w:sz w:val="24"/>
          <w:szCs w:val="24"/>
          <w:u w:color="000000"/>
          <w:bdr w:val="nil"/>
          <w:lang w:val="fr-FR" w:eastAsia="en-GB"/>
        </w:rPr>
        <w:t xml:space="preserve">ccord. Enfin, une opinion favorable s'est dessinée en vue de la création de mécanismes de nature à assurer que les bénéfices tirés des préférences tarifaires soient plus également répartis, notamment en s'adressant aux segments de la population vivant d'activités traditionnelles. </w:t>
      </w:r>
    </w:p>
    <w:p w:rsidR="00D756B6" w:rsidRPr="00016D46" w:rsidRDefault="00D756B6" w:rsidP="00D756B6">
      <w:pPr>
        <w:pStyle w:val="Heading1"/>
        <w:rPr>
          <w:rFonts w:eastAsia="Calibri"/>
        </w:rPr>
      </w:pPr>
      <w:bookmarkStart w:id="33" w:name="_Toc514257475"/>
      <w:r w:rsidRPr="00016D46">
        <w:rPr>
          <w:rFonts w:eastAsia="Calibri"/>
        </w:rPr>
        <w:t>C</w:t>
      </w:r>
      <w:r>
        <w:rPr>
          <w:rFonts w:eastAsia="Calibri"/>
        </w:rPr>
        <w:t>ONCLUSION GENERALE</w:t>
      </w:r>
      <w:bookmarkEnd w:id="33"/>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p>
    <w:p w:rsidR="00D756B6" w:rsidRDefault="00D756B6" w:rsidP="00D756B6">
      <w:pPr>
        <w:widowControl w:val="0"/>
        <w:spacing w:after="0" w:line="240" w:lineRule="auto"/>
        <w:jc w:val="both"/>
        <w:rPr>
          <w:rFonts w:ascii="Times New Roman" w:eastAsia="MS Mincho" w:hAnsi="Times New Roman" w:cs="Times New Roman"/>
          <w:color w:val="000000" w:themeColor="text1"/>
          <w:sz w:val="24"/>
          <w:szCs w:val="24"/>
          <w:lang w:val="fr-BE" w:eastAsia="nl-BE"/>
        </w:rPr>
      </w:pPr>
      <w:r>
        <w:rPr>
          <w:rFonts w:ascii="Times New Roman" w:eastAsia="MS Mincho" w:hAnsi="Times New Roman" w:cs="Times New Roman"/>
          <w:color w:val="000000" w:themeColor="text1"/>
          <w:sz w:val="24"/>
          <w:szCs w:val="24"/>
          <w:lang w:val="fr-BE" w:eastAsia="nl-BE"/>
        </w:rPr>
        <w:t xml:space="preserve">Le </w:t>
      </w:r>
      <w:r w:rsidRPr="00E9673E">
        <w:rPr>
          <w:rFonts w:ascii="Times New Roman" w:eastAsia="MS Mincho" w:hAnsi="Times New Roman" w:cs="Times New Roman"/>
          <w:color w:val="000000" w:themeColor="text1"/>
          <w:sz w:val="24"/>
          <w:szCs w:val="24"/>
          <w:lang w:val="fr-BE" w:eastAsia="nl-BE"/>
        </w:rPr>
        <w:t xml:space="preserve">Sahara occidental est une économie de marché </w:t>
      </w:r>
      <w:r>
        <w:rPr>
          <w:rFonts w:ascii="Times New Roman" w:eastAsia="MS Mincho" w:hAnsi="Times New Roman" w:cs="Times New Roman"/>
          <w:color w:val="000000" w:themeColor="text1"/>
          <w:sz w:val="24"/>
          <w:szCs w:val="24"/>
          <w:lang w:val="fr-BE" w:eastAsia="nl-BE"/>
        </w:rPr>
        <w:t xml:space="preserve">en devenir </w:t>
      </w:r>
      <w:r w:rsidRPr="00E9673E">
        <w:rPr>
          <w:rFonts w:ascii="Times New Roman" w:eastAsia="MS Mincho" w:hAnsi="Times New Roman" w:cs="Times New Roman"/>
          <w:color w:val="000000" w:themeColor="text1"/>
          <w:sz w:val="24"/>
          <w:szCs w:val="24"/>
          <w:lang w:val="fr-BE" w:eastAsia="nl-BE"/>
        </w:rPr>
        <w:t xml:space="preserve">dont l’activité s’articule autour </w:t>
      </w:r>
      <w:r>
        <w:rPr>
          <w:rFonts w:ascii="Times New Roman" w:eastAsia="MS Mincho" w:hAnsi="Times New Roman" w:cs="Times New Roman"/>
          <w:color w:val="000000" w:themeColor="text1"/>
          <w:sz w:val="24"/>
          <w:szCs w:val="24"/>
          <w:lang w:val="fr-BE" w:eastAsia="nl-BE"/>
        </w:rPr>
        <w:t xml:space="preserve">d'un nombre limité d'activités : </w:t>
      </w:r>
      <w:r w:rsidRPr="00E9673E">
        <w:rPr>
          <w:rFonts w:ascii="Times New Roman" w:eastAsia="MS Mincho" w:hAnsi="Times New Roman" w:cs="Times New Roman"/>
          <w:color w:val="000000" w:themeColor="text1"/>
          <w:sz w:val="24"/>
          <w:szCs w:val="24"/>
          <w:lang w:val="fr-BE" w:eastAsia="nl-BE"/>
        </w:rPr>
        <w:t>la pêche et la transformation des produits de la pêche, les mines de phosphate, l’agriculture (notamment fruits et légumes et nomadisme pastoral), le commerce et l’artisanat. D’autres secteurs sont encore embryonnaires à l’instar du tourisme et des énergies renouvelables.</w:t>
      </w:r>
    </w:p>
    <w:p w:rsidR="00D756B6" w:rsidRDefault="00D756B6" w:rsidP="00D756B6">
      <w:pPr>
        <w:widowControl w:val="0"/>
        <w:spacing w:after="0" w:line="240" w:lineRule="auto"/>
        <w:jc w:val="both"/>
        <w:rPr>
          <w:rFonts w:ascii="Times New Roman" w:eastAsia="MS Mincho" w:hAnsi="Times New Roman" w:cs="Times New Roman"/>
          <w:color w:val="000000" w:themeColor="text1"/>
          <w:sz w:val="24"/>
          <w:szCs w:val="24"/>
          <w:lang w:val="fr-BE" w:eastAsia="nl-BE"/>
        </w:rPr>
      </w:pPr>
    </w:p>
    <w:p w:rsidR="00D756B6" w:rsidRDefault="00D756B6" w:rsidP="00D756B6">
      <w:pPr>
        <w:widowControl w:val="0"/>
        <w:spacing w:after="0" w:line="240" w:lineRule="auto"/>
        <w:jc w:val="both"/>
        <w:rPr>
          <w:rFonts w:ascii="Times New Roman" w:eastAsia="Calibri" w:hAnsi="Times New Roman" w:cs="Times New Roman"/>
          <w:sz w:val="24"/>
          <w:lang w:val="fr-BE"/>
        </w:rPr>
      </w:pPr>
      <w:r w:rsidRPr="006F440A">
        <w:rPr>
          <w:rFonts w:ascii="Times New Roman" w:eastAsia="MS Mincho" w:hAnsi="Times New Roman" w:cs="Times New Roman"/>
          <w:color w:val="000000" w:themeColor="text1"/>
          <w:sz w:val="24"/>
          <w:szCs w:val="24"/>
          <w:lang w:val="fr-BE" w:eastAsia="nl-BE"/>
        </w:rPr>
        <w:t>La diversification nécessaire du potentiel économique du S</w:t>
      </w:r>
      <w:r>
        <w:rPr>
          <w:rFonts w:ascii="Times New Roman" w:eastAsia="MS Mincho" w:hAnsi="Times New Roman" w:cs="Times New Roman"/>
          <w:color w:val="000000" w:themeColor="text1"/>
          <w:sz w:val="24"/>
          <w:szCs w:val="24"/>
          <w:lang w:val="fr-BE" w:eastAsia="nl-BE"/>
        </w:rPr>
        <w:t>ahara occidental</w:t>
      </w:r>
      <w:r w:rsidRPr="006F440A">
        <w:rPr>
          <w:rFonts w:ascii="Times New Roman" w:eastAsia="MS Mincho" w:hAnsi="Times New Roman" w:cs="Times New Roman"/>
          <w:color w:val="000000" w:themeColor="text1"/>
          <w:sz w:val="24"/>
          <w:szCs w:val="24"/>
          <w:lang w:val="fr-BE" w:eastAsia="nl-BE"/>
        </w:rPr>
        <w:t xml:space="preserve"> suppose donc l'encouragement des investissements extérieurs, lequel a notamment pour préalable une meilleure sécurité juridique et donc une clarification des conditions tarifaires applicables aux exportations actuelles ou à venir du S</w:t>
      </w:r>
      <w:r>
        <w:rPr>
          <w:rFonts w:ascii="Times New Roman" w:eastAsia="MS Mincho" w:hAnsi="Times New Roman" w:cs="Times New Roman"/>
          <w:color w:val="000000" w:themeColor="text1"/>
          <w:sz w:val="24"/>
          <w:szCs w:val="24"/>
          <w:lang w:val="fr-BE" w:eastAsia="nl-BE"/>
        </w:rPr>
        <w:t>ahara occidental</w:t>
      </w:r>
      <w:r w:rsidRPr="006F440A">
        <w:rPr>
          <w:rFonts w:ascii="Times New Roman" w:eastAsia="MS Mincho" w:hAnsi="Times New Roman" w:cs="Times New Roman"/>
          <w:color w:val="000000" w:themeColor="text1"/>
          <w:sz w:val="24"/>
          <w:szCs w:val="24"/>
          <w:lang w:val="fr-BE" w:eastAsia="nl-BE"/>
        </w:rPr>
        <w:t xml:space="preserve"> en direction de l'U</w:t>
      </w:r>
      <w:r>
        <w:rPr>
          <w:rFonts w:ascii="Times New Roman" w:eastAsia="MS Mincho" w:hAnsi="Times New Roman" w:cs="Times New Roman"/>
          <w:color w:val="000000" w:themeColor="text1"/>
          <w:sz w:val="24"/>
          <w:szCs w:val="24"/>
          <w:lang w:val="fr-BE" w:eastAsia="nl-BE"/>
        </w:rPr>
        <w:t>nion</w:t>
      </w:r>
      <w:r w:rsidRPr="006F440A">
        <w:rPr>
          <w:rFonts w:ascii="Times New Roman" w:eastAsia="MS Mincho" w:hAnsi="Times New Roman" w:cs="Times New Roman"/>
          <w:color w:val="000000" w:themeColor="text1"/>
          <w:sz w:val="24"/>
          <w:szCs w:val="24"/>
          <w:lang w:val="fr-BE" w:eastAsia="nl-BE"/>
        </w:rPr>
        <w:t xml:space="preserve">. </w:t>
      </w:r>
      <w:r w:rsidRPr="00DB3D18">
        <w:rPr>
          <w:rFonts w:ascii="Times New Roman" w:eastAsia="MS Mincho" w:hAnsi="Times New Roman" w:cs="Times New Roman"/>
          <w:b/>
          <w:i/>
          <w:color w:val="000000" w:themeColor="text1"/>
          <w:sz w:val="24"/>
          <w:szCs w:val="24"/>
          <w:lang w:val="fr-BE" w:eastAsia="nl-BE"/>
        </w:rPr>
        <w:t>Etendre le bénéfice des préférences tarifaires aux produits du Sahara occidental est de nature à sécuriser les conditions d'investissements et</w:t>
      </w:r>
      <w:r w:rsidRPr="006F440A">
        <w:rPr>
          <w:rFonts w:ascii="Times New Roman" w:eastAsia="MS Mincho" w:hAnsi="Times New Roman" w:cs="Times New Roman"/>
          <w:color w:val="000000" w:themeColor="text1"/>
          <w:sz w:val="24"/>
          <w:szCs w:val="24"/>
          <w:lang w:val="fr-BE" w:eastAsia="nl-BE"/>
        </w:rPr>
        <w:t>, compte tenu du</w:t>
      </w:r>
      <w:r>
        <w:rPr>
          <w:rFonts w:ascii="Times New Roman" w:eastAsia="MS Mincho" w:hAnsi="Times New Roman" w:cs="Times New Roman"/>
          <w:color w:val="000000" w:themeColor="text1"/>
          <w:sz w:val="24"/>
          <w:szCs w:val="24"/>
          <w:lang w:val="fr-BE" w:eastAsia="nl-BE"/>
        </w:rPr>
        <w:t xml:space="preserve"> </w:t>
      </w:r>
      <w:r w:rsidRPr="006F440A">
        <w:rPr>
          <w:rFonts w:ascii="Times New Roman" w:eastAsia="MS Mincho" w:hAnsi="Times New Roman" w:cs="Times New Roman"/>
          <w:color w:val="000000" w:themeColor="text1"/>
          <w:sz w:val="24"/>
          <w:szCs w:val="24"/>
          <w:lang w:val="fr-BE" w:eastAsia="nl-BE"/>
        </w:rPr>
        <w:t xml:space="preserve">potentiel économique inexploité du </w:t>
      </w:r>
      <w:r>
        <w:rPr>
          <w:rFonts w:ascii="Times New Roman" w:eastAsia="MS Mincho" w:hAnsi="Times New Roman" w:cs="Times New Roman"/>
          <w:color w:val="000000" w:themeColor="text1"/>
          <w:sz w:val="24"/>
          <w:szCs w:val="24"/>
          <w:lang w:val="fr-BE" w:eastAsia="nl-BE"/>
        </w:rPr>
        <w:t>territoire</w:t>
      </w:r>
      <w:r w:rsidRPr="006F440A">
        <w:rPr>
          <w:rFonts w:ascii="Times New Roman" w:eastAsia="MS Mincho" w:hAnsi="Times New Roman" w:cs="Times New Roman"/>
          <w:color w:val="000000" w:themeColor="text1"/>
          <w:sz w:val="24"/>
          <w:szCs w:val="24"/>
          <w:lang w:val="fr-BE" w:eastAsia="nl-BE"/>
        </w:rPr>
        <w:t xml:space="preserve"> et du faible niveau actuel des </w:t>
      </w:r>
      <w:r>
        <w:rPr>
          <w:rFonts w:ascii="Times New Roman" w:eastAsia="MS Mincho" w:hAnsi="Times New Roman" w:cs="Times New Roman"/>
          <w:color w:val="000000" w:themeColor="text1"/>
          <w:sz w:val="24"/>
          <w:szCs w:val="24"/>
          <w:lang w:val="fr-BE" w:eastAsia="nl-BE"/>
        </w:rPr>
        <w:t>investissements étrangers directs</w:t>
      </w:r>
      <w:r w:rsidRPr="006F440A">
        <w:rPr>
          <w:rFonts w:ascii="Times New Roman" w:eastAsia="MS Mincho" w:hAnsi="Times New Roman" w:cs="Times New Roman"/>
          <w:color w:val="000000" w:themeColor="text1"/>
          <w:sz w:val="24"/>
          <w:szCs w:val="24"/>
          <w:lang w:val="fr-BE" w:eastAsia="nl-BE"/>
        </w:rPr>
        <w:t xml:space="preserve">, </w:t>
      </w:r>
      <w:r w:rsidRPr="00DB3D18">
        <w:rPr>
          <w:rFonts w:ascii="Times New Roman" w:eastAsia="MS Mincho" w:hAnsi="Times New Roman" w:cs="Times New Roman"/>
          <w:b/>
          <w:i/>
          <w:color w:val="000000" w:themeColor="text1"/>
          <w:sz w:val="24"/>
          <w:szCs w:val="24"/>
          <w:lang w:val="fr-BE" w:eastAsia="nl-BE"/>
        </w:rPr>
        <w:t>d'en favoriser un essor rapide et significatif propice à l'emploi local</w:t>
      </w:r>
      <w:r w:rsidRPr="006F440A">
        <w:rPr>
          <w:rFonts w:ascii="Times New Roman" w:eastAsia="MS Mincho" w:hAnsi="Times New Roman" w:cs="Times New Roman"/>
          <w:color w:val="000000" w:themeColor="text1"/>
          <w:sz w:val="24"/>
          <w:szCs w:val="24"/>
          <w:lang w:val="fr-BE" w:eastAsia="nl-BE"/>
        </w:rPr>
        <w:t>.</w:t>
      </w: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r>
        <w:rPr>
          <w:rFonts w:ascii="Times New Roman" w:eastAsia="Calibri" w:hAnsi="Times New Roman" w:cs="Times New Roman"/>
          <w:sz w:val="24"/>
          <w:lang w:val="fr-FR" w:eastAsia="fr-FR"/>
        </w:rPr>
        <w:t>Malgré la difficulté à obtenir des données toujours précises, cette étude permet de conclure à l'</w:t>
      </w:r>
      <w:r w:rsidRPr="00902B9A">
        <w:rPr>
          <w:rFonts w:ascii="Times New Roman" w:eastAsia="Calibri" w:hAnsi="Times New Roman" w:cs="Times New Roman"/>
          <w:b/>
          <w:i/>
          <w:sz w:val="24"/>
          <w:lang w:val="fr-FR" w:eastAsia="fr-FR"/>
        </w:rPr>
        <w:t>existence au Sahara occidental d'activités économiques et de productions qui auraient le plus grand intérêt à bénéficier des mêmes préférences tarifaires</w:t>
      </w:r>
      <w:r>
        <w:rPr>
          <w:rFonts w:ascii="Times New Roman" w:eastAsia="Calibri" w:hAnsi="Times New Roman" w:cs="Times New Roman"/>
          <w:sz w:val="24"/>
          <w:lang w:val="fr-FR" w:eastAsia="fr-FR"/>
        </w:rPr>
        <w:t xml:space="preserve"> que celles accordées au Royaume du Maroc. De fait, certaines de ces productions ont bénéficié jusqu'au 21 décembre 2016 de telles préférences, ce qui a permis le développement de l'activité économique et la création d'emplois au Sahara occidental: c'est le cas notamment dans les secteurs des produits de la pêche et de certains produits agricoles. Une extension des préférences tarifaires de l'Union à ces produits permettrait d'assurer la perpétuation de ces exportations.</w:t>
      </w: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p>
    <w:p w:rsidR="00D756B6" w:rsidRDefault="003F3177" w:rsidP="00D756B6">
      <w:pPr>
        <w:widowControl w:val="0"/>
        <w:spacing w:after="0" w:line="240" w:lineRule="auto"/>
        <w:jc w:val="both"/>
        <w:rPr>
          <w:rFonts w:ascii="Times New Roman" w:eastAsia="Calibri" w:hAnsi="Times New Roman" w:cs="Times New Roman"/>
          <w:sz w:val="24"/>
          <w:lang w:val="fr-FR" w:eastAsia="fr-FR"/>
        </w:rPr>
      </w:pPr>
      <w:r>
        <w:rPr>
          <w:rFonts w:ascii="Times New Roman" w:eastAsia="Calibri" w:hAnsi="Times New Roman" w:cs="Times New Roman"/>
          <w:sz w:val="24"/>
          <w:lang w:val="fr-FR" w:eastAsia="fr-FR"/>
        </w:rPr>
        <w:t xml:space="preserve">A contrario, </w:t>
      </w:r>
      <w:r w:rsidRPr="00902B9A">
        <w:rPr>
          <w:rFonts w:ascii="Times New Roman" w:eastAsia="Calibri" w:hAnsi="Times New Roman" w:cs="Times New Roman"/>
          <w:b/>
          <w:i/>
          <w:sz w:val="24"/>
          <w:lang w:val="fr-FR" w:eastAsia="fr-FR"/>
        </w:rPr>
        <w:t>l</w:t>
      </w:r>
      <w:r>
        <w:rPr>
          <w:rFonts w:ascii="Times New Roman" w:eastAsia="Calibri" w:hAnsi="Times New Roman" w:cs="Times New Roman"/>
          <w:b/>
          <w:i/>
          <w:sz w:val="24"/>
          <w:lang w:val="fr-FR" w:eastAsia="fr-FR"/>
        </w:rPr>
        <w:t>e non-</w:t>
      </w:r>
      <w:r w:rsidRPr="00902B9A">
        <w:rPr>
          <w:rFonts w:ascii="Times New Roman" w:eastAsia="Calibri" w:hAnsi="Times New Roman" w:cs="Times New Roman"/>
          <w:b/>
          <w:i/>
          <w:sz w:val="24"/>
          <w:lang w:val="fr-FR" w:eastAsia="fr-FR"/>
        </w:rPr>
        <w:t xml:space="preserve">octroi de préférences tarifaires compromettrait de </w:t>
      </w:r>
      <w:r w:rsidRPr="00086849">
        <w:rPr>
          <w:rFonts w:ascii="Times New Roman" w:eastAsia="Calibri" w:hAnsi="Times New Roman" w:cs="Times New Roman"/>
          <w:b/>
          <w:i/>
          <w:sz w:val="24"/>
          <w:lang w:val="fr-FR" w:eastAsia="fr-FR"/>
        </w:rPr>
        <w:t>manière significative</w:t>
      </w:r>
      <w:r w:rsidRPr="00890304">
        <w:rPr>
          <w:rFonts w:ascii="Times New Roman" w:eastAsia="Calibri" w:hAnsi="Times New Roman" w:cs="Times New Roman"/>
          <w:b/>
          <w:i/>
          <w:sz w:val="24"/>
          <w:lang w:val="fr-FR" w:eastAsia="fr-FR"/>
        </w:rPr>
        <w:t xml:space="preserve"> les exportations du Sahara occidenta</w:t>
      </w:r>
      <w:r w:rsidRPr="00C07258">
        <w:rPr>
          <w:rFonts w:ascii="Times New Roman" w:eastAsia="Calibri" w:hAnsi="Times New Roman" w:cs="Times New Roman"/>
          <w:b/>
          <w:i/>
          <w:sz w:val="24"/>
          <w:lang w:val="fr-FR" w:eastAsia="fr-FR"/>
        </w:rPr>
        <w:t>l</w:t>
      </w:r>
      <w:r w:rsidRPr="00DB3D18">
        <w:rPr>
          <w:rFonts w:ascii="Times New Roman" w:eastAsia="Calibri" w:hAnsi="Times New Roman" w:cs="Times New Roman"/>
          <w:b/>
          <w:i/>
          <w:sz w:val="24"/>
          <w:lang w:val="fr-FR" w:eastAsia="fr-FR"/>
        </w:rPr>
        <w:t xml:space="preserve">, notamment </w:t>
      </w:r>
      <w:r w:rsidRPr="00DB3D18">
        <w:rPr>
          <w:rFonts w:ascii="Times New Roman" w:eastAsia="Calibri" w:hAnsi="Times New Roman" w:cs="Times New Roman"/>
          <w:b/>
          <w:i/>
          <w:sz w:val="24"/>
          <w:lang w:val="fr-BE"/>
        </w:rPr>
        <w:t>celles relatives aux produits de la pêche et aux produits agricoles</w:t>
      </w:r>
      <w:r>
        <w:rPr>
          <w:rFonts w:ascii="Times New Roman" w:eastAsia="Calibri" w:hAnsi="Times New Roman" w:cs="Times New Roman"/>
          <w:sz w:val="24"/>
          <w:lang w:val="fr-BE"/>
        </w:rPr>
        <w:t xml:space="preserve">. Il </w:t>
      </w:r>
      <w:r>
        <w:rPr>
          <w:rFonts w:ascii="Times New Roman" w:eastAsia="Calibri" w:hAnsi="Times New Roman" w:cs="Times New Roman"/>
          <w:sz w:val="24"/>
          <w:lang w:val="fr-FR" w:eastAsia="fr-FR"/>
        </w:rPr>
        <w:t xml:space="preserve">est </w:t>
      </w:r>
      <w:r w:rsidR="00D756B6">
        <w:rPr>
          <w:rFonts w:ascii="Times New Roman" w:eastAsia="Calibri" w:hAnsi="Times New Roman" w:cs="Times New Roman"/>
          <w:sz w:val="24"/>
          <w:lang w:val="fr-FR" w:eastAsia="fr-FR"/>
        </w:rPr>
        <w:t xml:space="preserve">donc </w:t>
      </w:r>
      <w:r w:rsidR="00D756B6" w:rsidRPr="009A39EB">
        <w:rPr>
          <w:rFonts w:ascii="Times New Roman" w:eastAsia="Calibri" w:hAnsi="Times New Roman" w:cs="Times New Roman"/>
          <w:sz w:val="24"/>
          <w:lang w:val="fr-FR" w:eastAsia="fr-FR"/>
        </w:rPr>
        <w:t>probable que le nombre - déjà limité - de ses productions viendrait à se réduire encore davantage,</w:t>
      </w:r>
      <w:r w:rsidR="00D756B6" w:rsidRPr="00652E21">
        <w:rPr>
          <w:rFonts w:ascii="Times New Roman" w:eastAsia="Calibri" w:hAnsi="Times New Roman" w:cs="Times New Roman"/>
          <w:sz w:val="24"/>
          <w:lang w:val="fr-FR" w:eastAsia="fr-FR"/>
        </w:rPr>
        <w:t xml:space="preserve"> </w:t>
      </w:r>
      <w:r w:rsidR="00D756B6" w:rsidRPr="009A39EB">
        <w:rPr>
          <w:rFonts w:ascii="Times New Roman" w:eastAsia="Calibri" w:hAnsi="Times New Roman" w:cs="Times New Roman"/>
          <w:sz w:val="24"/>
          <w:lang w:val="fr-FR" w:eastAsia="fr-FR"/>
        </w:rPr>
        <w:t>ce qui équivaudrait à créer un handicap aggravant</w:t>
      </w:r>
      <w:r w:rsidR="00D756B6">
        <w:rPr>
          <w:rFonts w:ascii="Times New Roman" w:eastAsia="Calibri" w:hAnsi="Times New Roman" w:cs="Times New Roman"/>
          <w:sz w:val="24"/>
          <w:lang w:val="fr-FR" w:eastAsia="fr-FR"/>
        </w:rPr>
        <w:t>.</w:t>
      </w:r>
      <w:r w:rsidR="00D756B6" w:rsidRPr="00652E21">
        <w:rPr>
          <w:rFonts w:ascii="Times New Roman" w:eastAsia="Calibri" w:hAnsi="Times New Roman" w:cs="Times New Roman"/>
          <w:sz w:val="24"/>
          <w:lang w:val="fr-FR" w:eastAsia="fr-FR"/>
        </w:rPr>
        <w:t xml:space="preserve"> </w:t>
      </w:r>
      <w:r w:rsidR="00D756B6" w:rsidRPr="009A39EB">
        <w:rPr>
          <w:rFonts w:ascii="Times New Roman" w:eastAsia="Calibri" w:hAnsi="Times New Roman" w:cs="Times New Roman"/>
          <w:sz w:val="24"/>
          <w:lang w:val="fr-FR" w:eastAsia="fr-FR"/>
        </w:rPr>
        <w:t xml:space="preserve">En effet, </w:t>
      </w:r>
      <w:r w:rsidR="00D756B6">
        <w:rPr>
          <w:rFonts w:ascii="Times New Roman" w:eastAsia="Calibri" w:hAnsi="Times New Roman" w:cs="Times New Roman"/>
          <w:sz w:val="24"/>
          <w:lang w:val="fr-FR" w:eastAsia="fr-FR"/>
        </w:rPr>
        <w:t xml:space="preserve">en </w:t>
      </w:r>
      <w:r w:rsidR="00D756B6" w:rsidRPr="009A39EB">
        <w:rPr>
          <w:rFonts w:ascii="Times New Roman" w:eastAsia="Calibri" w:hAnsi="Times New Roman" w:cs="Times New Roman"/>
          <w:sz w:val="24"/>
          <w:lang w:val="fr-FR" w:eastAsia="fr-FR"/>
        </w:rPr>
        <w:t>l'absence d'extension de</w:t>
      </w:r>
      <w:r w:rsidR="00D756B6">
        <w:rPr>
          <w:rFonts w:ascii="Times New Roman" w:eastAsia="Calibri" w:hAnsi="Times New Roman" w:cs="Times New Roman"/>
          <w:sz w:val="24"/>
          <w:lang w:val="fr-FR" w:eastAsia="fr-FR"/>
        </w:rPr>
        <w:t>s</w:t>
      </w:r>
      <w:r w:rsidR="00D756B6" w:rsidRPr="009A39EB">
        <w:rPr>
          <w:rFonts w:ascii="Times New Roman" w:eastAsia="Calibri" w:hAnsi="Times New Roman" w:cs="Times New Roman"/>
          <w:sz w:val="24"/>
          <w:lang w:val="fr-FR" w:eastAsia="fr-FR"/>
        </w:rPr>
        <w:t xml:space="preserve"> préférences aux produits du Sahara occidental, ces produits seraient soumis aux droits de douane normaux (</w:t>
      </w:r>
      <w:r w:rsidR="00D756B6">
        <w:rPr>
          <w:rFonts w:ascii="Times New Roman" w:eastAsia="Calibri" w:hAnsi="Times New Roman" w:cs="Times New Roman"/>
          <w:sz w:val="24"/>
          <w:lang w:val="fr-FR" w:eastAsia="fr-FR"/>
        </w:rPr>
        <w:t>d</w:t>
      </w:r>
      <w:r w:rsidR="00D756B6" w:rsidRPr="003F3B72">
        <w:rPr>
          <w:rFonts w:ascii="Times New Roman" w:eastAsia="Calibri" w:hAnsi="Times New Roman" w:cs="Times New Roman"/>
          <w:sz w:val="24"/>
          <w:lang w:val="fr-FR" w:eastAsia="fr-FR"/>
        </w:rPr>
        <w:t xml:space="preserve">roit de douane applicable dans l’Union sous le régime de la </w:t>
      </w:r>
      <w:r w:rsidR="00D756B6" w:rsidRPr="009A39EB">
        <w:rPr>
          <w:rFonts w:ascii="Times New Roman" w:eastAsia="Calibri" w:hAnsi="Times New Roman" w:cs="Times New Roman"/>
          <w:sz w:val="24"/>
          <w:lang w:val="fr-FR" w:eastAsia="fr-FR"/>
        </w:rPr>
        <w:t>nation la plus favorisée) et n’auraient donc pas un accès privilégié au marché de l’U</w:t>
      </w:r>
      <w:r w:rsidR="00D756B6">
        <w:rPr>
          <w:rFonts w:ascii="Times New Roman" w:eastAsia="Calibri" w:hAnsi="Times New Roman" w:cs="Times New Roman"/>
          <w:sz w:val="24"/>
          <w:lang w:val="fr-FR" w:eastAsia="fr-FR"/>
        </w:rPr>
        <w:t>nion</w:t>
      </w:r>
      <w:r w:rsidR="00D756B6" w:rsidRPr="009A39EB">
        <w:rPr>
          <w:rFonts w:ascii="Times New Roman" w:eastAsia="Calibri" w:hAnsi="Times New Roman" w:cs="Times New Roman"/>
          <w:sz w:val="24"/>
          <w:lang w:val="fr-FR" w:eastAsia="fr-FR"/>
        </w:rPr>
        <w:t>.</w:t>
      </w:r>
      <w:r w:rsidR="000726AA" w:rsidRPr="000726AA">
        <w:rPr>
          <w:rFonts w:ascii="Times New Roman" w:eastAsia="Arial Unicode MS" w:hAnsi="Times New Roman" w:cs="Times New Roman"/>
          <w:sz w:val="24"/>
          <w:szCs w:val="24"/>
          <w:bdr w:val="nil"/>
          <w:lang w:val="fr-BE"/>
        </w:rPr>
        <w:t xml:space="preserve"> Le non-octroi des tarifs préférentiels rendrait ces produits non-compétitifs sur le marché européen.</w:t>
      </w:r>
      <w:r w:rsidR="000726AA">
        <w:rPr>
          <w:rFonts w:ascii="Times New Roman" w:eastAsia="Arial Unicode MS" w:hAnsi="Times New Roman" w:cs="Times New Roman"/>
          <w:sz w:val="24"/>
          <w:szCs w:val="24"/>
          <w:bdr w:val="nil"/>
          <w:lang w:val="fr-BE"/>
        </w:rPr>
        <w:t xml:space="preserve"> </w:t>
      </w:r>
      <w:r w:rsidR="00D756B6">
        <w:rPr>
          <w:rFonts w:ascii="Times New Roman" w:eastAsia="Calibri" w:hAnsi="Times New Roman" w:cs="Times New Roman"/>
          <w:sz w:val="24"/>
          <w:lang w:val="fr-FR" w:eastAsia="fr-FR"/>
        </w:rPr>
        <w:t>C</w:t>
      </w:r>
      <w:r w:rsidR="00D756B6" w:rsidRPr="009A39EB">
        <w:rPr>
          <w:rFonts w:ascii="Times New Roman" w:eastAsia="Calibri" w:hAnsi="Times New Roman" w:cs="Times New Roman"/>
          <w:sz w:val="24"/>
          <w:lang w:val="fr-FR" w:eastAsia="fr-FR"/>
        </w:rPr>
        <w:t>eci n’affecterait que de manière très limitée les exportations de produits industriels (phosphates), mais aurait un impact très négatif sur les exportations de produits de la pêche et de produits agricoles à destination de l’U</w:t>
      </w:r>
      <w:r w:rsidR="00D756B6">
        <w:rPr>
          <w:rFonts w:ascii="Times New Roman" w:eastAsia="Calibri" w:hAnsi="Times New Roman" w:cs="Times New Roman"/>
          <w:sz w:val="24"/>
          <w:lang w:val="fr-FR" w:eastAsia="fr-FR"/>
        </w:rPr>
        <w:t>nion</w:t>
      </w:r>
      <w:r w:rsidR="00D756B6" w:rsidRPr="009A39EB">
        <w:rPr>
          <w:rFonts w:ascii="Times New Roman" w:eastAsia="Calibri" w:hAnsi="Times New Roman" w:cs="Times New Roman"/>
          <w:sz w:val="24"/>
          <w:lang w:val="fr-FR" w:eastAsia="fr-FR"/>
        </w:rPr>
        <w:t>.</w:t>
      </w: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r w:rsidRPr="004E6E97">
        <w:rPr>
          <w:rFonts w:ascii="Times New Roman" w:eastAsia="Calibri" w:hAnsi="Times New Roman" w:cs="Times New Roman"/>
          <w:sz w:val="24"/>
          <w:lang w:val="fr-FR" w:eastAsia="fr-FR"/>
        </w:rPr>
        <w:t xml:space="preserve">De manière plus générale, </w:t>
      </w:r>
      <w:r w:rsidRPr="004E6E97">
        <w:rPr>
          <w:rFonts w:ascii="Times New Roman" w:eastAsia="Calibri" w:hAnsi="Times New Roman" w:cs="Times New Roman"/>
          <w:b/>
          <w:i/>
          <w:sz w:val="24"/>
          <w:lang w:val="fr-FR" w:eastAsia="fr-FR"/>
        </w:rPr>
        <w:t>l'octroi de préférences tarifaires devrait avoir un impact important sur le développement de l'économie saharienne</w:t>
      </w:r>
      <w:r w:rsidRPr="004E6E97">
        <w:rPr>
          <w:rFonts w:ascii="Times New Roman" w:eastAsia="Calibri" w:hAnsi="Times New Roman" w:cs="Times New Roman"/>
          <w:sz w:val="24"/>
          <w:lang w:val="fr-FR" w:eastAsia="fr-FR"/>
        </w:rPr>
        <w:t xml:space="preserve">, </w:t>
      </w:r>
      <w:r w:rsidRPr="004E6E97">
        <w:rPr>
          <w:rFonts w:ascii="Times New Roman" w:eastAsia="Calibri" w:hAnsi="Times New Roman" w:cs="Times New Roman"/>
          <w:b/>
          <w:i/>
          <w:sz w:val="24"/>
          <w:lang w:val="fr-FR" w:eastAsia="fr-FR"/>
        </w:rPr>
        <w:t>en stimulant les investissements</w:t>
      </w:r>
      <w:r w:rsidRPr="004E6E97">
        <w:rPr>
          <w:rFonts w:ascii="Times New Roman" w:eastAsia="Calibri" w:hAnsi="Times New Roman" w:cs="Times New Roman"/>
          <w:sz w:val="24"/>
          <w:lang w:val="fr-FR" w:eastAsia="fr-FR"/>
        </w:rPr>
        <w:t xml:space="preserve"> effectués dans ces secteurs. Ceci est par exemple le cas pour certain</w:t>
      </w:r>
      <w:r>
        <w:rPr>
          <w:rFonts w:ascii="Times New Roman" w:eastAsia="Calibri" w:hAnsi="Times New Roman" w:cs="Times New Roman"/>
          <w:sz w:val="24"/>
          <w:lang w:val="fr-FR" w:eastAsia="fr-FR"/>
        </w:rPr>
        <w:t>s</w:t>
      </w:r>
      <w:r w:rsidRPr="004E6E97">
        <w:rPr>
          <w:rFonts w:ascii="Times New Roman" w:eastAsia="Calibri" w:hAnsi="Times New Roman" w:cs="Times New Roman"/>
          <w:sz w:val="24"/>
          <w:lang w:val="fr-FR" w:eastAsia="fr-FR"/>
        </w:rPr>
        <w:t xml:space="preserve"> phosphates (notamment pour l'acide phosphorique et les engrais), des investissements étant déjà envisagés, pour l'agriculture où il y a également des projets de développement, de même que pour la pêche. A contrario, si de telles préférences n'étaient pas octroyées, les investissements, le développement et la diversification des activités économiques ainsi que l'emploi pourraient se voir entravés.</w:t>
      </w: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p>
    <w:p w:rsidR="00502405" w:rsidRPr="00502405" w:rsidRDefault="00502405" w:rsidP="00502405">
      <w:pPr>
        <w:widowControl w:val="0"/>
        <w:spacing w:after="0" w:line="240" w:lineRule="auto"/>
        <w:jc w:val="both"/>
        <w:rPr>
          <w:rFonts w:ascii="Times New Roman" w:eastAsia="Arial Unicode MS" w:hAnsi="Times New Roman" w:cs="Times New Roman"/>
          <w:sz w:val="24"/>
          <w:szCs w:val="24"/>
          <w:bdr w:val="nil"/>
          <w:lang w:val="fr-BE"/>
        </w:rPr>
      </w:pPr>
      <w:r w:rsidRPr="00502405">
        <w:rPr>
          <w:rFonts w:ascii="Times New Roman" w:hAnsi="Times New Roman" w:cs="Times New Roman"/>
          <w:sz w:val="24"/>
          <w:szCs w:val="24"/>
          <w:lang w:val="fr-FR"/>
        </w:rPr>
        <w:t>Les autorités marocaines ont mené à bien un large exercice de consultation institutionnelle embrassant l'ensemble des organes nationaux, régionaux et locaux intéressés afin de les sensibiliser et recueillir leur assentiment et observations éventuelles. Ce processus a conclu à un très large appui en faveur de l</w:t>
      </w:r>
      <w:r w:rsidR="009F072B">
        <w:rPr>
          <w:rFonts w:ascii="Times New Roman" w:hAnsi="Times New Roman" w:cs="Times New Roman"/>
          <w:sz w:val="24"/>
          <w:szCs w:val="24"/>
          <w:lang w:val="fr-FR"/>
        </w:rPr>
        <w:t>a modification</w:t>
      </w:r>
      <w:r w:rsidRPr="00502405">
        <w:rPr>
          <w:rFonts w:ascii="Times New Roman" w:hAnsi="Times New Roman" w:cs="Times New Roman"/>
          <w:sz w:val="24"/>
          <w:szCs w:val="24"/>
          <w:lang w:val="fr-FR"/>
        </w:rPr>
        <w:t xml:space="preserve"> envisagé</w:t>
      </w:r>
      <w:r w:rsidR="009F072B">
        <w:rPr>
          <w:rFonts w:ascii="Times New Roman" w:hAnsi="Times New Roman" w:cs="Times New Roman"/>
          <w:sz w:val="24"/>
          <w:szCs w:val="24"/>
          <w:lang w:val="fr-FR"/>
        </w:rPr>
        <w:t>e</w:t>
      </w:r>
      <w:r w:rsidRPr="00502405">
        <w:rPr>
          <w:rFonts w:ascii="Times New Roman" w:hAnsi="Times New Roman" w:cs="Times New Roman"/>
          <w:sz w:val="24"/>
          <w:szCs w:val="24"/>
          <w:lang w:val="fr-FR"/>
        </w:rPr>
        <w:t xml:space="preserve"> ainsi qu'à certaines recommandations pertinentes pour en optimiser les effets. Suite à l’</w:t>
      </w:r>
      <w:r w:rsidRPr="00502405">
        <w:rPr>
          <w:rFonts w:ascii="Times New Roman" w:eastAsia="Arial Unicode MS" w:hAnsi="Times New Roman" w:cs="Times New Roman"/>
          <w:sz w:val="24"/>
          <w:szCs w:val="24"/>
          <w:bdr w:val="nil"/>
          <w:lang w:val="fr-BE"/>
        </w:rPr>
        <w:t xml:space="preserve">implication des élus territoriaux, le processus de consultation des populations du Sahara occidental mené par les services de la Commission européenne et le Service Européen de l’Action Extérieure a également permis de constater une opinion majoritairement favorable à la modification des protocoles de l'accord d’association UE-Maroc en vue d'en étendre les préférences tarifaires aux produits du Sahara occidental. Une majorité d'interlocuteurs ont fait état d'un impact positif en faveur de la population dans son ensemble, insistant tout particulièrement sur l'effet de levier déterminant qu'auraient de telles préférences commerciales en matière d'investissement privé. Suivant cette logique, un accès privilégié aux marchés européens est de nature à améliorer le climat des affaires ainsi que les investissements directs européens et, ce faisant, conforterait le nouveau modèle de développement participatif et durable du Sahara occidental. A contrario, la persistance de l'insécurité juridique grevant les flux commerciaux avec le Sahara occidental hypothèquerait fortement le développement socio-économique, ainsi qu'en témoigne déjà le ralentissement des relations commerciales du Sahara occidental avec certains Etats membres ou dans certains secteurs. Restreindre l'accès du Sahara occidental aux marchés et investissements étrangers ne ferait qu'entraver le développement d'activités économiques endogènes et compromettre certaines évolutions socio-économiques ou politiques au moment précis où le développement du Sahara occidental semble enfin devoir décoller. </w:t>
      </w:r>
    </w:p>
    <w:p w:rsidR="002F68F4" w:rsidRDefault="002F68F4" w:rsidP="00502405">
      <w:pPr>
        <w:widowControl w:val="0"/>
        <w:spacing w:after="0" w:line="240" w:lineRule="auto"/>
        <w:jc w:val="both"/>
        <w:rPr>
          <w:rFonts w:ascii="Times New Roman" w:eastAsia="Arial Unicode MS" w:hAnsi="Times New Roman" w:cs="Times New Roman"/>
          <w:sz w:val="24"/>
          <w:szCs w:val="24"/>
          <w:bdr w:val="nil"/>
          <w:lang w:val="fr-BE"/>
        </w:rPr>
      </w:pPr>
    </w:p>
    <w:p w:rsidR="002F68F4" w:rsidRPr="002F68F4" w:rsidRDefault="002F68F4" w:rsidP="002F68F4">
      <w:pPr>
        <w:widowControl w:val="0"/>
        <w:spacing w:after="0" w:line="240" w:lineRule="auto"/>
        <w:jc w:val="both"/>
        <w:rPr>
          <w:rFonts w:ascii="Times New Roman" w:eastAsia="Arial Unicode MS" w:hAnsi="Times New Roman" w:cs="Times New Roman"/>
          <w:sz w:val="24"/>
          <w:szCs w:val="24"/>
          <w:bdr w:val="nil"/>
          <w:lang w:val="fr-BE"/>
        </w:rPr>
      </w:pPr>
      <w:r>
        <w:rPr>
          <w:rFonts w:ascii="Times New Roman" w:eastAsia="Arial Unicode MS" w:hAnsi="Times New Roman" w:cs="Times New Roman"/>
          <w:sz w:val="24"/>
          <w:szCs w:val="24"/>
          <w:bdr w:val="nil"/>
          <w:lang w:val="fr-BE"/>
        </w:rPr>
        <w:t>Par ailleurs, l</w:t>
      </w:r>
      <w:r w:rsidRPr="002F68F4">
        <w:rPr>
          <w:rFonts w:ascii="Times New Roman" w:eastAsia="Arial Unicode MS" w:hAnsi="Times New Roman" w:cs="Times New Roman"/>
          <w:sz w:val="24"/>
          <w:szCs w:val="24"/>
          <w:bdr w:val="nil"/>
          <w:lang w:val="fr-BE"/>
        </w:rPr>
        <w:t xml:space="preserve">es discussions techniques menées avec le Front Polisario ont fait ressortir </w:t>
      </w:r>
      <w:r>
        <w:rPr>
          <w:rFonts w:ascii="Times New Roman" w:eastAsia="Arial Unicode MS" w:hAnsi="Times New Roman" w:cs="Times New Roman"/>
          <w:sz w:val="24"/>
          <w:szCs w:val="24"/>
          <w:bdr w:val="nil"/>
          <w:lang w:val="fr-BE"/>
        </w:rPr>
        <w:t xml:space="preserve">son </w:t>
      </w:r>
      <w:r w:rsidRPr="002F68F4">
        <w:rPr>
          <w:rFonts w:ascii="Times New Roman" w:eastAsia="Arial Unicode MS" w:hAnsi="Times New Roman" w:cs="Times New Roman"/>
          <w:sz w:val="24"/>
          <w:szCs w:val="24"/>
          <w:bdr w:val="nil"/>
          <w:lang w:val="fr-BE"/>
        </w:rPr>
        <w:t>opposition de principe à l</w:t>
      </w:r>
      <w:r w:rsidR="009F072B">
        <w:rPr>
          <w:rFonts w:ascii="Times New Roman" w:eastAsia="Arial Unicode MS" w:hAnsi="Times New Roman" w:cs="Times New Roman"/>
          <w:sz w:val="24"/>
          <w:szCs w:val="24"/>
          <w:bdr w:val="nil"/>
          <w:lang w:val="fr-BE"/>
        </w:rPr>
        <w:t>a modification</w:t>
      </w:r>
      <w:r w:rsidRPr="002F68F4">
        <w:rPr>
          <w:rFonts w:ascii="Times New Roman" w:eastAsia="Arial Unicode MS" w:hAnsi="Times New Roman" w:cs="Times New Roman"/>
          <w:sz w:val="24"/>
          <w:szCs w:val="24"/>
          <w:bdr w:val="nil"/>
          <w:lang w:val="fr-BE"/>
        </w:rPr>
        <w:t xml:space="preserve"> de l'accord, opposition principalement motivée par des considérations politiques plus larges dont la portée ne se référait pas au contenu de la modification à proprement parler</w:t>
      </w:r>
      <w:r>
        <w:rPr>
          <w:rFonts w:ascii="Times New Roman" w:eastAsia="Arial Unicode MS" w:hAnsi="Times New Roman" w:cs="Times New Roman"/>
          <w:sz w:val="24"/>
          <w:szCs w:val="24"/>
          <w:bdr w:val="nil"/>
          <w:lang w:val="fr-BE"/>
        </w:rPr>
        <w:t>.</w:t>
      </w:r>
    </w:p>
    <w:p w:rsidR="00D756B6" w:rsidRPr="00C04BAD" w:rsidRDefault="00D756B6" w:rsidP="00D756B6">
      <w:pPr>
        <w:widowControl w:val="0"/>
        <w:spacing w:after="0" w:line="240" w:lineRule="auto"/>
        <w:jc w:val="both"/>
        <w:rPr>
          <w:rFonts w:ascii="Times New Roman" w:eastAsia="Calibri" w:hAnsi="Times New Roman" w:cs="Times New Roman"/>
          <w:sz w:val="24"/>
          <w:lang w:val="fr-BE" w:eastAsia="fr-FR"/>
        </w:rPr>
      </w:pPr>
    </w:p>
    <w:p w:rsidR="00D756B6" w:rsidRDefault="00D756B6" w:rsidP="00D756B6">
      <w:pPr>
        <w:widowControl w:val="0"/>
        <w:spacing w:after="0" w:line="240" w:lineRule="auto"/>
        <w:jc w:val="both"/>
        <w:rPr>
          <w:rFonts w:ascii="Times New Roman" w:eastAsia="Calibri" w:hAnsi="Times New Roman" w:cs="Times New Roman"/>
          <w:sz w:val="24"/>
          <w:lang w:val="fr-FR" w:eastAsia="fr-FR"/>
        </w:rPr>
      </w:pPr>
      <w:r>
        <w:rPr>
          <w:rFonts w:ascii="Times New Roman" w:eastAsia="Calibri" w:hAnsi="Times New Roman" w:cs="Times New Roman"/>
          <w:sz w:val="24"/>
          <w:lang w:val="fr-FR" w:eastAsia="fr-FR"/>
        </w:rPr>
        <w:t>La modification</w:t>
      </w:r>
      <w:r w:rsidRPr="004E6E97">
        <w:rPr>
          <w:rFonts w:ascii="Times New Roman" w:eastAsia="Calibri" w:hAnsi="Times New Roman" w:cs="Times New Roman"/>
          <w:sz w:val="24"/>
          <w:lang w:val="fr-FR" w:eastAsia="fr-FR"/>
        </w:rPr>
        <w:t xml:space="preserve"> des protocoles n° 1 et n° 4 de l’accord d’association présenté par la Commission </w:t>
      </w:r>
      <w:r w:rsidR="009B32A7">
        <w:rPr>
          <w:rFonts w:ascii="Times New Roman" w:eastAsia="Calibri" w:hAnsi="Times New Roman" w:cs="Times New Roman"/>
          <w:sz w:val="24"/>
          <w:lang w:val="fr-FR" w:eastAsia="fr-FR"/>
        </w:rPr>
        <w:t>européenne</w:t>
      </w:r>
      <w:r w:rsidR="009B32A7" w:rsidRPr="004E6E97">
        <w:rPr>
          <w:rFonts w:ascii="Times New Roman" w:eastAsia="Calibri" w:hAnsi="Times New Roman" w:cs="Times New Roman"/>
          <w:sz w:val="24"/>
          <w:lang w:val="fr-FR" w:eastAsia="fr-FR"/>
        </w:rPr>
        <w:t xml:space="preserve"> </w:t>
      </w:r>
      <w:r w:rsidRPr="004E6E97">
        <w:rPr>
          <w:rFonts w:ascii="Times New Roman" w:eastAsia="Calibri" w:hAnsi="Times New Roman" w:cs="Times New Roman"/>
          <w:sz w:val="24"/>
          <w:lang w:val="fr-FR" w:eastAsia="fr-FR"/>
        </w:rPr>
        <w:t>vis</w:t>
      </w:r>
      <w:r>
        <w:rPr>
          <w:rFonts w:ascii="Times New Roman" w:eastAsia="Calibri" w:hAnsi="Times New Roman" w:cs="Times New Roman"/>
          <w:sz w:val="24"/>
          <w:lang w:val="fr-FR" w:eastAsia="fr-FR"/>
        </w:rPr>
        <w:t>e</w:t>
      </w:r>
      <w:r w:rsidRPr="004E6E97">
        <w:rPr>
          <w:rFonts w:ascii="Times New Roman" w:eastAsia="Calibri" w:hAnsi="Times New Roman" w:cs="Times New Roman"/>
          <w:sz w:val="24"/>
          <w:lang w:val="fr-FR" w:eastAsia="fr-FR"/>
        </w:rPr>
        <w:t xml:space="preserve"> </w:t>
      </w:r>
      <w:r>
        <w:rPr>
          <w:rFonts w:ascii="Times New Roman" w:eastAsia="Calibri" w:hAnsi="Times New Roman" w:cs="Times New Roman"/>
          <w:sz w:val="24"/>
          <w:lang w:val="fr-FR" w:eastAsia="fr-FR"/>
        </w:rPr>
        <w:t xml:space="preserve">donc </w:t>
      </w:r>
      <w:r w:rsidRPr="004E6E97">
        <w:rPr>
          <w:rFonts w:ascii="Times New Roman" w:eastAsia="Calibri" w:hAnsi="Times New Roman" w:cs="Times New Roman"/>
          <w:sz w:val="24"/>
          <w:lang w:val="fr-FR" w:eastAsia="fr-FR"/>
        </w:rPr>
        <w:t xml:space="preserve">à consolider </w:t>
      </w:r>
      <w:r>
        <w:rPr>
          <w:rFonts w:ascii="Times New Roman" w:eastAsia="Calibri" w:hAnsi="Times New Roman" w:cs="Times New Roman"/>
          <w:sz w:val="24"/>
          <w:lang w:val="fr-FR" w:eastAsia="fr-FR"/>
        </w:rPr>
        <w:t xml:space="preserve">et faciliter les exportations du Sahara occidental vers l'Union européenne et </w:t>
      </w:r>
      <w:r w:rsidRPr="004E6E97">
        <w:rPr>
          <w:rFonts w:ascii="Times New Roman" w:eastAsia="Calibri" w:hAnsi="Times New Roman" w:cs="Times New Roman"/>
          <w:sz w:val="24"/>
          <w:lang w:val="fr-FR" w:eastAsia="fr-FR"/>
        </w:rPr>
        <w:t>à faciliter l</w:t>
      </w:r>
      <w:r>
        <w:rPr>
          <w:rFonts w:ascii="Times New Roman" w:eastAsia="Calibri" w:hAnsi="Times New Roman" w:cs="Times New Roman"/>
          <w:sz w:val="24"/>
          <w:lang w:val="fr-FR" w:eastAsia="fr-FR"/>
        </w:rPr>
        <w:t xml:space="preserve">e développement et la </w:t>
      </w:r>
      <w:r w:rsidRPr="004E6E97">
        <w:rPr>
          <w:rFonts w:ascii="Times New Roman" w:eastAsia="Calibri" w:hAnsi="Times New Roman" w:cs="Times New Roman"/>
          <w:sz w:val="24"/>
          <w:lang w:val="fr-FR" w:eastAsia="fr-FR"/>
        </w:rPr>
        <w:t>diversification économique de la région.</w:t>
      </w:r>
    </w:p>
    <w:p w:rsidR="00B81549" w:rsidRDefault="00B81549" w:rsidP="00D756B6">
      <w:pPr>
        <w:widowControl w:val="0"/>
        <w:spacing w:after="0" w:line="240" w:lineRule="auto"/>
        <w:jc w:val="both"/>
        <w:rPr>
          <w:rFonts w:ascii="Times New Roman" w:eastAsia="Calibri" w:hAnsi="Times New Roman" w:cs="Times New Roman"/>
          <w:sz w:val="24"/>
          <w:lang w:val="fr-FR" w:eastAsia="fr-FR"/>
        </w:rPr>
      </w:pPr>
    </w:p>
    <w:p w:rsidR="00B81549" w:rsidRPr="00B00B8F" w:rsidRDefault="00B81549" w:rsidP="002C1B3B">
      <w:pPr>
        <w:widowControl w:val="0"/>
        <w:spacing w:after="0" w:line="240" w:lineRule="auto"/>
        <w:jc w:val="center"/>
        <w:rPr>
          <w:lang w:val="fr-BE"/>
        </w:rPr>
      </w:pPr>
      <w:r>
        <w:rPr>
          <w:rFonts w:ascii="Times New Roman" w:eastAsia="Calibri" w:hAnsi="Times New Roman" w:cs="Times New Roman"/>
          <w:sz w:val="24"/>
          <w:lang w:val="fr-FR" w:eastAsia="fr-FR"/>
        </w:rPr>
        <w:t>* * *</w:t>
      </w:r>
    </w:p>
    <w:p w:rsidR="00C4057E" w:rsidRDefault="00C4057E">
      <w:pPr>
        <w:rPr>
          <w:rFonts w:ascii="Times New Roman" w:eastAsia="Arial Unicode MS" w:hAnsi="Times New Roman" w:cs="Arial Unicode MS"/>
          <w:color w:val="000000"/>
          <w:sz w:val="24"/>
          <w:szCs w:val="24"/>
          <w:u w:color="000000"/>
          <w:bdr w:val="nil"/>
          <w:lang w:val="fr-BE" w:eastAsia="en-GB"/>
        </w:rPr>
      </w:pPr>
      <w:r>
        <w:rPr>
          <w:rFonts w:ascii="Times New Roman" w:eastAsia="Arial Unicode MS" w:hAnsi="Times New Roman" w:cs="Arial Unicode MS"/>
          <w:color w:val="000000"/>
          <w:sz w:val="24"/>
          <w:szCs w:val="24"/>
          <w:u w:color="000000"/>
          <w:bdr w:val="nil"/>
          <w:lang w:val="fr-BE" w:eastAsia="en-GB"/>
        </w:rPr>
        <w:br w:type="page"/>
      </w:r>
    </w:p>
    <w:p w:rsidR="008B3FF0" w:rsidRPr="00D756B6" w:rsidRDefault="008B3FF0" w:rsidP="00FA3118">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fr-BE" w:eastAsia="en-GB"/>
        </w:rPr>
      </w:pPr>
    </w:p>
    <w:p w:rsidR="00FA3118" w:rsidRPr="00FA3118" w:rsidRDefault="00FA3118" w:rsidP="004E2E61">
      <w:pPr>
        <w:pStyle w:val="Heading2"/>
        <w:numPr>
          <w:ilvl w:val="0"/>
          <w:numId w:val="0"/>
        </w:numPr>
        <w:ind w:left="576" w:hanging="576"/>
        <w:jc w:val="center"/>
        <w:rPr>
          <w:rFonts w:eastAsia="Arial Unicode MS"/>
          <w:u w:color="000000"/>
          <w:bdr w:val="nil"/>
          <w:lang w:val="fr-BE" w:eastAsia="en-GB"/>
        </w:rPr>
      </w:pPr>
      <w:bookmarkStart w:id="34" w:name="_Toc514257476"/>
      <w:r w:rsidRPr="00FA3118">
        <w:rPr>
          <w:rFonts w:eastAsia="Arial Unicode MS"/>
          <w:u w:color="000000"/>
          <w:bdr w:val="nil"/>
          <w:lang w:val="fr-BE" w:eastAsia="en-GB"/>
        </w:rPr>
        <w:t>A</w:t>
      </w:r>
      <w:r w:rsidR="008B3FF0">
        <w:rPr>
          <w:rFonts w:eastAsia="Arial Unicode MS"/>
          <w:u w:color="000000"/>
          <w:bdr w:val="nil"/>
          <w:lang w:val="fr-BE" w:eastAsia="en-GB"/>
        </w:rPr>
        <w:t>nnexe</w:t>
      </w:r>
      <w:bookmarkEnd w:id="34"/>
    </w:p>
    <w:p w:rsidR="00FA3118" w:rsidRPr="00FA3118" w:rsidRDefault="00FA3118" w:rsidP="00FA3118">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lang w:val="fr-BE" w:eastAsia="en-GB"/>
        </w:rPr>
      </w:pPr>
    </w:p>
    <w:p w:rsidR="00FA3118" w:rsidRPr="00FA3118" w:rsidRDefault="00FA3118" w:rsidP="00FA3118">
      <w:pPr>
        <w:pBdr>
          <w:top w:val="nil"/>
          <w:left w:val="nil"/>
          <w:bottom w:val="nil"/>
          <w:right w:val="nil"/>
          <w:between w:val="nil"/>
          <w:bar w:val="nil"/>
        </w:pBdr>
        <w:spacing w:after="0" w:line="240" w:lineRule="auto"/>
        <w:jc w:val="both"/>
        <w:rPr>
          <w:rFonts w:ascii="Arial" w:eastAsia="Arial" w:hAnsi="Arial" w:cs="Arial"/>
          <w:b/>
          <w:bCs/>
          <w:color w:val="000000"/>
          <w:sz w:val="28"/>
          <w:szCs w:val="28"/>
          <w:u w:val="single" w:color="000000"/>
          <w:bdr w:val="nil"/>
          <w:lang w:val="fr-BE" w:eastAsia="en-GB"/>
        </w:rPr>
      </w:pPr>
      <w:r w:rsidRPr="00FA3118">
        <w:rPr>
          <w:rFonts w:ascii="Arial" w:eastAsia="Times New Roman" w:hAnsi="Arial" w:cs="Times New Roman"/>
          <w:b/>
          <w:bCs/>
          <w:color w:val="222222"/>
          <w:sz w:val="28"/>
          <w:szCs w:val="28"/>
          <w:u w:val="single" w:color="222222"/>
          <w:bdr w:val="nil"/>
          <w:lang w:val="fr-FR" w:eastAsia="en-GB"/>
        </w:rPr>
        <w:t xml:space="preserve">Liste des parties prenantes </w:t>
      </w:r>
      <w:r w:rsidR="00F26DA2">
        <w:rPr>
          <w:rFonts w:ascii="Arial" w:eastAsia="Times New Roman" w:hAnsi="Arial" w:cs="Times New Roman"/>
          <w:b/>
          <w:bCs/>
          <w:color w:val="222222"/>
          <w:sz w:val="28"/>
          <w:szCs w:val="28"/>
          <w:u w:val="single" w:color="222222"/>
          <w:bdr w:val="nil"/>
          <w:lang w:val="fr-FR" w:eastAsia="en-GB"/>
        </w:rPr>
        <w:t xml:space="preserve">consultées </w:t>
      </w:r>
      <w:r w:rsidRPr="00FA3118">
        <w:rPr>
          <w:rFonts w:ascii="Arial" w:eastAsia="Times New Roman" w:hAnsi="Arial" w:cs="Times New Roman"/>
          <w:b/>
          <w:bCs/>
          <w:color w:val="222222"/>
          <w:sz w:val="28"/>
          <w:szCs w:val="28"/>
          <w:u w:val="single" w:color="222222"/>
          <w:bdr w:val="nil"/>
          <w:lang w:val="fr-FR" w:eastAsia="en-GB"/>
        </w:rPr>
        <w:t>dans le cadre de l</w:t>
      </w:r>
      <w:r w:rsidR="008B3FF0">
        <w:rPr>
          <w:rFonts w:ascii="Arial" w:eastAsia="Times New Roman" w:hAnsi="Arial" w:cs="Times New Roman"/>
          <w:b/>
          <w:bCs/>
          <w:color w:val="222222"/>
          <w:sz w:val="28"/>
          <w:szCs w:val="28"/>
          <w:u w:val="single" w:color="222222"/>
          <w:bdr w:val="nil"/>
          <w:lang w:val="fr-FR" w:eastAsia="en-GB"/>
        </w:rPr>
        <w:t>a modification</w:t>
      </w:r>
      <w:r w:rsidRPr="00FA3118">
        <w:rPr>
          <w:rFonts w:ascii="Arial" w:eastAsia="Times New Roman" w:hAnsi="Arial" w:cs="Times New Roman"/>
          <w:b/>
          <w:bCs/>
          <w:color w:val="222222"/>
          <w:sz w:val="28"/>
          <w:szCs w:val="28"/>
          <w:u w:val="single" w:color="222222"/>
          <w:bdr w:val="nil"/>
          <w:lang w:val="fr-FR" w:eastAsia="en-GB"/>
        </w:rPr>
        <w:t xml:space="preserve"> des protocoles </w:t>
      </w:r>
      <w:r w:rsidR="00536A17">
        <w:rPr>
          <w:rFonts w:ascii="Arial" w:eastAsia="Times New Roman" w:hAnsi="Arial" w:cs="Times New Roman"/>
          <w:b/>
          <w:bCs/>
          <w:color w:val="222222"/>
          <w:sz w:val="28"/>
          <w:szCs w:val="28"/>
          <w:u w:val="single" w:color="222222"/>
          <w:bdr w:val="nil"/>
          <w:lang w:val="fr-FR" w:eastAsia="en-GB"/>
        </w:rPr>
        <w:t xml:space="preserve">n° </w:t>
      </w:r>
      <w:r w:rsidRPr="00FA3118">
        <w:rPr>
          <w:rFonts w:ascii="Arial" w:eastAsia="Times New Roman" w:hAnsi="Arial" w:cs="Times New Roman"/>
          <w:b/>
          <w:bCs/>
          <w:color w:val="222222"/>
          <w:sz w:val="28"/>
          <w:szCs w:val="28"/>
          <w:u w:val="single" w:color="222222"/>
          <w:bdr w:val="nil"/>
          <w:lang w:val="fr-FR" w:eastAsia="en-GB"/>
        </w:rPr>
        <w:t>1 et 4 de l'</w:t>
      </w:r>
      <w:r w:rsidR="00536A17">
        <w:rPr>
          <w:rFonts w:ascii="Arial" w:eastAsia="Times New Roman" w:hAnsi="Arial" w:cs="Times New Roman"/>
          <w:b/>
          <w:bCs/>
          <w:color w:val="222222"/>
          <w:sz w:val="28"/>
          <w:szCs w:val="28"/>
          <w:u w:val="single" w:color="222222"/>
          <w:bdr w:val="nil"/>
          <w:lang w:val="fr-FR" w:eastAsia="en-GB"/>
        </w:rPr>
        <w:t>a</w:t>
      </w:r>
      <w:r w:rsidRPr="00FA3118">
        <w:rPr>
          <w:rFonts w:ascii="Arial" w:eastAsia="Times New Roman" w:hAnsi="Arial" w:cs="Times New Roman"/>
          <w:b/>
          <w:bCs/>
          <w:color w:val="222222"/>
          <w:sz w:val="28"/>
          <w:szCs w:val="28"/>
          <w:u w:val="single" w:color="222222"/>
          <w:bdr w:val="nil"/>
          <w:lang w:val="fr-FR" w:eastAsia="en-GB"/>
        </w:rPr>
        <w:t>ccord d'</w:t>
      </w:r>
      <w:r w:rsidR="00536A17">
        <w:rPr>
          <w:rFonts w:ascii="Arial" w:eastAsia="Times New Roman" w:hAnsi="Arial" w:cs="Times New Roman"/>
          <w:b/>
          <w:bCs/>
          <w:color w:val="222222"/>
          <w:sz w:val="28"/>
          <w:szCs w:val="28"/>
          <w:u w:val="single" w:color="222222"/>
          <w:bdr w:val="nil"/>
          <w:lang w:val="fr-FR" w:eastAsia="en-GB"/>
        </w:rPr>
        <w:t>a</w:t>
      </w:r>
      <w:r w:rsidRPr="00FA3118">
        <w:rPr>
          <w:rFonts w:ascii="Arial" w:eastAsia="Times New Roman" w:hAnsi="Arial" w:cs="Times New Roman"/>
          <w:b/>
          <w:bCs/>
          <w:color w:val="222222"/>
          <w:sz w:val="28"/>
          <w:szCs w:val="28"/>
          <w:u w:val="single" w:color="222222"/>
          <w:bdr w:val="nil"/>
          <w:lang w:val="fr-FR" w:eastAsia="en-GB"/>
        </w:rPr>
        <w:t>ssociation</w:t>
      </w:r>
    </w:p>
    <w:p w:rsidR="00FA3118" w:rsidRPr="00FA3118" w:rsidRDefault="00FA3118" w:rsidP="00FA3118">
      <w:pPr>
        <w:pBdr>
          <w:top w:val="nil"/>
          <w:left w:val="nil"/>
          <w:bottom w:val="nil"/>
          <w:right w:val="nil"/>
          <w:between w:val="nil"/>
          <w:bar w:val="nil"/>
        </w:pBdr>
        <w:spacing w:after="120" w:line="240" w:lineRule="auto"/>
        <w:jc w:val="both"/>
        <w:rPr>
          <w:rFonts w:ascii="Arial" w:eastAsia="Arial" w:hAnsi="Arial" w:cs="Arial"/>
          <w:b/>
          <w:bCs/>
          <w:color w:val="000000"/>
          <w:sz w:val="24"/>
          <w:szCs w:val="24"/>
          <w:u w:val="single" w:color="000000"/>
          <w:bdr w:val="nil"/>
          <w:lang w:val="fr-FR" w:eastAsia="en-GB"/>
        </w:rPr>
      </w:pPr>
    </w:p>
    <w:p w:rsidR="00FA3118" w:rsidRPr="00FA3118" w:rsidRDefault="00FA3118" w:rsidP="00FA3118">
      <w:pPr>
        <w:pBdr>
          <w:top w:val="nil"/>
          <w:left w:val="nil"/>
          <w:bottom w:val="nil"/>
          <w:right w:val="nil"/>
          <w:between w:val="nil"/>
          <w:bar w:val="nil"/>
        </w:pBdr>
        <w:spacing w:after="120" w:line="240" w:lineRule="auto"/>
        <w:jc w:val="both"/>
        <w:rPr>
          <w:rFonts w:ascii="Arial" w:eastAsia="Arial Unicode MS" w:hAnsi="Arial" w:cs="Arial"/>
          <w:b/>
          <w:sz w:val="24"/>
          <w:szCs w:val="24"/>
          <w:u w:val="single"/>
          <w:bdr w:val="nil"/>
          <w:lang w:val="fr-BE"/>
        </w:rPr>
      </w:pPr>
      <w:r w:rsidRPr="00FA3118">
        <w:rPr>
          <w:rFonts w:ascii="Arial" w:eastAsia="Arial Unicode MS" w:hAnsi="Arial" w:cs="Arial"/>
          <w:b/>
          <w:sz w:val="24"/>
          <w:szCs w:val="24"/>
          <w:u w:val="single"/>
          <w:bdr w:val="nil"/>
          <w:lang w:val="fr-BE"/>
        </w:rPr>
        <w:t>1. Acteurs politiques</w:t>
      </w:r>
    </w:p>
    <w:p w:rsidR="00FA3118" w:rsidRPr="00FA3118" w:rsidRDefault="00FA3118" w:rsidP="00FA3118">
      <w:pPr>
        <w:pBdr>
          <w:top w:val="nil"/>
          <w:left w:val="nil"/>
          <w:bottom w:val="nil"/>
          <w:right w:val="nil"/>
          <w:between w:val="nil"/>
          <w:bar w:val="nil"/>
        </w:pBdr>
        <w:spacing w:after="120" w:line="240" w:lineRule="auto"/>
        <w:jc w:val="both"/>
        <w:rPr>
          <w:rFonts w:ascii="Arial" w:eastAsia="Arial Unicode MS" w:hAnsi="Arial" w:cs="Arial"/>
          <w:sz w:val="24"/>
          <w:szCs w:val="24"/>
          <w:bdr w:val="nil"/>
          <w:lang w:val="fr-BE"/>
        </w:rPr>
      </w:pPr>
      <w:r w:rsidRPr="00FA3118">
        <w:rPr>
          <w:rFonts w:ascii="Arial" w:eastAsia="Arial Unicode MS" w:hAnsi="Arial" w:cs="Arial"/>
          <w:sz w:val="24"/>
          <w:szCs w:val="24"/>
          <w:bdr w:val="nil"/>
          <w:lang w:val="fr-BE"/>
        </w:rPr>
        <w:t>Présidents de deux conseils régionaux:</w:t>
      </w:r>
    </w:p>
    <w:p w:rsidR="00FA3118" w:rsidRPr="00FA3118" w:rsidRDefault="005C661E" w:rsidP="00FA3118">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FR" w:eastAsia="en-GB"/>
        </w:rPr>
        <w:t xml:space="preserve">Président du Conseil régional </w:t>
      </w:r>
      <w:r w:rsidRPr="00FA3118">
        <w:rPr>
          <w:rFonts w:ascii="Arial" w:eastAsia="Arial Unicode MS" w:hAnsi="Arial" w:cs="Arial"/>
          <w:color w:val="000000"/>
          <w:sz w:val="24"/>
          <w:szCs w:val="24"/>
          <w:u w:color="000000"/>
          <w:bdr w:val="nil"/>
          <w:lang w:val="fr-BE" w:eastAsia="en-GB"/>
        </w:rPr>
        <w:t xml:space="preserve">Dakhla-Oued </w:t>
      </w:r>
      <w:r>
        <w:rPr>
          <w:rFonts w:ascii="Arial" w:eastAsia="Arial Unicode MS" w:hAnsi="Arial" w:cs="Arial"/>
          <w:color w:val="000000"/>
          <w:sz w:val="24"/>
          <w:szCs w:val="24"/>
          <w:u w:color="000000"/>
          <w:bdr w:val="nil"/>
          <w:lang w:val="fr-BE" w:eastAsia="en-GB"/>
        </w:rPr>
        <w:t>e</w:t>
      </w:r>
      <w:r w:rsidRPr="00FA3118">
        <w:rPr>
          <w:rFonts w:ascii="Arial" w:eastAsia="Arial Unicode MS" w:hAnsi="Arial" w:cs="Arial"/>
          <w:color w:val="000000"/>
          <w:sz w:val="24"/>
          <w:szCs w:val="24"/>
          <w:u w:color="000000"/>
          <w:bdr w:val="nil"/>
          <w:lang w:val="fr-BE" w:eastAsia="en-GB"/>
        </w:rPr>
        <w:t>d</w:t>
      </w:r>
      <w:r>
        <w:rPr>
          <w:rFonts w:ascii="Arial" w:eastAsia="Arial Unicode MS" w:hAnsi="Arial" w:cs="Arial"/>
          <w:color w:val="000000"/>
          <w:sz w:val="24"/>
          <w:szCs w:val="24"/>
          <w:u w:color="000000"/>
          <w:bdr w:val="nil"/>
          <w:lang w:val="fr-BE" w:eastAsia="en-GB"/>
        </w:rPr>
        <w:t xml:space="preserve"> D</w:t>
      </w:r>
      <w:r w:rsidRPr="00FA3118">
        <w:rPr>
          <w:rFonts w:ascii="Arial" w:eastAsia="Arial Unicode MS" w:hAnsi="Arial" w:cs="Arial"/>
          <w:color w:val="000000"/>
          <w:sz w:val="24"/>
          <w:szCs w:val="24"/>
          <w:u w:color="000000"/>
          <w:bdr w:val="nil"/>
          <w:lang w:val="fr-BE" w:eastAsia="en-GB"/>
        </w:rPr>
        <w:t>ahab</w:t>
      </w:r>
      <w:r>
        <w:rPr>
          <w:rFonts w:ascii="Arial" w:eastAsia="Arial Unicode MS" w:hAnsi="Arial" w:cs="Arial"/>
          <w:color w:val="000000"/>
          <w:sz w:val="24"/>
          <w:szCs w:val="24"/>
          <w:u w:color="000000"/>
          <w:bdr w:val="nil"/>
          <w:lang w:val="fr-BE" w:eastAsia="en-GB"/>
        </w:rPr>
        <w:t> :</w:t>
      </w:r>
      <w:r w:rsidRPr="00FA3118">
        <w:rPr>
          <w:rFonts w:ascii="Arial" w:eastAsia="Arial Unicode MS" w:hAnsi="Arial" w:cs="Arial"/>
          <w:color w:val="000000"/>
          <w:sz w:val="24"/>
          <w:szCs w:val="24"/>
          <w:u w:color="000000"/>
          <w:bdr w:val="nil"/>
          <w:lang w:val="fr-BE" w:eastAsia="en-GB"/>
        </w:rPr>
        <w:t xml:space="preserve"> </w:t>
      </w:r>
      <w:r w:rsidR="00FA3118" w:rsidRPr="00FA3118">
        <w:rPr>
          <w:rFonts w:ascii="Arial" w:eastAsia="Arial Unicode MS" w:hAnsi="Arial" w:cs="Arial"/>
          <w:color w:val="000000"/>
          <w:sz w:val="24"/>
          <w:szCs w:val="24"/>
          <w:u w:color="000000"/>
          <w:bdr w:val="nil"/>
          <w:lang w:val="fr-FR" w:eastAsia="en-GB"/>
        </w:rPr>
        <w:t>M. Yanja El Khattat</w:t>
      </w:r>
    </w:p>
    <w:p w:rsidR="00FA3118" w:rsidRPr="00FA3118" w:rsidRDefault="0055753D" w:rsidP="00FA3118">
      <w:pPr>
        <w:numPr>
          <w:ilvl w:val="0"/>
          <w:numId w:val="30"/>
        </w:numPr>
        <w:pBdr>
          <w:top w:val="nil"/>
          <w:left w:val="nil"/>
          <w:bottom w:val="nil"/>
          <w:right w:val="nil"/>
          <w:between w:val="nil"/>
          <w:bar w:val="nil"/>
        </w:pBdr>
        <w:spacing w:after="120" w:line="240" w:lineRule="auto"/>
        <w:contextualSpacing/>
        <w:jc w:val="both"/>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FR" w:eastAsia="en-GB"/>
        </w:rPr>
        <w:t xml:space="preserve">Président du Conseil régional Laâyoune-Sakia </w:t>
      </w:r>
      <w:r>
        <w:rPr>
          <w:rFonts w:ascii="Arial" w:eastAsia="Arial Unicode MS" w:hAnsi="Arial" w:cs="Arial"/>
          <w:color w:val="000000"/>
          <w:sz w:val="24"/>
          <w:szCs w:val="24"/>
          <w:u w:color="000000"/>
          <w:bdr w:val="nil"/>
          <w:lang w:val="fr-FR" w:eastAsia="en-GB"/>
        </w:rPr>
        <w:t>e</w:t>
      </w:r>
      <w:r w:rsidRPr="00FA3118">
        <w:rPr>
          <w:rFonts w:ascii="Arial" w:eastAsia="Arial Unicode MS" w:hAnsi="Arial" w:cs="Arial"/>
          <w:color w:val="000000"/>
          <w:sz w:val="24"/>
          <w:szCs w:val="24"/>
          <w:u w:color="000000"/>
          <w:bdr w:val="nil"/>
          <w:lang w:val="fr-FR" w:eastAsia="en-GB"/>
        </w:rPr>
        <w:t>l Hamra</w:t>
      </w:r>
      <w:r>
        <w:rPr>
          <w:rFonts w:ascii="Arial" w:eastAsia="Arial Unicode MS" w:hAnsi="Arial" w:cs="Arial"/>
          <w:color w:val="000000"/>
          <w:sz w:val="24"/>
          <w:szCs w:val="24"/>
          <w:u w:color="000000"/>
          <w:bdr w:val="nil"/>
          <w:lang w:val="fr-FR" w:eastAsia="en-GB"/>
        </w:rPr>
        <w:t> :</w:t>
      </w:r>
      <w:r w:rsidRPr="00FA3118">
        <w:rPr>
          <w:rFonts w:ascii="Arial" w:eastAsia="Arial Unicode MS" w:hAnsi="Arial" w:cs="Arial"/>
          <w:color w:val="000000"/>
          <w:sz w:val="24"/>
          <w:szCs w:val="24"/>
          <w:u w:color="000000"/>
          <w:bdr w:val="nil"/>
          <w:lang w:val="fr-BE" w:eastAsia="en-GB"/>
        </w:rPr>
        <w:t xml:space="preserve"> </w:t>
      </w:r>
      <w:r w:rsidR="00FA3118" w:rsidRPr="00FA3118">
        <w:rPr>
          <w:rFonts w:ascii="Arial" w:eastAsia="Arial Unicode MS" w:hAnsi="Arial" w:cs="Arial"/>
          <w:color w:val="000000"/>
          <w:sz w:val="24"/>
          <w:szCs w:val="24"/>
          <w:u w:color="000000"/>
          <w:bdr w:val="nil"/>
          <w:lang w:val="fr-BE" w:eastAsia="en-GB"/>
        </w:rPr>
        <w:t xml:space="preserve">M. </w:t>
      </w:r>
      <w:r w:rsidR="00FA3118" w:rsidRPr="00FA3118">
        <w:rPr>
          <w:rFonts w:ascii="Arial" w:eastAsia="Arial Unicode MS" w:hAnsi="Arial" w:cs="Arial"/>
          <w:color w:val="000000"/>
          <w:sz w:val="24"/>
          <w:szCs w:val="24"/>
          <w:u w:color="000000"/>
          <w:bdr w:val="nil"/>
          <w:lang w:val="fr-FR" w:eastAsia="en-GB"/>
        </w:rPr>
        <w:t>Sidi Hamdi Ould Errachid</w:t>
      </w:r>
    </w:p>
    <w:p w:rsidR="00FA3118" w:rsidRPr="00FA3118" w:rsidRDefault="00FA3118" w:rsidP="00FA3118">
      <w:pPr>
        <w:pBdr>
          <w:top w:val="nil"/>
          <w:left w:val="nil"/>
          <w:bottom w:val="nil"/>
          <w:right w:val="nil"/>
          <w:between w:val="nil"/>
          <w:bar w:val="nil"/>
        </w:pBdr>
        <w:spacing w:before="240" w:after="0" w:line="240" w:lineRule="auto"/>
        <w:jc w:val="both"/>
        <w:rPr>
          <w:rFonts w:ascii="Arial" w:eastAsia="Arial Unicode MS" w:hAnsi="Arial" w:cs="Arial"/>
          <w:sz w:val="24"/>
          <w:szCs w:val="24"/>
          <w:bdr w:val="nil"/>
          <w:lang w:val="fr-FR"/>
        </w:rPr>
      </w:pPr>
      <w:r w:rsidRPr="00FA3118">
        <w:rPr>
          <w:rFonts w:ascii="Arial" w:eastAsia="Arial Unicode MS" w:hAnsi="Arial" w:cs="Arial"/>
          <w:sz w:val="24"/>
          <w:szCs w:val="24"/>
          <w:bdr w:val="nil"/>
          <w:lang w:val="fr-FR"/>
        </w:rPr>
        <w:t xml:space="preserve">Parlementaires provenant du Sahara </w:t>
      </w:r>
      <w:r w:rsidR="003144DA">
        <w:rPr>
          <w:rFonts w:ascii="Arial" w:eastAsia="Arial Unicode MS" w:hAnsi="Arial" w:cs="Arial"/>
          <w:sz w:val="24"/>
          <w:szCs w:val="24"/>
          <w:bdr w:val="nil"/>
          <w:lang w:val="fr-FR"/>
        </w:rPr>
        <w:t>o</w:t>
      </w:r>
      <w:r w:rsidRPr="00FA3118">
        <w:rPr>
          <w:rFonts w:ascii="Arial" w:eastAsia="Arial Unicode MS" w:hAnsi="Arial" w:cs="Arial"/>
          <w:sz w:val="24"/>
          <w:szCs w:val="24"/>
          <w:bdr w:val="nil"/>
          <w:lang w:val="fr-FR"/>
        </w:rPr>
        <w:t>ccidental</w:t>
      </w:r>
      <w:r w:rsidR="0055753D">
        <w:rPr>
          <w:rFonts w:ascii="Arial" w:eastAsia="Arial Unicode MS" w:hAnsi="Arial" w:cs="Arial"/>
          <w:sz w:val="24"/>
          <w:szCs w:val="24"/>
          <w:bdr w:val="nil"/>
          <w:lang w:val="fr-FR"/>
        </w:rPr>
        <w:t> :</w:t>
      </w:r>
      <w:r w:rsidRPr="00FA3118">
        <w:rPr>
          <w:rFonts w:ascii="Arial" w:eastAsia="Arial Unicode MS" w:hAnsi="Arial" w:cs="Arial"/>
          <w:sz w:val="24"/>
          <w:szCs w:val="24"/>
          <w:bdr w:val="nil"/>
          <w:lang w:val="fr-FR"/>
        </w:rPr>
        <w:t xml:space="preserve"> </w:t>
      </w:r>
    </w:p>
    <w:p w:rsidR="00FA3118" w:rsidRPr="00FA3118" w:rsidRDefault="0055753D" w:rsidP="0055753D">
      <w:pPr>
        <w:numPr>
          <w:ilvl w:val="0"/>
          <w:numId w:val="30"/>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FR" w:eastAsia="en-GB"/>
        </w:rPr>
      </w:pPr>
      <w:r w:rsidRPr="0055753D">
        <w:rPr>
          <w:rFonts w:ascii="Arial" w:eastAsia="Arial Unicode MS" w:hAnsi="Arial" w:cs="Arial"/>
          <w:color w:val="000000"/>
          <w:sz w:val="24"/>
          <w:szCs w:val="24"/>
          <w:u w:color="000000"/>
          <w:bdr w:val="nil"/>
          <w:lang w:val="fr-BE" w:eastAsia="en-GB"/>
        </w:rPr>
        <w:t>Parti de la justice et du dév</w:t>
      </w:r>
      <w:r>
        <w:rPr>
          <w:rFonts w:ascii="Arial" w:eastAsia="Arial Unicode MS" w:hAnsi="Arial" w:cs="Arial"/>
          <w:color w:val="000000"/>
          <w:sz w:val="24"/>
          <w:szCs w:val="24"/>
          <w:u w:color="000000"/>
          <w:bdr w:val="nil"/>
          <w:lang w:val="fr-BE" w:eastAsia="en-GB"/>
        </w:rPr>
        <w:t>e</w:t>
      </w:r>
      <w:r w:rsidRPr="0055753D">
        <w:rPr>
          <w:rFonts w:ascii="Arial" w:eastAsia="Arial Unicode MS" w:hAnsi="Arial" w:cs="Arial"/>
          <w:color w:val="000000"/>
          <w:sz w:val="24"/>
          <w:szCs w:val="24"/>
          <w:u w:color="000000"/>
          <w:bdr w:val="nil"/>
          <w:lang w:val="fr-BE" w:eastAsia="en-GB"/>
        </w:rPr>
        <w:t>loppement</w:t>
      </w:r>
      <w:r>
        <w:rPr>
          <w:rFonts w:ascii="Arial" w:eastAsia="Arial Unicode MS" w:hAnsi="Arial" w:cs="Arial"/>
          <w:color w:val="000000"/>
          <w:sz w:val="24"/>
          <w:szCs w:val="24"/>
          <w:u w:color="000000"/>
          <w:bdr w:val="nil"/>
          <w:lang w:val="fr-BE" w:eastAsia="en-GB"/>
        </w:rPr>
        <w:t xml:space="preserve"> (PJD) :</w:t>
      </w:r>
      <w:r w:rsidRPr="0055753D">
        <w:rPr>
          <w:rFonts w:ascii="Arial" w:eastAsia="Arial Unicode MS" w:hAnsi="Arial" w:cs="Arial"/>
          <w:color w:val="000000"/>
          <w:sz w:val="24"/>
          <w:szCs w:val="24"/>
          <w:u w:color="000000"/>
          <w:bdr w:val="nil"/>
          <w:lang w:val="fr-BE" w:eastAsia="en-GB"/>
        </w:rPr>
        <w:t xml:space="preserve"> </w:t>
      </w:r>
      <w:r>
        <w:rPr>
          <w:rFonts w:ascii="Arial" w:eastAsia="Arial Unicode MS" w:hAnsi="Arial" w:cs="Arial"/>
          <w:color w:val="000000"/>
          <w:sz w:val="24"/>
          <w:szCs w:val="24"/>
          <w:u w:color="000000"/>
          <w:bdr w:val="nil"/>
          <w:lang w:val="fr-BE" w:eastAsia="en-GB"/>
        </w:rPr>
        <w:t xml:space="preserve">M. </w:t>
      </w:r>
      <w:r w:rsidR="00FA3118" w:rsidRPr="00FA3118">
        <w:rPr>
          <w:rFonts w:ascii="Arial" w:eastAsia="Arial Unicode MS" w:hAnsi="Arial" w:cs="Arial"/>
          <w:color w:val="000000"/>
          <w:sz w:val="24"/>
          <w:szCs w:val="24"/>
          <w:u w:color="000000"/>
          <w:bdr w:val="nil"/>
          <w:lang w:val="fr-BE" w:eastAsia="en-GB"/>
        </w:rPr>
        <w:t>Brahim Daaif</w:t>
      </w:r>
    </w:p>
    <w:p w:rsidR="00FA3118" w:rsidRPr="00FA3118" w:rsidRDefault="0055753D" w:rsidP="0055753D">
      <w:pPr>
        <w:numPr>
          <w:ilvl w:val="0"/>
          <w:numId w:val="30"/>
        </w:numPr>
        <w:pBdr>
          <w:top w:val="nil"/>
          <w:left w:val="nil"/>
          <w:bottom w:val="nil"/>
          <w:right w:val="nil"/>
          <w:between w:val="nil"/>
          <w:bar w:val="nil"/>
        </w:pBdr>
        <w:spacing w:after="0" w:line="240" w:lineRule="auto"/>
        <w:contextualSpacing/>
        <w:jc w:val="both"/>
        <w:rPr>
          <w:rFonts w:ascii="Arial" w:eastAsia="Arial Unicode MS" w:hAnsi="Arial" w:cs="Arial"/>
          <w:color w:val="000000"/>
          <w:sz w:val="24"/>
          <w:szCs w:val="24"/>
          <w:u w:color="000000"/>
          <w:bdr w:val="nil"/>
          <w:lang w:val="fr-FR" w:eastAsia="en-GB"/>
        </w:rPr>
      </w:pPr>
      <w:r w:rsidRPr="0055753D">
        <w:rPr>
          <w:rFonts w:ascii="Arial" w:eastAsia="Arial Unicode MS" w:hAnsi="Arial" w:cs="Arial"/>
          <w:color w:val="000000"/>
          <w:sz w:val="24"/>
          <w:szCs w:val="24"/>
          <w:u w:color="000000"/>
          <w:bdr w:val="nil"/>
          <w:lang w:val="fr-FR" w:eastAsia="en-GB"/>
        </w:rPr>
        <w:t xml:space="preserve">Parti authenticité et modernité </w:t>
      </w:r>
      <w:r>
        <w:rPr>
          <w:rFonts w:ascii="Arial" w:eastAsia="Arial Unicode MS" w:hAnsi="Arial" w:cs="Arial"/>
          <w:color w:val="000000"/>
          <w:sz w:val="24"/>
          <w:szCs w:val="24"/>
          <w:u w:color="000000"/>
          <w:bdr w:val="nil"/>
          <w:lang w:val="fr-FR" w:eastAsia="en-GB"/>
        </w:rPr>
        <w:t xml:space="preserve">(PAM) : M. </w:t>
      </w:r>
      <w:r w:rsidR="00FA3118" w:rsidRPr="00FA3118">
        <w:rPr>
          <w:rFonts w:ascii="Arial" w:eastAsia="Arial Unicode MS" w:hAnsi="Arial" w:cs="Arial"/>
          <w:color w:val="000000"/>
          <w:sz w:val="24"/>
          <w:szCs w:val="24"/>
          <w:u w:color="000000"/>
          <w:bdr w:val="nil"/>
          <w:lang w:val="fr-FR" w:eastAsia="en-GB"/>
        </w:rPr>
        <w:t>Moulay Zoubeir Habbadi</w:t>
      </w:r>
    </w:p>
    <w:p w:rsidR="0055753D" w:rsidRDefault="0055753D" w:rsidP="00EF06DC">
      <w:pPr>
        <w:pBdr>
          <w:top w:val="nil"/>
          <w:left w:val="nil"/>
          <w:bottom w:val="nil"/>
          <w:right w:val="nil"/>
          <w:between w:val="nil"/>
          <w:bar w:val="nil"/>
        </w:pBdr>
        <w:spacing w:after="0" w:line="240" w:lineRule="auto"/>
        <w:jc w:val="both"/>
        <w:rPr>
          <w:rFonts w:ascii="Arial" w:eastAsia="Arial Unicode MS" w:hAnsi="Arial" w:cs="Arial"/>
          <w:sz w:val="24"/>
          <w:szCs w:val="24"/>
          <w:bdr w:val="nil"/>
          <w:lang w:val="fr-FR"/>
        </w:rPr>
      </w:pPr>
    </w:p>
    <w:p w:rsidR="00EF06DC" w:rsidRPr="00FA3118" w:rsidRDefault="008E4965" w:rsidP="00EF06DC">
      <w:pPr>
        <w:pBdr>
          <w:top w:val="nil"/>
          <w:left w:val="nil"/>
          <w:bottom w:val="nil"/>
          <w:right w:val="nil"/>
          <w:between w:val="nil"/>
          <w:bar w:val="nil"/>
        </w:pBdr>
        <w:spacing w:after="0" w:line="240" w:lineRule="auto"/>
        <w:jc w:val="both"/>
        <w:rPr>
          <w:rFonts w:ascii="Arial" w:eastAsia="Arial Unicode MS" w:hAnsi="Arial" w:cs="Arial"/>
          <w:sz w:val="24"/>
          <w:szCs w:val="24"/>
          <w:bdr w:val="nil"/>
          <w:lang w:val="fr-FR"/>
        </w:rPr>
      </w:pPr>
      <w:r>
        <w:rPr>
          <w:rFonts w:ascii="Arial" w:eastAsia="Arial Unicode MS" w:hAnsi="Arial" w:cs="Arial"/>
          <w:sz w:val="24"/>
          <w:szCs w:val="24"/>
          <w:bdr w:val="nil"/>
          <w:lang w:val="fr-FR"/>
        </w:rPr>
        <w:t>Représentant</w:t>
      </w:r>
      <w:r w:rsidR="00EF06DC" w:rsidRPr="00FA3118">
        <w:rPr>
          <w:rFonts w:ascii="Arial" w:eastAsia="Arial Unicode MS" w:hAnsi="Arial" w:cs="Arial"/>
          <w:sz w:val="24"/>
          <w:szCs w:val="24"/>
          <w:bdr w:val="nil"/>
          <w:lang w:val="fr-FR"/>
        </w:rPr>
        <w:t xml:space="preserve"> </w:t>
      </w:r>
      <w:r w:rsidR="00EF06DC">
        <w:rPr>
          <w:rFonts w:ascii="Arial" w:eastAsia="Arial Unicode MS" w:hAnsi="Arial" w:cs="Arial"/>
          <w:sz w:val="24"/>
          <w:szCs w:val="24"/>
          <w:bdr w:val="nil"/>
          <w:lang w:val="fr-FR"/>
        </w:rPr>
        <w:t>du Front Polisario</w:t>
      </w:r>
      <w:r w:rsidR="00EF06DC" w:rsidRPr="00FA3118">
        <w:rPr>
          <w:rFonts w:ascii="Arial" w:eastAsia="Arial Unicode MS" w:hAnsi="Arial" w:cs="Arial"/>
          <w:sz w:val="24"/>
          <w:szCs w:val="24"/>
          <w:bdr w:val="nil"/>
          <w:lang w:val="fr-FR"/>
        </w:rPr>
        <w:t>:</w:t>
      </w:r>
    </w:p>
    <w:p w:rsidR="00FA3118" w:rsidRDefault="00FA3118" w:rsidP="00FA3118">
      <w:pPr>
        <w:numPr>
          <w:ilvl w:val="0"/>
          <w:numId w:val="31"/>
        </w:numPr>
        <w:pBdr>
          <w:top w:val="nil"/>
          <w:left w:val="nil"/>
          <w:bottom w:val="nil"/>
          <w:right w:val="nil"/>
          <w:between w:val="nil"/>
          <w:bar w:val="nil"/>
        </w:pBdr>
        <w:spacing w:after="0" w:line="240" w:lineRule="auto"/>
        <w:contextualSpacing/>
        <w:jc w:val="both"/>
        <w:rPr>
          <w:rFonts w:ascii="Arial" w:eastAsia="Arial Unicode MS" w:hAnsi="Arial" w:cs="Arial"/>
          <w:color w:val="000000"/>
          <w:sz w:val="24"/>
          <w:szCs w:val="24"/>
          <w:u w:color="000000"/>
          <w:bdr w:val="nil"/>
          <w:lang w:val="fr-FR" w:eastAsia="en-GB"/>
        </w:rPr>
      </w:pPr>
      <w:r w:rsidRPr="00FA3118">
        <w:rPr>
          <w:rFonts w:ascii="Arial" w:eastAsia="Arial Unicode MS" w:hAnsi="Arial" w:cs="Arial"/>
          <w:color w:val="000000"/>
          <w:sz w:val="24"/>
          <w:szCs w:val="24"/>
          <w:u w:color="000000"/>
          <w:bdr w:val="nil"/>
          <w:lang w:val="fr-FR" w:eastAsia="en-GB"/>
        </w:rPr>
        <w:t>M. Mohamed Sidati</w:t>
      </w:r>
    </w:p>
    <w:p w:rsidR="00B81549" w:rsidRPr="00FA3118" w:rsidRDefault="00B81549" w:rsidP="002C1B3B">
      <w:pPr>
        <w:pBdr>
          <w:top w:val="nil"/>
          <w:left w:val="nil"/>
          <w:bottom w:val="nil"/>
          <w:right w:val="nil"/>
          <w:between w:val="nil"/>
          <w:bar w:val="nil"/>
        </w:pBdr>
        <w:spacing w:after="0" w:line="240" w:lineRule="auto"/>
        <w:ind w:left="720"/>
        <w:contextualSpacing/>
        <w:jc w:val="both"/>
        <w:rPr>
          <w:rFonts w:ascii="Arial" w:eastAsia="Arial Unicode MS" w:hAnsi="Arial" w:cs="Arial"/>
          <w:color w:val="000000"/>
          <w:sz w:val="24"/>
          <w:szCs w:val="24"/>
          <w:u w:color="000000"/>
          <w:bdr w:val="nil"/>
          <w:lang w:val="fr-FR" w:eastAsia="en-GB"/>
        </w:rPr>
      </w:pPr>
    </w:p>
    <w:p w:rsidR="00FA3118" w:rsidRPr="00FA3118" w:rsidRDefault="00FA3118" w:rsidP="00FA3118">
      <w:pPr>
        <w:pBdr>
          <w:top w:val="nil"/>
          <w:left w:val="nil"/>
          <w:bottom w:val="nil"/>
          <w:right w:val="nil"/>
          <w:between w:val="nil"/>
          <w:bar w:val="nil"/>
        </w:pBdr>
        <w:spacing w:after="0" w:line="240" w:lineRule="auto"/>
        <w:rPr>
          <w:rFonts w:ascii="Arial" w:eastAsia="Arial Unicode MS" w:hAnsi="Arial" w:cs="Arial"/>
          <w:b/>
          <w:sz w:val="24"/>
          <w:szCs w:val="24"/>
          <w:u w:val="single"/>
          <w:bdr w:val="nil"/>
          <w:lang w:val="fr-BE"/>
        </w:rPr>
      </w:pPr>
      <w:r w:rsidRPr="00FA3118">
        <w:rPr>
          <w:rFonts w:ascii="Arial" w:eastAsia="Arial Unicode MS" w:hAnsi="Arial" w:cs="Arial"/>
          <w:b/>
          <w:sz w:val="24"/>
          <w:szCs w:val="24"/>
          <w:u w:val="single"/>
          <w:bdr w:val="nil"/>
          <w:lang w:val="fr-BE"/>
        </w:rPr>
        <w:t>2. Opérateurs économiques</w:t>
      </w:r>
    </w:p>
    <w:p w:rsidR="00FA3118" w:rsidRPr="00FA3118" w:rsidRDefault="00B81549" w:rsidP="00FA3118">
      <w:pPr>
        <w:pBdr>
          <w:top w:val="nil"/>
          <w:left w:val="nil"/>
          <w:bottom w:val="nil"/>
          <w:right w:val="nil"/>
          <w:between w:val="nil"/>
          <w:bar w:val="nil"/>
        </w:pBdr>
        <w:spacing w:before="240" w:after="0" w:line="240" w:lineRule="auto"/>
        <w:jc w:val="both"/>
        <w:rPr>
          <w:rFonts w:ascii="Arial" w:eastAsia="Arial Unicode MS" w:hAnsi="Arial" w:cs="Arial"/>
          <w:sz w:val="24"/>
          <w:szCs w:val="24"/>
          <w:bdr w:val="nil"/>
          <w:lang w:val="fr-BE"/>
        </w:rPr>
      </w:pPr>
      <w:r>
        <w:rPr>
          <w:rFonts w:ascii="Arial" w:eastAsia="Arial Unicode MS" w:hAnsi="Arial" w:cs="Arial"/>
          <w:sz w:val="24"/>
          <w:szCs w:val="24"/>
          <w:bdr w:val="nil"/>
          <w:lang w:val="fr-BE"/>
        </w:rPr>
        <w:t>2.</w:t>
      </w:r>
      <w:r w:rsidR="00FA3118" w:rsidRPr="00FA3118">
        <w:rPr>
          <w:rFonts w:ascii="Arial" w:eastAsia="Arial Unicode MS" w:hAnsi="Arial" w:cs="Arial"/>
          <w:sz w:val="24"/>
          <w:szCs w:val="24"/>
          <w:bdr w:val="nil"/>
          <w:lang w:val="fr-BE"/>
        </w:rPr>
        <w:t>1. Secteur Agriculture</w:t>
      </w:r>
    </w:p>
    <w:p w:rsidR="00FA3118" w:rsidRPr="00FA3118" w:rsidRDefault="00FA3118" w:rsidP="00FA3118">
      <w:pPr>
        <w:numPr>
          <w:ilvl w:val="0"/>
          <w:numId w:val="31"/>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Association Sahraouie pour le Développement et l’Investissement</w:t>
      </w:r>
    </w:p>
    <w:p w:rsidR="00FA3118" w:rsidRPr="00FA3118" w:rsidRDefault="00FA3118" w:rsidP="00FA3118">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color w:val="000000"/>
          <w:sz w:val="24"/>
          <w:szCs w:val="24"/>
          <w:u w:val="single" w:color="000000"/>
          <w:bdr w:val="nil"/>
          <w:lang w:val="fr-BE" w:eastAsia="en-GB"/>
        </w:rPr>
      </w:pPr>
      <w:r w:rsidRPr="00FA3118">
        <w:rPr>
          <w:rFonts w:ascii="Arial" w:eastAsia="Arial Unicode MS" w:hAnsi="Arial" w:cs="Arial"/>
          <w:color w:val="000000"/>
          <w:sz w:val="24"/>
          <w:szCs w:val="24"/>
          <w:u w:color="000000"/>
          <w:bdr w:val="nil"/>
          <w:lang w:val="fr-BE" w:eastAsia="en-GB"/>
        </w:rPr>
        <w:t>Chambre d’agriculture de la région Dakhla</w:t>
      </w:r>
      <w:r w:rsidR="00B81549">
        <w:rPr>
          <w:rFonts w:ascii="Arial" w:eastAsia="Arial Unicode MS" w:hAnsi="Arial" w:cs="Arial"/>
          <w:color w:val="000000"/>
          <w:sz w:val="24"/>
          <w:szCs w:val="24"/>
          <w:u w:color="000000"/>
          <w:bdr w:val="nil"/>
          <w:lang w:val="fr-BE" w:eastAsia="en-GB"/>
        </w:rPr>
        <w:t>-</w:t>
      </w:r>
      <w:r w:rsidRPr="00FA3118">
        <w:rPr>
          <w:rFonts w:ascii="Arial" w:eastAsia="Arial Unicode MS" w:hAnsi="Arial" w:cs="Arial"/>
          <w:color w:val="000000"/>
          <w:sz w:val="24"/>
          <w:szCs w:val="24"/>
          <w:u w:color="000000"/>
          <w:bdr w:val="nil"/>
          <w:lang w:val="fr-BE" w:eastAsia="en-GB"/>
        </w:rPr>
        <w:t>Oued</w:t>
      </w:r>
      <w:r w:rsidR="00B81549">
        <w:rPr>
          <w:rFonts w:ascii="Arial" w:eastAsia="Arial Unicode MS" w:hAnsi="Arial" w:cs="Arial"/>
          <w:color w:val="000000"/>
          <w:sz w:val="24"/>
          <w:szCs w:val="24"/>
          <w:u w:color="000000"/>
          <w:bdr w:val="nil"/>
          <w:lang w:val="fr-BE" w:eastAsia="en-GB"/>
        </w:rPr>
        <w:t xml:space="preserve"> e</w:t>
      </w:r>
      <w:r w:rsidRPr="00FA3118">
        <w:rPr>
          <w:rFonts w:ascii="Arial" w:eastAsia="Arial Unicode MS" w:hAnsi="Arial" w:cs="Arial"/>
          <w:color w:val="000000"/>
          <w:sz w:val="24"/>
          <w:szCs w:val="24"/>
          <w:u w:color="000000"/>
          <w:bdr w:val="nil"/>
          <w:lang w:val="fr-BE" w:eastAsia="en-GB"/>
        </w:rPr>
        <w:t>d</w:t>
      </w:r>
      <w:r w:rsidR="00B81549">
        <w:rPr>
          <w:rFonts w:ascii="Arial" w:eastAsia="Arial Unicode MS" w:hAnsi="Arial" w:cs="Arial"/>
          <w:color w:val="000000"/>
          <w:sz w:val="24"/>
          <w:szCs w:val="24"/>
          <w:u w:color="000000"/>
          <w:bdr w:val="nil"/>
          <w:lang w:val="fr-BE" w:eastAsia="en-GB"/>
        </w:rPr>
        <w:t xml:space="preserve"> D</w:t>
      </w:r>
      <w:r w:rsidRPr="00FA3118">
        <w:rPr>
          <w:rFonts w:ascii="Arial" w:eastAsia="Arial Unicode MS" w:hAnsi="Arial" w:cs="Arial"/>
          <w:color w:val="000000"/>
          <w:sz w:val="24"/>
          <w:szCs w:val="24"/>
          <w:u w:color="000000"/>
          <w:bdr w:val="nil"/>
          <w:lang w:val="fr-BE" w:eastAsia="en-GB"/>
        </w:rPr>
        <w:t>ahab </w:t>
      </w:r>
    </w:p>
    <w:p w:rsidR="00FA3118" w:rsidRPr="00FA3118" w:rsidRDefault="00FA3118" w:rsidP="00FA3118">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color w:val="000000"/>
          <w:sz w:val="24"/>
          <w:szCs w:val="24"/>
          <w:u w:val="single" w:color="000000"/>
          <w:bdr w:val="nil"/>
          <w:lang w:val="fr-BE" w:eastAsia="en-GB"/>
        </w:rPr>
      </w:pPr>
      <w:r w:rsidRPr="00FA3118">
        <w:rPr>
          <w:rFonts w:ascii="Arial" w:eastAsia="Arial Unicode MS" w:hAnsi="Arial" w:cs="Arial"/>
          <w:color w:val="000000"/>
          <w:sz w:val="24"/>
          <w:szCs w:val="24"/>
          <w:u w:color="000000"/>
          <w:bdr w:val="nil"/>
          <w:lang w:val="fr-BE" w:eastAsia="en-GB"/>
        </w:rPr>
        <w:t>Groupe d´intérêt économique Agida Dakhla </w:t>
      </w:r>
    </w:p>
    <w:p w:rsidR="00FA3118" w:rsidRPr="00FA3118" w:rsidRDefault="00FA3118" w:rsidP="00FA3118">
      <w:pPr>
        <w:numPr>
          <w:ilvl w:val="0"/>
          <w:numId w:val="31"/>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Coopérative Ajban Dakhla </w:t>
      </w:r>
    </w:p>
    <w:p w:rsidR="00FA3118" w:rsidRPr="00FA3118" w:rsidRDefault="00FA3118" w:rsidP="00FA3118">
      <w:pPr>
        <w:numPr>
          <w:ilvl w:val="0"/>
          <w:numId w:val="31"/>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es-ES" w:eastAsia="en-GB"/>
        </w:rPr>
      </w:pPr>
      <w:r w:rsidRPr="00FA3118">
        <w:rPr>
          <w:rFonts w:ascii="Arial" w:eastAsia="Arial Unicode MS" w:hAnsi="Arial" w:cs="Arial"/>
          <w:color w:val="000000"/>
          <w:sz w:val="24"/>
          <w:szCs w:val="24"/>
          <w:u w:color="000000"/>
          <w:bdr w:val="nil"/>
          <w:lang w:val="es-ES" w:eastAsia="en-GB"/>
        </w:rPr>
        <w:t>Coopérative Halib Sakia El Hamra </w:t>
      </w:r>
    </w:p>
    <w:p w:rsidR="00FA3118" w:rsidRPr="00FA3118" w:rsidRDefault="00FA3118" w:rsidP="00FA3118">
      <w:pPr>
        <w:numPr>
          <w:ilvl w:val="0"/>
          <w:numId w:val="31"/>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Coopérative Al Joud </w:t>
      </w:r>
    </w:p>
    <w:p w:rsidR="00B81549" w:rsidRDefault="00B81549" w:rsidP="00FA3118">
      <w:pPr>
        <w:pBdr>
          <w:top w:val="nil"/>
          <w:left w:val="nil"/>
          <w:bottom w:val="nil"/>
          <w:right w:val="nil"/>
          <w:between w:val="nil"/>
          <w:bar w:val="nil"/>
        </w:pBdr>
        <w:spacing w:after="0" w:line="240" w:lineRule="auto"/>
        <w:rPr>
          <w:rFonts w:ascii="Arial" w:eastAsia="Arial Unicode MS" w:hAnsi="Arial" w:cs="Arial"/>
          <w:sz w:val="24"/>
          <w:szCs w:val="24"/>
          <w:bdr w:val="nil"/>
          <w:lang w:val="fr-BE"/>
        </w:rPr>
      </w:pPr>
    </w:p>
    <w:p w:rsidR="00FA3118" w:rsidRPr="00FA3118" w:rsidRDefault="00B81549" w:rsidP="00FA3118">
      <w:pPr>
        <w:pBdr>
          <w:top w:val="nil"/>
          <w:left w:val="nil"/>
          <w:bottom w:val="nil"/>
          <w:right w:val="nil"/>
          <w:between w:val="nil"/>
          <w:bar w:val="nil"/>
        </w:pBdr>
        <w:spacing w:after="0" w:line="240" w:lineRule="auto"/>
        <w:rPr>
          <w:rFonts w:ascii="Arial" w:eastAsia="Arial Unicode MS" w:hAnsi="Arial" w:cs="Arial"/>
          <w:sz w:val="24"/>
          <w:szCs w:val="24"/>
          <w:bdr w:val="nil"/>
          <w:lang w:val="fr-BE"/>
        </w:rPr>
      </w:pPr>
      <w:r>
        <w:rPr>
          <w:rFonts w:ascii="Arial" w:eastAsia="Arial Unicode MS" w:hAnsi="Arial" w:cs="Arial"/>
          <w:sz w:val="24"/>
          <w:szCs w:val="24"/>
          <w:bdr w:val="nil"/>
          <w:lang w:val="fr-BE"/>
        </w:rPr>
        <w:t>2.</w:t>
      </w:r>
      <w:r w:rsidR="00FA3118" w:rsidRPr="00FA3118">
        <w:rPr>
          <w:rFonts w:ascii="Arial" w:eastAsia="Arial Unicode MS" w:hAnsi="Arial" w:cs="Arial"/>
          <w:sz w:val="24"/>
          <w:szCs w:val="24"/>
          <w:bdr w:val="nil"/>
          <w:lang w:val="fr-BE"/>
        </w:rPr>
        <w:t>2. Secteur P</w:t>
      </w:r>
      <w:r w:rsidR="00536A17">
        <w:rPr>
          <w:rFonts w:ascii="Arial" w:eastAsia="Arial Unicode MS" w:hAnsi="Arial" w:cs="Arial"/>
          <w:sz w:val="24"/>
          <w:szCs w:val="24"/>
          <w:bdr w:val="nil"/>
          <w:lang w:val="fr-BE"/>
        </w:rPr>
        <w:t>ê</w:t>
      </w:r>
      <w:r w:rsidR="00FA3118" w:rsidRPr="00FA3118">
        <w:rPr>
          <w:rFonts w:ascii="Arial" w:eastAsia="Arial Unicode MS" w:hAnsi="Arial" w:cs="Arial"/>
          <w:sz w:val="24"/>
          <w:szCs w:val="24"/>
          <w:bdr w:val="nil"/>
          <w:lang w:val="fr-BE"/>
        </w:rPr>
        <w:t>che</w:t>
      </w:r>
    </w:p>
    <w:p w:rsidR="00FA3118" w:rsidRPr="00FA3118" w:rsidRDefault="00FA3118" w:rsidP="00FA3118">
      <w:pPr>
        <w:numPr>
          <w:ilvl w:val="0"/>
          <w:numId w:val="32"/>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 xml:space="preserve">Institut National de la Recherche Halieutique </w:t>
      </w:r>
    </w:p>
    <w:p w:rsidR="00FA3118" w:rsidRPr="00FA3118" w:rsidRDefault="00FA3118" w:rsidP="00FA3118">
      <w:pPr>
        <w:numPr>
          <w:ilvl w:val="0"/>
          <w:numId w:val="32"/>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Chambre de Pêches Maritimes</w:t>
      </w:r>
    </w:p>
    <w:p w:rsidR="00FA3118" w:rsidRPr="00FA3118" w:rsidRDefault="00B81549" w:rsidP="00FA3118">
      <w:pPr>
        <w:pBdr>
          <w:top w:val="nil"/>
          <w:left w:val="nil"/>
          <w:bottom w:val="nil"/>
          <w:right w:val="nil"/>
          <w:between w:val="nil"/>
          <w:bar w:val="nil"/>
        </w:pBdr>
        <w:spacing w:before="240" w:after="0" w:line="240" w:lineRule="auto"/>
        <w:jc w:val="both"/>
        <w:rPr>
          <w:rFonts w:ascii="Arial" w:eastAsia="Arial Unicode MS" w:hAnsi="Arial" w:cs="Arial"/>
          <w:sz w:val="24"/>
          <w:szCs w:val="24"/>
          <w:bdr w:val="nil"/>
          <w:lang w:val="fr-FR"/>
        </w:rPr>
      </w:pPr>
      <w:r>
        <w:rPr>
          <w:rFonts w:ascii="Arial" w:eastAsia="Arial Unicode MS" w:hAnsi="Arial" w:cs="Arial"/>
          <w:sz w:val="24"/>
          <w:szCs w:val="24"/>
          <w:bdr w:val="nil"/>
          <w:lang w:val="fr-FR"/>
        </w:rPr>
        <w:t>2.</w:t>
      </w:r>
      <w:r w:rsidR="00FA3118" w:rsidRPr="00FA3118">
        <w:rPr>
          <w:rFonts w:ascii="Arial" w:eastAsia="Arial Unicode MS" w:hAnsi="Arial" w:cs="Arial"/>
          <w:sz w:val="24"/>
          <w:szCs w:val="24"/>
          <w:bdr w:val="nil"/>
          <w:lang w:val="fr-FR"/>
        </w:rPr>
        <w:t xml:space="preserve">3. Agents économiques divers </w:t>
      </w:r>
    </w:p>
    <w:p w:rsidR="00FA3118" w:rsidRPr="00FA3118" w:rsidRDefault="00FA3118" w:rsidP="00FA3118">
      <w:pPr>
        <w:numPr>
          <w:ilvl w:val="0"/>
          <w:numId w:val="33"/>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 xml:space="preserve">OCP Group (et la Fondation Phosboucraa) </w:t>
      </w:r>
    </w:p>
    <w:p w:rsidR="00FA3118" w:rsidRPr="00FA3118" w:rsidRDefault="00FA3118" w:rsidP="00FA3118">
      <w:pPr>
        <w:numPr>
          <w:ilvl w:val="0"/>
          <w:numId w:val="33"/>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L´Agence du Sud</w:t>
      </w:r>
    </w:p>
    <w:p w:rsidR="00FA3118" w:rsidRPr="00FA3118" w:rsidRDefault="00FA3118" w:rsidP="00FA3118">
      <w:pPr>
        <w:pBdr>
          <w:top w:val="nil"/>
          <w:left w:val="nil"/>
          <w:bottom w:val="nil"/>
          <w:right w:val="nil"/>
          <w:between w:val="nil"/>
          <w:bar w:val="nil"/>
        </w:pBdr>
        <w:spacing w:before="240" w:after="0" w:line="240" w:lineRule="auto"/>
        <w:jc w:val="both"/>
        <w:rPr>
          <w:rFonts w:ascii="Arial" w:eastAsia="Arial Unicode MS" w:hAnsi="Arial" w:cs="Arial"/>
          <w:b/>
          <w:sz w:val="24"/>
          <w:szCs w:val="24"/>
          <w:u w:val="single"/>
          <w:bdr w:val="nil"/>
          <w:lang w:val="fr-BE"/>
        </w:rPr>
      </w:pPr>
      <w:r w:rsidRPr="00FA3118">
        <w:rPr>
          <w:rFonts w:ascii="Arial" w:eastAsia="Arial Unicode MS" w:hAnsi="Arial" w:cs="Arial"/>
          <w:b/>
          <w:sz w:val="24"/>
          <w:szCs w:val="24"/>
          <w:u w:val="single"/>
          <w:bdr w:val="nil"/>
          <w:lang w:val="fr-BE"/>
        </w:rPr>
        <w:t>3. Associations travaillant d</w:t>
      </w:r>
      <w:r w:rsidR="006A40D3">
        <w:rPr>
          <w:rFonts w:ascii="Arial" w:eastAsia="Arial Unicode MS" w:hAnsi="Arial" w:cs="Arial"/>
          <w:b/>
          <w:sz w:val="24"/>
          <w:szCs w:val="24"/>
          <w:u w:val="single"/>
          <w:bdr w:val="nil"/>
          <w:lang w:val="fr-BE"/>
        </w:rPr>
        <w:t xml:space="preserve">ans le domaine des </w:t>
      </w:r>
      <w:r w:rsidR="00E349EA">
        <w:rPr>
          <w:rFonts w:ascii="Arial" w:eastAsia="Arial Unicode MS" w:hAnsi="Arial" w:cs="Arial"/>
          <w:b/>
          <w:sz w:val="24"/>
          <w:szCs w:val="24"/>
          <w:u w:val="single"/>
          <w:bdr w:val="nil"/>
          <w:lang w:val="fr-BE"/>
        </w:rPr>
        <w:t>d</w:t>
      </w:r>
      <w:r w:rsidR="006A40D3">
        <w:rPr>
          <w:rFonts w:ascii="Arial" w:eastAsia="Arial Unicode MS" w:hAnsi="Arial" w:cs="Arial"/>
          <w:b/>
          <w:sz w:val="24"/>
          <w:szCs w:val="24"/>
          <w:u w:val="single"/>
          <w:bdr w:val="nil"/>
          <w:lang w:val="fr-BE"/>
        </w:rPr>
        <w:t>roits de l´</w:t>
      </w:r>
      <w:r w:rsidR="00E349EA">
        <w:rPr>
          <w:rFonts w:ascii="Arial" w:eastAsia="Arial Unicode MS" w:hAnsi="Arial" w:cs="Arial"/>
          <w:b/>
          <w:sz w:val="24"/>
          <w:szCs w:val="24"/>
          <w:u w:val="single"/>
          <w:bdr w:val="nil"/>
          <w:lang w:val="fr-BE"/>
        </w:rPr>
        <w:t>h</w:t>
      </w:r>
      <w:r w:rsidRPr="00FA3118">
        <w:rPr>
          <w:rFonts w:ascii="Arial" w:eastAsia="Arial Unicode MS" w:hAnsi="Arial" w:cs="Arial"/>
          <w:b/>
          <w:sz w:val="24"/>
          <w:szCs w:val="24"/>
          <w:u w:val="single"/>
          <w:bdr w:val="nil"/>
          <w:lang w:val="fr-BE"/>
        </w:rPr>
        <w:t xml:space="preserve">omme. </w:t>
      </w:r>
    </w:p>
    <w:p w:rsidR="00FA3118" w:rsidRPr="00FA3118" w:rsidRDefault="00FA3118" w:rsidP="00FA3118">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 xml:space="preserve">Conseil National des Droits de l´Homme </w:t>
      </w:r>
    </w:p>
    <w:p w:rsidR="00FA3118" w:rsidRPr="00FA3118" w:rsidRDefault="00FA3118" w:rsidP="00FA3118">
      <w:pPr>
        <w:numPr>
          <w:ilvl w:val="0"/>
          <w:numId w:val="34"/>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536A17">
        <w:rPr>
          <w:rFonts w:ascii="Arial" w:eastAsia="Arial Unicode MS" w:hAnsi="Arial" w:cs="Arial"/>
          <w:color w:val="000000"/>
          <w:sz w:val="24"/>
          <w:szCs w:val="24"/>
          <w:u w:color="000000"/>
          <w:bdr w:val="nil"/>
          <w:lang w:val="fr-BE" w:eastAsia="en-GB"/>
        </w:rPr>
        <w:t>L'</w:t>
      </w:r>
      <w:r w:rsidRPr="004E2E61">
        <w:rPr>
          <w:rFonts w:ascii="Arial" w:eastAsia="Arial Unicode MS" w:hAnsi="Arial" w:cs="Arial"/>
          <w:bCs/>
          <w:color w:val="000000"/>
          <w:sz w:val="24"/>
          <w:szCs w:val="24"/>
          <w:u w:color="000000"/>
          <w:bdr w:val="nil"/>
          <w:lang w:val="fr-BE" w:eastAsia="en-GB"/>
        </w:rPr>
        <w:t>Observatoire</w:t>
      </w:r>
      <w:r w:rsidRPr="00536A17">
        <w:rPr>
          <w:rFonts w:ascii="Arial" w:eastAsia="Arial Unicode MS" w:hAnsi="Arial" w:cs="Arial"/>
          <w:color w:val="000000"/>
          <w:sz w:val="24"/>
          <w:szCs w:val="24"/>
          <w:u w:color="000000"/>
          <w:bdr w:val="nil"/>
          <w:lang w:val="fr-BE" w:eastAsia="en-GB"/>
        </w:rPr>
        <w:t xml:space="preserve"> du </w:t>
      </w:r>
      <w:r w:rsidRPr="004E2E61">
        <w:rPr>
          <w:rFonts w:ascii="Arial" w:eastAsia="Arial Unicode MS" w:hAnsi="Arial" w:cs="Arial"/>
          <w:bCs/>
          <w:color w:val="000000"/>
          <w:sz w:val="24"/>
          <w:szCs w:val="24"/>
          <w:u w:color="000000"/>
          <w:bdr w:val="nil"/>
          <w:lang w:val="fr-BE" w:eastAsia="en-GB"/>
        </w:rPr>
        <w:t>Sahara</w:t>
      </w:r>
      <w:r w:rsidRPr="00536A17">
        <w:rPr>
          <w:rFonts w:ascii="Arial" w:eastAsia="Arial Unicode MS" w:hAnsi="Arial" w:cs="Arial"/>
          <w:color w:val="000000"/>
          <w:sz w:val="24"/>
          <w:szCs w:val="24"/>
          <w:u w:color="000000"/>
          <w:bdr w:val="nil"/>
          <w:lang w:val="fr-BE" w:eastAsia="en-GB"/>
        </w:rPr>
        <w:t xml:space="preserve"> pour</w:t>
      </w:r>
      <w:r w:rsidRPr="00FA3118">
        <w:rPr>
          <w:rFonts w:ascii="Arial" w:eastAsia="Arial Unicode MS" w:hAnsi="Arial" w:cs="Arial"/>
          <w:color w:val="000000"/>
          <w:sz w:val="24"/>
          <w:szCs w:val="24"/>
          <w:u w:color="000000"/>
          <w:bdr w:val="nil"/>
          <w:lang w:val="fr-BE" w:eastAsia="en-GB"/>
        </w:rPr>
        <w:t xml:space="preserve"> la paix, la démocratie et les droits de l'Homme</w:t>
      </w:r>
    </w:p>
    <w:p w:rsidR="00FA3118" w:rsidRPr="00FA3118" w:rsidRDefault="00FA3118" w:rsidP="00FA3118">
      <w:pPr>
        <w:numPr>
          <w:ilvl w:val="0"/>
          <w:numId w:val="34"/>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La Commission Ind</w:t>
      </w:r>
      <w:r w:rsidR="006A40D3">
        <w:rPr>
          <w:rFonts w:ascii="Arial" w:eastAsia="Arial Unicode MS" w:hAnsi="Arial" w:cs="Arial"/>
          <w:color w:val="000000"/>
          <w:sz w:val="24"/>
          <w:szCs w:val="24"/>
          <w:u w:color="000000"/>
          <w:bdr w:val="nil"/>
          <w:lang w:val="fr-BE" w:eastAsia="en-GB"/>
        </w:rPr>
        <w:t>épendante pour les droits de l´H</w:t>
      </w:r>
      <w:r w:rsidRPr="00FA3118">
        <w:rPr>
          <w:rFonts w:ascii="Arial" w:eastAsia="Arial Unicode MS" w:hAnsi="Arial" w:cs="Arial"/>
          <w:color w:val="000000"/>
          <w:sz w:val="24"/>
          <w:szCs w:val="24"/>
          <w:u w:color="000000"/>
          <w:bdr w:val="nil"/>
          <w:lang w:val="fr-BE" w:eastAsia="en-GB"/>
        </w:rPr>
        <w:t xml:space="preserve">omme </w:t>
      </w:r>
    </w:p>
    <w:p w:rsidR="009D30D3" w:rsidRDefault="00FA3118" w:rsidP="00FA3118">
      <w:pPr>
        <w:numPr>
          <w:ilvl w:val="0"/>
          <w:numId w:val="34"/>
        </w:numPr>
        <w:pBdr>
          <w:top w:val="nil"/>
          <w:left w:val="nil"/>
          <w:bottom w:val="nil"/>
          <w:right w:val="nil"/>
          <w:between w:val="nil"/>
          <w:bar w:val="nil"/>
        </w:pBdr>
        <w:spacing w:after="0" w:line="240" w:lineRule="auto"/>
        <w:contextualSpacing/>
        <w:rPr>
          <w:rFonts w:ascii="Arial" w:eastAsia="Arial Unicode MS" w:hAnsi="Arial" w:cs="Arial"/>
          <w:color w:val="000000"/>
          <w:sz w:val="24"/>
          <w:szCs w:val="24"/>
          <w:u w:color="000000"/>
          <w:bdr w:val="nil"/>
          <w:lang w:val="fr-BE" w:eastAsia="en-GB"/>
        </w:rPr>
      </w:pPr>
      <w:r w:rsidRPr="00FA3118">
        <w:rPr>
          <w:rFonts w:ascii="Arial" w:eastAsia="Arial Unicode MS" w:hAnsi="Arial" w:cs="Arial"/>
          <w:color w:val="000000"/>
          <w:sz w:val="24"/>
          <w:szCs w:val="24"/>
          <w:u w:color="000000"/>
          <w:bdr w:val="nil"/>
          <w:lang w:val="fr-BE" w:eastAsia="en-GB"/>
        </w:rPr>
        <w:t>Association Marocaine de Droits de l´Homme</w:t>
      </w:r>
    </w:p>
    <w:p w:rsidR="00FA3118" w:rsidRPr="00513F2E" w:rsidRDefault="00FA3118" w:rsidP="009B3BBE">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sidRPr="009B3BBE">
        <w:rPr>
          <w:rFonts w:ascii="Arial" w:eastAsia="Arial Unicode MS" w:hAnsi="Arial" w:cs="Arial"/>
          <w:color w:val="000000"/>
          <w:sz w:val="24"/>
          <w:szCs w:val="24"/>
          <w:u w:color="000000"/>
          <w:bdr w:val="nil"/>
          <w:lang w:val="fr-BE" w:eastAsia="en-GB"/>
        </w:rPr>
        <w:t>Association Sahraouie des Victimes</w:t>
      </w:r>
      <w:r w:rsidRPr="00513F2E">
        <w:rPr>
          <w:rFonts w:ascii="Arial" w:eastAsia="Arial Unicode MS" w:hAnsi="Arial" w:cs="Arial"/>
          <w:color w:val="000000"/>
          <w:sz w:val="24"/>
          <w:szCs w:val="24"/>
          <w:u w:color="000000"/>
          <w:bdr w:val="nil"/>
          <w:lang w:val="fr-BE" w:eastAsia="en-GB"/>
        </w:rPr>
        <w:t xml:space="preserve"> des Violations </w:t>
      </w:r>
      <w:r w:rsidR="00513F2E" w:rsidRPr="00513F2E">
        <w:rPr>
          <w:rFonts w:ascii="Arial" w:eastAsia="Arial Unicode MS" w:hAnsi="Arial" w:cs="Arial"/>
          <w:color w:val="000000"/>
          <w:sz w:val="24"/>
          <w:szCs w:val="24"/>
          <w:u w:color="000000"/>
          <w:bdr w:val="nil"/>
          <w:lang w:val="fr-BE" w:eastAsia="en-GB"/>
        </w:rPr>
        <w:t xml:space="preserve">Graves </w:t>
      </w:r>
      <w:r w:rsidRPr="00513F2E">
        <w:rPr>
          <w:rFonts w:ascii="Arial" w:eastAsia="Arial Unicode MS" w:hAnsi="Arial" w:cs="Arial"/>
          <w:color w:val="000000"/>
          <w:sz w:val="24"/>
          <w:szCs w:val="24"/>
          <w:u w:color="000000"/>
          <w:bdr w:val="nil"/>
          <w:lang w:val="fr-BE" w:eastAsia="en-GB"/>
        </w:rPr>
        <w:t xml:space="preserve">des </w:t>
      </w:r>
      <w:r w:rsidRPr="009B3BBE">
        <w:rPr>
          <w:rFonts w:ascii="Arial" w:eastAsia="Arial Unicode MS" w:hAnsi="Arial" w:cs="Arial"/>
          <w:color w:val="000000"/>
          <w:sz w:val="24"/>
          <w:szCs w:val="24"/>
          <w:u w:color="000000"/>
          <w:bdr w:val="nil"/>
          <w:lang w:val="fr-BE" w:eastAsia="en-GB"/>
        </w:rPr>
        <w:t>Droits</w:t>
      </w:r>
      <w:r w:rsidRPr="00513F2E">
        <w:rPr>
          <w:rFonts w:ascii="Arial" w:eastAsia="Arial Unicode MS" w:hAnsi="Arial" w:cs="Arial"/>
          <w:color w:val="000000"/>
          <w:sz w:val="24"/>
          <w:szCs w:val="24"/>
          <w:u w:color="000000"/>
          <w:bdr w:val="nil"/>
          <w:lang w:val="fr-BE" w:eastAsia="en-GB"/>
        </w:rPr>
        <w:t xml:space="preserve"> de l'Homme</w:t>
      </w:r>
    </w:p>
    <w:p w:rsidR="00FA3118" w:rsidRPr="00513F2E" w:rsidRDefault="00FA3118" w:rsidP="009B3BBE">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sidRPr="00513F2E">
        <w:rPr>
          <w:rFonts w:ascii="Arial" w:eastAsia="Arial Unicode MS" w:hAnsi="Arial" w:cs="Arial"/>
          <w:color w:val="000000"/>
          <w:sz w:val="24"/>
          <w:szCs w:val="24"/>
          <w:u w:color="000000"/>
          <w:bdr w:val="nil"/>
          <w:lang w:val="fr-BE" w:eastAsia="en-GB"/>
        </w:rPr>
        <w:t>A</w:t>
      </w:r>
      <w:r w:rsidRPr="009B3BBE">
        <w:rPr>
          <w:rFonts w:ascii="Arial" w:eastAsia="Arial Unicode MS" w:hAnsi="Arial" w:cs="Arial"/>
          <w:color w:val="000000"/>
          <w:sz w:val="24"/>
          <w:szCs w:val="24"/>
          <w:u w:color="000000"/>
          <w:bdr w:val="nil"/>
          <w:lang w:val="fr-BE" w:eastAsia="en-GB"/>
        </w:rPr>
        <w:t>ssociation Al Ghad</w:t>
      </w:r>
      <w:r w:rsidRPr="00513F2E">
        <w:rPr>
          <w:rFonts w:ascii="Arial" w:eastAsia="Arial Unicode MS" w:hAnsi="Arial" w:cs="Arial"/>
          <w:color w:val="000000"/>
          <w:sz w:val="24"/>
          <w:szCs w:val="24"/>
          <w:u w:color="000000"/>
          <w:bdr w:val="nil"/>
          <w:lang w:val="fr-BE" w:eastAsia="en-GB"/>
        </w:rPr>
        <w:t xml:space="preserve"> pour les droits </w:t>
      </w:r>
      <w:r w:rsidR="006A40D3" w:rsidRPr="00513F2E">
        <w:rPr>
          <w:rFonts w:ascii="Arial" w:eastAsia="Arial Unicode MS" w:hAnsi="Arial" w:cs="Arial"/>
          <w:color w:val="000000"/>
          <w:sz w:val="24"/>
          <w:szCs w:val="24"/>
          <w:u w:color="000000"/>
          <w:bdr w:val="nil"/>
          <w:lang w:val="fr-BE" w:eastAsia="en-GB"/>
        </w:rPr>
        <w:t>de l'H</w:t>
      </w:r>
      <w:r w:rsidRPr="00513F2E">
        <w:rPr>
          <w:rFonts w:ascii="Arial" w:eastAsia="Arial Unicode MS" w:hAnsi="Arial" w:cs="Arial"/>
          <w:color w:val="000000"/>
          <w:sz w:val="24"/>
          <w:szCs w:val="24"/>
          <w:u w:color="000000"/>
          <w:bdr w:val="nil"/>
          <w:lang w:val="fr-BE" w:eastAsia="en-GB"/>
        </w:rPr>
        <w:t>omme</w:t>
      </w:r>
    </w:p>
    <w:p w:rsidR="00FA3118" w:rsidRPr="009B3BBE" w:rsidRDefault="00FA3118" w:rsidP="009B3BBE">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sidRPr="009B3BBE">
        <w:rPr>
          <w:rFonts w:ascii="Arial" w:eastAsia="Arial Unicode MS" w:hAnsi="Arial" w:cs="Arial"/>
          <w:color w:val="000000"/>
          <w:sz w:val="24"/>
          <w:szCs w:val="24"/>
          <w:u w:color="000000"/>
          <w:bdr w:val="nil"/>
          <w:lang w:val="fr-BE" w:eastAsia="en-GB"/>
        </w:rPr>
        <w:t xml:space="preserve">Western Sahara Campaign </w:t>
      </w:r>
    </w:p>
    <w:p w:rsidR="00FA3118" w:rsidRPr="009B3BBE" w:rsidRDefault="00FA3118" w:rsidP="009B3BBE">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sidRPr="009B3BBE">
        <w:rPr>
          <w:rFonts w:ascii="Arial" w:eastAsia="Arial Unicode MS" w:hAnsi="Arial" w:cs="Arial"/>
          <w:color w:val="000000"/>
          <w:sz w:val="24"/>
          <w:szCs w:val="24"/>
          <w:u w:color="000000"/>
          <w:bdr w:val="nil"/>
          <w:lang w:val="fr-BE" w:eastAsia="en-GB"/>
        </w:rPr>
        <w:t xml:space="preserve">Western Sahara Resource Watch </w:t>
      </w:r>
    </w:p>
    <w:p w:rsidR="00FA3118" w:rsidRDefault="00493B88" w:rsidP="009B3BBE">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Pr>
          <w:rFonts w:ascii="Arial" w:eastAsia="Arial Unicode MS" w:hAnsi="Arial" w:cs="Arial"/>
          <w:color w:val="000000"/>
          <w:sz w:val="24"/>
          <w:szCs w:val="24"/>
          <w:u w:color="000000"/>
          <w:bdr w:val="nil"/>
          <w:lang w:val="fr-BE" w:eastAsia="en-GB"/>
        </w:rPr>
        <w:t>Independent Diplomat</w:t>
      </w:r>
    </w:p>
    <w:p w:rsidR="00493B88" w:rsidRPr="009B3BBE" w:rsidRDefault="00493B88" w:rsidP="009B3BBE">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color w:val="000000"/>
          <w:sz w:val="24"/>
          <w:szCs w:val="24"/>
          <w:u w:color="000000"/>
          <w:bdr w:val="nil"/>
          <w:lang w:val="fr-BE" w:eastAsia="en-GB"/>
        </w:rPr>
      </w:pPr>
      <w:r>
        <w:rPr>
          <w:rFonts w:ascii="Arial" w:eastAsia="Arial Unicode MS" w:hAnsi="Arial" w:cs="Arial"/>
          <w:color w:val="000000"/>
          <w:sz w:val="24"/>
          <w:szCs w:val="24"/>
          <w:u w:color="000000"/>
          <w:bdr w:val="nil"/>
          <w:lang w:val="fr-BE" w:eastAsia="en-GB"/>
        </w:rPr>
        <w:t>Délégation de 85 associations cosignataires d’une lettre adressée à la Commission européenne et au SEAE le 3 février 2018 concernant la modification des protocoles.</w:t>
      </w:r>
    </w:p>
    <w:p w:rsidR="00E25DEE" w:rsidRPr="00514E29" w:rsidRDefault="00E25DEE" w:rsidP="00E25DEE">
      <w:pPr>
        <w:widowControl w:val="0"/>
        <w:spacing w:after="0" w:line="240" w:lineRule="auto"/>
        <w:jc w:val="both"/>
        <w:outlineLvl w:val="0"/>
        <w:rPr>
          <w:rFonts w:ascii="Times New Roman" w:eastAsia="Calibri" w:hAnsi="Times New Roman" w:cs="Times New Roman"/>
          <w:smallCaps/>
          <w:sz w:val="24"/>
          <w:lang w:val="fr-BE"/>
        </w:rPr>
      </w:pPr>
    </w:p>
    <w:p w:rsidR="006B57B7" w:rsidRPr="00514E29" w:rsidRDefault="006B57B7" w:rsidP="00E25DEE">
      <w:pPr>
        <w:widowControl w:val="0"/>
        <w:spacing w:after="0" w:line="240" w:lineRule="auto"/>
        <w:jc w:val="both"/>
        <w:outlineLvl w:val="0"/>
        <w:rPr>
          <w:rFonts w:ascii="Times New Roman" w:eastAsia="Calibri" w:hAnsi="Times New Roman" w:cs="Times New Roman"/>
          <w:smallCaps/>
          <w:sz w:val="24"/>
          <w:lang w:val="fr-BE"/>
        </w:rPr>
      </w:pPr>
    </w:p>
    <w:sectPr w:rsidR="006B57B7" w:rsidRPr="00514E29" w:rsidSect="00C22399">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6F0" w:rsidRDefault="007526F0" w:rsidP="00C12E58">
      <w:pPr>
        <w:spacing w:after="0" w:line="240" w:lineRule="auto"/>
      </w:pPr>
      <w:r>
        <w:separator/>
      </w:r>
    </w:p>
  </w:endnote>
  <w:endnote w:type="continuationSeparator" w:id="0">
    <w:p w:rsidR="007526F0" w:rsidRDefault="007526F0" w:rsidP="00C12E58">
      <w:pPr>
        <w:spacing w:after="0" w:line="240" w:lineRule="auto"/>
      </w:pPr>
      <w:r>
        <w:continuationSeparator/>
      </w:r>
    </w:p>
  </w:endnote>
  <w:endnote w:type="continuationNotice" w:id="1">
    <w:p w:rsidR="007526F0" w:rsidRDefault="00752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7" w:rsidRPr="00AD61E7" w:rsidRDefault="00AD61E7" w:rsidP="00AD6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7" w:rsidRPr="00AD61E7" w:rsidRDefault="00AD61E7" w:rsidP="00AD61E7">
    <w:pPr>
      <w:pStyle w:val="FooterCoverPage"/>
      <w:rPr>
        <w:rFonts w:ascii="Arial" w:hAnsi="Arial" w:cs="Arial"/>
        <w:b/>
        <w:sz w:val="48"/>
      </w:rPr>
    </w:pPr>
    <w:r w:rsidRPr="00AD61E7">
      <w:rPr>
        <w:rFonts w:ascii="Arial" w:hAnsi="Arial" w:cs="Arial"/>
        <w:b/>
        <w:sz w:val="48"/>
      </w:rPr>
      <w:t>FR</w:t>
    </w:r>
    <w:r w:rsidRPr="00AD61E7">
      <w:rPr>
        <w:rFonts w:ascii="Arial" w:hAnsi="Arial" w:cs="Arial"/>
        <w:b/>
        <w:sz w:val="48"/>
      </w:rPr>
      <w:tab/>
    </w:r>
    <w:r w:rsidRPr="00AD61E7">
      <w:rPr>
        <w:rFonts w:ascii="Arial" w:hAnsi="Arial" w:cs="Arial"/>
        <w:b/>
        <w:sz w:val="48"/>
      </w:rPr>
      <w:tab/>
    </w:r>
    <w:r w:rsidRPr="00AD61E7">
      <w:tab/>
    </w:r>
    <w:r w:rsidRPr="00AD61E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7" w:rsidRPr="00AD61E7" w:rsidRDefault="00AD61E7" w:rsidP="00AD61E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F0" w:rsidRPr="004A12DA" w:rsidRDefault="007526F0" w:rsidP="004A12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97496"/>
      <w:docPartObj>
        <w:docPartGallery w:val="Page Numbers (Bottom of Page)"/>
        <w:docPartUnique/>
      </w:docPartObj>
    </w:sdtPr>
    <w:sdtEndPr>
      <w:rPr>
        <w:noProof/>
      </w:rPr>
    </w:sdtEndPr>
    <w:sdtContent>
      <w:p w:rsidR="007526F0" w:rsidRDefault="007526F0" w:rsidP="00187F2C">
        <w:pPr>
          <w:pStyle w:val="Footer"/>
          <w:jc w:val="center"/>
          <w:rPr>
            <w:noProof/>
          </w:rPr>
        </w:pPr>
        <w:r>
          <w:fldChar w:fldCharType="begin"/>
        </w:r>
        <w:r>
          <w:instrText xml:space="preserve"> PAGE   \* MERGEFORMAT </w:instrText>
        </w:r>
        <w:r>
          <w:fldChar w:fldCharType="separate"/>
        </w:r>
        <w:r w:rsidR="00AD61E7">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F0" w:rsidRPr="004A12DA" w:rsidRDefault="007526F0" w:rsidP="004A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6F0" w:rsidRDefault="007526F0" w:rsidP="00C12E58">
      <w:pPr>
        <w:spacing w:after="0" w:line="240" w:lineRule="auto"/>
      </w:pPr>
      <w:r>
        <w:separator/>
      </w:r>
    </w:p>
  </w:footnote>
  <w:footnote w:type="continuationSeparator" w:id="0">
    <w:p w:rsidR="007526F0" w:rsidRDefault="007526F0" w:rsidP="00C12E58">
      <w:pPr>
        <w:spacing w:after="0" w:line="240" w:lineRule="auto"/>
      </w:pPr>
      <w:r>
        <w:continuationSeparator/>
      </w:r>
    </w:p>
  </w:footnote>
  <w:footnote w:type="continuationNotice" w:id="1">
    <w:p w:rsidR="007526F0" w:rsidRDefault="007526F0">
      <w:pPr>
        <w:spacing w:after="0" w:line="240" w:lineRule="auto"/>
      </w:pPr>
    </w:p>
  </w:footnote>
  <w:footnote w:id="2">
    <w:p w:rsidR="007526F0" w:rsidRPr="00CE0E01" w:rsidRDefault="007526F0" w:rsidP="00C04BAD">
      <w:pPr>
        <w:pStyle w:val="FootnoteText"/>
        <w:jc w:val="both"/>
        <w:rPr>
          <w:lang w:val="fr-BE"/>
        </w:rPr>
      </w:pPr>
      <w:r>
        <w:rPr>
          <w:rStyle w:val="FootnoteReference"/>
        </w:rPr>
        <w:footnoteRef/>
      </w:r>
      <w:r w:rsidRPr="009B4AAF">
        <w:rPr>
          <w:lang w:val="fr-BE"/>
        </w:rPr>
        <w:t xml:space="preserve"> </w:t>
      </w:r>
      <w:r>
        <w:rPr>
          <w:lang w:val="fr-BE"/>
        </w:rPr>
        <w:t xml:space="preserve">L’Union soutient les populations sahraouies via l’Instrument européen pour la Démocratie et les droits de l’Homme et l’aide humanitaire en faveur des réfugiés. Voir le « Rapport sur la coopération UE-Algérie - Edition 2016 » : </w:t>
      </w:r>
      <w:hyperlink r:id="rId1" w:history="1">
        <w:r w:rsidRPr="00684BF7">
          <w:rPr>
            <w:rStyle w:val="Hyperlink"/>
            <w:lang w:val="fr-BE"/>
          </w:rPr>
          <w:t>https://eeas.europa.eu/sites/eeas/files/rapport_de_coorperation_2016_v.numerique.pdf</w:t>
        </w:r>
      </w:hyperlink>
    </w:p>
  </w:footnote>
  <w:footnote w:id="3">
    <w:p w:rsidR="007526F0" w:rsidRDefault="007526F0" w:rsidP="004A02C2">
      <w:pPr>
        <w:pStyle w:val="FootnoteText"/>
        <w:rPr>
          <w:lang w:val="fr-FR"/>
        </w:rPr>
      </w:pPr>
      <w:r>
        <w:rPr>
          <w:rStyle w:val="FootnoteReference"/>
        </w:rPr>
        <w:footnoteRef/>
      </w:r>
      <w:r w:rsidRPr="00F34A4D">
        <w:rPr>
          <w:lang w:val="fr-BE"/>
        </w:rPr>
        <w:t xml:space="preserve"> </w:t>
      </w:r>
      <w:r w:rsidRPr="00F34A4D">
        <w:rPr>
          <w:lang w:val="fr-BE"/>
        </w:rPr>
        <w:tab/>
        <w:t xml:space="preserve">JO L 70 du 18.3.2000, p. </w:t>
      </w:r>
      <w:r>
        <w:rPr>
          <w:lang w:val="fr-BE"/>
        </w:rPr>
        <w:t>2</w:t>
      </w:r>
      <w:r w:rsidRPr="00F34A4D">
        <w:rPr>
          <w:lang w:val="fr-BE"/>
        </w:rPr>
        <w:t>.</w:t>
      </w:r>
    </w:p>
  </w:footnote>
  <w:footnote w:id="4">
    <w:p w:rsidR="007526F0" w:rsidRDefault="007526F0" w:rsidP="00EC3678">
      <w:pPr>
        <w:pStyle w:val="FootnoteText"/>
        <w:jc w:val="both"/>
        <w:rPr>
          <w:lang w:val="fr-BE"/>
        </w:rPr>
      </w:pPr>
      <w:r>
        <w:rPr>
          <w:rStyle w:val="FootnoteReference"/>
        </w:rPr>
        <w:footnoteRef/>
      </w:r>
      <w:r w:rsidRPr="00F34A4D">
        <w:rPr>
          <w:lang w:val="fr-BE"/>
        </w:rPr>
        <w:t xml:space="preserve"> </w:t>
      </w:r>
      <w:r w:rsidRPr="00F34A4D">
        <w:rPr>
          <w:lang w:val="fr-BE"/>
        </w:rPr>
        <w:tab/>
        <w:t>Arrêt de la Cour de justice du 21 décembre 2016, Conseil/Front Polisario, C-104/16 P, ECLI:EU:C:2016:973.</w:t>
      </w:r>
    </w:p>
  </w:footnote>
  <w:footnote w:id="5">
    <w:p w:rsidR="007526F0" w:rsidRPr="009B4AAF" w:rsidRDefault="007526F0" w:rsidP="00E80A6D">
      <w:pPr>
        <w:pStyle w:val="FootnoteText"/>
        <w:jc w:val="both"/>
        <w:rPr>
          <w:lang w:val="fr-BE"/>
        </w:rPr>
      </w:pPr>
      <w:r>
        <w:rPr>
          <w:rStyle w:val="FootnoteReference"/>
        </w:rPr>
        <w:footnoteRef/>
      </w:r>
      <w:r w:rsidRPr="008B1C0D">
        <w:rPr>
          <w:lang w:val="fr-BE"/>
        </w:rPr>
        <w:tab/>
      </w:r>
      <w:r>
        <w:rPr>
          <w:lang w:val="fr-BE"/>
        </w:rPr>
        <w:t xml:space="preserve">Selon l'arrêt précité du 21 décembre 2016, le territoire du Sahara occidental a un "statut séparé et distinct" en vertu du principe d'auto-détermination, qui lui est applicable (paragraphe 92). Dans son arrêt du 27 février 2018 (affaire C-266/16, Western Sahara Campaign) sur l'accord de pêche entre l'Union et le Maroc, la Cour de justice de l'Union européenne indique que "le territoire du Sahara occidental ne relève pas de la notion de "territoire du Maroc" </w:t>
      </w:r>
      <w:r w:rsidRPr="001A7506">
        <w:rPr>
          <w:lang w:val="fr-BE"/>
        </w:rPr>
        <w:t>"</w:t>
      </w:r>
      <w:r>
        <w:rPr>
          <w:lang w:val="fr-BE"/>
        </w:rPr>
        <w:t xml:space="preserve"> (paragraphe 64), et que </w:t>
      </w:r>
      <w:r w:rsidRPr="001A7506">
        <w:rPr>
          <w:lang w:val="fr-BE"/>
        </w:rPr>
        <w:t>"</w:t>
      </w:r>
      <w:r>
        <w:rPr>
          <w:lang w:val="fr-BE"/>
        </w:rPr>
        <w:t>les eaux adjacentes au territoire du Sahara occidental ne relèvent pas de la zone de pêche marocaine</w:t>
      </w:r>
      <w:r w:rsidRPr="001A7506">
        <w:rPr>
          <w:lang w:val="fr-BE"/>
        </w:rPr>
        <w:t>"</w:t>
      </w:r>
      <w:r>
        <w:rPr>
          <w:lang w:val="fr-BE"/>
        </w:rPr>
        <w:t xml:space="preserve"> (paragraphe 69).</w:t>
      </w:r>
    </w:p>
  </w:footnote>
  <w:footnote w:id="6">
    <w:p w:rsidR="007526F0" w:rsidRPr="000132F0" w:rsidRDefault="007526F0">
      <w:pPr>
        <w:pStyle w:val="FootnoteText"/>
        <w:rPr>
          <w:lang w:val="fr-BE"/>
        </w:rPr>
      </w:pPr>
      <w:r>
        <w:rPr>
          <w:rStyle w:val="FootnoteReference"/>
        </w:rPr>
        <w:footnoteRef/>
      </w:r>
      <w:r w:rsidRPr="000132F0">
        <w:rPr>
          <w:lang w:val="fr-BE"/>
        </w:rPr>
        <w:t xml:space="preserve"> </w:t>
      </w:r>
      <w:r>
        <w:rPr>
          <w:lang w:val="fr-BE"/>
        </w:rPr>
        <w:tab/>
        <w:t>Voir point 1.2.2, troisième paragraphe.</w:t>
      </w:r>
    </w:p>
  </w:footnote>
  <w:footnote w:id="7">
    <w:p w:rsidR="007526F0" w:rsidRPr="000604D5" w:rsidRDefault="007526F0" w:rsidP="000604D5">
      <w:pPr>
        <w:pStyle w:val="FootnoteText"/>
        <w:jc w:val="both"/>
        <w:rPr>
          <w:lang w:val="fr-BE"/>
        </w:rPr>
      </w:pPr>
      <w:r>
        <w:rPr>
          <w:rStyle w:val="FootnoteReference"/>
        </w:rPr>
        <w:footnoteRef/>
      </w:r>
      <w:r w:rsidRPr="000604D5">
        <w:rPr>
          <w:lang w:val="fr-BE"/>
        </w:rPr>
        <w:t xml:space="preserve"> </w:t>
      </w:r>
      <w:r>
        <w:rPr>
          <w:lang w:val="fr-BE"/>
        </w:rPr>
        <w:tab/>
      </w:r>
      <w:r w:rsidRPr="00C41D65">
        <w:rPr>
          <w:lang w:val="fr-BE"/>
        </w:rPr>
        <w:t xml:space="preserve">Résolution </w:t>
      </w:r>
      <w:r>
        <w:rPr>
          <w:lang w:val="fr-BE"/>
        </w:rPr>
        <w:t>adoptée par</w:t>
      </w:r>
      <w:r w:rsidRPr="00C41D65">
        <w:rPr>
          <w:lang w:val="fr-BE"/>
        </w:rPr>
        <w:t xml:space="preserve"> l'Assemblée général</w:t>
      </w:r>
      <w:r>
        <w:rPr>
          <w:lang w:val="fr-BE"/>
        </w:rPr>
        <w:t>e</w:t>
      </w:r>
      <w:r w:rsidRPr="00C41D65">
        <w:rPr>
          <w:lang w:val="fr-BE"/>
        </w:rPr>
        <w:t xml:space="preserve"> </w:t>
      </w:r>
      <w:r>
        <w:rPr>
          <w:lang w:val="fr-BE"/>
        </w:rPr>
        <w:t>le</w:t>
      </w:r>
      <w:r w:rsidRPr="00C41D65">
        <w:rPr>
          <w:lang w:val="fr-BE"/>
        </w:rPr>
        <w:t xml:space="preserve"> </w:t>
      </w:r>
      <w:r>
        <w:rPr>
          <w:lang w:val="fr-BE"/>
        </w:rPr>
        <w:t>7</w:t>
      </w:r>
      <w:r w:rsidRPr="00C41D65">
        <w:rPr>
          <w:lang w:val="fr-BE"/>
        </w:rPr>
        <w:t xml:space="preserve"> décembre 2017 sur les activités économiques et autres préjudiciables aux intérêts des peuples des territoires non autonomes</w:t>
      </w:r>
      <w:r>
        <w:rPr>
          <w:lang w:val="fr-BE"/>
        </w:rPr>
        <w:t xml:space="preserve"> (document A/RES/72/92 du 14 décembre 2017).</w:t>
      </w:r>
    </w:p>
  </w:footnote>
  <w:footnote w:id="8">
    <w:p w:rsidR="007526F0" w:rsidRDefault="007526F0" w:rsidP="00340BBF">
      <w:pPr>
        <w:pStyle w:val="FootnoteText"/>
        <w:rPr>
          <w:lang w:val="fr-BE"/>
        </w:rPr>
      </w:pPr>
      <w:r>
        <w:rPr>
          <w:rStyle w:val="FootnoteReference"/>
        </w:rPr>
        <w:footnoteRef/>
      </w:r>
      <w:r w:rsidRPr="00C04BAD">
        <w:rPr>
          <w:lang w:val="fr-BE"/>
        </w:rPr>
        <w:t xml:space="preserve"> </w:t>
      </w:r>
      <w:r>
        <w:rPr>
          <w:lang w:val="fr-BE"/>
        </w:rPr>
        <w:tab/>
      </w:r>
      <w:hyperlink r:id="rId2" w:history="1">
        <w:r w:rsidRPr="007443E8">
          <w:rPr>
            <w:rStyle w:val="Hyperlink"/>
            <w:lang w:val="fr-BE"/>
          </w:rPr>
          <w:t>https://minurso.unmissions.org/</w:t>
        </w:r>
      </w:hyperlink>
      <w:r>
        <w:rPr>
          <w:lang w:val="fr-BE"/>
        </w:rPr>
        <w:t xml:space="preserve"> </w:t>
      </w:r>
    </w:p>
    <w:p w:rsidR="007526F0" w:rsidRPr="00C04BAD" w:rsidRDefault="000A3A2E" w:rsidP="009B3BBE">
      <w:pPr>
        <w:pStyle w:val="FootnoteText"/>
        <w:ind w:firstLine="720"/>
        <w:rPr>
          <w:lang w:val="fr-BE"/>
        </w:rPr>
      </w:pPr>
      <w:hyperlink r:id="rId3" w:history="1">
        <w:r w:rsidR="007526F0" w:rsidRPr="007443E8">
          <w:rPr>
            <w:rStyle w:val="Hyperlink"/>
            <w:lang w:val="fr-BE"/>
          </w:rPr>
          <w:t>https://minurso.unmissions.org/secretary-general-reports</w:t>
        </w:r>
      </w:hyperlink>
      <w:r w:rsidR="007526F0">
        <w:rPr>
          <w:lang w:val="fr-BE"/>
        </w:rPr>
        <w:t xml:space="preserve"> </w:t>
      </w:r>
    </w:p>
  </w:footnote>
  <w:footnote w:id="9">
    <w:p w:rsidR="007526F0" w:rsidRPr="009B4AAF" w:rsidRDefault="007526F0" w:rsidP="00E80A6D">
      <w:pPr>
        <w:pStyle w:val="FootnoteText"/>
        <w:jc w:val="both"/>
        <w:rPr>
          <w:lang w:val="fr-BE"/>
        </w:rPr>
      </w:pPr>
      <w:r>
        <w:rPr>
          <w:rStyle w:val="FootnoteReference"/>
        </w:rPr>
        <w:footnoteRef/>
      </w:r>
      <w:r w:rsidRPr="009B4AAF">
        <w:rPr>
          <w:lang w:val="fr-BE"/>
        </w:rPr>
        <w:t xml:space="preserve"> </w:t>
      </w:r>
      <w:r w:rsidRPr="00B451EA">
        <w:rPr>
          <w:lang w:val="fr-BE"/>
        </w:rPr>
        <w:t xml:space="preserve"> </w:t>
      </w:r>
      <w:r>
        <w:rPr>
          <w:lang w:val="fr-BE"/>
        </w:rPr>
        <w:t>Il s’agit de la n</w:t>
      </w:r>
      <w:r w:rsidRPr="00B451EA">
        <w:rPr>
          <w:lang w:val="fr-BE"/>
        </w:rPr>
        <w:t>omenclature régie par la Convention sur le Système harmonisé de désignation et de codification des marchandise</w:t>
      </w:r>
      <w:r>
        <w:rPr>
          <w:lang w:val="fr-BE"/>
        </w:rPr>
        <w:t>s, appelée "Nomenclature du SH".</w:t>
      </w:r>
      <w:r w:rsidRPr="00B451EA">
        <w:rPr>
          <w:lang w:val="fr-BE"/>
        </w:rPr>
        <w:t xml:space="preserve"> </w:t>
      </w:r>
    </w:p>
  </w:footnote>
  <w:footnote w:id="10">
    <w:p w:rsidR="007526F0" w:rsidRPr="007B6104" w:rsidRDefault="007526F0" w:rsidP="000132F0">
      <w:pPr>
        <w:pStyle w:val="FootnoteText"/>
        <w:jc w:val="both"/>
        <w:rPr>
          <w:lang w:val="fr-BE"/>
        </w:rPr>
      </w:pPr>
      <w:r>
        <w:rPr>
          <w:rStyle w:val="FootnoteReference"/>
        </w:rPr>
        <w:footnoteRef/>
      </w:r>
      <w:r w:rsidRPr="007B6104">
        <w:rPr>
          <w:lang w:val="fr-BE"/>
        </w:rPr>
        <w:t xml:space="preserve"> </w:t>
      </w:r>
      <w:r w:rsidRPr="008C3363">
        <w:rPr>
          <w:lang w:val="fr-BE"/>
        </w:rPr>
        <w:t>Il est à noter que tandis que, par exemple, la version française des directives de négociation parle de «populations», la version anglaise parle de «people». Ceci reflète déjà une terminologie variable au niveau des documents de l'ONU. Par exemple, l'avis du 16 octobre 1975 de la Cour internationale de justice utilise, dans ses conclusions, le terme «populations» dans la version française mais «p</w:t>
      </w:r>
      <w:r>
        <w:rPr>
          <w:lang w:val="fr-BE"/>
        </w:rPr>
        <w:t>eople» dans la version anglaise.</w:t>
      </w:r>
    </w:p>
  </w:footnote>
  <w:footnote w:id="11">
    <w:p w:rsidR="007526F0" w:rsidRDefault="007526F0" w:rsidP="009277F0">
      <w:pPr>
        <w:pStyle w:val="FootnoteText"/>
        <w:rPr>
          <w:lang w:val="fr-BE"/>
        </w:rPr>
      </w:pPr>
      <w:r>
        <w:rPr>
          <w:rStyle w:val="FootnoteReference"/>
        </w:rPr>
        <w:footnoteRef/>
      </w:r>
      <w:r w:rsidRPr="00C9293C">
        <w:rPr>
          <w:lang w:val="fr-BE"/>
        </w:rPr>
        <w:t xml:space="preserve"> </w:t>
      </w:r>
      <w:r>
        <w:rPr>
          <w:lang w:val="fr-BE"/>
        </w:rPr>
        <w:t>Voir les rapports d’Amnesty International et de Human Rights Watch :</w:t>
      </w:r>
    </w:p>
    <w:p w:rsidR="007526F0" w:rsidRDefault="000A3A2E" w:rsidP="009277F0">
      <w:pPr>
        <w:pStyle w:val="FootnoteText"/>
        <w:rPr>
          <w:lang w:val="fr-BE"/>
        </w:rPr>
      </w:pPr>
      <w:hyperlink r:id="rId4" w:history="1">
        <w:r w:rsidR="007526F0" w:rsidRPr="00A90E85">
          <w:rPr>
            <w:rStyle w:val="Hyperlink"/>
            <w:lang w:val="fr-BE"/>
          </w:rPr>
          <w:t>https://www.amnesty.org/fr/countries/middle-east-and-north-africa/morocco/report-morocco/</w:t>
        </w:r>
      </w:hyperlink>
      <w:r w:rsidR="007526F0">
        <w:rPr>
          <w:lang w:val="fr-BE"/>
        </w:rPr>
        <w:t xml:space="preserve"> (consulté le 23/04/2018)</w:t>
      </w:r>
    </w:p>
    <w:p w:rsidR="007526F0" w:rsidRPr="00C9293C" w:rsidRDefault="000A3A2E" w:rsidP="009277F0">
      <w:pPr>
        <w:pStyle w:val="FootnoteText"/>
        <w:rPr>
          <w:lang w:val="fr-BE"/>
        </w:rPr>
      </w:pPr>
      <w:hyperlink r:id="rId5" w:history="1">
        <w:r w:rsidR="007526F0" w:rsidRPr="00A90E85">
          <w:rPr>
            <w:rStyle w:val="Hyperlink"/>
            <w:lang w:val="fr-BE"/>
          </w:rPr>
          <w:t>https://www.hrw.org/fr/middle-east/n-africa/morocco/western-sahara</w:t>
        </w:r>
      </w:hyperlink>
      <w:r w:rsidR="007526F0">
        <w:rPr>
          <w:lang w:val="fr-BE"/>
        </w:rPr>
        <w:t xml:space="preserve"> (consulté le 23/04/2018).</w:t>
      </w:r>
    </w:p>
  </w:footnote>
  <w:footnote w:id="12">
    <w:p w:rsidR="007526F0" w:rsidRPr="004E2E61" w:rsidRDefault="007526F0" w:rsidP="009277F0">
      <w:pPr>
        <w:pStyle w:val="FootnoteText"/>
        <w:rPr>
          <w:lang w:val="fr-BE"/>
        </w:rPr>
      </w:pPr>
      <w:r>
        <w:rPr>
          <w:rStyle w:val="FootnoteReference"/>
        </w:rPr>
        <w:footnoteRef/>
      </w:r>
      <w:r w:rsidRPr="004E2E61">
        <w:rPr>
          <w:lang w:val="fr-BE"/>
        </w:rPr>
        <w:t xml:space="preserve"> </w:t>
      </w:r>
      <w:r>
        <w:rPr>
          <w:lang w:val="fr-BE"/>
        </w:rPr>
        <w:t>Rapport du Secrétaire général sur la situation concernant le Sahara occidental.  Document du Conseil de Sécurité des Nations unies n° S/2018/277. Voir en particulier les points 65 à 73.</w:t>
      </w:r>
    </w:p>
  </w:footnote>
  <w:footnote w:id="13">
    <w:p w:rsidR="007526F0" w:rsidRPr="004E2E61" w:rsidRDefault="007526F0" w:rsidP="00340BBF">
      <w:pPr>
        <w:pStyle w:val="FootnoteText"/>
        <w:jc w:val="both"/>
        <w:rPr>
          <w:lang w:val="fr-BE"/>
        </w:rPr>
      </w:pPr>
      <w:r>
        <w:rPr>
          <w:rStyle w:val="FootnoteReference"/>
        </w:rPr>
        <w:footnoteRef/>
      </w:r>
      <w:r w:rsidRPr="004E2E61">
        <w:rPr>
          <w:lang w:val="fr-BE"/>
        </w:rPr>
        <w:t xml:space="preserve"> </w:t>
      </w:r>
      <w:r w:rsidRPr="00E349EA">
        <w:rPr>
          <w:lang w:val="fr-BE"/>
        </w:rPr>
        <w:t>Décision n</w:t>
      </w:r>
      <w:r>
        <w:rPr>
          <w:lang w:val="fr-BE"/>
        </w:rPr>
        <w:t xml:space="preserve">° </w:t>
      </w:r>
      <w:r w:rsidRPr="00E349EA">
        <w:rPr>
          <w:lang w:val="fr-BE"/>
        </w:rPr>
        <w:t>1/2006 du Conseil d'association UE-Maroc du 26 septembre 2006 portant création du sous-comité droits de l'homme, démocratisation et gouvernance</w:t>
      </w:r>
      <w:r>
        <w:rPr>
          <w:lang w:val="fr-BE"/>
        </w:rPr>
        <w:t xml:space="preserve"> (</w:t>
      </w:r>
      <w:r w:rsidRPr="00E349EA">
        <w:rPr>
          <w:lang w:val="fr-BE"/>
        </w:rPr>
        <w:t>JO L 276 du 7.10.2006, p. 73</w:t>
      </w:r>
      <w:r>
        <w:rPr>
          <w:lang w:val="fr-BE"/>
        </w:rPr>
        <w:t>).</w:t>
      </w:r>
    </w:p>
  </w:footnote>
  <w:footnote w:id="14">
    <w:p w:rsidR="007526F0" w:rsidRPr="00E80A6D" w:rsidRDefault="007526F0" w:rsidP="00E80A6D">
      <w:pPr>
        <w:pStyle w:val="FootnoteText"/>
        <w:jc w:val="both"/>
        <w:rPr>
          <w:sz w:val="18"/>
          <w:szCs w:val="18"/>
          <w:lang w:val="fr-BE"/>
        </w:rPr>
      </w:pPr>
      <w:r>
        <w:rPr>
          <w:rStyle w:val="FootnoteReference"/>
        </w:rPr>
        <w:footnoteRef/>
      </w:r>
      <w:r w:rsidRPr="009B4AAF">
        <w:rPr>
          <w:lang w:val="fr-BE"/>
        </w:rPr>
        <w:t xml:space="preserve"> </w:t>
      </w:r>
      <w:hyperlink r:id="rId6" w:history="1">
        <w:r w:rsidRPr="00A1414A">
          <w:rPr>
            <w:rStyle w:val="Hyperlink"/>
            <w:lang w:val="fr-BE"/>
          </w:rPr>
          <w:t>http</w:t>
        </w:r>
        <w:r w:rsidRPr="00A1414A">
          <w:rPr>
            <w:rStyle w:val="Hyperlink"/>
            <w:sz w:val="18"/>
            <w:szCs w:val="18"/>
            <w:lang w:val="fr-BE"/>
          </w:rPr>
          <w:t>://www.un.org/en/decolonization/pdf/Western-Sahara2017.pdf</w:t>
        </w:r>
      </w:hyperlink>
      <w:r>
        <w:rPr>
          <w:sz w:val="18"/>
          <w:szCs w:val="18"/>
          <w:lang w:val="fr-BE"/>
        </w:rPr>
        <w:t xml:space="preserve"> (consulté le 23/04/2018)</w:t>
      </w:r>
    </w:p>
  </w:footnote>
  <w:footnote w:id="15">
    <w:p w:rsidR="007526F0" w:rsidRPr="00457C7A" w:rsidRDefault="007526F0" w:rsidP="00E80A6D">
      <w:pPr>
        <w:pStyle w:val="FootnoteText"/>
        <w:jc w:val="both"/>
        <w:rPr>
          <w:sz w:val="18"/>
          <w:szCs w:val="18"/>
          <w:lang w:val="fr-BE"/>
        </w:rPr>
      </w:pPr>
      <w:r w:rsidRPr="00457C7A">
        <w:rPr>
          <w:rStyle w:val="FootnoteReference"/>
          <w:sz w:val="18"/>
          <w:szCs w:val="18"/>
        </w:rPr>
        <w:footnoteRef/>
      </w:r>
      <w:r w:rsidRPr="00E80A6D">
        <w:rPr>
          <w:sz w:val="18"/>
          <w:szCs w:val="18"/>
          <w:lang w:val="fr-BE"/>
        </w:rPr>
        <w:t xml:space="preserve"> Direction des Etudes et des Prévisions Financières. </w:t>
      </w:r>
      <w:r w:rsidRPr="00457C7A">
        <w:rPr>
          <w:sz w:val="18"/>
          <w:szCs w:val="18"/>
          <w:lang w:val="fr-BE"/>
        </w:rPr>
        <w:t>Etudes DEPF, juin 2017 : Profil de la croissance économique des régions</w:t>
      </w:r>
      <w:r>
        <w:rPr>
          <w:sz w:val="18"/>
          <w:szCs w:val="18"/>
          <w:lang w:val="fr-BE"/>
        </w:rPr>
        <w:t xml:space="preserve"> (consulté le 23/04/2018)</w:t>
      </w:r>
      <w:r w:rsidRPr="00457C7A">
        <w:rPr>
          <w:sz w:val="18"/>
          <w:szCs w:val="18"/>
          <w:lang w:val="fr-BE"/>
        </w:rPr>
        <w:t xml:space="preserve">. </w:t>
      </w:r>
    </w:p>
    <w:p w:rsidR="007526F0" w:rsidRPr="00E80A6D" w:rsidRDefault="000A3A2E" w:rsidP="00E80A6D">
      <w:pPr>
        <w:pStyle w:val="FootnoteText"/>
        <w:jc w:val="both"/>
        <w:rPr>
          <w:sz w:val="18"/>
          <w:szCs w:val="18"/>
          <w:lang w:val="fr-BE"/>
        </w:rPr>
      </w:pPr>
      <w:hyperlink r:id="rId7" w:history="1">
        <w:r w:rsidR="007526F0" w:rsidRPr="009B4AAF">
          <w:rPr>
            <w:rStyle w:val="Hyperlink"/>
            <w:sz w:val="18"/>
            <w:szCs w:val="18"/>
            <w:lang w:val="fr-BE"/>
          </w:rPr>
          <w:t>https://www.finances.gov.ma/depf/SitePages/publications/en_catalogue/etudes/2017/croissance_des_regions.pdf</w:t>
        </w:r>
      </w:hyperlink>
    </w:p>
  </w:footnote>
  <w:footnote w:id="16">
    <w:p w:rsidR="007526F0" w:rsidRPr="009B4AAF" w:rsidRDefault="007526F0" w:rsidP="00E80A6D">
      <w:pPr>
        <w:pStyle w:val="FootnoteText"/>
        <w:jc w:val="both"/>
        <w:rPr>
          <w:sz w:val="18"/>
          <w:szCs w:val="18"/>
          <w:lang w:val="fr-BE"/>
        </w:rPr>
      </w:pPr>
      <w:r w:rsidRPr="00457C7A">
        <w:rPr>
          <w:rStyle w:val="FootnoteReference"/>
          <w:sz w:val="18"/>
          <w:szCs w:val="18"/>
        </w:rPr>
        <w:footnoteRef/>
      </w:r>
      <w:r>
        <w:rPr>
          <w:sz w:val="18"/>
          <w:szCs w:val="18"/>
          <w:lang w:val="fr-BE"/>
        </w:rPr>
        <w:t xml:space="preserve"> Conseil </w:t>
      </w:r>
      <w:r w:rsidRPr="001248F6">
        <w:rPr>
          <w:sz w:val="18"/>
          <w:szCs w:val="18"/>
          <w:lang w:val="fr-BE"/>
        </w:rPr>
        <w:t xml:space="preserve">économique, social et environnemental </w:t>
      </w:r>
      <w:r>
        <w:rPr>
          <w:sz w:val="18"/>
          <w:szCs w:val="18"/>
          <w:lang w:val="fr-BE"/>
        </w:rPr>
        <w:t xml:space="preserve">– Modèle de développement régional pour les provinces du sud – Evaluation de l’effectivité des droits humains fondamentaux dans les provinces du sud (consulté le 23/04/2018) </w:t>
      </w:r>
      <w:r w:rsidRPr="00E80A6D">
        <w:rPr>
          <w:sz w:val="18"/>
          <w:szCs w:val="18"/>
          <w:lang w:val="fr-BE"/>
        </w:rPr>
        <w:t xml:space="preserve"> </w:t>
      </w:r>
      <w:hyperlink r:id="rId8" w:history="1">
        <w:r w:rsidRPr="00E80A6D">
          <w:rPr>
            <w:rStyle w:val="Hyperlink"/>
            <w:sz w:val="18"/>
            <w:szCs w:val="18"/>
            <w:lang w:val="fr-BE"/>
          </w:rPr>
          <w:t>http://www.cese.ma/Documents/PDF/Web%20Rapport%20Effectivite%20des%20droits%20VF%2011042013.pdf</w:t>
        </w:r>
      </w:hyperlink>
    </w:p>
  </w:footnote>
  <w:footnote w:id="17">
    <w:p w:rsidR="007526F0" w:rsidRPr="00C46736" w:rsidRDefault="007526F0" w:rsidP="00086849">
      <w:pPr>
        <w:pStyle w:val="FootnoteText"/>
        <w:jc w:val="both"/>
        <w:rPr>
          <w:lang w:val="fr-BE"/>
        </w:rPr>
      </w:pPr>
      <w:r>
        <w:rPr>
          <w:rStyle w:val="FootnoteReference"/>
        </w:rPr>
        <w:footnoteRef/>
      </w:r>
      <w:r w:rsidRPr="00C46736">
        <w:rPr>
          <w:lang w:val="fr-BE"/>
        </w:rPr>
        <w:t xml:space="preserve"> </w:t>
      </w:r>
      <w:r>
        <w:rPr>
          <w:lang w:val="fr-BE"/>
        </w:rPr>
        <w:t xml:space="preserve">Voir notamment le </w:t>
      </w:r>
      <w:r w:rsidRPr="0006381E">
        <w:rPr>
          <w:lang w:val="fr-BE"/>
        </w:rPr>
        <w:t>rapport préparé par le Front Polisario dans le cadre du recours T-512/12</w:t>
      </w:r>
      <w:r>
        <w:rPr>
          <w:lang w:val="fr-BE"/>
        </w:rPr>
        <w:t> : « Le Sahara occidental – Statut et exploitation économique – Etude juridique faite à la demande du Front Polisario – Mai 2012 ».</w:t>
      </w:r>
    </w:p>
  </w:footnote>
  <w:footnote w:id="18">
    <w:p w:rsidR="007526F0" w:rsidRPr="00C46736" w:rsidRDefault="007526F0" w:rsidP="00086849">
      <w:pPr>
        <w:pStyle w:val="FootnoteText"/>
        <w:jc w:val="both"/>
        <w:rPr>
          <w:lang w:val="fr-BE"/>
        </w:rPr>
      </w:pPr>
      <w:r>
        <w:rPr>
          <w:rStyle w:val="FootnoteReference"/>
        </w:rPr>
        <w:footnoteRef/>
      </w:r>
      <w:r w:rsidRPr="00C46736">
        <w:rPr>
          <w:lang w:val="fr-BE"/>
        </w:rPr>
        <w:t xml:space="preserve"> </w:t>
      </w:r>
      <w:r>
        <w:rPr>
          <w:lang w:val="fr-BE"/>
        </w:rPr>
        <w:t>Voir point 242 de l’arrêt T-512/12.</w:t>
      </w:r>
    </w:p>
  </w:footnote>
  <w:footnote w:id="19">
    <w:p w:rsidR="007526F0" w:rsidRPr="002C65C5" w:rsidRDefault="007526F0" w:rsidP="00086849">
      <w:pPr>
        <w:pStyle w:val="FootnoteText"/>
        <w:jc w:val="both"/>
        <w:rPr>
          <w:lang w:val="fr-BE"/>
        </w:rPr>
      </w:pPr>
      <w:r>
        <w:rPr>
          <w:rStyle w:val="FootnoteReference"/>
        </w:rPr>
        <w:footnoteRef/>
      </w:r>
      <w:r w:rsidRPr="002C65C5">
        <w:rPr>
          <w:lang w:val="fr-BE"/>
        </w:rPr>
        <w:t xml:space="preserve"> Voir dans </w:t>
      </w:r>
      <w:r>
        <w:rPr>
          <w:lang w:val="fr-FR"/>
        </w:rPr>
        <w:t>le</w:t>
      </w:r>
      <w:r w:rsidRPr="00E400EB">
        <w:rPr>
          <w:lang w:val="fr-FR"/>
        </w:rPr>
        <w:t xml:space="preserve"> contentieux national qui a donné lieu à</w:t>
      </w:r>
      <w:r w:rsidRPr="003D5D7B">
        <w:rPr>
          <w:lang w:val="fr-BE"/>
        </w:rPr>
        <w:t xml:space="preserve"> </w:t>
      </w:r>
      <w:r w:rsidRPr="002C65C5">
        <w:rPr>
          <w:lang w:val="fr-BE"/>
        </w:rPr>
        <w:t>l’affaire C-266/16: Second Witness Statement of John Gurr.</w:t>
      </w:r>
    </w:p>
  </w:footnote>
  <w:footnote w:id="20">
    <w:p w:rsidR="007526F0" w:rsidRPr="000A539F" w:rsidRDefault="007526F0" w:rsidP="000A539F">
      <w:pPr>
        <w:pStyle w:val="FootnoteText"/>
        <w:jc w:val="both"/>
        <w:rPr>
          <w:lang w:val="fr-BE"/>
        </w:rPr>
      </w:pPr>
      <w:r>
        <w:rPr>
          <w:rStyle w:val="FootnoteReference"/>
        </w:rPr>
        <w:footnoteRef/>
      </w:r>
      <w:r w:rsidRPr="000A539F">
        <w:rPr>
          <w:lang w:val="fr-BE"/>
        </w:rPr>
        <w:t xml:space="preserve"> </w:t>
      </w:r>
      <w:r>
        <w:rPr>
          <w:lang w:val="fr-BE"/>
        </w:rPr>
        <w:t xml:space="preserve">Cette partie de la population </w:t>
      </w:r>
      <w:r w:rsidRPr="000A539F">
        <w:rPr>
          <w:lang w:val="fr-BE"/>
        </w:rPr>
        <w:t>n'a pas pu être quantifiée en raison de l'absence d'un recensement dans les camps de réfugiés à Tindouf</w:t>
      </w:r>
      <w:r>
        <w:rPr>
          <w:lang w:val="fr-BE"/>
        </w:rPr>
        <w:t xml:space="preserve"> (Algérie)</w:t>
      </w:r>
      <w:r w:rsidRPr="000A539F">
        <w:rPr>
          <w:lang w:val="fr-BE"/>
        </w:rPr>
        <w:t>.</w:t>
      </w:r>
      <w:r>
        <w:rPr>
          <w:lang w:val="fr-BE"/>
        </w:rPr>
        <w:t xml:space="preserve"> </w:t>
      </w:r>
      <w:r w:rsidRPr="000A539F">
        <w:rPr>
          <w:lang w:val="fr-BE"/>
        </w:rPr>
        <w:t xml:space="preserve">Selon </w:t>
      </w:r>
      <w:r>
        <w:rPr>
          <w:lang w:val="fr-BE"/>
        </w:rPr>
        <w:t xml:space="preserve">différentes </w:t>
      </w:r>
      <w:r w:rsidRPr="000A539F">
        <w:rPr>
          <w:lang w:val="fr-BE"/>
        </w:rPr>
        <w:t>sources, elle constitue entre 20% (selon les Sahraouis 'pro-</w:t>
      </w:r>
      <w:r>
        <w:rPr>
          <w:lang w:val="fr-BE"/>
        </w:rPr>
        <w:t>M</w:t>
      </w:r>
      <w:r w:rsidRPr="000A539F">
        <w:rPr>
          <w:lang w:val="fr-BE"/>
        </w:rPr>
        <w:t xml:space="preserve">arocains') et 50% (selon le Front Polisario) de la population </w:t>
      </w:r>
      <w:r>
        <w:rPr>
          <w:lang w:val="fr-BE"/>
        </w:rPr>
        <w:t>s</w:t>
      </w:r>
      <w:r w:rsidRPr="000A539F">
        <w:rPr>
          <w:lang w:val="fr-BE"/>
        </w:rPr>
        <w:t>ahraoui</w:t>
      </w:r>
      <w:r>
        <w:rPr>
          <w:lang w:val="fr-BE"/>
        </w:rPr>
        <w:t>e</w:t>
      </w:r>
      <w:r w:rsidRPr="000A539F">
        <w:rPr>
          <w:lang w:val="fr-BE"/>
        </w:rPr>
        <w:t xml:space="preserve"> totale</w:t>
      </w:r>
      <w:r>
        <w:rPr>
          <w:lang w:val="fr-BE"/>
        </w:rPr>
        <w:t>.</w:t>
      </w:r>
    </w:p>
  </w:footnote>
  <w:footnote w:id="21">
    <w:p w:rsidR="007526F0" w:rsidRPr="00C46736" w:rsidRDefault="007526F0" w:rsidP="000A539F">
      <w:pPr>
        <w:pStyle w:val="FootnoteText"/>
        <w:jc w:val="both"/>
        <w:rPr>
          <w:lang w:val="fr-BE"/>
        </w:rPr>
      </w:pPr>
      <w:r w:rsidRPr="00502405">
        <w:rPr>
          <w:vertAlign w:val="superscript"/>
          <w:lang w:val="fr-BE"/>
        </w:rPr>
        <w:footnoteRef/>
      </w:r>
      <w:r w:rsidRPr="00502405">
        <w:rPr>
          <w:vertAlign w:val="superscript"/>
          <w:lang w:val="fr-BE"/>
        </w:rPr>
        <w:t xml:space="preserve"> </w:t>
      </w:r>
      <w:r>
        <w:rPr>
          <w:lang w:val="fr-BE"/>
        </w:rPr>
        <w:t xml:space="preserve">Des </w:t>
      </w:r>
      <w:r w:rsidRPr="001A600A">
        <w:rPr>
          <w:lang w:val="fr-BE"/>
        </w:rPr>
        <w:t>consultations de février 2018, il ressort que l’élevage, notamment camelin, est une activité particulièrement importante. Plusieurs interlocuteurs ont souligné que les Sahraouis étaient traditionnellement des éleveurs nomades et se tournaient de manière privilégiée vers cette activité. Ceci montre qu’une étude limitée à l’évaluation de l’impact direct de l’accord ne permet pas de saisir toute la complexité de la société du Sahara Occidental.</w:t>
      </w:r>
    </w:p>
  </w:footnote>
  <w:footnote w:id="22">
    <w:p w:rsidR="007526F0" w:rsidRPr="00C01BC8" w:rsidRDefault="007526F0" w:rsidP="00F23392">
      <w:pPr>
        <w:pStyle w:val="FootnoteText"/>
        <w:jc w:val="both"/>
        <w:rPr>
          <w:lang w:val="fr-BE"/>
        </w:rPr>
      </w:pPr>
      <w:r>
        <w:rPr>
          <w:rStyle w:val="FootnoteReference"/>
        </w:rPr>
        <w:footnoteRef/>
      </w:r>
      <w:r w:rsidRPr="003F2A95">
        <w:rPr>
          <w:lang w:val="fr-BE"/>
        </w:rPr>
        <w:t xml:space="preserve"> </w:t>
      </w:r>
      <w:r>
        <w:rPr>
          <w:lang w:val="fr-BE"/>
        </w:rPr>
        <w:t>Pour placer la production agricole du Sahara occidental dans un contexte plus large, il faut préciser que l</w:t>
      </w:r>
      <w:r w:rsidRPr="00D40745">
        <w:rPr>
          <w:lang w:val="fr-BE"/>
        </w:rPr>
        <w:t>e Maroc est un pays à forte tradition agricole. En 2016, la contribution de l'agriculture à l'économie a été estimée à 12% du PIB pour l'ensemble du pays. La surface agricole utile (SAU) s'élève à 8,7 million</w:t>
      </w:r>
      <w:r>
        <w:rPr>
          <w:lang w:val="fr-BE"/>
        </w:rPr>
        <w:t>s</w:t>
      </w:r>
      <w:r w:rsidRPr="00D40745">
        <w:rPr>
          <w:lang w:val="fr-BE"/>
        </w:rPr>
        <w:t xml:space="preserve"> d'hectares, dont 52% dédiés à la culture céréalière et 3% à la production de primeurs. Les légumes constituent la principale catégorie de produits agricoles que le Maroc exporte vers l'Union Européenne (951 million</w:t>
      </w:r>
      <w:r>
        <w:rPr>
          <w:lang w:val="fr-BE"/>
        </w:rPr>
        <w:t>s</w:t>
      </w:r>
      <w:r w:rsidRPr="00D40745">
        <w:rPr>
          <w:lang w:val="fr-BE"/>
        </w:rPr>
        <w:t xml:space="preserve"> </w:t>
      </w:r>
      <w:r>
        <w:rPr>
          <w:lang w:val="fr-BE"/>
        </w:rPr>
        <w:t>d’euros</w:t>
      </w:r>
      <w:r w:rsidRPr="00D40745">
        <w:rPr>
          <w:lang w:val="fr-BE"/>
        </w:rPr>
        <w:t xml:space="preserve"> en 2016), suivis par les fruits - agrumes exclus (347 million</w:t>
      </w:r>
      <w:r>
        <w:rPr>
          <w:lang w:val="fr-BE"/>
        </w:rPr>
        <w:t>s</w:t>
      </w:r>
      <w:r w:rsidRPr="00D40745">
        <w:rPr>
          <w:lang w:val="fr-BE"/>
        </w:rPr>
        <w:t xml:space="preserve"> </w:t>
      </w:r>
      <w:r>
        <w:rPr>
          <w:lang w:val="fr-BE"/>
        </w:rPr>
        <w:t>d’euros</w:t>
      </w:r>
      <w:r w:rsidRPr="00D40745">
        <w:rPr>
          <w:lang w:val="fr-BE"/>
        </w:rPr>
        <w:t>) et les agrumes (175 million</w:t>
      </w:r>
      <w:r>
        <w:rPr>
          <w:lang w:val="fr-BE"/>
        </w:rPr>
        <w:t>s</w:t>
      </w:r>
      <w:r w:rsidRPr="00D40745">
        <w:rPr>
          <w:lang w:val="fr-BE"/>
        </w:rPr>
        <w:t xml:space="preserve"> </w:t>
      </w:r>
      <w:r>
        <w:rPr>
          <w:lang w:val="fr-BE"/>
        </w:rPr>
        <w:t>d’euros</w:t>
      </w:r>
      <w:r w:rsidRPr="00D40745">
        <w:rPr>
          <w:lang w:val="fr-BE"/>
        </w:rPr>
        <w:t>). En termes d'emploi, le secteur agricole regroupe 39% de la population active au niveau national, ce pourcentage pouvant doubler en milieu rural.</w:t>
      </w:r>
    </w:p>
  </w:footnote>
  <w:footnote w:id="23">
    <w:p w:rsidR="007526F0" w:rsidRPr="001E0577" w:rsidRDefault="007526F0" w:rsidP="00F23392">
      <w:pPr>
        <w:pStyle w:val="FootnoteText"/>
        <w:rPr>
          <w:lang w:val="fr-BE"/>
        </w:rPr>
      </w:pPr>
      <w:r>
        <w:rPr>
          <w:rStyle w:val="FootnoteReference"/>
        </w:rPr>
        <w:footnoteRef/>
      </w:r>
      <w:r w:rsidRPr="001E0577">
        <w:rPr>
          <w:lang w:val="fr-BE"/>
        </w:rPr>
        <w:t xml:space="preserve"> </w:t>
      </w:r>
      <w:r>
        <w:rPr>
          <w:lang w:val="fr-BE"/>
        </w:rPr>
        <w:t>La surface destinée à la culture de primeurs au Sahara occidental est inférieure à 0,4% du total marocain.</w:t>
      </w:r>
    </w:p>
  </w:footnote>
  <w:footnote w:id="24">
    <w:p w:rsidR="007526F0" w:rsidRPr="00A86E9A" w:rsidRDefault="007526F0" w:rsidP="002D7D5B">
      <w:pPr>
        <w:pStyle w:val="FootnoteText"/>
        <w:jc w:val="both"/>
        <w:rPr>
          <w:lang w:val="fr-BE"/>
        </w:rPr>
      </w:pPr>
      <w:r>
        <w:rPr>
          <w:rStyle w:val="FootnoteReference"/>
        </w:rPr>
        <w:footnoteRef/>
      </w:r>
      <w:r w:rsidRPr="00F34A4D">
        <w:rPr>
          <w:lang w:val="fr-BE"/>
        </w:rPr>
        <w:t xml:space="preserve"> Aucune préférence n'est octroyée pour le</w:t>
      </w:r>
      <w:r>
        <w:rPr>
          <w:lang w:val="fr-BE"/>
        </w:rPr>
        <w:t xml:space="preserve"> "sucre" (produits relevant des codes NC 1701 et 1702, à l'exception de certaines sous-positions tarifaires).</w:t>
      </w:r>
    </w:p>
  </w:footnote>
  <w:footnote w:id="25">
    <w:p w:rsidR="007526F0" w:rsidRPr="00066716" w:rsidRDefault="007526F0" w:rsidP="00F23392">
      <w:pPr>
        <w:pStyle w:val="FootnoteText"/>
        <w:jc w:val="both"/>
        <w:rPr>
          <w:lang w:val="fr-BE"/>
        </w:rPr>
      </w:pPr>
      <w:r>
        <w:rPr>
          <w:rStyle w:val="FootnoteReference"/>
        </w:rPr>
        <w:footnoteRef/>
      </w:r>
      <w:r w:rsidRPr="00F34A4D">
        <w:rPr>
          <w:lang w:val="fr-BE"/>
        </w:rPr>
        <w:t xml:space="preserve"> </w:t>
      </w:r>
      <w:r>
        <w:rPr>
          <w:lang w:val="fr-BE"/>
        </w:rPr>
        <w:t xml:space="preserve">Aux fins de ce calcul, le prix unitaire pour l'année 2016 a été fixé à 1.066€/t pour les melons (45 millions t importées, pour une valeur en douane de 48 millions EUR), avec un droit de douane normal </w:t>
      </w:r>
      <w:r w:rsidRPr="00831E9C">
        <w:rPr>
          <w:lang w:val="fr-BE"/>
        </w:rPr>
        <w:t>(droit de douane applicable dans l’Union sous le régime de la nation la plus favorisée)</w:t>
      </w:r>
      <w:r>
        <w:rPr>
          <w:lang w:val="fr-BE"/>
        </w:rPr>
        <w:t xml:space="preserve"> de 8,8%. Pour les tomates, le prix unitaire est fixé à 1.059 €/t (417,14 millions t importées, pour une valeur en douane de 393,75 millions EUR), avec un droit de douane normal variant entre 8,8% et 14,4% </w:t>
      </w:r>
      <w:r w:rsidRPr="006E24A3">
        <w:rPr>
          <w:lang w:val="fr-BE"/>
        </w:rPr>
        <w:t>selon la période de l'année</w:t>
      </w:r>
      <w:r>
        <w:rPr>
          <w:lang w:val="fr-BE"/>
        </w:rPr>
        <w:t>, sachant qu'environ 80% des exportations ont lieu entre début novembre et fin avril (droit à 8,8%).</w:t>
      </w:r>
    </w:p>
  </w:footnote>
  <w:footnote w:id="26">
    <w:p w:rsidR="007526F0" w:rsidRPr="00DB3D18" w:rsidRDefault="007526F0" w:rsidP="00DB3D18">
      <w:pPr>
        <w:pStyle w:val="FootnoteText"/>
        <w:jc w:val="both"/>
        <w:rPr>
          <w:lang w:val="fr-BE"/>
        </w:rPr>
      </w:pPr>
      <w:r>
        <w:rPr>
          <w:rStyle w:val="FootnoteReference"/>
        </w:rPr>
        <w:footnoteRef/>
      </w:r>
      <w:r w:rsidRPr="00DB3D18">
        <w:rPr>
          <w:lang w:val="fr-BE"/>
        </w:rPr>
        <w:t xml:space="preserve"> Dans le cadre du même recours, il a été indiqué qu’en 2010, le nombre de personnes employées dans l’industrie agricole marocaine au Sahara occidental était de 6 480. Selon le ministère de l’agriculture marocain, ce chiffre devrait tripler d’ici 2020; 2 000 hectares devraient être cultivés d’ici 2020 et la production, destinée à l’exportation devrait passer à 160 000 tonnes en 2020. Enfin, dans le même cadre, il a été avancé que 95% de la production agricole y compris les tomates, melons et concombres, est exportée mais que les fonds obtenus grâce au bénéfice du régime préférentiel n’étaient pas investis dans des infrastructures bénéficiant au peuple sahraoui [voir</w:t>
      </w:r>
      <w:r>
        <w:rPr>
          <w:lang w:val="fr-BE"/>
        </w:rPr>
        <w:t xml:space="preserve"> </w:t>
      </w:r>
      <w:r w:rsidRPr="00E400EB">
        <w:rPr>
          <w:lang w:val="fr-FR"/>
        </w:rPr>
        <w:t>contentieux national qui a donné lieu à l'affaire</w:t>
      </w:r>
      <w:r w:rsidRPr="00E400EB">
        <w:rPr>
          <w:lang w:val="fr-BE"/>
        </w:rPr>
        <w:t xml:space="preserve"> </w:t>
      </w:r>
      <w:r w:rsidRPr="00DB3D18">
        <w:rPr>
          <w:lang w:val="fr-BE"/>
        </w:rPr>
        <w:t>C-266/16: Second Witness Statement of John Gurr – pages C-74-75]. Sur ce point, il importe de relever qu’il serait très restrictif d’apprécier le caractère bénéfique d’un accord pour une population déterminée sur la base d’un strict retour, les gains obtenus de la vente de produits devant intégralement retourner à la population en question. Il convient plutôt d’examiner si la population concernée reçoit des bénéfices de manière générale et ne subit pas de discrimination dans la recherche d’un emploi. Comme cela a été indiqué précédemment, il ressort des consultations menées en février 2018 qu’il n'y a pas</w:t>
      </w:r>
      <w:r>
        <w:rPr>
          <w:lang w:val="fr-BE"/>
        </w:rPr>
        <w:t xml:space="preserve"> à présent</w:t>
      </w:r>
      <w:r w:rsidRPr="00DB3D18">
        <w:rPr>
          <w:lang w:val="fr-BE"/>
        </w:rPr>
        <w:t xml:space="preserve"> </w:t>
      </w:r>
      <w:r>
        <w:rPr>
          <w:lang w:val="fr-BE"/>
        </w:rPr>
        <w:t xml:space="preserve">d'indices </w:t>
      </w:r>
      <w:r w:rsidRPr="00DB3D18">
        <w:rPr>
          <w:lang w:val="fr-BE"/>
        </w:rPr>
        <w:t>de discrimination à l’embauche. Cela a été confirmé par plusieurs interlocuteurs, y compris des Sahraouis.</w:t>
      </w:r>
    </w:p>
  </w:footnote>
  <w:footnote w:id="27">
    <w:p w:rsidR="007526F0" w:rsidRPr="00EC3678" w:rsidRDefault="007526F0" w:rsidP="004E6E97">
      <w:pPr>
        <w:pStyle w:val="FootnoteText"/>
        <w:jc w:val="both"/>
        <w:rPr>
          <w:lang w:val="fr-BE"/>
        </w:rPr>
      </w:pPr>
      <w:r>
        <w:rPr>
          <w:rStyle w:val="FootnoteReference"/>
        </w:rPr>
        <w:footnoteRef/>
      </w:r>
      <w:r w:rsidRPr="00EC3678">
        <w:rPr>
          <w:lang w:val="fr-BE"/>
        </w:rPr>
        <w:t xml:space="preserve"> </w:t>
      </w:r>
      <w:r>
        <w:rPr>
          <w:lang w:val="fr-BE"/>
        </w:rPr>
        <w:t xml:space="preserve">Voir </w:t>
      </w:r>
      <w:r w:rsidRPr="002C7651">
        <w:rPr>
          <w:lang w:val="fr-BE"/>
        </w:rPr>
        <w:t>monographie générale sur la Région de Dakhla-Oued ed Dahab rédigé</w:t>
      </w:r>
      <w:r>
        <w:rPr>
          <w:lang w:val="fr-BE"/>
        </w:rPr>
        <w:t>e</w:t>
      </w:r>
      <w:r w:rsidRPr="002C7651">
        <w:rPr>
          <w:lang w:val="fr-BE"/>
        </w:rPr>
        <w:t xml:space="preserve"> par la Direction Générale des Collectivités Locales du Ministère de l’Intérieur du Maroc</w:t>
      </w:r>
      <w:r>
        <w:rPr>
          <w:lang w:val="fr-BE"/>
        </w:rPr>
        <w:t xml:space="preserve"> – 2015, pages 25-26.</w:t>
      </w:r>
    </w:p>
  </w:footnote>
  <w:footnote w:id="28">
    <w:p w:rsidR="007526F0" w:rsidRPr="004870EE" w:rsidRDefault="007526F0" w:rsidP="004E6E97">
      <w:pPr>
        <w:pStyle w:val="FootnoteText"/>
        <w:rPr>
          <w:lang w:val="fr-BE"/>
        </w:rPr>
      </w:pPr>
      <w:r>
        <w:rPr>
          <w:rStyle w:val="FootnoteReference"/>
        </w:rPr>
        <w:footnoteRef/>
      </w:r>
      <w:hyperlink r:id="rId9" w:history="1">
        <w:r w:rsidRPr="00057CD1">
          <w:rPr>
            <w:rStyle w:val="Hyperlink"/>
            <w:lang w:val="fr-BE"/>
          </w:rPr>
          <w:t>http://www.cese.ma/Documents/PDF/Web%20Rapport%20Effectivite%20des%20droits%20VF%2011042013.pdf</w:t>
        </w:r>
      </w:hyperlink>
      <w:r>
        <w:rPr>
          <w:rStyle w:val="Hyperlink"/>
          <w:lang w:val="fr-BE"/>
        </w:rPr>
        <w:t xml:space="preserve"> (consulté le 23/04/2018)</w:t>
      </w:r>
    </w:p>
  </w:footnote>
  <w:footnote w:id="29">
    <w:p w:rsidR="007526F0" w:rsidRPr="004E2E61" w:rsidRDefault="007526F0" w:rsidP="004E2E61">
      <w:pPr>
        <w:pStyle w:val="FootnoteText"/>
        <w:jc w:val="both"/>
        <w:rPr>
          <w:lang w:val="fr-BE"/>
        </w:rPr>
      </w:pPr>
      <w:r>
        <w:rPr>
          <w:rStyle w:val="FootnoteReference"/>
        </w:rPr>
        <w:footnoteRef/>
      </w:r>
      <w:r w:rsidRPr="004E2E61">
        <w:rPr>
          <w:lang w:val="fr-BE"/>
        </w:rPr>
        <w:t xml:space="preserve"> </w:t>
      </w:r>
      <w:r>
        <w:rPr>
          <w:lang w:val="fr-BE"/>
        </w:rPr>
        <w:t>Les produits suffisamment transformés à partir de matières originaires sont considérés d’origine préférentielle selon le protocole n° 4 de l’accord d’association.</w:t>
      </w:r>
    </w:p>
  </w:footnote>
  <w:footnote w:id="30">
    <w:p w:rsidR="007526F0" w:rsidRPr="00C04BAD" w:rsidRDefault="007526F0">
      <w:pPr>
        <w:pStyle w:val="FootnoteText"/>
        <w:rPr>
          <w:lang w:val="fr-BE"/>
        </w:rPr>
      </w:pPr>
      <w:r>
        <w:rPr>
          <w:rStyle w:val="FootnoteReference"/>
        </w:rPr>
        <w:footnoteRef/>
      </w:r>
      <w:r w:rsidRPr="00C04BAD">
        <w:rPr>
          <w:lang w:val="fr-BE"/>
        </w:rPr>
        <w:t xml:space="preserve"> </w:t>
      </w:r>
      <w:r w:rsidRPr="00D6550A">
        <w:rPr>
          <w:lang w:val="fr-BE"/>
        </w:rPr>
        <w:t>En 2012, le territoire fournissait 78% du volume des captures du Maroc et du Sahara occidental confondus et 79% en valeur.</w:t>
      </w:r>
    </w:p>
  </w:footnote>
  <w:footnote w:id="31">
    <w:p w:rsidR="007526F0" w:rsidRPr="00D6550A" w:rsidRDefault="007526F0" w:rsidP="00D6550A">
      <w:pPr>
        <w:pStyle w:val="FootnoteText"/>
        <w:rPr>
          <w:lang w:val="fr-BE"/>
        </w:rPr>
      </w:pPr>
      <w:r>
        <w:rPr>
          <w:rStyle w:val="FootnoteReference"/>
        </w:rPr>
        <w:footnoteRef/>
      </w:r>
      <w:r w:rsidRPr="00C04BAD">
        <w:rPr>
          <w:lang w:val="fr-BE"/>
        </w:rPr>
        <w:t xml:space="preserve"> </w:t>
      </w:r>
      <w:r w:rsidRPr="00D6550A">
        <w:rPr>
          <w:lang w:val="fr-BE"/>
        </w:rPr>
        <w:t xml:space="preserve">  Voir le rapport du Conseil économique, social et environnemental : « Nouveau modèle de développement pour les provinces du Sud – Octobre 2013 », page 44 </w:t>
      </w:r>
    </w:p>
    <w:p w:rsidR="007526F0" w:rsidRPr="00C04BAD" w:rsidRDefault="000A3A2E" w:rsidP="00D6550A">
      <w:pPr>
        <w:pStyle w:val="FootnoteText"/>
        <w:rPr>
          <w:lang w:val="fr-BE"/>
        </w:rPr>
      </w:pPr>
      <w:hyperlink r:id="rId10" w:history="1">
        <w:r w:rsidR="007526F0" w:rsidRPr="008A178B">
          <w:rPr>
            <w:rStyle w:val="Hyperlink"/>
            <w:lang w:val="fr-BE"/>
          </w:rPr>
          <w:t>http://www.ces.ma/Documents/PDF/Web-Rapport-NMDPSR-FR.pdf</w:t>
        </w:r>
      </w:hyperlink>
      <w:r w:rsidR="007526F0">
        <w:rPr>
          <w:lang w:val="fr-BE"/>
        </w:rPr>
        <w:t xml:space="preserve"> </w:t>
      </w:r>
      <w:r w:rsidR="007526F0" w:rsidRPr="00D6550A">
        <w:rPr>
          <w:lang w:val="fr-BE"/>
        </w:rPr>
        <w:t xml:space="preserve">(consulté le </w:t>
      </w:r>
      <w:r w:rsidR="007526F0">
        <w:rPr>
          <w:lang w:val="fr-BE"/>
        </w:rPr>
        <w:t>2</w:t>
      </w:r>
      <w:r w:rsidR="007526F0" w:rsidRPr="00D6550A">
        <w:rPr>
          <w:lang w:val="fr-BE"/>
        </w:rPr>
        <w:t>3/04/2018)</w:t>
      </w:r>
    </w:p>
  </w:footnote>
  <w:footnote w:id="32">
    <w:p w:rsidR="007526F0" w:rsidRPr="00BC63E6" w:rsidRDefault="007526F0" w:rsidP="00F60564">
      <w:pPr>
        <w:pStyle w:val="FootnoteText"/>
        <w:jc w:val="both"/>
        <w:rPr>
          <w:lang w:val="fr-BE"/>
        </w:rPr>
      </w:pPr>
      <w:r>
        <w:rPr>
          <w:rStyle w:val="FootnoteReference"/>
        </w:rPr>
        <w:footnoteRef/>
      </w:r>
      <w:r w:rsidRPr="00BC63E6">
        <w:rPr>
          <w:lang w:val="fr-BE"/>
        </w:rPr>
        <w:t xml:space="preserve"> Les produits de la pêche visés ici sont ceux repris au chapitre 3 de la nomenclature tarifaire </w:t>
      </w:r>
      <w:r>
        <w:rPr>
          <w:lang w:val="fr-BE"/>
        </w:rPr>
        <w:t xml:space="preserve">(poissons et crustacés, mollusques et autres invertébrés aquatiques) </w:t>
      </w:r>
      <w:r w:rsidRPr="00BC63E6">
        <w:rPr>
          <w:lang w:val="fr-BE"/>
        </w:rPr>
        <w:t xml:space="preserve">et </w:t>
      </w:r>
      <w:r>
        <w:rPr>
          <w:lang w:val="fr-BE"/>
        </w:rPr>
        <w:t>aux</w:t>
      </w:r>
      <w:r w:rsidRPr="00BC63E6">
        <w:rPr>
          <w:lang w:val="fr-BE"/>
        </w:rPr>
        <w:t xml:space="preserve"> positions 1504</w:t>
      </w:r>
      <w:r>
        <w:rPr>
          <w:lang w:val="fr-BE"/>
        </w:rPr>
        <w:t xml:space="preserve"> (graisses et huiles et leurs fractions, de poissons ou de mammifères marins, même raffinées mais non chimiquement modifiées)</w:t>
      </w:r>
      <w:r w:rsidRPr="00BC63E6">
        <w:rPr>
          <w:lang w:val="fr-BE"/>
        </w:rPr>
        <w:t>, 1603</w:t>
      </w:r>
      <w:r>
        <w:rPr>
          <w:lang w:val="fr-BE"/>
        </w:rPr>
        <w:t xml:space="preserve"> (extraits et jus de viande, de poissons ou de crustacés, de mollusques ou d’autres invertébrés aquatiques)</w:t>
      </w:r>
      <w:r w:rsidRPr="00BC63E6">
        <w:rPr>
          <w:lang w:val="fr-BE"/>
        </w:rPr>
        <w:t xml:space="preserve">, 1604 </w:t>
      </w:r>
      <w:r>
        <w:rPr>
          <w:lang w:val="fr-BE"/>
        </w:rPr>
        <w:t>(préparations et conserves de poissons ; caviar et ses succédanés préparés à partir d’œufs de poissons) et</w:t>
      </w:r>
      <w:r w:rsidRPr="00BC63E6">
        <w:rPr>
          <w:lang w:val="fr-BE"/>
        </w:rPr>
        <w:t xml:space="preserve"> 2301</w:t>
      </w:r>
      <w:r>
        <w:rPr>
          <w:lang w:val="fr-BE"/>
        </w:rPr>
        <w:t xml:space="preserve"> (farines, poudres et agglomérés sous forme de pellets, de viandes, d’abats, de poissons ou de crustacés, de mollusques ou d’autres invertébrés aquatiques, impropres à l’alimentation humaine ; cretons)</w:t>
      </w:r>
      <w:r w:rsidRPr="00BC63E6">
        <w:rPr>
          <w:lang w:val="fr-BE"/>
        </w:rPr>
        <w:t>.</w:t>
      </w:r>
    </w:p>
  </w:footnote>
  <w:footnote w:id="33">
    <w:p w:rsidR="007526F0" w:rsidRPr="003061A8" w:rsidRDefault="007526F0" w:rsidP="009F2925">
      <w:pPr>
        <w:pStyle w:val="FootnoteText"/>
        <w:jc w:val="both"/>
        <w:rPr>
          <w:lang w:val="fr-BE"/>
        </w:rPr>
      </w:pPr>
      <w:r>
        <w:rPr>
          <w:rStyle w:val="FootnoteReference"/>
        </w:rPr>
        <w:footnoteRef/>
      </w:r>
      <w:r w:rsidRPr="003061A8">
        <w:rPr>
          <w:lang w:val="fr-BE"/>
        </w:rPr>
        <w:t xml:space="preserve"> Toutes ces importations sont entrées dans l’U</w:t>
      </w:r>
      <w:r>
        <w:rPr>
          <w:lang w:val="fr-BE"/>
        </w:rPr>
        <w:t>nion</w:t>
      </w:r>
      <w:r w:rsidRPr="003061A8">
        <w:rPr>
          <w:lang w:val="fr-BE"/>
        </w:rPr>
        <w:t xml:space="preserve"> en bénéficiant des préférences tarifaires (droit nul) sur la base des règles d’origine figurant au protocole n° 4 de l’accord d’association UE-Maroc.</w:t>
      </w:r>
    </w:p>
  </w:footnote>
  <w:footnote w:id="34">
    <w:p w:rsidR="007526F0" w:rsidRPr="00DE3C37" w:rsidRDefault="007526F0" w:rsidP="009F2925">
      <w:pPr>
        <w:pStyle w:val="FootnoteText"/>
        <w:jc w:val="both"/>
        <w:rPr>
          <w:lang w:val="fr-BE"/>
        </w:rPr>
      </w:pPr>
      <w:r>
        <w:rPr>
          <w:rStyle w:val="FootnoteReference"/>
        </w:rPr>
        <w:footnoteRef/>
      </w:r>
      <w:r w:rsidRPr="00DE3C37">
        <w:rPr>
          <w:lang w:val="fr-BE"/>
        </w:rPr>
        <w:t xml:space="preserve"> Selon les chiffres de l’U</w:t>
      </w:r>
      <w:r>
        <w:rPr>
          <w:lang w:val="fr-BE"/>
        </w:rPr>
        <w:t>nion</w:t>
      </w:r>
      <w:r w:rsidRPr="00DE3C37">
        <w:rPr>
          <w:lang w:val="fr-BE"/>
        </w:rPr>
        <w:t xml:space="preserve"> (source: estimations extraites de la base de données TRACES et d’Eurostat), les importations dans l’U</w:t>
      </w:r>
      <w:r>
        <w:rPr>
          <w:lang w:val="fr-BE"/>
        </w:rPr>
        <w:t>nion</w:t>
      </w:r>
      <w:r w:rsidRPr="00DE3C37">
        <w:rPr>
          <w:lang w:val="fr-BE"/>
        </w:rPr>
        <w:t xml:space="preserve"> de produits de la pêche </w:t>
      </w:r>
      <w:r>
        <w:rPr>
          <w:lang w:val="fr-BE"/>
        </w:rPr>
        <w:t xml:space="preserve">à partir d'établissement agréés </w:t>
      </w:r>
      <w:r w:rsidRPr="00DE3C37">
        <w:rPr>
          <w:lang w:val="fr-BE"/>
        </w:rPr>
        <w:t>du S</w:t>
      </w:r>
      <w:r>
        <w:rPr>
          <w:lang w:val="fr-BE"/>
        </w:rPr>
        <w:t>ahara occidental</w:t>
      </w:r>
      <w:r w:rsidRPr="00DE3C37">
        <w:rPr>
          <w:lang w:val="fr-BE"/>
        </w:rPr>
        <w:t xml:space="preserve"> étaient estimées à 69</w:t>
      </w:r>
      <w:r>
        <w:rPr>
          <w:lang w:val="fr-BE"/>
        </w:rPr>
        <w:t>.</w:t>
      </w:r>
      <w:r w:rsidRPr="00DE3C37">
        <w:rPr>
          <w:lang w:val="fr-BE"/>
        </w:rPr>
        <w:t>350 ton</w:t>
      </w:r>
      <w:r>
        <w:rPr>
          <w:lang w:val="fr-BE"/>
        </w:rPr>
        <w:t>ne</w:t>
      </w:r>
      <w:r w:rsidRPr="00DE3C37">
        <w:rPr>
          <w:lang w:val="fr-BE"/>
        </w:rPr>
        <w:t xml:space="preserve">s </w:t>
      </w:r>
      <w:r>
        <w:rPr>
          <w:lang w:val="fr-BE"/>
        </w:rPr>
        <w:t>en 2015 et</w:t>
      </w:r>
      <w:r w:rsidRPr="00DE3C37">
        <w:rPr>
          <w:lang w:val="fr-BE"/>
        </w:rPr>
        <w:t xml:space="preserve"> 58</w:t>
      </w:r>
      <w:r>
        <w:rPr>
          <w:lang w:val="fr-BE"/>
        </w:rPr>
        <w:t>.</w:t>
      </w:r>
      <w:r w:rsidRPr="00DE187D">
        <w:rPr>
          <w:lang w:val="fr-BE"/>
        </w:rPr>
        <w:t xml:space="preserve">436 tonnes </w:t>
      </w:r>
      <w:r>
        <w:rPr>
          <w:lang w:val="fr-BE"/>
        </w:rPr>
        <w:t>en 2016</w:t>
      </w:r>
      <w:r w:rsidRPr="00DE187D">
        <w:rPr>
          <w:lang w:val="fr-BE"/>
        </w:rPr>
        <w:t xml:space="preserve">. </w:t>
      </w:r>
      <w:r w:rsidRPr="00DE3C37">
        <w:rPr>
          <w:lang w:val="fr-BE"/>
        </w:rPr>
        <w:t>Ces chiffres représentent 30,9 % et 23,9 % du volume total des importations de produits de la pêche en provenance du Maroc (et du S</w:t>
      </w:r>
      <w:r>
        <w:rPr>
          <w:lang w:val="fr-BE"/>
        </w:rPr>
        <w:t>ahara occidental</w:t>
      </w:r>
      <w:r w:rsidRPr="00DE3C37">
        <w:rPr>
          <w:lang w:val="fr-BE"/>
        </w:rPr>
        <w:t>) pour ces années.</w:t>
      </w:r>
      <w:r>
        <w:rPr>
          <w:lang w:val="fr-BE"/>
        </w:rPr>
        <w:t xml:space="preserve"> Les différences avec les informations marocaines peuvent s’expliquer par la manière de calculer les exportations de produits du Sahara occidental.</w:t>
      </w:r>
    </w:p>
  </w:footnote>
  <w:footnote w:id="35">
    <w:p w:rsidR="007526F0" w:rsidRPr="00086849" w:rsidRDefault="007526F0" w:rsidP="009F2925">
      <w:pPr>
        <w:pStyle w:val="FootnoteText"/>
        <w:jc w:val="both"/>
        <w:rPr>
          <w:lang w:val="fr-BE"/>
        </w:rPr>
      </w:pPr>
      <w:r>
        <w:rPr>
          <w:rStyle w:val="FootnoteReference"/>
        </w:rPr>
        <w:footnoteRef/>
      </w:r>
      <w:r w:rsidRPr="00DE3C37">
        <w:rPr>
          <w:lang w:val="fr-BE"/>
        </w:rPr>
        <w:t xml:space="preserve"> D’après les estimations des services de la Commission</w:t>
      </w:r>
      <w:r>
        <w:rPr>
          <w:lang w:val="fr-BE"/>
        </w:rPr>
        <w:t xml:space="preserve"> européenne</w:t>
      </w:r>
      <w:r w:rsidRPr="00DE3C37">
        <w:rPr>
          <w:lang w:val="fr-BE"/>
        </w:rPr>
        <w:t>, les importations du S</w:t>
      </w:r>
      <w:r>
        <w:rPr>
          <w:lang w:val="fr-BE"/>
        </w:rPr>
        <w:t>ahara occidental</w:t>
      </w:r>
      <w:r w:rsidRPr="00DE3C37">
        <w:rPr>
          <w:lang w:val="fr-BE"/>
        </w:rPr>
        <w:t xml:space="preserve"> représentaient 21,2 % </w:t>
      </w:r>
      <w:r>
        <w:rPr>
          <w:lang w:val="fr-BE"/>
        </w:rPr>
        <w:t xml:space="preserve">en 2015 </w:t>
      </w:r>
      <w:r w:rsidRPr="00DE3C37">
        <w:rPr>
          <w:lang w:val="fr-BE"/>
        </w:rPr>
        <w:t xml:space="preserve">et 10,6 % en 2016 </w:t>
      </w:r>
      <w:r>
        <w:rPr>
          <w:lang w:val="fr-BE"/>
        </w:rPr>
        <w:t xml:space="preserve"> du montant total  des importations du Maroc et du Sahara occidental</w:t>
      </w:r>
      <w:r w:rsidRPr="00DE3C37">
        <w:rPr>
          <w:lang w:val="fr-BE"/>
        </w:rPr>
        <w:t xml:space="preserve">: </w:t>
      </w:r>
      <w:r>
        <w:rPr>
          <w:lang w:val="fr-BE"/>
        </w:rPr>
        <w:t xml:space="preserve">les </w:t>
      </w:r>
      <w:r w:rsidRPr="00DE3C37">
        <w:rPr>
          <w:lang w:val="fr-BE"/>
        </w:rPr>
        <w:t>import</w:t>
      </w:r>
      <w:r>
        <w:rPr>
          <w:lang w:val="fr-BE"/>
        </w:rPr>
        <w:t>ation</w:t>
      </w:r>
      <w:r w:rsidRPr="00DE3C37">
        <w:rPr>
          <w:lang w:val="fr-BE"/>
        </w:rPr>
        <w:t xml:space="preserve">s </w:t>
      </w:r>
      <w:r>
        <w:rPr>
          <w:lang w:val="fr-BE"/>
        </w:rPr>
        <w:t>de produits de la pêche du Sahara occidental dans l’Union s’élevaient à</w:t>
      </w:r>
      <w:r w:rsidRPr="00DE3C37">
        <w:rPr>
          <w:lang w:val="fr-BE"/>
        </w:rPr>
        <w:t xml:space="preserve"> 215 million</w:t>
      </w:r>
      <w:r>
        <w:rPr>
          <w:lang w:val="fr-BE"/>
        </w:rPr>
        <w:t>s</w:t>
      </w:r>
      <w:r w:rsidRPr="00DE3C37">
        <w:rPr>
          <w:lang w:val="fr-BE"/>
        </w:rPr>
        <w:t xml:space="preserve"> </w:t>
      </w:r>
      <w:r>
        <w:rPr>
          <w:lang w:val="fr-BE"/>
        </w:rPr>
        <w:t>d’euros</w:t>
      </w:r>
      <w:r w:rsidRPr="00DE3C37">
        <w:rPr>
          <w:lang w:val="fr-BE"/>
        </w:rPr>
        <w:t xml:space="preserve"> </w:t>
      </w:r>
      <w:r>
        <w:rPr>
          <w:lang w:val="fr-BE"/>
        </w:rPr>
        <w:t>e</w:t>
      </w:r>
      <w:r w:rsidRPr="00DE3C37">
        <w:rPr>
          <w:lang w:val="fr-BE"/>
        </w:rPr>
        <w:t xml:space="preserve">n 2015 </w:t>
      </w:r>
      <w:r>
        <w:rPr>
          <w:lang w:val="fr-BE"/>
        </w:rPr>
        <w:t>et à</w:t>
      </w:r>
      <w:r w:rsidRPr="00DE3C37">
        <w:rPr>
          <w:lang w:val="fr-BE"/>
        </w:rPr>
        <w:t xml:space="preserve"> 122 million</w:t>
      </w:r>
      <w:r>
        <w:rPr>
          <w:lang w:val="fr-BE"/>
        </w:rPr>
        <w:t>s</w:t>
      </w:r>
      <w:r w:rsidRPr="00DE3C37">
        <w:rPr>
          <w:lang w:val="fr-BE"/>
        </w:rPr>
        <w:t xml:space="preserve"> </w:t>
      </w:r>
      <w:r>
        <w:rPr>
          <w:lang w:val="fr-BE"/>
        </w:rPr>
        <w:t>d’euros</w:t>
      </w:r>
      <w:r w:rsidRPr="00DE3C37">
        <w:rPr>
          <w:lang w:val="fr-BE"/>
        </w:rPr>
        <w:t xml:space="preserve"> </w:t>
      </w:r>
      <w:r>
        <w:rPr>
          <w:lang w:val="fr-BE"/>
        </w:rPr>
        <w:t>e</w:t>
      </w:r>
      <w:r w:rsidRPr="00DE3C37">
        <w:rPr>
          <w:lang w:val="fr-BE"/>
        </w:rPr>
        <w:t>n 2016 (</w:t>
      </w:r>
      <w:r>
        <w:rPr>
          <w:lang w:val="fr-BE"/>
        </w:rPr>
        <w:t>les chiffres officiels d’Eurostat correspondant pour la totalité des exportations du Maroc et du Sahara occidental s’élèvent</w:t>
      </w:r>
      <w:r w:rsidRPr="00DE3C37">
        <w:rPr>
          <w:lang w:val="fr-BE"/>
        </w:rPr>
        <w:t xml:space="preserve"> 1,01 </w:t>
      </w:r>
      <w:r>
        <w:rPr>
          <w:lang w:val="fr-BE"/>
        </w:rPr>
        <w:t>milliard</w:t>
      </w:r>
      <w:r w:rsidRPr="00DE3C37">
        <w:rPr>
          <w:lang w:val="fr-BE"/>
        </w:rPr>
        <w:t xml:space="preserve"> </w:t>
      </w:r>
      <w:r>
        <w:rPr>
          <w:lang w:val="fr-BE"/>
        </w:rPr>
        <w:t>d’euros</w:t>
      </w:r>
      <w:r w:rsidRPr="00DE3C37">
        <w:rPr>
          <w:lang w:val="fr-BE"/>
        </w:rPr>
        <w:t xml:space="preserve"> </w:t>
      </w:r>
      <w:r>
        <w:rPr>
          <w:lang w:val="fr-BE"/>
        </w:rPr>
        <w:t>en 2015 et à</w:t>
      </w:r>
      <w:r w:rsidRPr="00DE3C37">
        <w:rPr>
          <w:lang w:val="fr-BE"/>
        </w:rPr>
        <w:t xml:space="preserve"> 1,14 </w:t>
      </w:r>
      <w:r>
        <w:rPr>
          <w:lang w:val="fr-BE"/>
        </w:rPr>
        <w:t>milliard d’euros</w:t>
      </w:r>
      <w:r w:rsidRPr="00DE3C37">
        <w:rPr>
          <w:lang w:val="fr-BE"/>
        </w:rPr>
        <w:t xml:space="preserve"> </w:t>
      </w:r>
      <w:r>
        <w:rPr>
          <w:lang w:val="fr-BE"/>
        </w:rPr>
        <w:t>en 2016</w:t>
      </w:r>
      <w:r w:rsidRPr="00DE3C37">
        <w:rPr>
          <w:lang w:val="fr-BE"/>
        </w:rPr>
        <w:t xml:space="preserve">). Selon </w:t>
      </w:r>
      <w:r>
        <w:rPr>
          <w:lang w:val="fr-BE"/>
        </w:rPr>
        <w:t>des informations marocaines</w:t>
      </w:r>
      <w:r w:rsidRPr="00DE3C37">
        <w:rPr>
          <w:lang w:val="fr-BE"/>
        </w:rPr>
        <w:t>, les export</w:t>
      </w:r>
      <w:r>
        <w:rPr>
          <w:lang w:val="fr-BE"/>
        </w:rPr>
        <w:t>ation</w:t>
      </w:r>
      <w:r w:rsidRPr="00DE3C37">
        <w:rPr>
          <w:lang w:val="fr-BE"/>
        </w:rPr>
        <w:t>s du S</w:t>
      </w:r>
      <w:r>
        <w:rPr>
          <w:lang w:val="fr-BE"/>
        </w:rPr>
        <w:t>ahara occidental</w:t>
      </w:r>
      <w:r w:rsidRPr="00DE3C37">
        <w:rPr>
          <w:lang w:val="fr-BE"/>
        </w:rPr>
        <w:t xml:space="preserve"> de produits de la p</w:t>
      </w:r>
      <w:r>
        <w:rPr>
          <w:lang w:val="fr-BE"/>
        </w:rPr>
        <w:t xml:space="preserve">êche étaient de </w:t>
      </w:r>
      <w:r w:rsidRPr="00DE3C37">
        <w:rPr>
          <w:lang w:val="fr-BE"/>
        </w:rPr>
        <w:t xml:space="preserve"> 121 million</w:t>
      </w:r>
      <w:r>
        <w:rPr>
          <w:lang w:val="fr-BE"/>
        </w:rPr>
        <w:t>s</w:t>
      </w:r>
      <w:r w:rsidRPr="00DE3C37">
        <w:rPr>
          <w:lang w:val="fr-BE"/>
        </w:rPr>
        <w:t xml:space="preserve"> </w:t>
      </w:r>
      <w:r>
        <w:rPr>
          <w:lang w:val="fr-BE"/>
        </w:rPr>
        <w:t>d’euros</w:t>
      </w:r>
      <w:r w:rsidRPr="00DE3C37">
        <w:rPr>
          <w:lang w:val="fr-BE"/>
        </w:rPr>
        <w:t xml:space="preserve"> </w:t>
      </w:r>
      <w:r>
        <w:rPr>
          <w:lang w:val="fr-BE"/>
        </w:rPr>
        <w:t>e</w:t>
      </w:r>
      <w:r w:rsidRPr="00DE3C37">
        <w:rPr>
          <w:lang w:val="fr-BE"/>
        </w:rPr>
        <w:t xml:space="preserve">n 2015 </w:t>
      </w:r>
      <w:r>
        <w:rPr>
          <w:lang w:val="fr-BE"/>
        </w:rPr>
        <w:t>et de</w:t>
      </w:r>
      <w:r w:rsidRPr="00DE3C37">
        <w:rPr>
          <w:lang w:val="fr-BE"/>
        </w:rPr>
        <w:t xml:space="preserve"> 134 million</w:t>
      </w:r>
      <w:r>
        <w:rPr>
          <w:lang w:val="fr-BE"/>
        </w:rPr>
        <w:t>s</w:t>
      </w:r>
      <w:r w:rsidRPr="00DE3C37">
        <w:rPr>
          <w:lang w:val="fr-BE"/>
        </w:rPr>
        <w:t xml:space="preserve"> </w:t>
      </w:r>
      <w:r>
        <w:rPr>
          <w:lang w:val="fr-BE"/>
        </w:rPr>
        <w:t>d’euros</w:t>
      </w:r>
      <w:r w:rsidRPr="00DE3C37">
        <w:rPr>
          <w:lang w:val="fr-BE"/>
        </w:rPr>
        <w:t xml:space="preserve"> </w:t>
      </w:r>
      <w:r>
        <w:rPr>
          <w:lang w:val="fr-BE"/>
        </w:rPr>
        <w:t>e</w:t>
      </w:r>
      <w:r w:rsidRPr="00DE3C37">
        <w:rPr>
          <w:lang w:val="fr-BE"/>
        </w:rPr>
        <w:t xml:space="preserve">n 2016. </w:t>
      </w:r>
      <w:r>
        <w:rPr>
          <w:lang w:val="fr-BE"/>
        </w:rPr>
        <w:t>Ces différences pourraient s’expliquer par le fait que les chiffres de l’Union, se rapportent à des chiffres d’importations dans l’Union et sont exprimés en euros</w:t>
      </w:r>
      <w:r w:rsidRPr="00DE3C37">
        <w:rPr>
          <w:lang w:val="fr-BE"/>
        </w:rPr>
        <w:t xml:space="preserve"> </w:t>
      </w:r>
      <w:r>
        <w:rPr>
          <w:lang w:val="fr-BE"/>
        </w:rPr>
        <w:t>alors que ceux issus des informations marocaines se rapportent à des exportations et sont exprimés en d</w:t>
      </w:r>
      <w:r w:rsidRPr="00DE3C37">
        <w:rPr>
          <w:lang w:val="fr-BE"/>
        </w:rPr>
        <w:t>irhams convert</w:t>
      </w:r>
      <w:r>
        <w:rPr>
          <w:lang w:val="fr-BE"/>
        </w:rPr>
        <w:t>is en</w:t>
      </w:r>
      <w:r w:rsidRPr="00086849">
        <w:rPr>
          <w:lang w:val="fr-BE"/>
        </w:rPr>
        <w:t xml:space="preserve"> </w:t>
      </w:r>
      <w:r>
        <w:rPr>
          <w:lang w:val="fr-BE"/>
        </w:rPr>
        <w:t>euros.</w:t>
      </w:r>
    </w:p>
  </w:footnote>
  <w:footnote w:id="36">
    <w:p w:rsidR="007526F0" w:rsidRPr="00EC3678" w:rsidRDefault="007526F0">
      <w:pPr>
        <w:pStyle w:val="FootnoteText"/>
        <w:rPr>
          <w:lang w:val="fr-BE"/>
        </w:rPr>
      </w:pPr>
      <w:r>
        <w:rPr>
          <w:rStyle w:val="FootnoteReference"/>
        </w:rPr>
        <w:footnoteRef/>
      </w:r>
      <w:r w:rsidRPr="00EC3678">
        <w:rPr>
          <w:lang w:val="fr-BE"/>
        </w:rPr>
        <w:t xml:space="preserve"> </w:t>
      </w:r>
      <w:hyperlink r:id="rId11" w:history="1">
        <w:r w:rsidRPr="006C00C1">
          <w:rPr>
            <w:rStyle w:val="Hyperlink"/>
            <w:lang w:val="fr-BE"/>
          </w:rPr>
          <w:t>https://webgate.ec.europa.eu/sanco/traces/output/MA/FFP_MA_en.pdf</w:t>
        </w:r>
      </w:hyperlink>
    </w:p>
  </w:footnote>
  <w:footnote w:id="37">
    <w:p w:rsidR="007526F0" w:rsidRPr="00DB3D18" w:rsidRDefault="007526F0">
      <w:pPr>
        <w:pStyle w:val="FootnoteText"/>
        <w:rPr>
          <w:lang w:val="fr-BE"/>
        </w:rPr>
      </w:pPr>
      <w:r>
        <w:rPr>
          <w:rStyle w:val="FootnoteReference"/>
        </w:rPr>
        <w:footnoteRef/>
      </w:r>
      <w:r w:rsidRPr="00DB3D18">
        <w:rPr>
          <w:lang w:val="fr-BE"/>
        </w:rPr>
        <w:t xml:space="preserve"> </w:t>
      </w:r>
      <w:r>
        <w:rPr>
          <w:lang w:val="fr-BE"/>
        </w:rPr>
        <w:t>Ces données incluent les emplois mentionnés dans le tableau précédent.</w:t>
      </w:r>
    </w:p>
  </w:footnote>
  <w:footnote w:id="38">
    <w:p w:rsidR="007526F0" w:rsidRPr="003F2A95" w:rsidRDefault="007526F0" w:rsidP="003F2A95">
      <w:pPr>
        <w:pStyle w:val="FootnoteText"/>
        <w:jc w:val="both"/>
        <w:rPr>
          <w:lang w:val="fr-BE"/>
        </w:rPr>
      </w:pPr>
      <w:r>
        <w:rPr>
          <w:rStyle w:val="FootnoteReference"/>
        </w:rPr>
        <w:footnoteRef/>
      </w:r>
      <w:r w:rsidRPr="003F2A95">
        <w:rPr>
          <w:lang w:val="fr-BE"/>
        </w:rPr>
        <w:t xml:space="preserve"> </w:t>
      </w:r>
      <w:r>
        <w:rPr>
          <w:lang w:val="fr-BE"/>
        </w:rPr>
        <w:t xml:space="preserve">Dans l'état actuel du droit et </w:t>
      </w:r>
      <w:r w:rsidRPr="003F2A95">
        <w:rPr>
          <w:lang w:val="fr-BE"/>
        </w:rPr>
        <w:t xml:space="preserve">selon les dispositions de l'accord d'association </w:t>
      </w:r>
      <w:r>
        <w:rPr>
          <w:lang w:val="fr-BE"/>
        </w:rPr>
        <w:t>UE-</w:t>
      </w:r>
      <w:r w:rsidRPr="003F2A95">
        <w:rPr>
          <w:lang w:val="fr-BE"/>
        </w:rPr>
        <w:t xml:space="preserve">Maroc, </w:t>
      </w:r>
      <w:r w:rsidRPr="0081304C">
        <w:rPr>
          <w:lang w:val="fr-BE"/>
        </w:rPr>
        <w:t xml:space="preserve">il suffit que les produits aient été pêchés </w:t>
      </w:r>
      <w:r w:rsidRPr="003F2A95">
        <w:rPr>
          <w:lang w:val="fr-BE"/>
        </w:rPr>
        <w:t>hors des eaux territoriales (12 milles) du Sahara occidental par de</w:t>
      </w:r>
      <w:r>
        <w:rPr>
          <w:lang w:val="fr-BE"/>
        </w:rPr>
        <w:t>s</w:t>
      </w:r>
      <w:r w:rsidRPr="003F2A95">
        <w:rPr>
          <w:lang w:val="fr-BE"/>
        </w:rPr>
        <w:t xml:space="preserve"> navires d'une des deux Parties pour que ces produits </w:t>
      </w:r>
      <w:r>
        <w:rPr>
          <w:lang w:val="fr-BE"/>
        </w:rPr>
        <w:t xml:space="preserve">qui seraient </w:t>
      </w:r>
      <w:r w:rsidRPr="003F2A95">
        <w:rPr>
          <w:lang w:val="fr-BE"/>
        </w:rPr>
        <w:t xml:space="preserve">transformés au Maroc </w:t>
      </w:r>
      <w:r>
        <w:rPr>
          <w:lang w:val="fr-BE"/>
        </w:rPr>
        <w:t xml:space="preserve">reçoivent </w:t>
      </w:r>
      <w:r w:rsidRPr="003F2A95">
        <w:rPr>
          <w:lang w:val="fr-BE"/>
        </w:rPr>
        <w:t>un traitement préférentiel dans l'U</w:t>
      </w:r>
      <w:r>
        <w:rPr>
          <w:lang w:val="fr-BE"/>
        </w:rPr>
        <w:t>nion</w:t>
      </w:r>
      <w:r w:rsidRPr="003F2A95">
        <w:rPr>
          <w:lang w:val="fr-BE"/>
        </w:rPr>
        <w:t>.</w:t>
      </w:r>
    </w:p>
  </w:footnote>
  <w:footnote w:id="39">
    <w:p w:rsidR="007526F0" w:rsidRPr="00EC3678" w:rsidRDefault="007526F0" w:rsidP="00502405">
      <w:pPr>
        <w:pStyle w:val="FootnoteText"/>
        <w:rPr>
          <w:lang w:val="fr-BE"/>
        </w:rPr>
      </w:pPr>
      <w:r>
        <w:rPr>
          <w:rStyle w:val="FootnoteReference"/>
        </w:rPr>
        <w:footnoteRef/>
      </w:r>
      <w:r w:rsidRPr="00EC3678">
        <w:rPr>
          <w:lang w:val="fr-BE"/>
        </w:rPr>
        <w:t xml:space="preserve"> </w:t>
      </w:r>
      <w:hyperlink r:id="rId12" w:history="1">
        <w:r w:rsidRPr="00EC3678">
          <w:rPr>
            <w:rStyle w:val="Hyperlink"/>
            <w:lang w:val="fr-BE"/>
          </w:rPr>
          <w:t>http://www.wsrw.org/a214x2342</w:t>
        </w:r>
      </w:hyperlink>
      <w:r>
        <w:rPr>
          <w:rStyle w:val="Hyperlink"/>
          <w:lang w:val="fr-BE"/>
        </w:rPr>
        <w:t xml:space="preserve"> (consulté le 23/04/2018).</w:t>
      </w:r>
    </w:p>
  </w:footnote>
  <w:footnote w:id="40">
    <w:p w:rsidR="007526F0" w:rsidRPr="00EC3678" w:rsidRDefault="007526F0" w:rsidP="00502405">
      <w:pPr>
        <w:pStyle w:val="FootnoteText"/>
        <w:rPr>
          <w:lang w:val="fr-BE"/>
        </w:rPr>
      </w:pPr>
      <w:r>
        <w:rPr>
          <w:rStyle w:val="FootnoteReference"/>
        </w:rPr>
        <w:footnoteRef/>
      </w:r>
      <w:r w:rsidRPr="00EC3678">
        <w:rPr>
          <w:lang w:val="fr-BE"/>
        </w:rPr>
        <w:t xml:space="preserve"> </w:t>
      </w:r>
      <w:hyperlink r:id="rId13" w:history="1">
        <w:r w:rsidRPr="00EC3678">
          <w:rPr>
            <w:rStyle w:val="Hyperlink"/>
            <w:lang w:val="fr-BE"/>
          </w:rPr>
          <w:t>http://www.wsrw.org/a204x2048</w:t>
        </w:r>
      </w:hyperlink>
      <w:r>
        <w:rPr>
          <w:rStyle w:val="Hyperlink"/>
          <w:lang w:val="fr-BE"/>
        </w:rPr>
        <w:t xml:space="preserve"> (consulté le 23/04/2018).</w:t>
      </w:r>
    </w:p>
  </w:footnote>
  <w:footnote w:id="41">
    <w:p w:rsidR="007526F0" w:rsidRPr="00EC3678" w:rsidRDefault="007526F0" w:rsidP="00502405">
      <w:pPr>
        <w:pStyle w:val="FootnoteText"/>
        <w:rPr>
          <w:lang w:val="fr-BE"/>
        </w:rPr>
      </w:pPr>
      <w:r>
        <w:rPr>
          <w:rStyle w:val="FootnoteReference"/>
        </w:rPr>
        <w:footnoteRef/>
      </w:r>
      <w:r w:rsidRPr="00EC3678">
        <w:rPr>
          <w:lang w:val="fr-BE"/>
        </w:rPr>
        <w:t xml:space="preserve"> </w:t>
      </w:r>
      <w:hyperlink r:id="rId14" w:history="1">
        <w:r w:rsidRPr="00EC3678">
          <w:rPr>
            <w:rStyle w:val="Hyperlink"/>
            <w:lang w:val="fr-BE"/>
          </w:rPr>
          <w:t>http://www.wsrw.org/a217x2479</w:t>
        </w:r>
      </w:hyperlink>
      <w:r>
        <w:rPr>
          <w:rStyle w:val="Hyperlink"/>
          <w:lang w:val="fr-BE"/>
        </w:rPr>
        <w:t xml:space="preserve"> (consulté le 23/04/2018). Ces manifestations sembleraient plutôt concerner les pratiques de navires russes.</w:t>
      </w:r>
    </w:p>
  </w:footnote>
  <w:footnote w:id="42">
    <w:p w:rsidR="007526F0" w:rsidRPr="00EC3678" w:rsidRDefault="007526F0" w:rsidP="00502405">
      <w:pPr>
        <w:pStyle w:val="FootnoteText"/>
        <w:rPr>
          <w:lang w:val="fr-BE"/>
        </w:rPr>
      </w:pPr>
      <w:r>
        <w:rPr>
          <w:rStyle w:val="FootnoteReference"/>
        </w:rPr>
        <w:footnoteRef/>
      </w:r>
      <w:r w:rsidRPr="00EC3678">
        <w:rPr>
          <w:lang w:val="fr-BE"/>
        </w:rPr>
        <w:t xml:space="preserve"> </w:t>
      </w:r>
      <w:hyperlink r:id="rId15" w:history="1">
        <w:r w:rsidRPr="00EC3678">
          <w:rPr>
            <w:rStyle w:val="Hyperlink"/>
            <w:lang w:val="fr-BE"/>
          </w:rPr>
          <w:t>https://minerals.usgs.gov/minerals/pubs/commodity/phosphate_rock/mcs-2017-phosp.pdf</w:t>
        </w:r>
      </w:hyperlink>
      <w:r>
        <w:rPr>
          <w:rStyle w:val="Hyperlink"/>
          <w:lang w:val="fr-BE"/>
        </w:rPr>
        <w:t xml:space="preserve"> (consulté le 23/04/2018).</w:t>
      </w:r>
    </w:p>
  </w:footnote>
  <w:footnote w:id="43">
    <w:p w:rsidR="007526F0" w:rsidRPr="00DE74A4" w:rsidRDefault="007526F0" w:rsidP="00CB3B7A">
      <w:pPr>
        <w:pStyle w:val="FootnoteText"/>
        <w:rPr>
          <w:lang w:val="fr-BE"/>
        </w:rPr>
      </w:pPr>
      <w:r>
        <w:rPr>
          <w:rStyle w:val="FootnoteReference"/>
        </w:rPr>
        <w:footnoteRef/>
      </w:r>
      <w:r w:rsidRPr="00DE74A4">
        <w:rPr>
          <w:lang w:val="fr-BE"/>
        </w:rPr>
        <w:t xml:space="preserve"> </w:t>
      </w:r>
      <w:hyperlink r:id="rId16" w:history="1">
        <w:r w:rsidRPr="00DE74A4">
          <w:rPr>
            <w:rStyle w:val="Hyperlink"/>
            <w:lang w:val="fr-BE"/>
          </w:rPr>
          <w:t>http://www.ocpgroup.ma/</w:t>
        </w:r>
      </w:hyperlink>
      <w:r w:rsidRPr="00DE74A4">
        <w:rPr>
          <w:lang w:val="fr-BE"/>
        </w:rPr>
        <w:t xml:space="preserve"> </w:t>
      </w:r>
    </w:p>
  </w:footnote>
  <w:footnote w:id="44">
    <w:p w:rsidR="007526F0" w:rsidRDefault="007526F0" w:rsidP="00CB3B7A">
      <w:pPr>
        <w:pStyle w:val="FootnoteText"/>
        <w:rPr>
          <w:lang w:val="fr-BE"/>
        </w:rPr>
      </w:pPr>
      <w:r>
        <w:rPr>
          <w:rStyle w:val="FootnoteReference"/>
        </w:rPr>
        <w:footnoteRef/>
      </w:r>
      <w:r>
        <w:rPr>
          <w:lang w:val="fr-BE"/>
        </w:rPr>
        <w:t xml:space="preserve"> Le site de Phosboucraa tenu par la société OCP fait l’objet d’une page Internet : </w:t>
      </w:r>
      <w:hyperlink r:id="rId17" w:history="1">
        <w:r>
          <w:rPr>
            <w:rStyle w:val="Hyperlink"/>
            <w:lang w:val="fr-BE"/>
          </w:rPr>
          <w:t>http://www.phosboucraa.ma/</w:t>
        </w:r>
      </w:hyperlink>
      <w:r>
        <w:rPr>
          <w:lang w:val="fr-BE"/>
        </w:rPr>
        <w:t xml:space="preserve"> (consulté le 23/04/2018)</w:t>
      </w:r>
    </w:p>
  </w:footnote>
  <w:footnote w:id="45">
    <w:p w:rsidR="007526F0" w:rsidRPr="00DE74A4" w:rsidRDefault="007526F0">
      <w:pPr>
        <w:pStyle w:val="FootnoteText"/>
        <w:rPr>
          <w:lang w:val="fr-BE"/>
        </w:rPr>
      </w:pPr>
      <w:r>
        <w:rPr>
          <w:rStyle w:val="FootnoteReference"/>
        </w:rPr>
        <w:footnoteRef/>
      </w:r>
      <w:r w:rsidRPr="00DE74A4">
        <w:rPr>
          <w:lang w:val="fr-BE"/>
        </w:rPr>
        <w:t xml:space="preserve"> Selon Western Sahara Resource Watch</w:t>
      </w:r>
      <w:r w:rsidRPr="001D6D08">
        <w:rPr>
          <w:lang w:val="fr-BE"/>
        </w:rPr>
        <w:t xml:space="preserve"> la production de phosphate sur le site de Bou</w:t>
      </w:r>
      <w:r>
        <w:rPr>
          <w:lang w:val="fr-BE"/>
        </w:rPr>
        <w:t>c</w:t>
      </w:r>
      <w:r w:rsidRPr="001D6D08">
        <w:rPr>
          <w:lang w:val="fr-BE"/>
        </w:rPr>
        <w:t>r</w:t>
      </w:r>
      <w:r>
        <w:rPr>
          <w:lang w:val="fr-BE"/>
        </w:rPr>
        <w:t>a</w:t>
      </w:r>
      <w:r w:rsidRPr="001D6D08">
        <w:rPr>
          <w:lang w:val="fr-BE"/>
        </w:rPr>
        <w:t xml:space="preserve">a </w:t>
      </w:r>
      <w:r w:rsidRPr="00DE74A4">
        <w:rPr>
          <w:lang w:val="fr-BE"/>
        </w:rPr>
        <w:t xml:space="preserve">correspond à </w:t>
      </w:r>
      <w:r w:rsidRPr="001D6D08">
        <w:rPr>
          <w:lang w:val="fr-BE"/>
        </w:rPr>
        <w:t xml:space="preserve">10 % </w:t>
      </w:r>
      <w:r>
        <w:rPr>
          <w:lang w:val="fr-BE"/>
        </w:rPr>
        <w:t xml:space="preserve">de la production totale du Maroc et serait d’environ </w:t>
      </w:r>
      <w:r w:rsidRPr="001D6D08">
        <w:rPr>
          <w:lang w:val="fr-BE"/>
        </w:rPr>
        <w:t>3 million</w:t>
      </w:r>
      <w:r w:rsidRPr="00DE74A4">
        <w:rPr>
          <w:lang w:val="fr-BE"/>
        </w:rPr>
        <w:t xml:space="preserve">s de </w:t>
      </w:r>
      <w:r w:rsidRPr="001D6D08">
        <w:rPr>
          <w:lang w:val="fr-BE"/>
        </w:rPr>
        <w:t xml:space="preserve"> tonnes</w:t>
      </w:r>
      <w:r>
        <w:rPr>
          <w:lang w:val="fr-BE"/>
        </w:rPr>
        <w:t xml:space="preserve"> par an</w:t>
      </w:r>
      <w:r w:rsidRPr="001D6D08">
        <w:rPr>
          <w:lang w:val="fr-BE"/>
        </w:rPr>
        <w:t>.</w:t>
      </w:r>
      <w:r>
        <w:rPr>
          <w:lang w:val="fr-BE"/>
        </w:rPr>
        <w:t xml:space="preserve"> </w:t>
      </w:r>
      <w:hyperlink r:id="rId18" w:history="1">
        <w:r w:rsidRPr="008A178B">
          <w:rPr>
            <w:rStyle w:val="Hyperlink"/>
            <w:lang w:val="fr-BE"/>
          </w:rPr>
          <w:t>http://www.wsrw.org/a117x521</w:t>
        </w:r>
      </w:hyperlink>
      <w:r>
        <w:rPr>
          <w:lang w:val="fr-BE"/>
        </w:rPr>
        <w:t xml:space="preserve"> (consulté le 23/04/2018)</w:t>
      </w:r>
    </w:p>
  </w:footnote>
  <w:footnote w:id="46">
    <w:p w:rsidR="007526F0" w:rsidRPr="00A45FC2" w:rsidRDefault="007526F0" w:rsidP="003537E4">
      <w:pPr>
        <w:pStyle w:val="FootnoteText"/>
        <w:rPr>
          <w:lang w:val="fr-BE"/>
        </w:rPr>
      </w:pPr>
      <w:r>
        <w:rPr>
          <w:rStyle w:val="FootnoteReference"/>
        </w:rPr>
        <w:footnoteRef/>
      </w:r>
      <w:r w:rsidRPr="00A45FC2">
        <w:rPr>
          <w:lang w:val="fr-BE"/>
        </w:rPr>
        <w:t xml:space="preserve"> </w:t>
      </w:r>
      <w:hyperlink r:id="rId19" w:history="1">
        <w:r w:rsidRPr="008A178B">
          <w:rPr>
            <w:rStyle w:val="Hyperlink"/>
            <w:lang w:val="fr-BE"/>
          </w:rPr>
          <w:t>http://www.phosboucraa.ma/company/key-figures</w:t>
        </w:r>
      </w:hyperlink>
      <w:r>
        <w:rPr>
          <w:lang w:val="fr-BE"/>
        </w:rPr>
        <w:t xml:space="preserve"> (consulté le 23/04/2018).</w:t>
      </w:r>
    </w:p>
  </w:footnote>
  <w:footnote w:id="47">
    <w:p w:rsidR="007526F0" w:rsidRDefault="007526F0" w:rsidP="007B6104">
      <w:pPr>
        <w:pStyle w:val="FootnoteText"/>
        <w:jc w:val="both"/>
        <w:rPr>
          <w:lang w:val="fr-BE"/>
        </w:rPr>
      </w:pPr>
      <w:r>
        <w:rPr>
          <w:rStyle w:val="FootnoteReference"/>
        </w:rPr>
        <w:footnoteRef/>
      </w:r>
      <w:r w:rsidRPr="007B6104">
        <w:rPr>
          <w:lang w:val="fr-BE"/>
        </w:rPr>
        <w:t xml:space="preserve"> </w:t>
      </w:r>
      <w:r>
        <w:rPr>
          <w:lang w:val="fr-BE"/>
        </w:rPr>
        <w:t>A noter des chiffres parfois contradictoires à ce sujet : voir le r</w:t>
      </w:r>
      <w:r w:rsidRPr="00713764">
        <w:rPr>
          <w:lang w:val="fr-BE"/>
        </w:rPr>
        <w:t xml:space="preserve">apport </w:t>
      </w:r>
      <w:r>
        <w:rPr>
          <w:lang w:val="fr-BE"/>
        </w:rPr>
        <w:t xml:space="preserve">de l’Association Française d’Amitié et de Solidarité avec les Peuples d’Afrique </w:t>
      </w:r>
      <w:r w:rsidRPr="00713764">
        <w:rPr>
          <w:lang w:val="fr-BE"/>
        </w:rPr>
        <w:t>sur la remise en cause des droits contractuels des travailleurs de Phosboucrâa au Sahara Occidental</w:t>
      </w:r>
      <w:r>
        <w:rPr>
          <w:lang w:val="fr-BE"/>
        </w:rPr>
        <w:t> :</w:t>
      </w:r>
    </w:p>
    <w:p w:rsidR="007526F0" w:rsidRPr="007B6104" w:rsidRDefault="000A3A2E">
      <w:pPr>
        <w:pStyle w:val="FootnoteText"/>
        <w:rPr>
          <w:lang w:val="fr-BE"/>
        </w:rPr>
      </w:pPr>
      <w:hyperlink r:id="rId20" w:history="1">
        <w:r w:rsidR="007526F0" w:rsidRPr="00233BA4">
          <w:rPr>
            <w:rStyle w:val="Hyperlink"/>
            <w:lang w:val="fr-BE"/>
          </w:rPr>
          <w:t>http://www.afaspa.com/IMG/pdf/RAPPORT_PHOSBOUCRAA.pdf</w:t>
        </w:r>
      </w:hyperlink>
      <w:r w:rsidR="007526F0">
        <w:rPr>
          <w:lang w:val="fr-BE"/>
        </w:rPr>
        <w:t xml:space="preserve"> (consulté le 14/05/2018)</w:t>
      </w:r>
    </w:p>
  </w:footnote>
  <w:footnote w:id="48">
    <w:p w:rsidR="007526F0" w:rsidRPr="00C46736" w:rsidRDefault="007526F0" w:rsidP="000C6E37">
      <w:pPr>
        <w:pStyle w:val="FootnoteText"/>
        <w:rPr>
          <w:lang w:val="fr-BE"/>
        </w:rPr>
      </w:pPr>
      <w:r>
        <w:rPr>
          <w:rStyle w:val="FootnoteReference"/>
        </w:rPr>
        <w:footnoteRef/>
      </w:r>
      <w:r w:rsidRPr="00C46736">
        <w:rPr>
          <w:lang w:val="fr-BE"/>
        </w:rPr>
        <w:t xml:space="preserve"> </w:t>
      </w:r>
      <w:hyperlink r:id="rId21" w:history="1">
        <w:r w:rsidRPr="00D90182">
          <w:rPr>
            <w:rStyle w:val="Hyperlink"/>
            <w:lang w:val="fr-BE"/>
          </w:rPr>
          <w:t>http://www.wsrw.org/a112x576</w:t>
        </w:r>
      </w:hyperlink>
      <w:r>
        <w:rPr>
          <w:rStyle w:val="Hyperlink"/>
          <w:lang w:val="fr-BE"/>
        </w:rPr>
        <w:t xml:space="preserve"> (consulté le 23/04/2018).</w:t>
      </w:r>
    </w:p>
  </w:footnote>
  <w:footnote w:id="49">
    <w:p w:rsidR="007526F0" w:rsidRPr="007B6104" w:rsidRDefault="007526F0">
      <w:pPr>
        <w:pStyle w:val="FootnoteText"/>
        <w:rPr>
          <w:lang w:val="fr-BE"/>
        </w:rPr>
      </w:pPr>
      <w:r>
        <w:rPr>
          <w:rStyle w:val="FootnoteReference"/>
        </w:rPr>
        <w:footnoteRef/>
      </w:r>
      <w:r w:rsidRPr="007B6104">
        <w:rPr>
          <w:lang w:val="fr-BE"/>
        </w:rPr>
        <w:t xml:space="preserve"> </w:t>
      </w:r>
      <w:r>
        <w:rPr>
          <w:lang w:val="fr-BE"/>
        </w:rPr>
        <w:t xml:space="preserve">Voir notamment: </w:t>
      </w:r>
      <w:hyperlink r:id="rId22" w:history="1">
        <w:r w:rsidRPr="00AB4CB5">
          <w:rPr>
            <w:rStyle w:val="Hyperlink"/>
            <w:lang w:val="fr-BE"/>
          </w:rPr>
          <w:t>https://www.nutrien.com/sites/default/files/uploads/2018-01/NRF_Human%20Rights%20Assessment%20Report%202016.pdf</w:t>
        </w:r>
      </w:hyperlink>
      <w:r>
        <w:rPr>
          <w:lang w:val="fr-BE"/>
        </w:rPr>
        <w:t xml:space="preserve"> (consulté le 14 mai 2018)</w:t>
      </w:r>
    </w:p>
  </w:footnote>
  <w:footnote w:id="50">
    <w:p w:rsidR="007526F0" w:rsidRPr="003311A5" w:rsidRDefault="007526F0" w:rsidP="00E52BB8">
      <w:pPr>
        <w:pStyle w:val="FootnoteText"/>
        <w:rPr>
          <w:lang w:val="fr-BE"/>
        </w:rPr>
      </w:pPr>
      <w:r w:rsidRPr="003311A5">
        <w:rPr>
          <w:rStyle w:val="FootnoteReference"/>
        </w:rPr>
        <w:footnoteRef/>
      </w:r>
      <w:r w:rsidRPr="003311A5">
        <w:rPr>
          <w:lang w:val="fr-BE"/>
        </w:rPr>
        <w:t xml:space="preserve"> Un superphosphate est un engrais minéral phosphaté.</w:t>
      </w:r>
    </w:p>
  </w:footnote>
  <w:footnote w:id="51">
    <w:p w:rsidR="007526F0" w:rsidRDefault="007526F0" w:rsidP="00E52BB8">
      <w:pPr>
        <w:pStyle w:val="FootnoteText"/>
        <w:jc w:val="both"/>
        <w:rPr>
          <w:lang w:val="fr-BE"/>
        </w:rPr>
      </w:pPr>
      <w:r>
        <w:rPr>
          <w:rStyle w:val="FootnoteReference"/>
        </w:rPr>
        <w:footnoteRef/>
      </w:r>
      <w:r>
        <w:rPr>
          <w:lang w:val="fr-BE"/>
        </w:rPr>
        <w:t xml:space="preserve"> Il s’agit de « phosphates de calcium naturels, phosphates aluminocalciques naturels et craies phosphatées » dont le classement est la position tarifaire 25.10 du système harmonisé </w:t>
      </w:r>
      <w:r w:rsidRPr="008462F9">
        <w:rPr>
          <w:lang w:val="fr-BE"/>
        </w:rPr>
        <w:t>de désignation et de codification des marchandises</w:t>
      </w:r>
      <w:r>
        <w:rPr>
          <w:lang w:val="fr-BE"/>
        </w:rPr>
        <w:t xml:space="preserve"> (« système harmonisé ») pour une large part.  </w:t>
      </w:r>
    </w:p>
  </w:footnote>
  <w:footnote w:id="52">
    <w:p w:rsidR="007526F0" w:rsidRDefault="007526F0" w:rsidP="00E52BB8">
      <w:pPr>
        <w:pStyle w:val="FootnoteText"/>
        <w:jc w:val="both"/>
        <w:rPr>
          <w:lang w:val="fr-BE"/>
        </w:rPr>
      </w:pPr>
      <w:r>
        <w:rPr>
          <w:rStyle w:val="FootnoteReference"/>
        </w:rPr>
        <w:footnoteRef/>
      </w:r>
      <w:r>
        <w:rPr>
          <w:lang w:val="fr-BE"/>
        </w:rPr>
        <w:t xml:space="preserve"> Ils sont classés à la position 28.35 du système harmonisé. </w:t>
      </w:r>
    </w:p>
  </w:footnote>
  <w:footnote w:id="53">
    <w:p w:rsidR="007526F0" w:rsidRPr="007B6104" w:rsidRDefault="007526F0" w:rsidP="00E52BB8">
      <w:pPr>
        <w:pStyle w:val="FootnoteText"/>
        <w:jc w:val="both"/>
        <w:rPr>
          <w:lang w:val="fr-BE"/>
        </w:rPr>
      </w:pPr>
      <w:r>
        <w:rPr>
          <w:rStyle w:val="FootnoteReference"/>
        </w:rPr>
        <w:footnoteRef/>
      </w:r>
      <w:r>
        <w:rPr>
          <w:lang w:val="fr-BE"/>
        </w:rPr>
        <w:t xml:space="preserve"> Des observations contradictoires faites par l’ONG Western Sahara Resource Watch (rapport “P pour pillage” 2014, Western Sahara Resource Watch </w:t>
      </w:r>
      <w:hyperlink r:id="rId23" w:history="1">
        <w:r>
          <w:rPr>
            <w:rStyle w:val="Hyperlink"/>
            <w:lang w:val="fr-BE"/>
          </w:rPr>
          <w:t>http://www.wsrw.org/a105x3185</w:t>
        </w:r>
      </w:hyperlink>
      <w:r>
        <w:rPr>
          <w:lang w:val="fr-BE"/>
        </w:rPr>
        <w:t>) indiquent des exportations vers la Lituanie de l’ordre de 400.000 tonnes pour l’année 2014 (entreprise AB LIFOSA). Etant donné que les statistiques disponibles dans l'Union ne montrent pas de telles importations, il est peu probable que cette marchandise soit classée comme phosphate au SH 31.03 ou destinée au marché de l’Union européenne sous cette forme, et aussi il se peut que la marchandise ait été en simple transit vers l’extérieur de l’Union. En tout état de cause, dans un rapport plus récent Western Sahara Resource Watch ne fait plus état d'aucune exportation vers l'Union européenne (</w:t>
      </w:r>
      <w:hyperlink r:id="rId24" w:history="1">
        <w:r w:rsidRPr="007B6104">
          <w:rPr>
            <w:rStyle w:val="Hyperlink"/>
            <w:lang w:val="fr-BE"/>
          </w:rPr>
          <w:t>http://www.wsrw.org/a111x4160</w:t>
        </w:r>
      </w:hyperlink>
      <w:r>
        <w:rPr>
          <w:lang w:val="fr-BE"/>
        </w:rPr>
        <w:t xml:space="preserve">, daté du 24 avril 2018 et consulté le 13/05/2018) </w:t>
      </w:r>
    </w:p>
  </w:footnote>
  <w:footnote w:id="54">
    <w:p w:rsidR="007526F0" w:rsidRDefault="007526F0" w:rsidP="00952453">
      <w:pPr>
        <w:pStyle w:val="FootnoteText"/>
        <w:jc w:val="both"/>
        <w:rPr>
          <w:lang w:val="fr-BE"/>
        </w:rPr>
      </w:pPr>
      <w:r>
        <w:rPr>
          <w:rStyle w:val="FootnoteReference"/>
        </w:rPr>
        <w:footnoteRef/>
      </w:r>
      <w:r>
        <w:rPr>
          <w:lang w:val="fr-BE"/>
        </w:rPr>
        <w:t xml:space="preserve"> Au regard des statistiques des échanges entre l’Union européenne et le Maroc (en particulier les données de l’office des changes marocain), l’analyse a pris en compte les produits suivants : engrais naturels et chimiques, acide phosphorique et phosphates, et en particulier les positions tarifaires suivantes : </w:t>
      </w:r>
    </w:p>
    <w:p w:rsidR="007526F0" w:rsidRDefault="007526F0" w:rsidP="00952453">
      <w:pPr>
        <w:pStyle w:val="FootnoteText"/>
        <w:jc w:val="both"/>
        <w:rPr>
          <w:lang w:val="fr-BE"/>
        </w:rPr>
      </w:pPr>
      <w:r>
        <w:rPr>
          <w:lang w:val="fr-BE"/>
        </w:rPr>
        <w:t>- Acide phosphorique – SH 29.19</w:t>
      </w:r>
    </w:p>
    <w:p w:rsidR="007526F0" w:rsidRDefault="007526F0" w:rsidP="00952453">
      <w:pPr>
        <w:pStyle w:val="FootnoteText"/>
        <w:jc w:val="both"/>
        <w:rPr>
          <w:lang w:val="fr-BE"/>
        </w:rPr>
      </w:pPr>
      <w:r>
        <w:rPr>
          <w:lang w:val="fr-BE"/>
        </w:rPr>
        <w:t xml:space="preserve">- Engrais minéraux ou chimiques phosphatés (dont superphosphates) – SH 31.03 </w:t>
      </w:r>
    </w:p>
    <w:p w:rsidR="007526F0" w:rsidRDefault="007526F0" w:rsidP="00952453">
      <w:pPr>
        <w:pStyle w:val="FootnoteText"/>
        <w:jc w:val="both"/>
        <w:rPr>
          <w:lang w:val="fr-BE"/>
        </w:rPr>
      </w:pPr>
      <w:r>
        <w:rPr>
          <w:lang w:val="fr-BE"/>
        </w:rPr>
        <w:t>- Engrais minéraux ou chimiques contenant deux ou trois des éléments fertilisants : azote, phosphore et potassium ; autres engrais – SH 31.05.</w:t>
      </w:r>
    </w:p>
  </w:footnote>
  <w:footnote w:id="55">
    <w:p w:rsidR="007526F0" w:rsidRDefault="007526F0" w:rsidP="004E2E61">
      <w:pPr>
        <w:pStyle w:val="FootnoteText"/>
        <w:jc w:val="both"/>
        <w:rPr>
          <w:lang w:val="fr-BE"/>
        </w:rPr>
      </w:pPr>
      <w:r>
        <w:rPr>
          <w:rStyle w:val="FootnoteReference"/>
        </w:rPr>
        <w:footnoteRef/>
      </w:r>
      <w:r>
        <w:rPr>
          <w:lang w:val="fr-BE"/>
        </w:rPr>
        <w:t xml:space="preserve"> Ces investissements sont prévus en plusieurs phases. </w:t>
      </w:r>
      <w:hyperlink r:id="rId25" w:history="1">
        <w:r>
          <w:rPr>
            <w:rStyle w:val="Hyperlink"/>
            <w:lang w:val="fr-BE"/>
          </w:rPr>
          <w:t>http://www.ocpgroup.ma/sites/default/files/filiales/document/presentation_phosboucraa_fr.pdf</w:t>
        </w:r>
      </w:hyperlink>
      <w:r>
        <w:rPr>
          <w:lang w:val="fr-BE"/>
        </w:rPr>
        <w:t xml:space="preserve"> (consulté le 23/04/2018).</w:t>
      </w:r>
    </w:p>
  </w:footnote>
  <w:footnote w:id="56">
    <w:p w:rsidR="007526F0" w:rsidRPr="002060D5" w:rsidRDefault="007526F0">
      <w:pPr>
        <w:pStyle w:val="FootnoteText"/>
        <w:rPr>
          <w:lang w:val="fr-BE"/>
        </w:rPr>
      </w:pPr>
      <w:r>
        <w:rPr>
          <w:rStyle w:val="FootnoteReference"/>
        </w:rPr>
        <w:footnoteRef/>
      </w:r>
      <w:r w:rsidRPr="002060D5">
        <w:rPr>
          <w:lang w:val="fr-BE"/>
        </w:rPr>
        <w:t xml:space="preserve"> </w:t>
      </w:r>
      <w:r>
        <w:rPr>
          <w:rStyle w:val="None"/>
          <w:lang w:val="fr-FR"/>
        </w:rPr>
        <w:t>Laâyoune Sakia el Hamra, Dakhla Oued Eddahab, Souss-Massa et L'Oriental.</w:t>
      </w:r>
    </w:p>
  </w:footnote>
  <w:footnote w:id="57">
    <w:p w:rsidR="007526F0" w:rsidRPr="008201F2" w:rsidRDefault="007526F0" w:rsidP="002060D5">
      <w:pPr>
        <w:pStyle w:val="FootnoteText"/>
        <w:jc w:val="both"/>
        <w:rPr>
          <w:lang w:val="fr-BE"/>
        </w:rPr>
      </w:pPr>
      <w:r>
        <w:rPr>
          <w:rStyle w:val="FootnoteReference"/>
        </w:rPr>
        <w:footnoteRef/>
      </w:r>
      <w:r w:rsidRPr="002060D5">
        <w:rPr>
          <w:lang w:val="fr-BE"/>
        </w:rPr>
        <w:t xml:space="preserve"> </w:t>
      </w:r>
      <w:r>
        <w:rPr>
          <w:rStyle w:val="None"/>
          <w:lang w:val="fr-FR"/>
        </w:rPr>
        <w:t>Avec 57,66% de participation dans la région de Laâyoune et 52,14% dans celle de Dakhla, soit une participation supérieure à la moyenne nationale.</w:t>
      </w:r>
    </w:p>
    <w:p w:rsidR="007526F0" w:rsidRPr="002060D5" w:rsidRDefault="007526F0">
      <w:pPr>
        <w:pStyle w:val="FootnoteText"/>
        <w:rPr>
          <w:lang w:val="fr-BE"/>
        </w:rPr>
      </w:pPr>
    </w:p>
  </w:footnote>
  <w:footnote w:id="58">
    <w:p w:rsidR="007526F0" w:rsidRPr="002060D5" w:rsidRDefault="007526F0">
      <w:pPr>
        <w:pStyle w:val="FootnoteText"/>
        <w:rPr>
          <w:lang w:val="fr-BE"/>
        </w:rPr>
      </w:pPr>
      <w:r>
        <w:rPr>
          <w:rStyle w:val="FootnoteReference"/>
        </w:rPr>
        <w:footnoteRef/>
      </w:r>
      <w:r w:rsidRPr="002060D5">
        <w:rPr>
          <w:lang w:val="fr-BE"/>
        </w:rPr>
        <w:t xml:space="preserve"> </w:t>
      </w:r>
      <w:r w:rsidRPr="004E2E61">
        <w:rPr>
          <w:rStyle w:val="None"/>
          <w:lang w:val="fr-FR"/>
        </w:rPr>
        <w:t>Association Sahraouie des Victimes des Violations des Droits de l'Homme</w:t>
      </w:r>
      <w:r w:rsidRPr="00C4057E">
        <w:rPr>
          <w:rStyle w:val="None"/>
          <w:lang w:val="fr-FR"/>
        </w:rPr>
        <w:t>, A</w:t>
      </w:r>
      <w:r w:rsidRPr="004E2E61">
        <w:rPr>
          <w:rStyle w:val="None"/>
          <w:lang w:val="fr-FR"/>
        </w:rPr>
        <w:t>ssociation Al Ghad</w:t>
      </w:r>
      <w:r w:rsidRPr="00C4057E">
        <w:rPr>
          <w:rStyle w:val="None"/>
          <w:lang w:val="fr-FR"/>
        </w:rPr>
        <w:t xml:space="preserve"> pour les droits de l'Homme, Western Sahara Campaign, Western Sahara Resource Watch, Independent Diplomat</w:t>
      </w:r>
      <w:r>
        <w:rPr>
          <w:rStyle w:val="None"/>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7" w:rsidRPr="00AD61E7" w:rsidRDefault="00AD61E7" w:rsidP="00AD6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7" w:rsidRPr="00AD61E7" w:rsidRDefault="00AD61E7" w:rsidP="00AD61E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E7" w:rsidRPr="00AD61E7" w:rsidRDefault="00AD61E7" w:rsidP="00AD61E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F0" w:rsidRPr="004A12DA" w:rsidRDefault="007526F0" w:rsidP="004A12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F0" w:rsidRPr="004A12DA" w:rsidRDefault="007526F0" w:rsidP="004A12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F0" w:rsidRPr="004A12DA" w:rsidRDefault="007526F0" w:rsidP="004A1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FB"/>
    <w:multiLevelType w:val="hybridMultilevel"/>
    <w:tmpl w:val="8A72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70146"/>
    <w:multiLevelType w:val="hybridMultilevel"/>
    <w:tmpl w:val="818A0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E71DE"/>
    <w:multiLevelType w:val="hybridMultilevel"/>
    <w:tmpl w:val="B7A83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476A1"/>
    <w:multiLevelType w:val="hybridMultilevel"/>
    <w:tmpl w:val="B5D0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B6D5C"/>
    <w:multiLevelType w:val="hybridMultilevel"/>
    <w:tmpl w:val="C820FF54"/>
    <w:lvl w:ilvl="0" w:tplc="6B925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45008"/>
    <w:multiLevelType w:val="hybridMultilevel"/>
    <w:tmpl w:val="E150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512490"/>
    <w:multiLevelType w:val="hybridMultilevel"/>
    <w:tmpl w:val="EF58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C35D5"/>
    <w:multiLevelType w:val="hybridMultilevel"/>
    <w:tmpl w:val="E9C27948"/>
    <w:numStyleLink w:val="ImportedStyle8"/>
  </w:abstractNum>
  <w:abstractNum w:abstractNumId="8">
    <w:nsid w:val="23012159"/>
    <w:multiLevelType w:val="multilevel"/>
    <w:tmpl w:val="FBF0E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24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4D00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661C9"/>
    <w:multiLevelType w:val="hybridMultilevel"/>
    <w:tmpl w:val="457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F5143"/>
    <w:multiLevelType w:val="hybridMultilevel"/>
    <w:tmpl w:val="46A0D1F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A718F2"/>
    <w:multiLevelType w:val="hybridMultilevel"/>
    <w:tmpl w:val="54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6736B"/>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A876B7"/>
    <w:multiLevelType w:val="multilevel"/>
    <w:tmpl w:val="35A08154"/>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340" w:hanging="1100"/>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257" w:hanging="1257"/>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414" w:hanging="141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1571" w:hanging="1571"/>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1728" w:hanging="172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2FD52A1E"/>
    <w:multiLevelType w:val="multilevel"/>
    <w:tmpl w:val="4B3CB5A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537EEF"/>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FC3738"/>
    <w:multiLevelType w:val="hybridMultilevel"/>
    <w:tmpl w:val="883E3DDE"/>
    <w:lvl w:ilvl="0" w:tplc="325C7DB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50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5D0A9F"/>
    <w:multiLevelType w:val="hybridMultilevel"/>
    <w:tmpl w:val="71E83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D30207C"/>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F326F5"/>
    <w:multiLevelType w:val="multilevel"/>
    <w:tmpl w:val="98404342"/>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IV%2.%3."/>
      <w:lvlJc w:val="left"/>
      <w:pPr>
        <w:ind w:left="1080" w:hanging="720"/>
      </w:pPr>
      <w:rPr>
        <w:rFonts w:hint="default"/>
      </w:rPr>
    </w:lvl>
    <w:lvl w:ilvl="3">
      <w:start w:val="1"/>
      <w:numFmt w:val="decimal"/>
      <w:isLgl/>
      <w:lvlText w:val="IV%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1001D0"/>
    <w:multiLevelType w:val="hybridMultilevel"/>
    <w:tmpl w:val="313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F1FDE"/>
    <w:multiLevelType w:val="hybridMultilevel"/>
    <w:tmpl w:val="C39A64E2"/>
    <w:numStyleLink w:val="ImportedStyle3"/>
  </w:abstractNum>
  <w:abstractNum w:abstractNumId="24">
    <w:nsid w:val="54F73E59"/>
    <w:multiLevelType w:val="hybridMultilevel"/>
    <w:tmpl w:val="4F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B326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5E2294"/>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8017C0"/>
    <w:multiLevelType w:val="multilevel"/>
    <w:tmpl w:val="35A08154"/>
    <w:numStyleLink w:val="ImportedStyle1"/>
  </w:abstractNum>
  <w:abstractNum w:abstractNumId="28">
    <w:nsid w:val="5DD756F0"/>
    <w:multiLevelType w:val="hybridMultilevel"/>
    <w:tmpl w:val="D91CA15C"/>
    <w:lvl w:ilvl="0" w:tplc="08090001">
      <w:start w:val="1"/>
      <w:numFmt w:val="bullet"/>
      <w:lvlText w:val=""/>
      <w:lvlJc w:val="left"/>
      <w:pPr>
        <w:ind w:left="720" w:hanging="360"/>
      </w:pPr>
      <w:rPr>
        <w:rFonts w:ascii="Symbol" w:hAnsi="Symbol" w:hint="default"/>
      </w:rPr>
    </w:lvl>
    <w:lvl w:ilvl="1" w:tplc="C04EF226">
      <w:start w:val="13"/>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56393A"/>
    <w:multiLevelType w:val="hybridMultilevel"/>
    <w:tmpl w:val="42A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025AF3"/>
    <w:multiLevelType w:val="hybridMultilevel"/>
    <w:tmpl w:val="C39A64E2"/>
    <w:styleLink w:val="ImportedStyle3"/>
    <w:lvl w:ilvl="0" w:tplc="BBCC1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4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A7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EE5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62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0F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27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B46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5332D14"/>
    <w:multiLevelType w:val="hybridMultilevel"/>
    <w:tmpl w:val="01D0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3600D7"/>
    <w:multiLevelType w:val="hybridMultilevel"/>
    <w:tmpl w:val="28C6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C11DCE"/>
    <w:multiLevelType w:val="hybridMultilevel"/>
    <w:tmpl w:val="311A3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C665A08"/>
    <w:multiLevelType w:val="hybridMultilevel"/>
    <w:tmpl w:val="5C9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7266C7"/>
    <w:multiLevelType w:val="hybridMultilevel"/>
    <w:tmpl w:val="94B6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52E8B"/>
    <w:multiLevelType w:val="hybridMultilevel"/>
    <w:tmpl w:val="95627122"/>
    <w:lvl w:ilvl="0" w:tplc="6B9257E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BB3B3A"/>
    <w:multiLevelType w:val="hybridMultilevel"/>
    <w:tmpl w:val="F84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283329"/>
    <w:multiLevelType w:val="hybridMultilevel"/>
    <w:tmpl w:val="6652D64C"/>
    <w:lvl w:ilvl="0" w:tplc="69EAAF1C">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A2F2C"/>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7B5837"/>
    <w:multiLevelType w:val="hybridMultilevel"/>
    <w:tmpl w:val="E9C27948"/>
    <w:styleLink w:val="ImportedStyle8"/>
    <w:lvl w:ilvl="0" w:tplc="42D20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2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C0D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9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A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A4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28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AA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23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34"/>
  </w:num>
  <w:num w:numId="6">
    <w:abstractNumId w:val="38"/>
  </w:num>
  <w:num w:numId="7">
    <w:abstractNumId w:val="6"/>
  </w:num>
  <w:num w:numId="8">
    <w:abstractNumId w:val="11"/>
  </w:num>
  <w:num w:numId="9">
    <w:abstractNumId w:val="32"/>
  </w:num>
  <w:num w:numId="10">
    <w:abstractNumId w:val="29"/>
  </w:num>
  <w:num w:numId="11">
    <w:abstractNumId w:val="35"/>
  </w:num>
  <w:num w:numId="12">
    <w:abstractNumId w:val="20"/>
  </w:num>
  <w:num w:numId="13">
    <w:abstractNumId w:val="24"/>
  </w:num>
  <w:num w:numId="14">
    <w:abstractNumId w:val="31"/>
  </w:num>
  <w:num w:numId="15">
    <w:abstractNumId w:val="16"/>
  </w:num>
  <w:num w:numId="16">
    <w:abstractNumId w:val="12"/>
  </w:num>
  <w:num w:numId="17">
    <w:abstractNumId w:val="26"/>
  </w:num>
  <w:num w:numId="18">
    <w:abstractNumId w:val="17"/>
  </w:num>
  <w:num w:numId="19">
    <w:abstractNumId w:val="15"/>
  </w:num>
  <w:num w:numId="20">
    <w:abstractNumId w:val="9"/>
  </w:num>
  <w:num w:numId="21">
    <w:abstractNumId w:val="2"/>
  </w:num>
  <w:num w:numId="22">
    <w:abstractNumId w:val="18"/>
  </w:num>
  <w:num w:numId="23">
    <w:abstractNumId w:val="8"/>
  </w:num>
  <w:num w:numId="24">
    <w:abstractNumId w:val="21"/>
  </w:num>
  <w:num w:numId="25">
    <w:abstractNumId w:val="13"/>
  </w:num>
  <w:num w:numId="26">
    <w:abstractNumId w:val="3"/>
  </w:num>
  <w:num w:numId="27">
    <w:abstractNumId w:val="4"/>
  </w:num>
  <w:num w:numId="28">
    <w:abstractNumId w:val="36"/>
  </w:num>
  <w:num w:numId="29">
    <w:abstractNumId w:val="5"/>
  </w:num>
  <w:num w:numId="30">
    <w:abstractNumId w:val="37"/>
  </w:num>
  <w:num w:numId="31">
    <w:abstractNumId w:val="22"/>
  </w:num>
  <w:num w:numId="32">
    <w:abstractNumId w:val="10"/>
  </w:num>
  <w:num w:numId="33">
    <w:abstractNumId w:val="0"/>
  </w:num>
  <w:num w:numId="34">
    <w:abstractNumId w:val="28"/>
  </w:num>
  <w:num w:numId="35">
    <w:abstractNumId w:val="19"/>
  </w:num>
  <w:num w:numId="36">
    <w:abstractNumId w:val="14"/>
  </w:num>
  <w:num w:numId="37">
    <w:abstractNumId w:val="27"/>
  </w:num>
  <w:num w:numId="38">
    <w:abstractNumId w:val="27"/>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4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8"/>
  </w:num>
  <w:num w:numId="40">
    <w:abstractNumId w:val="8"/>
  </w:num>
  <w:num w:numId="41">
    <w:abstractNumId w:val="8"/>
  </w:num>
  <w:num w:numId="42">
    <w:abstractNumId w:val="30"/>
  </w:num>
  <w:num w:numId="43">
    <w:abstractNumId w:val="23"/>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141966F1-7EA6-4B9F-B363-06CE25CB9B3E"/>
    <w:docVar w:name="LW_COVERPAGE_TYPE" w:val="1"/>
    <w:docVar w:name="LW_CROSSREFERENCE" w:val="{COM(2018) 481 final}"/>
    <w:docVar w:name="LW_DocType" w:val="NORMAL"/>
    <w:docVar w:name="LW_EMISSION" w:val="11.6.2018"/>
    <w:docVar w:name="LW_EMISSION_ISODATE" w:val="2018-06-11"/>
    <w:docVar w:name="LW_EMISSION_LOCATION" w:val="BRX"/>
    <w:docVar w:name="LW_EMISSION_PREFIX" w:val="Bruxelles, le"/>
    <w:docVar w:name="LW_EMISSION_SUFFIX" w:val=" "/>
    <w:docVar w:name="LW_ID_DOCTYPE_NONLW" w:val="CP-025"/>
    <w:docVar w:name="LW_LANGUE" w:val="FR"/>
    <w:docVar w:name="LW_LEVEL_OF_SENSITIVITY" w:val="Standard treatment"/>
    <w:docVar w:name="LW_NOM.INST" w:val="COMMISSION EUROPÉENNE"/>
    <w:docVar w:name="LW_NOM.INST_JOINTDOC" w:val="&lt;EMPTY&gt;"/>
    <w:docVar w:name="LW_OBJETACTEPRINCIPAL.CP" w:val="relative à la conclusion de l'accord sous forme d'échange de lettres entre l'Union européenne et le Royaume du Maroc sur la modification des Protocoles n° 1 et n° 4 à l'accord euro-méditerranéen établissant une association entre les Communautés européennes et leurs États membres, d'une part et le Royaume du Maroc, d'autre part"/>
    <w:docVar w:name="LW_PART_NBR" w:val="1"/>
    <w:docVar w:name="LW_PART_NBR_TOTAL" w:val="1"/>
    <w:docVar w:name="LW_REF.INST.NEW" w:val="SWD"/>
    <w:docVar w:name="LW_REF.INST.NEW_ADOPTED" w:val="final"/>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sur les bénéfices pour la population du Sahara occidental, et sur la consultation de cette population, de l'extension de préférences tarifaires aux produits originaires du Sahara occidental"/>
    <w:docVar w:name="LW_TYPE.DOC.CP" w:val="DOCUMENT DE TRAVAIL DES SERVICES DE LA COMMISSION"/>
    <w:docVar w:name="LW_TYPEACTEPRINCIPAL.CP" w:val="Proposition de décision du Conseil"/>
  </w:docVars>
  <w:rsids>
    <w:rsidRoot w:val="00F66A94"/>
    <w:rsid w:val="000001C2"/>
    <w:rsid w:val="00001013"/>
    <w:rsid w:val="00001572"/>
    <w:rsid w:val="00002064"/>
    <w:rsid w:val="00003BE3"/>
    <w:rsid w:val="00003EFF"/>
    <w:rsid w:val="00003FA6"/>
    <w:rsid w:val="000049C3"/>
    <w:rsid w:val="000064D4"/>
    <w:rsid w:val="00007033"/>
    <w:rsid w:val="0000763C"/>
    <w:rsid w:val="000123EA"/>
    <w:rsid w:val="000132F0"/>
    <w:rsid w:val="00013DE9"/>
    <w:rsid w:val="00014561"/>
    <w:rsid w:val="00014DC8"/>
    <w:rsid w:val="00016536"/>
    <w:rsid w:val="00016D46"/>
    <w:rsid w:val="000210B2"/>
    <w:rsid w:val="000224F4"/>
    <w:rsid w:val="00022AC2"/>
    <w:rsid w:val="000267EA"/>
    <w:rsid w:val="00030C8A"/>
    <w:rsid w:val="00032D55"/>
    <w:rsid w:val="000412E7"/>
    <w:rsid w:val="000416CE"/>
    <w:rsid w:val="00041C97"/>
    <w:rsid w:val="0004487D"/>
    <w:rsid w:val="000454FB"/>
    <w:rsid w:val="00045582"/>
    <w:rsid w:val="00045978"/>
    <w:rsid w:val="00047158"/>
    <w:rsid w:val="000476A2"/>
    <w:rsid w:val="00050548"/>
    <w:rsid w:val="00050814"/>
    <w:rsid w:val="00055AEB"/>
    <w:rsid w:val="00056165"/>
    <w:rsid w:val="00056FA8"/>
    <w:rsid w:val="0005701D"/>
    <w:rsid w:val="00060083"/>
    <w:rsid w:val="000604D5"/>
    <w:rsid w:val="00061342"/>
    <w:rsid w:val="0006205D"/>
    <w:rsid w:val="00062EE0"/>
    <w:rsid w:val="00062FC6"/>
    <w:rsid w:val="00064591"/>
    <w:rsid w:val="00066103"/>
    <w:rsid w:val="00071891"/>
    <w:rsid w:val="000726AA"/>
    <w:rsid w:val="00075F8E"/>
    <w:rsid w:val="00077B49"/>
    <w:rsid w:val="00080601"/>
    <w:rsid w:val="00082779"/>
    <w:rsid w:val="00082959"/>
    <w:rsid w:val="0008339D"/>
    <w:rsid w:val="00083A4B"/>
    <w:rsid w:val="00086849"/>
    <w:rsid w:val="00090092"/>
    <w:rsid w:val="00090D82"/>
    <w:rsid w:val="000943D1"/>
    <w:rsid w:val="000970D6"/>
    <w:rsid w:val="000A044C"/>
    <w:rsid w:val="000A0B96"/>
    <w:rsid w:val="000A15CA"/>
    <w:rsid w:val="000A19A8"/>
    <w:rsid w:val="000A21AC"/>
    <w:rsid w:val="000A246D"/>
    <w:rsid w:val="000A3A2E"/>
    <w:rsid w:val="000A4203"/>
    <w:rsid w:val="000A516E"/>
    <w:rsid w:val="000A5329"/>
    <w:rsid w:val="000A539F"/>
    <w:rsid w:val="000B1DA0"/>
    <w:rsid w:val="000B1FB9"/>
    <w:rsid w:val="000B2BEB"/>
    <w:rsid w:val="000B49D3"/>
    <w:rsid w:val="000B4ABD"/>
    <w:rsid w:val="000B5693"/>
    <w:rsid w:val="000B6612"/>
    <w:rsid w:val="000B68A9"/>
    <w:rsid w:val="000C0877"/>
    <w:rsid w:val="000C0BD3"/>
    <w:rsid w:val="000C4479"/>
    <w:rsid w:val="000C65F5"/>
    <w:rsid w:val="000C6E37"/>
    <w:rsid w:val="000C705E"/>
    <w:rsid w:val="000C740F"/>
    <w:rsid w:val="000C79F1"/>
    <w:rsid w:val="000C7AEA"/>
    <w:rsid w:val="000D21AE"/>
    <w:rsid w:val="000D484D"/>
    <w:rsid w:val="000D62E2"/>
    <w:rsid w:val="000D6D33"/>
    <w:rsid w:val="000D783E"/>
    <w:rsid w:val="000E0FBE"/>
    <w:rsid w:val="000E139E"/>
    <w:rsid w:val="000E3148"/>
    <w:rsid w:val="000E52BB"/>
    <w:rsid w:val="000E5F58"/>
    <w:rsid w:val="000E78CD"/>
    <w:rsid w:val="000F045C"/>
    <w:rsid w:val="000F2E26"/>
    <w:rsid w:val="000F326B"/>
    <w:rsid w:val="000F5C8F"/>
    <w:rsid w:val="000F6708"/>
    <w:rsid w:val="000F771C"/>
    <w:rsid w:val="000F78A7"/>
    <w:rsid w:val="000F7E05"/>
    <w:rsid w:val="00100F70"/>
    <w:rsid w:val="00103678"/>
    <w:rsid w:val="001040A9"/>
    <w:rsid w:val="0011016E"/>
    <w:rsid w:val="00111E6A"/>
    <w:rsid w:val="0011251A"/>
    <w:rsid w:val="00112DCE"/>
    <w:rsid w:val="00113BB7"/>
    <w:rsid w:val="001145F5"/>
    <w:rsid w:val="001152F7"/>
    <w:rsid w:val="0011589C"/>
    <w:rsid w:val="00115D62"/>
    <w:rsid w:val="001209A9"/>
    <w:rsid w:val="001221E5"/>
    <w:rsid w:val="00122BD6"/>
    <w:rsid w:val="001248F6"/>
    <w:rsid w:val="00124B43"/>
    <w:rsid w:val="00125E13"/>
    <w:rsid w:val="00126573"/>
    <w:rsid w:val="00130F98"/>
    <w:rsid w:val="0013309B"/>
    <w:rsid w:val="0013326D"/>
    <w:rsid w:val="001363F1"/>
    <w:rsid w:val="001400EC"/>
    <w:rsid w:val="00141452"/>
    <w:rsid w:val="0014339D"/>
    <w:rsid w:val="00145CB1"/>
    <w:rsid w:val="00146B97"/>
    <w:rsid w:val="001526E2"/>
    <w:rsid w:val="0015348B"/>
    <w:rsid w:val="001542E4"/>
    <w:rsid w:val="00156148"/>
    <w:rsid w:val="00161AFE"/>
    <w:rsid w:val="00161B11"/>
    <w:rsid w:val="00162FC4"/>
    <w:rsid w:val="001631BC"/>
    <w:rsid w:val="001647D4"/>
    <w:rsid w:val="00166EF2"/>
    <w:rsid w:val="001675CF"/>
    <w:rsid w:val="0017208F"/>
    <w:rsid w:val="0017274C"/>
    <w:rsid w:val="00173E6A"/>
    <w:rsid w:val="001744A2"/>
    <w:rsid w:val="00174693"/>
    <w:rsid w:val="001749D3"/>
    <w:rsid w:val="001761D1"/>
    <w:rsid w:val="001764AC"/>
    <w:rsid w:val="00177A9F"/>
    <w:rsid w:val="0018344A"/>
    <w:rsid w:val="0018489E"/>
    <w:rsid w:val="00185588"/>
    <w:rsid w:val="001859DE"/>
    <w:rsid w:val="0018776A"/>
    <w:rsid w:val="00187F2C"/>
    <w:rsid w:val="0019011E"/>
    <w:rsid w:val="001908F1"/>
    <w:rsid w:val="00193622"/>
    <w:rsid w:val="00193933"/>
    <w:rsid w:val="0019494D"/>
    <w:rsid w:val="0019611F"/>
    <w:rsid w:val="001A19DF"/>
    <w:rsid w:val="001A238B"/>
    <w:rsid w:val="001A2446"/>
    <w:rsid w:val="001A53C6"/>
    <w:rsid w:val="001A5F3B"/>
    <w:rsid w:val="001A600A"/>
    <w:rsid w:val="001A7506"/>
    <w:rsid w:val="001A7761"/>
    <w:rsid w:val="001B025E"/>
    <w:rsid w:val="001B0F91"/>
    <w:rsid w:val="001B2BC5"/>
    <w:rsid w:val="001B33BF"/>
    <w:rsid w:val="001B36C0"/>
    <w:rsid w:val="001B4A66"/>
    <w:rsid w:val="001B5BAD"/>
    <w:rsid w:val="001B60B7"/>
    <w:rsid w:val="001B720F"/>
    <w:rsid w:val="001C03BB"/>
    <w:rsid w:val="001C07BC"/>
    <w:rsid w:val="001C0D2D"/>
    <w:rsid w:val="001C1317"/>
    <w:rsid w:val="001C4B84"/>
    <w:rsid w:val="001C502E"/>
    <w:rsid w:val="001C504E"/>
    <w:rsid w:val="001C77AB"/>
    <w:rsid w:val="001C7B8C"/>
    <w:rsid w:val="001D0696"/>
    <w:rsid w:val="001D1011"/>
    <w:rsid w:val="001D3828"/>
    <w:rsid w:val="001D4056"/>
    <w:rsid w:val="001D5724"/>
    <w:rsid w:val="001D582B"/>
    <w:rsid w:val="001D6D08"/>
    <w:rsid w:val="001E0577"/>
    <w:rsid w:val="001E28A8"/>
    <w:rsid w:val="001E4E82"/>
    <w:rsid w:val="001E5BF1"/>
    <w:rsid w:val="001E689A"/>
    <w:rsid w:val="001E6DF0"/>
    <w:rsid w:val="001F0CAB"/>
    <w:rsid w:val="001F2E17"/>
    <w:rsid w:val="001F3952"/>
    <w:rsid w:val="001F447A"/>
    <w:rsid w:val="001F4924"/>
    <w:rsid w:val="001F5090"/>
    <w:rsid w:val="001F71EB"/>
    <w:rsid w:val="002013C1"/>
    <w:rsid w:val="00201B1C"/>
    <w:rsid w:val="00201BA3"/>
    <w:rsid w:val="00201C2B"/>
    <w:rsid w:val="002024CF"/>
    <w:rsid w:val="00202DB8"/>
    <w:rsid w:val="002060D5"/>
    <w:rsid w:val="002067B1"/>
    <w:rsid w:val="0020764B"/>
    <w:rsid w:val="00213F3C"/>
    <w:rsid w:val="002140AD"/>
    <w:rsid w:val="002141BB"/>
    <w:rsid w:val="00214CD2"/>
    <w:rsid w:val="00216CF4"/>
    <w:rsid w:val="00216D34"/>
    <w:rsid w:val="00222545"/>
    <w:rsid w:val="002235ED"/>
    <w:rsid w:val="00224243"/>
    <w:rsid w:val="00226287"/>
    <w:rsid w:val="002274B9"/>
    <w:rsid w:val="002326E6"/>
    <w:rsid w:val="00233BF2"/>
    <w:rsid w:val="002342AA"/>
    <w:rsid w:val="002360FB"/>
    <w:rsid w:val="0023673B"/>
    <w:rsid w:val="00236D37"/>
    <w:rsid w:val="002407B2"/>
    <w:rsid w:val="00240835"/>
    <w:rsid w:val="0024190B"/>
    <w:rsid w:val="00246859"/>
    <w:rsid w:val="002478D8"/>
    <w:rsid w:val="00250C86"/>
    <w:rsid w:val="00251BBD"/>
    <w:rsid w:val="00252C11"/>
    <w:rsid w:val="0025318F"/>
    <w:rsid w:val="0025564A"/>
    <w:rsid w:val="00256AB1"/>
    <w:rsid w:val="00256E73"/>
    <w:rsid w:val="00261FE2"/>
    <w:rsid w:val="00262B93"/>
    <w:rsid w:val="00262BF0"/>
    <w:rsid w:val="002666B3"/>
    <w:rsid w:val="00270E23"/>
    <w:rsid w:val="002717F1"/>
    <w:rsid w:val="002718BE"/>
    <w:rsid w:val="00273F19"/>
    <w:rsid w:val="002765B8"/>
    <w:rsid w:val="00277767"/>
    <w:rsid w:val="002778C4"/>
    <w:rsid w:val="002801CA"/>
    <w:rsid w:val="00281844"/>
    <w:rsid w:val="00282D51"/>
    <w:rsid w:val="0028337A"/>
    <w:rsid w:val="00286A26"/>
    <w:rsid w:val="002905BB"/>
    <w:rsid w:val="002911C0"/>
    <w:rsid w:val="00292E1B"/>
    <w:rsid w:val="00293627"/>
    <w:rsid w:val="00295203"/>
    <w:rsid w:val="002A2ACF"/>
    <w:rsid w:val="002A376A"/>
    <w:rsid w:val="002A4225"/>
    <w:rsid w:val="002A4AD8"/>
    <w:rsid w:val="002A6191"/>
    <w:rsid w:val="002A7369"/>
    <w:rsid w:val="002B0E78"/>
    <w:rsid w:val="002B16EE"/>
    <w:rsid w:val="002B50CC"/>
    <w:rsid w:val="002B55EF"/>
    <w:rsid w:val="002B620D"/>
    <w:rsid w:val="002C1B3B"/>
    <w:rsid w:val="002C3612"/>
    <w:rsid w:val="002C3A0A"/>
    <w:rsid w:val="002C4A6F"/>
    <w:rsid w:val="002C4C33"/>
    <w:rsid w:val="002C65C5"/>
    <w:rsid w:val="002C7651"/>
    <w:rsid w:val="002D3B83"/>
    <w:rsid w:val="002D4798"/>
    <w:rsid w:val="002D79F1"/>
    <w:rsid w:val="002D7D5B"/>
    <w:rsid w:val="002D7F14"/>
    <w:rsid w:val="002E3B46"/>
    <w:rsid w:val="002E4946"/>
    <w:rsid w:val="002E5A2A"/>
    <w:rsid w:val="002E65CE"/>
    <w:rsid w:val="002E6762"/>
    <w:rsid w:val="002F119E"/>
    <w:rsid w:val="002F1967"/>
    <w:rsid w:val="002F36E2"/>
    <w:rsid w:val="002F583D"/>
    <w:rsid w:val="002F5F7E"/>
    <w:rsid w:val="002F68F4"/>
    <w:rsid w:val="003003DE"/>
    <w:rsid w:val="00300A09"/>
    <w:rsid w:val="00302CB1"/>
    <w:rsid w:val="00303B5D"/>
    <w:rsid w:val="00305163"/>
    <w:rsid w:val="003055B2"/>
    <w:rsid w:val="003061A8"/>
    <w:rsid w:val="00307BBC"/>
    <w:rsid w:val="003109D6"/>
    <w:rsid w:val="00310C67"/>
    <w:rsid w:val="00310EA0"/>
    <w:rsid w:val="00311837"/>
    <w:rsid w:val="003144DA"/>
    <w:rsid w:val="0031504A"/>
    <w:rsid w:val="003155B5"/>
    <w:rsid w:val="0031756C"/>
    <w:rsid w:val="00317C5B"/>
    <w:rsid w:val="00321918"/>
    <w:rsid w:val="003226FD"/>
    <w:rsid w:val="00323D19"/>
    <w:rsid w:val="003249B9"/>
    <w:rsid w:val="003273A4"/>
    <w:rsid w:val="00327E40"/>
    <w:rsid w:val="003307C5"/>
    <w:rsid w:val="003311A5"/>
    <w:rsid w:val="003324C8"/>
    <w:rsid w:val="00332501"/>
    <w:rsid w:val="00333EF5"/>
    <w:rsid w:val="00334B53"/>
    <w:rsid w:val="00335041"/>
    <w:rsid w:val="0033632A"/>
    <w:rsid w:val="00340BBF"/>
    <w:rsid w:val="00341E70"/>
    <w:rsid w:val="00343C0D"/>
    <w:rsid w:val="00345549"/>
    <w:rsid w:val="0034628F"/>
    <w:rsid w:val="00351864"/>
    <w:rsid w:val="003519A1"/>
    <w:rsid w:val="003537E4"/>
    <w:rsid w:val="00353EAA"/>
    <w:rsid w:val="00354661"/>
    <w:rsid w:val="00355D25"/>
    <w:rsid w:val="00357E86"/>
    <w:rsid w:val="00360F09"/>
    <w:rsid w:val="003611A5"/>
    <w:rsid w:val="003621A9"/>
    <w:rsid w:val="00364348"/>
    <w:rsid w:val="00371899"/>
    <w:rsid w:val="00372202"/>
    <w:rsid w:val="00373309"/>
    <w:rsid w:val="00374ED3"/>
    <w:rsid w:val="00375CB4"/>
    <w:rsid w:val="003765CD"/>
    <w:rsid w:val="00376DDA"/>
    <w:rsid w:val="00383426"/>
    <w:rsid w:val="00390B1C"/>
    <w:rsid w:val="00391725"/>
    <w:rsid w:val="00391DA0"/>
    <w:rsid w:val="0039572E"/>
    <w:rsid w:val="00396A74"/>
    <w:rsid w:val="00397016"/>
    <w:rsid w:val="00397120"/>
    <w:rsid w:val="0039786B"/>
    <w:rsid w:val="00397B32"/>
    <w:rsid w:val="003A015A"/>
    <w:rsid w:val="003A0216"/>
    <w:rsid w:val="003A0A6D"/>
    <w:rsid w:val="003A1F62"/>
    <w:rsid w:val="003A24CD"/>
    <w:rsid w:val="003A265E"/>
    <w:rsid w:val="003A2F7F"/>
    <w:rsid w:val="003A366C"/>
    <w:rsid w:val="003A4D20"/>
    <w:rsid w:val="003A5BA1"/>
    <w:rsid w:val="003A6113"/>
    <w:rsid w:val="003A6790"/>
    <w:rsid w:val="003B004A"/>
    <w:rsid w:val="003B1D26"/>
    <w:rsid w:val="003B2067"/>
    <w:rsid w:val="003B46DB"/>
    <w:rsid w:val="003B4FD5"/>
    <w:rsid w:val="003B546C"/>
    <w:rsid w:val="003B60E2"/>
    <w:rsid w:val="003B67A4"/>
    <w:rsid w:val="003C1C65"/>
    <w:rsid w:val="003C293E"/>
    <w:rsid w:val="003C34BF"/>
    <w:rsid w:val="003C6A01"/>
    <w:rsid w:val="003C7C17"/>
    <w:rsid w:val="003D033E"/>
    <w:rsid w:val="003D091A"/>
    <w:rsid w:val="003D0E0C"/>
    <w:rsid w:val="003D1587"/>
    <w:rsid w:val="003D5D7B"/>
    <w:rsid w:val="003D61A9"/>
    <w:rsid w:val="003D7D1C"/>
    <w:rsid w:val="003E0437"/>
    <w:rsid w:val="003E30DB"/>
    <w:rsid w:val="003E3325"/>
    <w:rsid w:val="003E3801"/>
    <w:rsid w:val="003E38C4"/>
    <w:rsid w:val="003E3CE4"/>
    <w:rsid w:val="003E3E81"/>
    <w:rsid w:val="003E4B2E"/>
    <w:rsid w:val="003F130F"/>
    <w:rsid w:val="003F2A95"/>
    <w:rsid w:val="003F3177"/>
    <w:rsid w:val="003F3897"/>
    <w:rsid w:val="003F3B72"/>
    <w:rsid w:val="003F3F5A"/>
    <w:rsid w:val="003F4AE1"/>
    <w:rsid w:val="003F5998"/>
    <w:rsid w:val="00400576"/>
    <w:rsid w:val="00401439"/>
    <w:rsid w:val="004018E9"/>
    <w:rsid w:val="0040218A"/>
    <w:rsid w:val="004038F5"/>
    <w:rsid w:val="00403909"/>
    <w:rsid w:val="0040473A"/>
    <w:rsid w:val="00407A64"/>
    <w:rsid w:val="00411870"/>
    <w:rsid w:val="004130A1"/>
    <w:rsid w:val="00413687"/>
    <w:rsid w:val="00413DD1"/>
    <w:rsid w:val="004142B0"/>
    <w:rsid w:val="0041481B"/>
    <w:rsid w:val="00415B44"/>
    <w:rsid w:val="00416F72"/>
    <w:rsid w:val="0041727B"/>
    <w:rsid w:val="00423348"/>
    <w:rsid w:val="00423385"/>
    <w:rsid w:val="00423BE0"/>
    <w:rsid w:val="00424D21"/>
    <w:rsid w:val="004254D1"/>
    <w:rsid w:val="00426BC3"/>
    <w:rsid w:val="00431D22"/>
    <w:rsid w:val="004327CE"/>
    <w:rsid w:val="00432CD9"/>
    <w:rsid w:val="00434BE4"/>
    <w:rsid w:val="004354AE"/>
    <w:rsid w:val="0043648D"/>
    <w:rsid w:val="004370C0"/>
    <w:rsid w:val="0044081A"/>
    <w:rsid w:val="00440E89"/>
    <w:rsid w:val="004414FF"/>
    <w:rsid w:val="0044246F"/>
    <w:rsid w:val="004426DC"/>
    <w:rsid w:val="00442A6B"/>
    <w:rsid w:val="00443F6E"/>
    <w:rsid w:val="00445997"/>
    <w:rsid w:val="004470E4"/>
    <w:rsid w:val="00447CD1"/>
    <w:rsid w:val="00450242"/>
    <w:rsid w:val="00450362"/>
    <w:rsid w:val="00450FB1"/>
    <w:rsid w:val="004517A1"/>
    <w:rsid w:val="00453C2F"/>
    <w:rsid w:val="00454325"/>
    <w:rsid w:val="00454915"/>
    <w:rsid w:val="00454F02"/>
    <w:rsid w:val="00455333"/>
    <w:rsid w:val="0045699C"/>
    <w:rsid w:val="00456AF4"/>
    <w:rsid w:val="00457C7A"/>
    <w:rsid w:val="00460ECD"/>
    <w:rsid w:val="0046209C"/>
    <w:rsid w:val="00462CA2"/>
    <w:rsid w:val="004637AE"/>
    <w:rsid w:val="00463EF5"/>
    <w:rsid w:val="00467569"/>
    <w:rsid w:val="00470490"/>
    <w:rsid w:val="00472520"/>
    <w:rsid w:val="00472D50"/>
    <w:rsid w:val="004752A7"/>
    <w:rsid w:val="00475B3E"/>
    <w:rsid w:val="004767A9"/>
    <w:rsid w:val="00476E31"/>
    <w:rsid w:val="00477C9D"/>
    <w:rsid w:val="00481D00"/>
    <w:rsid w:val="00482A1C"/>
    <w:rsid w:val="00482DFE"/>
    <w:rsid w:val="00483A9D"/>
    <w:rsid w:val="004868EB"/>
    <w:rsid w:val="00493A85"/>
    <w:rsid w:val="00493B88"/>
    <w:rsid w:val="0049408F"/>
    <w:rsid w:val="004A02C2"/>
    <w:rsid w:val="004A12DA"/>
    <w:rsid w:val="004A1853"/>
    <w:rsid w:val="004A27AE"/>
    <w:rsid w:val="004A3950"/>
    <w:rsid w:val="004A3D28"/>
    <w:rsid w:val="004A6B74"/>
    <w:rsid w:val="004A6DAE"/>
    <w:rsid w:val="004B0167"/>
    <w:rsid w:val="004B36F8"/>
    <w:rsid w:val="004B3896"/>
    <w:rsid w:val="004B3DE2"/>
    <w:rsid w:val="004B3E7E"/>
    <w:rsid w:val="004B49DD"/>
    <w:rsid w:val="004B58DA"/>
    <w:rsid w:val="004C067D"/>
    <w:rsid w:val="004C0CC5"/>
    <w:rsid w:val="004C170C"/>
    <w:rsid w:val="004C3A5C"/>
    <w:rsid w:val="004C4601"/>
    <w:rsid w:val="004C5B89"/>
    <w:rsid w:val="004C5E56"/>
    <w:rsid w:val="004C749B"/>
    <w:rsid w:val="004C7658"/>
    <w:rsid w:val="004D3EA2"/>
    <w:rsid w:val="004D4E9B"/>
    <w:rsid w:val="004D7813"/>
    <w:rsid w:val="004D7AA6"/>
    <w:rsid w:val="004E2D58"/>
    <w:rsid w:val="004E2E61"/>
    <w:rsid w:val="004E459D"/>
    <w:rsid w:val="004E51D5"/>
    <w:rsid w:val="004E64C2"/>
    <w:rsid w:val="004E6A43"/>
    <w:rsid w:val="004E6C42"/>
    <w:rsid w:val="004E6D29"/>
    <w:rsid w:val="004E6E97"/>
    <w:rsid w:val="004F4617"/>
    <w:rsid w:val="004F4E63"/>
    <w:rsid w:val="004F5083"/>
    <w:rsid w:val="004F6981"/>
    <w:rsid w:val="004F74F7"/>
    <w:rsid w:val="004F7602"/>
    <w:rsid w:val="004F7F0F"/>
    <w:rsid w:val="005014B5"/>
    <w:rsid w:val="00502405"/>
    <w:rsid w:val="005041D3"/>
    <w:rsid w:val="00504A13"/>
    <w:rsid w:val="00505DFC"/>
    <w:rsid w:val="00506C88"/>
    <w:rsid w:val="0050743B"/>
    <w:rsid w:val="0050798A"/>
    <w:rsid w:val="00512F09"/>
    <w:rsid w:val="00513899"/>
    <w:rsid w:val="00513F2E"/>
    <w:rsid w:val="00514E29"/>
    <w:rsid w:val="005152AB"/>
    <w:rsid w:val="005217C7"/>
    <w:rsid w:val="00523775"/>
    <w:rsid w:val="0052476A"/>
    <w:rsid w:val="00531E24"/>
    <w:rsid w:val="00533E12"/>
    <w:rsid w:val="00535C76"/>
    <w:rsid w:val="00536A17"/>
    <w:rsid w:val="00536BDB"/>
    <w:rsid w:val="00536E33"/>
    <w:rsid w:val="005376BA"/>
    <w:rsid w:val="00537A2E"/>
    <w:rsid w:val="005411D3"/>
    <w:rsid w:val="005421DE"/>
    <w:rsid w:val="005433FA"/>
    <w:rsid w:val="00544EEB"/>
    <w:rsid w:val="0054543F"/>
    <w:rsid w:val="0055113C"/>
    <w:rsid w:val="00551D67"/>
    <w:rsid w:val="00552077"/>
    <w:rsid w:val="0055753D"/>
    <w:rsid w:val="00557FA9"/>
    <w:rsid w:val="00560951"/>
    <w:rsid w:val="00560BA5"/>
    <w:rsid w:val="00561800"/>
    <w:rsid w:val="00561E05"/>
    <w:rsid w:val="00561E38"/>
    <w:rsid w:val="00561E56"/>
    <w:rsid w:val="00562977"/>
    <w:rsid w:val="00563273"/>
    <w:rsid w:val="00565D27"/>
    <w:rsid w:val="00566525"/>
    <w:rsid w:val="0056701D"/>
    <w:rsid w:val="00567132"/>
    <w:rsid w:val="00570A62"/>
    <w:rsid w:val="00571BCC"/>
    <w:rsid w:val="0057412D"/>
    <w:rsid w:val="0057420B"/>
    <w:rsid w:val="00574C61"/>
    <w:rsid w:val="00575C7E"/>
    <w:rsid w:val="005811B8"/>
    <w:rsid w:val="00582B01"/>
    <w:rsid w:val="00584896"/>
    <w:rsid w:val="00584982"/>
    <w:rsid w:val="0058583B"/>
    <w:rsid w:val="0059061E"/>
    <w:rsid w:val="0059134D"/>
    <w:rsid w:val="005916E8"/>
    <w:rsid w:val="00591CFC"/>
    <w:rsid w:val="00592227"/>
    <w:rsid w:val="00592EB9"/>
    <w:rsid w:val="0059527B"/>
    <w:rsid w:val="00595EB3"/>
    <w:rsid w:val="00596B34"/>
    <w:rsid w:val="00597E8B"/>
    <w:rsid w:val="005A07B1"/>
    <w:rsid w:val="005A0BA4"/>
    <w:rsid w:val="005A19D7"/>
    <w:rsid w:val="005A5F8F"/>
    <w:rsid w:val="005A7C77"/>
    <w:rsid w:val="005B01B5"/>
    <w:rsid w:val="005B0E3A"/>
    <w:rsid w:val="005B1187"/>
    <w:rsid w:val="005B2A68"/>
    <w:rsid w:val="005B2C62"/>
    <w:rsid w:val="005B37AE"/>
    <w:rsid w:val="005C2439"/>
    <w:rsid w:val="005C2F9A"/>
    <w:rsid w:val="005C5FA8"/>
    <w:rsid w:val="005C661E"/>
    <w:rsid w:val="005C67EE"/>
    <w:rsid w:val="005C7540"/>
    <w:rsid w:val="005D04F1"/>
    <w:rsid w:val="005D14CC"/>
    <w:rsid w:val="005D2EA6"/>
    <w:rsid w:val="005D3638"/>
    <w:rsid w:val="005D6B05"/>
    <w:rsid w:val="005D6F65"/>
    <w:rsid w:val="005D77BD"/>
    <w:rsid w:val="005D7A65"/>
    <w:rsid w:val="005E0759"/>
    <w:rsid w:val="005E0A8A"/>
    <w:rsid w:val="005E3A06"/>
    <w:rsid w:val="005E5C4A"/>
    <w:rsid w:val="005E5D50"/>
    <w:rsid w:val="005E6697"/>
    <w:rsid w:val="005E6972"/>
    <w:rsid w:val="005E6D05"/>
    <w:rsid w:val="005E71DC"/>
    <w:rsid w:val="005E7653"/>
    <w:rsid w:val="005F020B"/>
    <w:rsid w:val="005F0E04"/>
    <w:rsid w:val="005F183D"/>
    <w:rsid w:val="005F1D57"/>
    <w:rsid w:val="005F5924"/>
    <w:rsid w:val="005F5A3A"/>
    <w:rsid w:val="005F7402"/>
    <w:rsid w:val="005F7C14"/>
    <w:rsid w:val="00603F40"/>
    <w:rsid w:val="00606387"/>
    <w:rsid w:val="00606531"/>
    <w:rsid w:val="0060724A"/>
    <w:rsid w:val="006119CD"/>
    <w:rsid w:val="006122E5"/>
    <w:rsid w:val="0061353A"/>
    <w:rsid w:val="00613A20"/>
    <w:rsid w:val="00614AE3"/>
    <w:rsid w:val="006166A7"/>
    <w:rsid w:val="00622A4E"/>
    <w:rsid w:val="0062361F"/>
    <w:rsid w:val="00623790"/>
    <w:rsid w:val="006240E9"/>
    <w:rsid w:val="006278D5"/>
    <w:rsid w:val="00627F4A"/>
    <w:rsid w:val="00634A9E"/>
    <w:rsid w:val="006410B6"/>
    <w:rsid w:val="006447E9"/>
    <w:rsid w:val="006474D4"/>
    <w:rsid w:val="0064783C"/>
    <w:rsid w:val="00650997"/>
    <w:rsid w:val="00651753"/>
    <w:rsid w:val="006525C2"/>
    <w:rsid w:val="00652E21"/>
    <w:rsid w:val="0065410D"/>
    <w:rsid w:val="006543C8"/>
    <w:rsid w:val="006552F1"/>
    <w:rsid w:val="0065586D"/>
    <w:rsid w:val="00655C70"/>
    <w:rsid w:val="00656FE5"/>
    <w:rsid w:val="006608CA"/>
    <w:rsid w:val="0066116C"/>
    <w:rsid w:val="00663402"/>
    <w:rsid w:val="006702E2"/>
    <w:rsid w:val="0067138D"/>
    <w:rsid w:val="00674677"/>
    <w:rsid w:val="00674CF9"/>
    <w:rsid w:val="00675FD0"/>
    <w:rsid w:val="006776FD"/>
    <w:rsid w:val="00677823"/>
    <w:rsid w:val="00677B5C"/>
    <w:rsid w:val="00681B5B"/>
    <w:rsid w:val="0068218C"/>
    <w:rsid w:val="00684320"/>
    <w:rsid w:val="00684BF7"/>
    <w:rsid w:val="00684E82"/>
    <w:rsid w:val="00686CA7"/>
    <w:rsid w:val="00686D65"/>
    <w:rsid w:val="00690843"/>
    <w:rsid w:val="006917B5"/>
    <w:rsid w:val="00693027"/>
    <w:rsid w:val="0069411B"/>
    <w:rsid w:val="00695489"/>
    <w:rsid w:val="00695FD8"/>
    <w:rsid w:val="0069749B"/>
    <w:rsid w:val="006A0C0F"/>
    <w:rsid w:val="006A24F5"/>
    <w:rsid w:val="006A3BF0"/>
    <w:rsid w:val="006A40D3"/>
    <w:rsid w:val="006A41C1"/>
    <w:rsid w:val="006A54F2"/>
    <w:rsid w:val="006A572D"/>
    <w:rsid w:val="006A62B0"/>
    <w:rsid w:val="006A6815"/>
    <w:rsid w:val="006B01C6"/>
    <w:rsid w:val="006B31BC"/>
    <w:rsid w:val="006B5541"/>
    <w:rsid w:val="006B57B7"/>
    <w:rsid w:val="006C03BD"/>
    <w:rsid w:val="006C0426"/>
    <w:rsid w:val="006C070E"/>
    <w:rsid w:val="006C22C9"/>
    <w:rsid w:val="006C32C8"/>
    <w:rsid w:val="006C3AB4"/>
    <w:rsid w:val="006C3D2A"/>
    <w:rsid w:val="006C6768"/>
    <w:rsid w:val="006D0C71"/>
    <w:rsid w:val="006D24AB"/>
    <w:rsid w:val="006D2A3F"/>
    <w:rsid w:val="006D3FE5"/>
    <w:rsid w:val="006D4307"/>
    <w:rsid w:val="006D48F8"/>
    <w:rsid w:val="006D655E"/>
    <w:rsid w:val="006D715E"/>
    <w:rsid w:val="006E26C7"/>
    <w:rsid w:val="006E32CE"/>
    <w:rsid w:val="006E3F95"/>
    <w:rsid w:val="006E78C8"/>
    <w:rsid w:val="006E7B4E"/>
    <w:rsid w:val="006F0347"/>
    <w:rsid w:val="006F2385"/>
    <w:rsid w:val="006F3C9D"/>
    <w:rsid w:val="006F440A"/>
    <w:rsid w:val="006F48BE"/>
    <w:rsid w:val="006F6DB4"/>
    <w:rsid w:val="006F76CE"/>
    <w:rsid w:val="00700583"/>
    <w:rsid w:val="00703375"/>
    <w:rsid w:val="00703B3D"/>
    <w:rsid w:val="00704199"/>
    <w:rsid w:val="0070541D"/>
    <w:rsid w:val="00705EA2"/>
    <w:rsid w:val="0070772E"/>
    <w:rsid w:val="0071011F"/>
    <w:rsid w:val="00711206"/>
    <w:rsid w:val="00712BA8"/>
    <w:rsid w:val="00713764"/>
    <w:rsid w:val="00715C3E"/>
    <w:rsid w:val="00715CCB"/>
    <w:rsid w:val="007169D0"/>
    <w:rsid w:val="0072164C"/>
    <w:rsid w:val="00722B6C"/>
    <w:rsid w:val="00727AED"/>
    <w:rsid w:val="0073031F"/>
    <w:rsid w:val="00732751"/>
    <w:rsid w:val="007336FF"/>
    <w:rsid w:val="00733D9F"/>
    <w:rsid w:val="007361D9"/>
    <w:rsid w:val="0073708F"/>
    <w:rsid w:val="007378D5"/>
    <w:rsid w:val="007403DB"/>
    <w:rsid w:val="0074129B"/>
    <w:rsid w:val="0074603B"/>
    <w:rsid w:val="007463E3"/>
    <w:rsid w:val="007475BC"/>
    <w:rsid w:val="007502F3"/>
    <w:rsid w:val="00750C07"/>
    <w:rsid w:val="00750C1E"/>
    <w:rsid w:val="00751155"/>
    <w:rsid w:val="00752563"/>
    <w:rsid w:val="007526F0"/>
    <w:rsid w:val="00752B84"/>
    <w:rsid w:val="007543BE"/>
    <w:rsid w:val="0075634D"/>
    <w:rsid w:val="0075682F"/>
    <w:rsid w:val="00756A65"/>
    <w:rsid w:val="00757DB7"/>
    <w:rsid w:val="00760100"/>
    <w:rsid w:val="0076054B"/>
    <w:rsid w:val="00763DB4"/>
    <w:rsid w:val="00763F0E"/>
    <w:rsid w:val="007663C5"/>
    <w:rsid w:val="00767356"/>
    <w:rsid w:val="00772E48"/>
    <w:rsid w:val="00772FDB"/>
    <w:rsid w:val="0077531F"/>
    <w:rsid w:val="007801C4"/>
    <w:rsid w:val="0078119C"/>
    <w:rsid w:val="00783488"/>
    <w:rsid w:val="007846D8"/>
    <w:rsid w:val="0078472A"/>
    <w:rsid w:val="00784F8D"/>
    <w:rsid w:val="00785D35"/>
    <w:rsid w:val="00785E94"/>
    <w:rsid w:val="007861F1"/>
    <w:rsid w:val="00790C26"/>
    <w:rsid w:val="0079432A"/>
    <w:rsid w:val="007A13BB"/>
    <w:rsid w:val="007A2DFC"/>
    <w:rsid w:val="007A34AC"/>
    <w:rsid w:val="007A53DB"/>
    <w:rsid w:val="007B2205"/>
    <w:rsid w:val="007B37F5"/>
    <w:rsid w:val="007B51BA"/>
    <w:rsid w:val="007B6104"/>
    <w:rsid w:val="007B6542"/>
    <w:rsid w:val="007B6D53"/>
    <w:rsid w:val="007B73ED"/>
    <w:rsid w:val="007C0B76"/>
    <w:rsid w:val="007C27AF"/>
    <w:rsid w:val="007C6FB3"/>
    <w:rsid w:val="007D03FB"/>
    <w:rsid w:val="007D0CA8"/>
    <w:rsid w:val="007D2E46"/>
    <w:rsid w:val="007D5A8A"/>
    <w:rsid w:val="007D62E1"/>
    <w:rsid w:val="007D69C0"/>
    <w:rsid w:val="007E1F3C"/>
    <w:rsid w:val="007E671D"/>
    <w:rsid w:val="007F0D43"/>
    <w:rsid w:val="007F48E2"/>
    <w:rsid w:val="007F523A"/>
    <w:rsid w:val="007F56E3"/>
    <w:rsid w:val="007F5976"/>
    <w:rsid w:val="007F6A17"/>
    <w:rsid w:val="00800249"/>
    <w:rsid w:val="00801562"/>
    <w:rsid w:val="00801C89"/>
    <w:rsid w:val="0080229E"/>
    <w:rsid w:val="00803BE5"/>
    <w:rsid w:val="0081019D"/>
    <w:rsid w:val="00810DD0"/>
    <w:rsid w:val="00812380"/>
    <w:rsid w:val="0081274E"/>
    <w:rsid w:val="0081279E"/>
    <w:rsid w:val="00812C4A"/>
    <w:rsid w:val="00812CDE"/>
    <w:rsid w:val="00813FE7"/>
    <w:rsid w:val="0081658B"/>
    <w:rsid w:val="00816B84"/>
    <w:rsid w:val="0081727C"/>
    <w:rsid w:val="008201F2"/>
    <w:rsid w:val="00820F7F"/>
    <w:rsid w:val="00821100"/>
    <w:rsid w:val="00821A5A"/>
    <w:rsid w:val="0082406E"/>
    <w:rsid w:val="00824400"/>
    <w:rsid w:val="00825AEA"/>
    <w:rsid w:val="008261F1"/>
    <w:rsid w:val="00826710"/>
    <w:rsid w:val="008314E8"/>
    <w:rsid w:val="00831E9C"/>
    <w:rsid w:val="00832656"/>
    <w:rsid w:val="008326F1"/>
    <w:rsid w:val="008342DE"/>
    <w:rsid w:val="008344D6"/>
    <w:rsid w:val="00841CF0"/>
    <w:rsid w:val="00842A04"/>
    <w:rsid w:val="0084383C"/>
    <w:rsid w:val="00846217"/>
    <w:rsid w:val="008462F9"/>
    <w:rsid w:val="0084691D"/>
    <w:rsid w:val="0084736B"/>
    <w:rsid w:val="00851B8C"/>
    <w:rsid w:val="008529A2"/>
    <w:rsid w:val="008533F4"/>
    <w:rsid w:val="00853F23"/>
    <w:rsid w:val="008557E0"/>
    <w:rsid w:val="00860382"/>
    <w:rsid w:val="0086078E"/>
    <w:rsid w:val="008613C3"/>
    <w:rsid w:val="008614D9"/>
    <w:rsid w:val="00863ACF"/>
    <w:rsid w:val="008657DB"/>
    <w:rsid w:val="0087035F"/>
    <w:rsid w:val="00870FB5"/>
    <w:rsid w:val="00874369"/>
    <w:rsid w:val="00875454"/>
    <w:rsid w:val="00875D2D"/>
    <w:rsid w:val="008767AD"/>
    <w:rsid w:val="008775B1"/>
    <w:rsid w:val="0088380C"/>
    <w:rsid w:val="00883AB3"/>
    <w:rsid w:val="008862BE"/>
    <w:rsid w:val="00890304"/>
    <w:rsid w:val="008916BC"/>
    <w:rsid w:val="00891B66"/>
    <w:rsid w:val="00892035"/>
    <w:rsid w:val="00893F40"/>
    <w:rsid w:val="008940FF"/>
    <w:rsid w:val="0089459F"/>
    <w:rsid w:val="008A27BB"/>
    <w:rsid w:val="008A3607"/>
    <w:rsid w:val="008A3BD9"/>
    <w:rsid w:val="008A525B"/>
    <w:rsid w:val="008A5B40"/>
    <w:rsid w:val="008A5DE7"/>
    <w:rsid w:val="008A6AFE"/>
    <w:rsid w:val="008A7106"/>
    <w:rsid w:val="008B0A2E"/>
    <w:rsid w:val="008B0E31"/>
    <w:rsid w:val="008B1C0D"/>
    <w:rsid w:val="008B2352"/>
    <w:rsid w:val="008B3FF0"/>
    <w:rsid w:val="008B5DD9"/>
    <w:rsid w:val="008B6916"/>
    <w:rsid w:val="008C051F"/>
    <w:rsid w:val="008C072A"/>
    <w:rsid w:val="008C133E"/>
    <w:rsid w:val="008C2411"/>
    <w:rsid w:val="008C3363"/>
    <w:rsid w:val="008C3F37"/>
    <w:rsid w:val="008C448F"/>
    <w:rsid w:val="008C54C6"/>
    <w:rsid w:val="008C5FAA"/>
    <w:rsid w:val="008C7E30"/>
    <w:rsid w:val="008D08BA"/>
    <w:rsid w:val="008D0903"/>
    <w:rsid w:val="008D1D87"/>
    <w:rsid w:val="008D37E3"/>
    <w:rsid w:val="008D401B"/>
    <w:rsid w:val="008D6638"/>
    <w:rsid w:val="008D7994"/>
    <w:rsid w:val="008E027E"/>
    <w:rsid w:val="008E4965"/>
    <w:rsid w:val="008E5625"/>
    <w:rsid w:val="008E6E12"/>
    <w:rsid w:val="008E7640"/>
    <w:rsid w:val="008F0C0E"/>
    <w:rsid w:val="008F1B1B"/>
    <w:rsid w:val="008F1B78"/>
    <w:rsid w:val="008F51F4"/>
    <w:rsid w:val="008F594C"/>
    <w:rsid w:val="008F5982"/>
    <w:rsid w:val="008F5A3A"/>
    <w:rsid w:val="008F73CA"/>
    <w:rsid w:val="009013FF"/>
    <w:rsid w:val="00902B9A"/>
    <w:rsid w:val="00902CAA"/>
    <w:rsid w:val="00904470"/>
    <w:rsid w:val="00904A46"/>
    <w:rsid w:val="00904F92"/>
    <w:rsid w:val="00915435"/>
    <w:rsid w:val="0091638E"/>
    <w:rsid w:val="00916CF0"/>
    <w:rsid w:val="009178BD"/>
    <w:rsid w:val="009203D7"/>
    <w:rsid w:val="00920A67"/>
    <w:rsid w:val="00922B01"/>
    <w:rsid w:val="00923B6F"/>
    <w:rsid w:val="00923CE4"/>
    <w:rsid w:val="0092576B"/>
    <w:rsid w:val="009264B1"/>
    <w:rsid w:val="0092662F"/>
    <w:rsid w:val="00926F6C"/>
    <w:rsid w:val="0092732D"/>
    <w:rsid w:val="009277F0"/>
    <w:rsid w:val="00931413"/>
    <w:rsid w:val="0093675A"/>
    <w:rsid w:val="0094080B"/>
    <w:rsid w:val="00940CB5"/>
    <w:rsid w:val="0094134D"/>
    <w:rsid w:val="00942C60"/>
    <w:rsid w:val="0094358D"/>
    <w:rsid w:val="009445DE"/>
    <w:rsid w:val="0094542B"/>
    <w:rsid w:val="009466EB"/>
    <w:rsid w:val="00947421"/>
    <w:rsid w:val="00951BDF"/>
    <w:rsid w:val="00952453"/>
    <w:rsid w:val="009557CD"/>
    <w:rsid w:val="009605FD"/>
    <w:rsid w:val="009614C3"/>
    <w:rsid w:val="0096156D"/>
    <w:rsid w:val="00961B60"/>
    <w:rsid w:val="0096207E"/>
    <w:rsid w:val="00962CD5"/>
    <w:rsid w:val="009649B5"/>
    <w:rsid w:val="00966532"/>
    <w:rsid w:val="00967CF6"/>
    <w:rsid w:val="00971C82"/>
    <w:rsid w:val="00972839"/>
    <w:rsid w:val="00972BEF"/>
    <w:rsid w:val="0097343F"/>
    <w:rsid w:val="00973766"/>
    <w:rsid w:val="00974559"/>
    <w:rsid w:val="009760C2"/>
    <w:rsid w:val="0097652C"/>
    <w:rsid w:val="00976CE0"/>
    <w:rsid w:val="00981F00"/>
    <w:rsid w:val="00982020"/>
    <w:rsid w:val="009821B3"/>
    <w:rsid w:val="009835C4"/>
    <w:rsid w:val="00983BDD"/>
    <w:rsid w:val="00984532"/>
    <w:rsid w:val="00984DB8"/>
    <w:rsid w:val="0098649A"/>
    <w:rsid w:val="0098651E"/>
    <w:rsid w:val="00987818"/>
    <w:rsid w:val="00991DA2"/>
    <w:rsid w:val="00991E5B"/>
    <w:rsid w:val="00993B80"/>
    <w:rsid w:val="00994749"/>
    <w:rsid w:val="00994BB8"/>
    <w:rsid w:val="00996FAC"/>
    <w:rsid w:val="009A0763"/>
    <w:rsid w:val="009A250A"/>
    <w:rsid w:val="009A39EB"/>
    <w:rsid w:val="009A55AD"/>
    <w:rsid w:val="009A778A"/>
    <w:rsid w:val="009B002B"/>
    <w:rsid w:val="009B295A"/>
    <w:rsid w:val="009B32A7"/>
    <w:rsid w:val="009B32AF"/>
    <w:rsid w:val="009B3412"/>
    <w:rsid w:val="009B3A97"/>
    <w:rsid w:val="009B3BBE"/>
    <w:rsid w:val="009B4AAF"/>
    <w:rsid w:val="009B6677"/>
    <w:rsid w:val="009B6723"/>
    <w:rsid w:val="009B7113"/>
    <w:rsid w:val="009B76E9"/>
    <w:rsid w:val="009C15B3"/>
    <w:rsid w:val="009C2DAC"/>
    <w:rsid w:val="009C3C84"/>
    <w:rsid w:val="009C4549"/>
    <w:rsid w:val="009C49D9"/>
    <w:rsid w:val="009C5EF4"/>
    <w:rsid w:val="009C67D3"/>
    <w:rsid w:val="009D0B7E"/>
    <w:rsid w:val="009D0D8C"/>
    <w:rsid w:val="009D1ABB"/>
    <w:rsid w:val="009D30D3"/>
    <w:rsid w:val="009D5278"/>
    <w:rsid w:val="009E0EB2"/>
    <w:rsid w:val="009E1A25"/>
    <w:rsid w:val="009E26EE"/>
    <w:rsid w:val="009E4572"/>
    <w:rsid w:val="009E6896"/>
    <w:rsid w:val="009E6DA4"/>
    <w:rsid w:val="009F04CE"/>
    <w:rsid w:val="009F072B"/>
    <w:rsid w:val="009F07F8"/>
    <w:rsid w:val="009F12AF"/>
    <w:rsid w:val="009F2925"/>
    <w:rsid w:val="009F3205"/>
    <w:rsid w:val="009F3343"/>
    <w:rsid w:val="009F3D34"/>
    <w:rsid w:val="009F5153"/>
    <w:rsid w:val="00A00E69"/>
    <w:rsid w:val="00A01882"/>
    <w:rsid w:val="00A032A0"/>
    <w:rsid w:val="00A048B0"/>
    <w:rsid w:val="00A06D27"/>
    <w:rsid w:val="00A077D3"/>
    <w:rsid w:val="00A11766"/>
    <w:rsid w:val="00A11FC6"/>
    <w:rsid w:val="00A120A1"/>
    <w:rsid w:val="00A12E63"/>
    <w:rsid w:val="00A13E39"/>
    <w:rsid w:val="00A14615"/>
    <w:rsid w:val="00A1499B"/>
    <w:rsid w:val="00A15A16"/>
    <w:rsid w:val="00A23892"/>
    <w:rsid w:val="00A23C1F"/>
    <w:rsid w:val="00A24906"/>
    <w:rsid w:val="00A3061F"/>
    <w:rsid w:val="00A344AB"/>
    <w:rsid w:val="00A3694A"/>
    <w:rsid w:val="00A36AAF"/>
    <w:rsid w:val="00A40D7A"/>
    <w:rsid w:val="00A4102A"/>
    <w:rsid w:val="00A44180"/>
    <w:rsid w:val="00A45199"/>
    <w:rsid w:val="00A454EB"/>
    <w:rsid w:val="00A46212"/>
    <w:rsid w:val="00A46AB6"/>
    <w:rsid w:val="00A5033F"/>
    <w:rsid w:val="00A51473"/>
    <w:rsid w:val="00A51867"/>
    <w:rsid w:val="00A53421"/>
    <w:rsid w:val="00A53B78"/>
    <w:rsid w:val="00A561C0"/>
    <w:rsid w:val="00A57A09"/>
    <w:rsid w:val="00A57EB4"/>
    <w:rsid w:val="00A616EF"/>
    <w:rsid w:val="00A631C7"/>
    <w:rsid w:val="00A63589"/>
    <w:rsid w:val="00A65523"/>
    <w:rsid w:val="00A658E7"/>
    <w:rsid w:val="00A66572"/>
    <w:rsid w:val="00A70210"/>
    <w:rsid w:val="00A703E5"/>
    <w:rsid w:val="00A712A6"/>
    <w:rsid w:val="00A717A0"/>
    <w:rsid w:val="00A7326D"/>
    <w:rsid w:val="00A82DE0"/>
    <w:rsid w:val="00A83D7C"/>
    <w:rsid w:val="00A8433C"/>
    <w:rsid w:val="00A84847"/>
    <w:rsid w:val="00A84BE0"/>
    <w:rsid w:val="00A8595D"/>
    <w:rsid w:val="00A86BA1"/>
    <w:rsid w:val="00A877A5"/>
    <w:rsid w:val="00A87F32"/>
    <w:rsid w:val="00A901F3"/>
    <w:rsid w:val="00A90792"/>
    <w:rsid w:val="00A9107D"/>
    <w:rsid w:val="00A91469"/>
    <w:rsid w:val="00A9385C"/>
    <w:rsid w:val="00A9456E"/>
    <w:rsid w:val="00A956D7"/>
    <w:rsid w:val="00A95E87"/>
    <w:rsid w:val="00A96ACE"/>
    <w:rsid w:val="00AA26BD"/>
    <w:rsid w:val="00AA2BBD"/>
    <w:rsid w:val="00AA47A3"/>
    <w:rsid w:val="00AA68BF"/>
    <w:rsid w:val="00AA6A27"/>
    <w:rsid w:val="00AB161F"/>
    <w:rsid w:val="00AB4F28"/>
    <w:rsid w:val="00AC1D86"/>
    <w:rsid w:val="00AC1DF3"/>
    <w:rsid w:val="00AC205C"/>
    <w:rsid w:val="00AC2B96"/>
    <w:rsid w:val="00AC4334"/>
    <w:rsid w:val="00AC5D53"/>
    <w:rsid w:val="00AD02A0"/>
    <w:rsid w:val="00AD0C25"/>
    <w:rsid w:val="00AD18DC"/>
    <w:rsid w:val="00AD59B6"/>
    <w:rsid w:val="00AD61E7"/>
    <w:rsid w:val="00AD74EB"/>
    <w:rsid w:val="00AD7857"/>
    <w:rsid w:val="00AE1CA3"/>
    <w:rsid w:val="00AE1D01"/>
    <w:rsid w:val="00AE20DC"/>
    <w:rsid w:val="00AE31CE"/>
    <w:rsid w:val="00AE45C8"/>
    <w:rsid w:val="00AE5485"/>
    <w:rsid w:val="00AF0D36"/>
    <w:rsid w:val="00AF14EC"/>
    <w:rsid w:val="00AF1582"/>
    <w:rsid w:val="00AF1821"/>
    <w:rsid w:val="00AF1945"/>
    <w:rsid w:val="00AF1E9B"/>
    <w:rsid w:val="00AF2A67"/>
    <w:rsid w:val="00AF4665"/>
    <w:rsid w:val="00AF47A1"/>
    <w:rsid w:val="00AF508D"/>
    <w:rsid w:val="00AF5553"/>
    <w:rsid w:val="00AF5E7D"/>
    <w:rsid w:val="00AF6BF5"/>
    <w:rsid w:val="00AF781B"/>
    <w:rsid w:val="00B00A5B"/>
    <w:rsid w:val="00B00B8F"/>
    <w:rsid w:val="00B0170B"/>
    <w:rsid w:val="00B01D93"/>
    <w:rsid w:val="00B02695"/>
    <w:rsid w:val="00B0376F"/>
    <w:rsid w:val="00B12774"/>
    <w:rsid w:val="00B16451"/>
    <w:rsid w:val="00B17C3F"/>
    <w:rsid w:val="00B21256"/>
    <w:rsid w:val="00B26B35"/>
    <w:rsid w:val="00B3134A"/>
    <w:rsid w:val="00B31C09"/>
    <w:rsid w:val="00B3246D"/>
    <w:rsid w:val="00B328D9"/>
    <w:rsid w:val="00B3444B"/>
    <w:rsid w:val="00B346C4"/>
    <w:rsid w:val="00B37645"/>
    <w:rsid w:val="00B413E3"/>
    <w:rsid w:val="00B42025"/>
    <w:rsid w:val="00B4355E"/>
    <w:rsid w:val="00B4431F"/>
    <w:rsid w:val="00B451EA"/>
    <w:rsid w:val="00B45F4E"/>
    <w:rsid w:val="00B50EBA"/>
    <w:rsid w:val="00B533DE"/>
    <w:rsid w:val="00B53718"/>
    <w:rsid w:val="00B53D67"/>
    <w:rsid w:val="00B569EB"/>
    <w:rsid w:val="00B611D5"/>
    <w:rsid w:val="00B650CD"/>
    <w:rsid w:val="00B66330"/>
    <w:rsid w:val="00B66573"/>
    <w:rsid w:val="00B66B1F"/>
    <w:rsid w:val="00B72D79"/>
    <w:rsid w:val="00B73DAC"/>
    <w:rsid w:val="00B748F3"/>
    <w:rsid w:val="00B7538A"/>
    <w:rsid w:val="00B75B02"/>
    <w:rsid w:val="00B80DBB"/>
    <w:rsid w:val="00B81549"/>
    <w:rsid w:val="00B81ECC"/>
    <w:rsid w:val="00B82515"/>
    <w:rsid w:val="00B842F5"/>
    <w:rsid w:val="00B86A26"/>
    <w:rsid w:val="00B87099"/>
    <w:rsid w:val="00B900C2"/>
    <w:rsid w:val="00B90C5C"/>
    <w:rsid w:val="00B91E7C"/>
    <w:rsid w:val="00B9415C"/>
    <w:rsid w:val="00B95217"/>
    <w:rsid w:val="00B952D5"/>
    <w:rsid w:val="00B966DE"/>
    <w:rsid w:val="00BA06CA"/>
    <w:rsid w:val="00BA1A26"/>
    <w:rsid w:val="00BA34E3"/>
    <w:rsid w:val="00BA36F6"/>
    <w:rsid w:val="00BA67BB"/>
    <w:rsid w:val="00BA6D69"/>
    <w:rsid w:val="00BB1401"/>
    <w:rsid w:val="00BB1866"/>
    <w:rsid w:val="00BB19E0"/>
    <w:rsid w:val="00BB2462"/>
    <w:rsid w:val="00BB2D15"/>
    <w:rsid w:val="00BB478A"/>
    <w:rsid w:val="00BB560F"/>
    <w:rsid w:val="00BB733F"/>
    <w:rsid w:val="00BC150F"/>
    <w:rsid w:val="00BC3BA8"/>
    <w:rsid w:val="00BC3D49"/>
    <w:rsid w:val="00BC63E6"/>
    <w:rsid w:val="00BD1518"/>
    <w:rsid w:val="00BD2999"/>
    <w:rsid w:val="00BD2BEF"/>
    <w:rsid w:val="00BD4422"/>
    <w:rsid w:val="00BD456B"/>
    <w:rsid w:val="00BD49AA"/>
    <w:rsid w:val="00BD711E"/>
    <w:rsid w:val="00BD7EB4"/>
    <w:rsid w:val="00BE08AA"/>
    <w:rsid w:val="00BE2AB0"/>
    <w:rsid w:val="00BE2B4C"/>
    <w:rsid w:val="00BE2D83"/>
    <w:rsid w:val="00BE4603"/>
    <w:rsid w:val="00BE5DB9"/>
    <w:rsid w:val="00BF01D3"/>
    <w:rsid w:val="00BF2F04"/>
    <w:rsid w:val="00BF4353"/>
    <w:rsid w:val="00BF51F4"/>
    <w:rsid w:val="00BF6A86"/>
    <w:rsid w:val="00C01BC8"/>
    <w:rsid w:val="00C03DB6"/>
    <w:rsid w:val="00C045FE"/>
    <w:rsid w:val="00C04BAD"/>
    <w:rsid w:val="00C062FA"/>
    <w:rsid w:val="00C07258"/>
    <w:rsid w:val="00C10DA6"/>
    <w:rsid w:val="00C116E8"/>
    <w:rsid w:val="00C12E58"/>
    <w:rsid w:val="00C173B6"/>
    <w:rsid w:val="00C2036B"/>
    <w:rsid w:val="00C22399"/>
    <w:rsid w:val="00C22761"/>
    <w:rsid w:val="00C23A28"/>
    <w:rsid w:val="00C24006"/>
    <w:rsid w:val="00C25A37"/>
    <w:rsid w:val="00C25D63"/>
    <w:rsid w:val="00C26637"/>
    <w:rsid w:val="00C30435"/>
    <w:rsid w:val="00C31AA7"/>
    <w:rsid w:val="00C31D2F"/>
    <w:rsid w:val="00C32DF8"/>
    <w:rsid w:val="00C335E0"/>
    <w:rsid w:val="00C35290"/>
    <w:rsid w:val="00C354B4"/>
    <w:rsid w:val="00C37189"/>
    <w:rsid w:val="00C37CB5"/>
    <w:rsid w:val="00C401B6"/>
    <w:rsid w:val="00C40461"/>
    <w:rsid w:val="00C4057E"/>
    <w:rsid w:val="00C41486"/>
    <w:rsid w:val="00C42B18"/>
    <w:rsid w:val="00C43BD7"/>
    <w:rsid w:val="00C5202A"/>
    <w:rsid w:val="00C54482"/>
    <w:rsid w:val="00C54845"/>
    <w:rsid w:val="00C549E7"/>
    <w:rsid w:val="00C5572F"/>
    <w:rsid w:val="00C600DA"/>
    <w:rsid w:val="00C60D38"/>
    <w:rsid w:val="00C615CD"/>
    <w:rsid w:val="00C63418"/>
    <w:rsid w:val="00C6350A"/>
    <w:rsid w:val="00C6444B"/>
    <w:rsid w:val="00C64AE9"/>
    <w:rsid w:val="00C65635"/>
    <w:rsid w:val="00C65DBB"/>
    <w:rsid w:val="00C66B8D"/>
    <w:rsid w:val="00C67C7E"/>
    <w:rsid w:val="00C67DA4"/>
    <w:rsid w:val="00C70622"/>
    <w:rsid w:val="00C70C85"/>
    <w:rsid w:val="00C730CE"/>
    <w:rsid w:val="00C763FD"/>
    <w:rsid w:val="00C77D56"/>
    <w:rsid w:val="00C80842"/>
    <w:rsid w:val="00C81125"/>
    <w:rsid w:val="00C81310"/>
    <w:rsid w:val="00C82495"/>
    <w:rsid w:val="00C82943"/>
    <w:rsid w:val="00C853AD"/>
    <w:rsid w:val="00C86988"/>
    <w:rsid w:val="00C872BA"/>
    <w:rsid w:val="00C90588"/>
    <w:rsid w:val="00C91D1E"/>
    <w:rsid w:val="00C9251E"/>
    <w:rsid w:val="00C9293C"/>
    <w:rsid w:val="00C9355E"/>
    <w:rsid w:val="00C9698B"/>
    <w:rsid w:val="00CA03A2"/>
    <w:rsid w:val="00CA1821"/>
    <w:rsid w:val="00CA182E"/>
    <w:rsid w:val="00CA26D2"/>
    <w:rsid w:val="00CA33AA"/>
    <w:rsid w:val="00CA3E3D"/>
    <w:rsid w:val="00CA4BEA"/>
    <w:rsid w:val="00CA5423"/>
    <w:rsid w:val="00CA6BA3"/>
    <w:rsid w:val="00CB17DC"/>
    <w:rsid w:val="00CB193B"/>
    <w:rsid w:val="00CB324B"/>
    <w:rsid w:val="00CB3519"/>
    <w:rsid w:val="00CB3774"/>
    <w:rsid w:val="00CB3B7A"/>
    <w:rsid w:val="00CB4E06"/>
    <w:rsid w:val="00CB5A23"/>
    <w:rsid w:val="00CB5A6B"/>
    <w:rsid w:val="00CB76CB"/>
    <w:rsid w:val="00CC1971"/>
    <w:rsid w:val="00CC2B40"/>
    <w:rsid w:val="00CC2C4C"/>
    <w:rsid w:val="00CC32CC"/>
    <w:rsid w:val="00CC3814"/>
    <w:rsid w:val="00CC518D"/>
    <w:rsid w:val="00CC6A00"/>
    <w:rsid w:val="00CC7EB6"/>
    <w:rsid w:val="00CD3267"/>
    <w:rsid w:val="00CD68C4"/>
    <w:rsid w:val="00CD7673"/>
    <w:rsid w:val="00CE0E01"/>
    <w:rsid w:val="00CE11D3"/>
    <w:rsid w:val="00CE13D9"/>
    <w:rsid w:val="00CE163F"/>
    <w:rsid w:val="00CE2793"/>
    <w:rsid w:val="00CE2C00"/>
    <w:rsid w:val="00CE3562"/>
    <w:rsid w:val="00CE449C"/>
    <w:rsid w:val="00CE4C52"/>
    <w:rsid w:val="00CE4D01"/>
    <w:rsid w:val="00CE58CF"/>
    <w:rsid w:val="00CE5EA4"/>
    <w:rsid w:val="00CE610F"/>
    <w:rsid w:val="00CE769F"/>
    <w:rsid w:val="00CF174C"/>
    <w:rsid w:val="00CF3596"/>
    <w:rsid w:val="00CF4C72"/>
    <w:rsid w:val="00D01B12"/>
    <w:rsid w:val="00D01F7B"/>
    <w:rsid w:val="00D055F5"/>
    <w:rsid w:val="00D059A7"/>
    <w:rsid w:val="00D06516"/>
    <w:rsid w:val="00D06A4D"/>
    <w:rsid w:val="00D10149"/>
    <w:rsid w:val="00D11265"/>
    <w:rsid w:val="00D1290E"/>
    <w:rsid w:val="00D14197"/>
    <w:rsid w:val="00D1454E"/>
    <w:rsid w:val="00D14795"/>
    <w:rsid w:val="00D16091"/>
    <w:rsid w:val="00D163F1"/>
    <w:rsid w:val="00D1641F"/>
    <w:rsid w:val="00D16897"/>
    <w:rsid w:val="00D20A24"/>
    <w:rsid w:val="00D20BF6"/>
    <w:rsid w:val="00D21475"/>
    <w:rsid w:val="00D221D3"/>
    <w:rsid w:val="00D22361"/>
    <w:rsid w:val="00D23BA8"/>
    <w:rsid w:val="00D23D9F"/>
    <w:rsid w:val="00D23DF9"/>
    <w:rsid w:val="00D23F04"/>
    <w:rsid w:val="00D25DD6"/>
    <w:rsid w:val="00D26122"/>
    <w:rsid w:val="00D30A6B"/>
    <w:rsid w:val="00D31826"/>
    <w:rsid w:val="00D32F3B"/>
    <w:rsid w:val="00D34C64"/>
    <w:rsid w:val="00D356AD"/>
    <w:rsid w:val="00D37420"/>
    <w:rsid w:val="00D3778C"/>
    <w:rsid w:val="00D40157"/>
    <w:rsid w:val="00D40745"/>
    <w:rsid w:val="00D4354A"/>
    <w:rsid w:val="00D44266"/>
    <w:rsid w:val="00D4453D"/>
    <w:rsid w:val="00D4491E"/>
    <w:rsid w:val="00D44CBA"/>
    <w:rsid w:val="00D44DC9"/>
    <w:rsid w:val="00D45308"/>
    <w:rsid w:val="00D45791"/>
    <w:rsid w:val="00D45913"/>
    <w:rsid w:val="00D45AE8"/>
    <w:rsid w:val="00D46CDC"/>
    <w:rsid w:val="00D50ED5"/>
    <w:rsid w:val="00D5124C"/>
    <w:rsid w:val="00D51B03"/>
    <w:rsid w:val="00D51BEA"/>
    <w:rsid w:val="00D51F57"/>
    <w:rsid w:val="00D53662"/>
    <w:rsid w:val="00D6261B"/>
    <w:rsid w:val="00D6299B"/>
    <w:rsid w:val="00D634C8"/>
    <w:rsid w:val="00D64E4D"/>
    <w:rsid w:val="00D6550A"/>
    <w:rsid w:val="00D66061"/>
    <w:rsid w:val="00D67B27"/>
    <w:rsid w:val="00D736FB"/>
    <w:rsid w:val="00D756B6"/>
    <w:rsid w:val="00D80AFC"/>
    <w:rsid w:val="00D81482"/>
    <w:rsid w:val="00D81615"/>
    <w:rsid w:val="00D81AF7"/>
    <w:rsid w:val="00D82865"/>
    <w:rsid w:val="00D82988"/>
    <w:rsid w:val="00D83507"/>
    <w:rsid w:val="00D84186"/>
    <w:rsid w:val="00D85B20"/>
    <w:rsid w:val="00D86560"/>
    <w:rsid w:val="00D86DBD"/>
    <w:rsid w:val="00D87392"/>
    <w:rsid w:val="00D913F8"/>
    <w:rsid w:val="00D91D08"/>
    <w:rsid w:val="00D934F5"/>
    <w:rsid w:val="00D938AE"/>
    <w:rsid w:val="00D94475"/>
    <w:rsid w:val="00D96212"/>
    <w:rsid w:val="00D96D40"/>
    <w:rsid w:val="00DA14AC"/>
    <w:rsid w:val="00DA253F"/>
    <w:rsid w:val="00DA33C3"/>
    <w:rsid w:val="00DA57AE"/>
    <w:rsid w:val="00DA599F"/>
    <w:rsid w:val="00DA7A2A"/>
    <w:rsid w:val="00DB3D18"/>
    <w:rsid w:val="00DB3D4D"/>
    <w:rsid w:val="00DB4019"/>
    <w:rsid w:val="00DB657A"/>
    <w:rsid w:val="00DB7C39"/>
    <w:rsid w:val="00DB7E09"/>
    <w:rsid w:val="00DC071D"/>
    <w:rsid w:val="00DC43DA"/>
    <w:rsid w:val="00DC4FDE"/>
    <w:rsid w:val="00DC5005"/>
    <w:rsid w:val="00DC5A36"/>
    <w:rsid w:val="00DC66EF"/>
    <w:rsid w:val="00DC736D"/>
    <w:rsid w:val="00DC7409"/>
    <w:rsid w:val="00DC7554"/>
    <w:rsid w:val="00DD3869"/>
    <w:rsid w:val="00DD731C"/>
    <w:rsid w:val="00DE187D"/>
    <w:rsid w:val="00DE1B00"/>
    <w:rsid w:val="00DE3C37"/>
    <w:rsid w:val="00DE5292"/>
    <w:rsid w:val="00DE5E9C"/>
    <w:rsid w:val="00DE7062"/>
    <w:rsid w:val="00DE74A4"/>
    <w:rsid w:val="00DE788A"/>
    <w:rsid w:val="00DF1E0C"/>
    <w:rsid w:val="00DF1EFF"/>
    <w:rsid w:val="00DF4637"/>
    <w:rsid w:val="00DF5067"/>
    <w:rsid w:val="00DF59BA"/>
    <w:rsid w:val="00DF64CA"/>
    <w:rsid w:val="00DF7179"/>
    <w:rsid w:val="00E029A0"/>
    <w:rsid w:val="00E0311D"/>
    <w:rsid w:val="00E03F4C"/>
    <w:rsid w:val="00E101E9"/>
    <w:rsid w:val="00E102E1"/>
    <w:rsid w:val="00E10969"/>
    <w:rsid w:val="00E1316C"/>
    <w:rsid w:val="00E16AF1"/>
    <w:rsid w:val="00E16AF4"/>
    <w:rsid w:val="00E16E27"/>
    <w:rsid w:val="00E16ED8"/>
    <w:rsid w:val="00E1752E"/>
    <w:rsid w:val="00E176F3"/>
    <w:rsid w:val="00E17FA8"/>
    <w:rsid w:val="00E20BF8"/>
    <w:rsid w:val="00E22C35"/>
    <w:rsid w:val="00E25DEE"/>
    <w:rsid w:val="00E27367"/>
    <w:rsid w:val="00E274CE"/>
    <w:rsid w:val="00E27A0E"/>
    <w:rsid w:val="00E31E69"/>
    <w:rsid w:val="00E33262"/>
    <w:rsid w:val="00E349EA"/>
    <w:rsid w:val="00E34A7F"/>
    <w:rsid w:val="00E34E63"/>
    <w:rsid w:val="00E35979"/>
    <w:rsid w:val="00E36B1B"/>
    <w:rsid w:val="00E400EB"/>
    <w:rsid w:val="00E41FDA"/>
    <w:rsid w:val="00E422E8"/>
    <w:rsid w:val="00E4250B"/>
    <w:rsid w:val="00E50525"/>
    <w:rsid w:val="00E52BB8"/>
    <w:rsid w:val="00E5382A"/>
    <w:rsid w:val="00E54733"/>
    <w:rsid w:val="00E550B1"/>
    <w:rsid w:val="00E554FA"/>
    <w:rsid w:val="00E601C5"/>
    <w:rsid w:val="00E60FE9"/>
    <w:rsid w:val="00E61913"/>
    <w:rsid w:val="00E645D0"/>
    <w:rsid w:val="00E64BDB"/>
    <w:rsid w:val="00E72E0F"/>
    <w:rsid w:val="00E732D5"/>
    <w:rsid w:val="00E73DD6"/>
    <w:rsid w:val="00E740AE"/>
    <w:rsid w:val="00E757C4"/>
    <w:rsid w:val="00E76ABE"/>
    <w:rsid w:val="00E76F99"/>
    <w:rsid w:val="00E77124"/>
    <w:rsid w:val="00E77817"/>
    <w:rsid w:val="00E77970"/>
    <w:rsid w:val="00E8087A"/>
    <w:rsid w:val="00E80A6D"/>
    <w:rsid w:val="00E80B1A"/>
    <w:rsid w:val="00E80C54"/>
    <w:rsid w:val="00E814B3"/>
    <w:rsid w:val="00E81F5B"/>
    <w:rsid w:val="00E82789"/>
    <w:rsid w:val="00E82E95"/>
    <w:rsid w:val="00E8443D"/>
    <w:rsid w:val="00E84E44"/>
    <w:rsid w:val="00E86F93"/>
    <w:rsid w:val="00E87221"/>
    <w:rsid w:val="00E92F9B"/>
    <w:rsid w:val="00E93A36"/>
    <w:rsid w:val="00E93CCD"/>
    <w:rsid w:val="00E95EF0"/>
    <w:rsid w:val="00E9602D"/>
    <w:rsid w:val="00E9673E"/>
    <w:rsid w:val="00E96AA3"/>
    <w:rsid w:val="00EA0705"/>
    <w:rsid w:val="00EA12A9"/>
    <w:rsid w:val="00EA151A"/>
    <w:rsid w:val="00EA2498"/>
    <w:rsid w:val="00EA2CB9"/>
    <w:rsid w:val="00EA3654"/>
    <w:rsid w:val="00EA3B71"/>
    <w:rsid w:val="00EA3B82"/>
    <w:rsid w:val="00EA4242"/>
    <w:rsid w:val="00EA5C14"/>
    <w:rsid w:val="00EA77AC"/>
    <w:rsid w:val="00EA7B6B"/>
    <w:rsid w:val="00EA7F1D"/>
    <w:rsid w:val="00EB03AA"/>
    <w:rsid w:val="00EB1FA6"/>
    <w:rsid w:val="00EB24E2"/>
    <w:rsid w:val="00EB36B6"/>
    <w:rsid w:val="00EB3C01"/>
    <w:rsid w:val="00EB4795"/>
    <w:rsid w:val="00EB4A7B"/>
    <w:rsid w:val="00EB6E84"/>
    <w:rsid w:val="00EC0103"/>
    <w:rsid w:val="00EC14E1"/>
    <w:rsid w:val="00EC2092"/>
    <w:rsid w:val="00EC3678"/>
    <w:rsid w:val="00EC3A40"/>
    <w:rsid w:val="00EC405A"/>
    <w:rsid w:val="00EC7C3D"/>
    <w:rsid w:val="00ED098C"/>
    <w:rsid w:val="00ED0EFB"/>
    <w:rsid w:val="00ED506F"/>
    <w:rsid w:val="00ED7849"/>
    <w:rsid w:val="00ED790E"/>
    <w:rsid w:val="00ED7EBD"/>
    <w:rsid w:val="00EE02E7"/>
    <w:rsid w:val="00EE22DF"/>
    <w:rsid w:val="00EE3704"/>
    <w:rsid w:val="00EE4919"/>
    <w:rsid w:val="00EE58E7"/>
    <w:rsid w:val="00EE65EA"/>
    <w:rsid w:val="00EE7C82"/>
    <w:rsid w:val="00EE7D4F"/>
    <w:rsid w:val="00EF06DC"/>
    <w:rsid w:val="00EF075D"/>
    <w:rsid w:val="00EF224B"/>
    <w:rsid w:val="00EF2560"/>
    <w:rsid w:val="00EF4CFE"/>
    <w:rsid w:val="00EF5399"/>
    <w:rsid w:val="00F010AE"/>
    <w:rsid w:val="00F076F8"/>
    <w:rsid w:val="00F10CA6"/>
    <w:rsid w:val="00F10CB0"/>
    <w:rsid w:val="00F112BC"/>
    <w:rsid w:val="00F115C5"/>
    <w:rsid w:val="00F116C2"/>
    <w:rsid w:val="00F1346E"/>
    <w:rsid w:val="00F13488"/>
    <w:rsid w:val="00F15C4D"/>
    <w:rsid w:val="00F164C5"/>
    <w:rsid w:val="00F17821"/>
    <w:rsid w:val="00F17915"/>
    <w:rsid w:val="00F23392"/>
    <w:rsid w:val="00F25046"/>
    <w:rsid w:val="00F253F0"/>
    <w:rsid w:val="00F25DB9"/>
    <w:rsid w:val="00F26DA2"/>
    <w:rsid w:val="00F27502"/>
    <w:rsid w:val="00F30687"/>
    <w:rsid w:val="00F311FE"/>
    <w:rsid w:val="00F32408"/>
    <w:rsid w:val="00F335BC"/>
    <w:rsid w:val="00F339D2"/>
    <w:rsid w:val="00F34A4D"/>
    <w:rsid w:val="00F408A9"/>
    <w:rsid w:val="00F408F4"/>
    <w:rsid w:val="00F41D94"/>
    <w:rsid w:val="00F4315A"/>
    <w:rsid w:val="00F44881"/>
    <w:rsid w:val="00F449B3"/>
    <w:rsid w:val="00F4500F"/>
    <w:rsid w:val="00F46E2D"/>
    <w:rsid w:val="00F47000"/>
    <w:rsid w:val="00F470C9"/>
    <w:rsid w:val="00F47D82"/>
    <w:rsid w:val="00F50AD9"/>
    <w:rsid w:val="00F50D7F"/>
    <w:rsid w:val="00F52320"/>
    <w:rsid w:val="00F53805"/>
    <w:rsid w:val="00F55DAF"/>
    <w:rsid w:val="00F560A3"/>
    <w:rsid w:val="00F56A23"/>
    <w:rsid w:val="00F56CBA"/>
    <w:rsid w:val="00F57207"/>
    <w:rsid w:val="00F60564"/>
    <w:rsid w:val="00F616A5"/>
    <w:rsid w:val="00F6191F"/>
    <w:rsid w:val="00F619CB"/>
    <w:rsid w:val="00F626B6"/>
    <w:rsid w:val="00F64D13"/>
    <w:rsid w:val="00F6556A"/>
    <w:rsid w:val="00F65BE4"/>
    <w:rsid w:val="00F66206"/>
    <w:rsid w:val="00F66A94"/>
    <w:rsid w:val="00F66BAF"/>
    <w:rsid w:val="00F66E9B"/>
    <w:rsid w:val="00F67BE0"/>
    <w:rsid w:val="00F70958"/>
    <w:rsid w:val="00F735A5"/>
    <w:rsid w:val="00F73945"/>
    <w:rsid w:val="00F77B1F"/>
    <w:rsid w:val="00F80C9D"/>
    <w:rsid w:val="00F80D5B"/>
    <w:rsid w:val="00F81774"/>
    <w:rsid w:val="00F81BC4"/>
    <w:rsid w:val="00F81FFA"/>
    <w:rsid w:val="00F82824"/>
    <w:rsid w:val="00F82B8C"/>
    <w:rsid w:val="00F8655C"/>
    <w:rsid w:val="00F913CB"/>
    <w:rsid w:val="00F94351"/>
    <w:rsid w:val="00F94A39"/>
    <w:rsid w:val="00F95911"/>
    <w:rsid w:val="00F96DB7"/>
    <w:rsid w:val="00FA0D85"/>
    <w:rsid w:val="00FA3118"/>
    <w:rsid w:val="00FA4861"/>
    <w:rsid w:val="00FA48AE"/>
    <w:rsid w:val="00FA4C2A"/>
    <w:rsid w:val="00FA59A8"/>
    <w:rsid w:val="00FB094E"/>
    <w:rsid w:val="00FB23AD"/>
    <w:rsid w:val="00FB33D8"/>
    <w:rsid w:val="00FB3B71"/>
    <w:rsid w:val="00FB3EDA"/>
    <w:rsid w:val="00FB4EF6"/>
    <w:rsid w:val="00FB5B90"/>
    <w:rsid w:val="00FB7155"/>
    <w:rsid w:val="00FB724F"/>
    <w:rsid w:val="00FC21FF"/>
    <w:rsid w:val="00FC23CA"/>
    <w:rsid w:val="00FC36AF"/>
    <w:rsid w:val="00FC40F9"/>
    <w:rsid w:val="00FC4DF2"/>
    <w:rsid w:val="00FC5B7A"/>
    <w:rsid w:val="00FC6078"/>
    <w:rsid w:val="00FC7381"/>
    <w:rsid w:val="00FC7918"/>
    <w:rsid w:val="00FC7CFA"/>
    <w:rsid w:val="00FD209A"/>
    <w:rsid w:val="00FD2D4C"/>
    <w:rsid w:val="00FD3323"/>
    <w:rsid w:val="00FD4B8A"/>
    <w:rsid w:val="00FD739F"/>
    <w:rsid w:val="00FE12B7"/>
    <w:rsid w:val="00FE178B"/>
    <w:rsid w:val="00FE215D"/>
    <w:rsid w:val="00FE265A"/>
    <w:rsid w:val="00FE3549"/>
    <w:rsid w:val="00FE3BE9"/>
    <w:rsid w:val="00FE3D05"/>
    <w:rsid w:val="00FE5A5A"/>
    <w:rsid w:val="00FE5EAE"/>
    <w:rsid w:val="00FF0897"/>
    <w:rsid w:val="00FF1031"/>
    <w:rsid w:val="00FF12A9"/>
    <w:rsid w:val="00FF1668"/>
    <w:rsid w:val="00FF2245"/>
    <w:rsid w:val="00FF3B0F"/>
    <w:rsid w:val="00FF4565"/>
    <w:rsid w:val="00FF466C"/>
    <w:rsid w:val="00FF5D14"/>
    <w:rsid w:val="00FF621A"/>
    <w:rsid w:val="00FF6786"/>
    <w:rsid w:val="00FF7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E29"/>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next w:val="Normal"/>
    <w:link w:val="Heading2Char"/>
    <w:uiPriority w:val="9"/>
    <w:unhideWhenUsed/>
    <w:qFormat/>
    <w:rsid w:val="00292E1B"/>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2E1B"/>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2E1B"/>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92E1B"/>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E1B"/>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2E1B"/>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2E1B"/>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2E1B"/>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24F"/>
    <w:rPr>
      <w:color w:val="0000FF" w:themeColor="hyperlink"/>
      <w:u w:val="single"/>
    </w:rPr>
  </w:style>
  <w:style w:type="paragraph" w:styleId="FootnoteText">
    <w:name w:val="footnote text"/>
    <w:basedOn w:val="Normal"/>
    <w:link w:val="FootnoteTextChar"/>
    <w:uiPriority w:val="99"/>
    <w:unhideWhenUsed/>
    <w:rsid w:val="00C12E58"/>
    <w:pPr>
      <w:spacing w:after="0" w:line="240" w:lineRule="auto"/>
    </w:pPr>
    <w:rPr>
      <w:sz w:val="20"/>
      <w:szCs w:val="20"/>
    </w:rPr>
  </w:style>
  <w:style w:type="character" w:customStyle="1" w:styleId="FootnoteTextChar">
    <w:name w:val="Footnote Text Char"/>
    <w:basedOn w:val="DefaultParagraphFont"/>
    <w:link w:val="FootnoteText"/>
    <w:uiPriority w:val="99"/>
    <w:rsid w:val="00C12E58"/>
    <w:rPr>
      <w:sz w:val="20"/>
      <w:szCs w:val="20"/>
    </w:rPr>
  </w:style>
  <w:style w:type="character" w:styleId="FootnoteReference">
    <w:name w:val="footnote reference"/>
    <w:basedOn w:val="DefaultParagraphFont"/>
    <w:uiPriority w:val="99"/>
    <w:semiHidden/>
    <w:unhideWhenUsed/>
    <w:rsid w:val="00C12E58"/>
    <w:rPr>
      <w:vertAlign w:val="superscript"/>
    </w:rPr>
  </w:style>
  <w:style w:type="paragraph" w:styleId="ListParagraph">
    <w:name w:val="List Paragraph"/>
    <w:basedOn w:val="Normal"/>
    <w:qFormat/>
    <w:rsid w:val="00D53662"/>
    <w:pPr>
      <w:ind w:left="720"/>
      <w:contextualSpacing/>
    </w:pPr>
  </w:style>
  <w:style w:type="paragraph" w:styleId="Header">
    <w:name w:val="header"/>
    <w:basedOn w:val="Normal"/>
    <w:link w:val="HeaderChar"/>
    <w:uiPriority w:val="99"/>
    <w:unhideWhenUsed/>
    <w:rsid w:val="00187F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F2C"/>
  </w:style>
  <w:style w:type="paragraph" w:styleId="Footer">
    <w:name w:val="footer"/>
    <w:basedOn w:val="Normal"/>
    <w:link w:val="FooterChar"/>
    <w:uiPriority w:val="99"/>
    <w:unhideWhenUsed/>
    <w:rsid w:val="00187F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7F2C"/>
  </w:style>
  <w:style w:type="paragraph" w:styleId="BalloonText">
    <w:name w:val="Balloon Text"/>
    <w:basedOn w:val="Normal"/>
    <w:link w:val="BalloonTextChar"/>
    <w:uiPriority w:val="99"/>
    <w:semiHidden/>
    <w:unhideWhenUsed/>
    <w:rsid w:val="004B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6"/>
    <w:rPr>
      <w:rFonts w:ascii="Tahoma" w:hAnsi="Tahoma" w:cs="Tahoma"/>
      <w:sz w:val="16"/>
      <w:szCs w:val="16"/>
    </w:rPr>
  </w:style>
  <w:style w:type="character" w:styleId="CommentReference">
    <w:name w:val="annotation reference"/>
    <w:basedOn w:val="DefaultParagraphFont"/>
    <w:uiPriority w:val="99"/>
    <w:semiHidden/>
    <w:unhideWhenUsed/>
    <w:rsid w:val="004B3896"/>
    <w:rPr>
      <w:sz w:val="16"/>
      <w:szCs w:val="16"/>
    </w:rPr>
  </w:style>
  <w:style w:type="paragraph" w:styleId="CommentText">
    <w:name w:val="annotation text"/>
    <w:basedOn w:val="Normal"/>
    <w:link w:val="CommentTextChar"/>
    <w:uiPriority w:val="99"/>
    <w:semiHidden/>
    <w:unhideWhenUsed/>
    <w:rsid w:val="004B3896"/>
    <w:pPr>
      <w:spacing w:line="240" w:lineRule="auto"/>
    </w:pPr>
    <w:rPr>
      <w:sz w:val="20"/>
      <w:szCs w:val="20"/>
    </w:rPr>
  </w:style>
  <w:style w:type="character" w:customStyle="1" w:styleId="CommentTextChar">
    <w:name w:val="Comment Text Char"/>
    <w:basedOn w:val="DefaultParagraphFont"/>
    <w:link w:val="CommentText"/>
    <w:uiPriority w:val="99"/>
    <w:semiHidden/>
    <w:rsid w:val="004B3896"/>
    <w:rPr>
      <w:sz w:val="20"/>
      <w:szCs w:val="20"/>
    </w:rPr>
  </w:style>
  <w:style w:type="paragraph" w:styleId="CommentSubject">
    <w:name w:val="annotation subject"/>
    <w:basedOn w:val="CommentText"/>
    <w:next w:val="CommentText"/>
    <w:link w:val="CommentSubjectChar"/>
    <w:uiPriority w:val="99"/>
    <w:semiHidden/>
    <w:unhideWhenUsed/>
    <w:rsid w:val="004B3896"/>
    <w:rPr>
      <w:b/>
      <w:bCs/>
    </w:rPr>
  </w:style>
  <w:style w:type="character" w:customStyle="1" w:styleId="CommentSubjectChar">
    <w:name w:val="Comment Subject Char"/>
    <w:basedOn w:val="CommentTextChar"/>
    <w:link w:val="CommentSubject"/>
    <w:uiPriority w:val="99"/>
    <w:semiHidden/>
    <w:rsid w:val="004B3896"/>
    <w:rPr>
      <w:b/>
      <w:bCs/>
      <w:sz w:val="20"/>
      <w:szCs w:val="20"/>
    </w:rPr>
  </w:style>
  <w:style w:type="paragraph" w:styleId="Revision">
    <w:name w:val="Revision"/>
    <w:hidden/>
    <w:uiPriority w:val="99"/>
    <w:semiHidden/>
    <w:rsid w:val="00F6191F"/>
    <w:pPr>
      <w:spacing w:after="0" w:line="240" w:lineRule="auto"/>
    </w:pPr>
  </w:style>
  <w:style w:type="character" w:styleId="FollowedHyperlink">
    <w:name w:val="FollowedHyperlink"/>
    <w:basedOn w:val="DefaultParagraphFont"/>
    <w:uiPriority w:val="99"/>
    <w:semiHidden/>
    <w:unhideWhenUsed/>
    <w:rsid w:val="00561800"/>
    <w:rPr>
      <w:color w:val="800080" w:themeColor="followedHyperlink"/>
      <w:u w:val="single"/>
    </w:rPr>
  </w:style>
  <w:style w:type="paragraph" w:styleId="NormalWeb">
    <w:name w:val="Normal (Web)"/>
    <w:basedOn w:val="Normal"/>
    <w:uiPriority w:val="99"/>
    <w:semiHidden/>
    <w:unhideWhenUsed/>
    <w:rsid w:val="006F440A"/>
    <w:rPr>
      <w:rFonts w:ascii="Times New Roman" w:hAnsi="Times New Roman" w:cs="Times New Roman"/>
      <w:sz w:val="24"/>
      <w:szCs w:val="24"/>
    </w:rPr>
  </w:style>
  <w:style w:type="character" w:customStyle="1" w:styleId="Heading1Char">
    <w:name w:val="Heading 1 Char"/>
    <w:basedOn w:val="DefaultParagraphFont"/>
    <w:link w:val="Heading1"/>
    <w:uiPriority w:val="9"/>
    <w:rsid w:val="00514E29"/>
    <w:rPr>
      <w:rFonts w:asciiTheme="majorHAnsi" w:eastAsiaTheme="majorEastAsia" w:hAnsiTheme="majorHAnsi" w:cstheme="majorBidi"/>
      <w:b/>
      <w:bCs/>
      <w:color w:val="365F91" w:themeColor="accent1" w:themeShade="BF"/>
      <w:sz w:val="28"/>
      <w:szCs w:val="28"/>
      <w:lang w:val="fr-BE"/>
    </w:rPr>
  </w:style>
  <w:style w:type="paragraph" w:styleId="TOCHeading">
    <w:name w:val="TOC Heading"/>
    <w:basedOn w:val="Heading1"/>
    <w:next w:val="Normal"/>
    <w:uiPriority w:val="39"/>
    <w:unhideWhenUsed/>
    <w:qFormat/>
    <w:rsid w:val="00E34A7F"/>
    <w:pPr>
      <w:outlineLvl w:val="9"/>
    </w:pPr>
    <w:rPr>
      <w:lang w:val="en-US" w:eastAsia="ja-JP"/>
    </w:rPr>
  </w:style>
  <w:style w:type="paragraph" w:styleId="TOC1">
    <w:name w:val="toc 1"/>
    <w:basedOn w:val="Normal"/>
    <w:next w:val="Normal"/>
    <w:autoRedefine/>
    <w:uiPriority w:val="39"/>
    <w:unhideWhenUsed/>
    <w:rsid w:val="00E34A7F"/>
    <w:pPr>
      <w:spacing w:after="100"/>
    </w:pPr>
  </w:style>
  <w:style w:type="paragraph" w:styleId="TOC2">
    <w:name w:val="toc 2"/>
    <w:basedOn w:val="Normal"/>
    <w:next w:val="Normal"/>
    <w:autoRedefine/>
    <w:uiPriority w:val="39"/>
    <w:unhideWhenUsed/>
    <w:rsid w:val="005C67EE"/>
    <w:pPr>
      <w:spacing w:after="100"/>
      <w:ind w:left="220"/>
    </w:pPr>
  </w:style>
  <w:style w:type="character" w:customStyle="1" w:styleId="Heading2Char">
    <w:name w:val="Heading 2 Char"/>
    <w:basedOn w:val="DefaultParagraphFont"/>
    <w:link w:val="Heading2"/>
    <w:uiPriority w:val="9"/>
    <w:rsid w:val="00292E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2E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92E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92E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2E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2E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2E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2E1B"/>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EC0103"/>
    <w:pPr>
      <w:spacing w:after="100"/>
      <w:ind w:left="440"/>
    </w:pPr>
  </w:style>
  <w:style w:type="paragraph" w:customStyle="1" w:styleId="Body">
    <w:name w:val="Body"/>
    <w:rsid w:val="00FA311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ImportedStyle1">
    <w:name w:val="Imported Style 1"/>
    <w:rsid w:val="008201F2"/>
    <w:pPr>
      <w:numPr>
        <w:numId w:val="36"/>
      </w:numPr>
    </w:pPr>
  </w:style>
  <w:style w:type="character" w:customStyle="1" w:styleId="None">
    <w:name w:val="None"/>
    <w:rsid w:val="008201F2"/>
  </w:style>
  <w:style w:type="paragraph" w:customStyle="1" w:styleId="BodyAA">
    <w:name w:val="Body A A"/>
    <w:rsid w:val="008201F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Marker">
    <w:name w:val="Marker"/>
    <w:basedOn w:val="DefaultParagraphFont"/>
    <w:rsid w:val="00C22399"/>
    <w:rPr>
      <w:color w:val="0000FF"/>
      <w:shd w:val="clear" w:color="auto" w:fill="auto"/>
    </w:rPr>
  </w:style>
  <w:style w:type="paragraph" w:customStyle="1" w:styleId="Pagedecouverture">
    <w:name w:val="Page de couverture"/>
    <w:basedOn w:val="Normal"/>
    <w:next w:val="Normal"/>
    <w:rsid w:val="00C223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22399"/>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2399"/>
    <w:rPr>
      <w:rFonts w:ascii="Times New Roman" w:hAnsi="Times New Roman" w:cs="Times New Roman"/>
      <w:sz w:val="24"/>
    </w:rPr>
  </w:style>
  <w:style w:type="paragraph" w:customStyle="1" w:styleId="HeaderCoverPage">
    <w:name w:val="Header Cover Page"/>
    <w:basedOn w:val="Normal"/>
    <w:link w:val="HeaderCoverPageChar"/>
    <w:rsid w:val="00C22399"/>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2399"/>
    <w:rPr>
      <w:rFonts w:ascii="Times New Roman" w:hAnsi="Times New Roman" w:cs="Times New Roman"/>
      <w:sz w:val="24"/>
    </w:rPr>
  </w:style>
  <w:style w:type="paragraph" w:customStyle="1" w:styleId="FooterSensitivity">
    <w:name w:val="Footer Sensitivity"/>
    <w:basedOn w:val="Normal"/>
    <w:link w:val="FooterSensitivityChar"/>
    <w:rsid w:val="006D48F8"/>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D48F8"/>
    <w:rPr>
      <w:rFonts w:ascii="Times New Roman" w:hAnsi="Times New Roman" w:cs="Times New Roman"/>
      <w:b/>
      <w:sz w:val="32"/>
    </w:rPr>
  </w:style>
  <w:style w:type="paragraph" w:customStyle="1" w:styleId="HeaderSensitivity">
    <w:name w:val="Header Sensitivity"/>
    <w:basedOn w:val="Normal"/>
    <w:link w:val="HeaderSensitivityChar"/>
    <w:rsid w:val="006D48F8"/>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D48F8"/>
    <w:rPr>
      <w:rFonts w:ascii="Times New Roman" w:hAnsi="Times New Roman" w:cs="Times New Roman"/>
      <w:b/>
      <w:sz w:val="32"/>
    </w:rPr>
  </w:style>
  <w:style w:type="paragraph" w:customStyle="1" w:styleId="BodyA">
    <w:name w:val="Body A"/>
    <w:rsid w:val="004C765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numbering" w:customStyle="1" w:styleId="ImportedStyle3">
    <w:name w:val="Imported Style 3"/>
    <w:rsid w:val="004C7658"/>
    <w:pPr>
      <w:numPr>
        <w:numId w:val="42"/>
      </w:numPr>
    </w:pPr>
  </w:style>
  <w:style w:type="numbering" w:customStyle="1" w:styleId="ImportedStyle8">
    <w:name w:val="Imported Style 8"/>
    <w:rsid w:val="00E029A0"/>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E29"/>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next w:val="Normal"/>
    <w:link w:val="Heading2Char"/>
    <w:uiPriority w:val="9"/>
    <w:unhideWhenUsed/>
    <w:qFormat/>
    <w:rsid w:val="00292E1B"/>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2E1B"/>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2E1B"/>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92E1B"/>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2E1B"/>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92E1B"/>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2E1B"/>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92E1B"/>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24F"/>
    <w:rPr>
      <w:color w:val="0000FF" w:themeColor="hyperlink"/>
      <w:u w:val="single"/>
    </w:rPr>
  </w:style>
  <w:style w:type="paragraph" w:styleId="FootnoteText">
    <w:name w:val="footnote text"/>
    <w:basedOn w:val="Normal"/>
    <w:link w:val="FootnoteTextChar"/>
    <w:uiPriority w:val="99"/>
    <w:unhideWhenUsed/>
    <w:rsid w:val="00C12E58"/>
    <w:pPr>
      <w:spacing w:after="0" w:line="240" w:lineRule="auto"/>
    </w:pPr>
    <w:rPr>
      <w:sz w:val="20"/>
      <w:szCs w:val="20"/>
    </w:rPr>
  </w:style>
  <w:style w:type="character" w:customStyle="1" w:styleId="FootnoteTextChar">
    <w:name w:val="Footnote Text Char"/>
    <w:basedOn w:val="DefaultParagraphFont"/>
    <w:link w:val="FootnoteText"/>
    <w:uiPriority w:val="99"/>
    <w:rsid w:val="00C12E58"/>
    <w:rPr>
      <w:sz w:val="20"/>
      <w:szCs w:val="20"/>
    </w:rPr>
  </w:style>
  <w:style w:type="character" w:styleId="FootnoteReference">
    <w:name w:val="footnote reference"/>
    <w:basedOn w:val="DefaultParagraphFont"/>
    <w:uiPriority w:val="99"/>
    <w:semiHidden/>
    <w:unhideWhenUsed/>
    <w:rsid w:val="00C12E58"/>
    <w:rPr>
      <w:vertAlign w:val="superscript"/>
    </w:rPr>
  </w:style>
  <w:style w:type="paragraph" w:styleId="ListParagraph">
    <w:name w:val="List Paragraph"/>
    <w:basedOn w:val="Normal"/>
    <w:qFormat/>
    <w:rsid w:val="00D53662"/>
    <w:pPr>
      <w:ind w:left="720"/>
      <w:contextualSpacing/>
    </w:pPr>
  </w:style>
  <w:style w:type="paragraph" w:styleId="Header">
    <w:name w:val="header"/>
    <w:basedOn w:val="Normal"/>
    <w:link w:val="HeaderChar"/>
    <w:uiPriority w:val="99"/>
    <w:unhideWhenUsed/>
    <w:rsid w:val="00187F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F2C"/>
  </w:style>
  <w:style w:type="paragraph" w:styleId="Footer">
    <w:name w:val="footer"/>
    <w:basedOn w:val="Normal"/>
    <w:link w:val="FooterChar"/>
    <w:uiPriority w:val="99"/>
    <w:unhideWhenUsed/>
    <w:rsid w:val="00187F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7F2C"/>
  </w:style>
  <w:style w:type="paragraph" w:styleId="BalloonText">
    <w:name w:val="Balloon Text"/>
    <w:basedOn w:val="Normal"/>
    <w:link w:val="BalloonTextChar"/>
    <w:uiPriority w:val="99"/>
    <w:semiHidden/>
    <w:unhideWhenUsed/>
    <w:rsid w:val="004B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896"/>
    <w:rPr>
      <w:rFonts w:ascii="Tahoma" w:hAnsi="Tahoma" w:cs="Tahoma"/>
      <w:sz w:val="16"/>
      <w:szCs w:val="16"/>
    </w:rPr>
  </w:style>
  <w:style w:type="character" w:styleId="CommentReference">
    <w:name w:val="annotation reference"/>
    <w:basedOn w:val="DefaultParagraphFont"/>
    <w:uiPriority w:val="99"/>
    <w:semiHidden/>
    <w:unhideWhenUsed/>
    <w:rsid w:val="004B3896"/>
    <w:rPr>
      <w:sz w:val="16"/>
      <w:szCs w:val="16"/>
    </w:rPr>
  </w:style>
  <w:style w:type="paragraph" w:styleId="CommentText">
    <w:name w:val="annotation text"/>
    <w:basedOn w:val="Normal"/>
    <w:link w:val="CommentTextChar"/>
    <w:uiPriority w:val="99"/>
    <w:semiHidden/>
    <w:unhideWhenUsed/>
    <w:rsid w:val="004B3896"/>
    <w:pPr>
      <w:spacing w:line="240" w:lineRule="auto"/>
    </w:pPr>
    <w:rPr>
      <w:sz w:val="20"/>
      <w:szCs w:val="20"/>
    </w:rPr>
  </w:style>
  <w:style w:type="character" w:customStyle="1" w:styleId="CommentTextChar">
    <w:name w:val="Comment Text Char"/>
    <w:basedOn w:val="DefaultParagraphFont"/>
    <w:link w:val="CommentText"/>
    <w:uiPriority w:val="99"/>
    <w:semiHidden/>
    <w:rsid w:val="004B3896"/>
    <w:rPr>
      <w:sz w:val="20"/>
      <w:szCs w:val="20"/>
    </w:rPr>
  </w:style>
  <w:style w:type="paragraph" w:styleId="CommentSubject">
    <w:name w:val="annotation subject"/>
    <w:basedOn w:val="CommentText"/>
    <w:next w:val="CommentText"/>
    <w:link w:val="CommentSubjectChar"/>
    <w:uiPriority w:val="99"/>
    <w:semiHidden/>
    <w:unhideWhenUsed/>
    <w:rsid w:val="004B3896"/>
    <w:rPr>
      <w:b/>
      <w:bCs/>
    </w:rPr>
  </w:style>
  <w:style w:type="character" w:customStyle="1" w:styleId="CommentSubjectChar">
    <w:name w:val="Comment Subject Char"/>
    <w:basedOn w:val="CommentTextChar"/>
    <w:link w:val="CommentSubject"/>
    <w:uiPriority w:val="99"/>
    <w:semiHidden/>
    <w:rsid w:val="004B3896"/>
    <w:rPr>
      <w:b/>
      <w:bCs/>
      <w:sz w:val="20"/>
      <w:szCs w:val="20"/>
    </w:rPr>
  </w:style>
  <w:style w:type="paragraph" w:styleId="Revision">
    <w:name w:val="Revision"/>
    <w:hidden/>
    <w:uiPriority w:val="99"/>
    <w:semiHidden/>
    <w:rsid w:val="00F6191F"/>
    <w:pPr>
      <w:spacing w:after="0" w:line="240" w:lineRule="auto"/>
    </w:pPr>
  </w:style>
  <w:style w:type="character" w:styleId="FollowedHyperlink">
    <w:name w:val="FollowedHyperlink"/>
    <w:basedOn w:val="DefaultParagraphFont"/>
    <w:uiPriority w:val="99"/>
    <w:semiHidden/>
    <w:unhideWhenUsed/>
    <w:rsid w:val="00561800"/>
    <w:rPr>
      <w:color w:val="800080" w:themeColor="followedHyperlink"/>
      <w:u w:val="single"/>
    </w:rPr>
  </w:style>
  <w:style w:type="paragraph" w:styleId="NormalWeb">
    <w:name w:val="Normal (Web)"/>
    <w:basedOn w:val="Normal"/>
    <w:uiPriority w:val="99"/>
    <w:semiHidden/>
    <w:unhideWhenUsed/>
    <w:rsid w:val="006F440A"/>
    <w:rPr>
      <w:rFonts w:ascii="Times New Roman" w:hAnsi="Times New Roman" w:cs="Times New Roman"/>
      <w:sz w:val="24"/>
      <w:szCs w:val="24"/>
    </w:rPr>
  </w:style>
  <w:style w:type="character" w:customStyle="1" w:styleId="Heading1Char">
    <w:name w:val="Heading 1 Char"/>
    <w:basedOn w:val="DefaultParagraphFont"/>
    <w:link w:val="Heading1"/>
    <w:uiPriority w:val="9"/>
    <w:rsid w:val="00514E29"/>
    <w:rPr>
      <w:rFonts w:asciiTheme="majorHAnsi" w:eastAsiaTheme="majorEastAsia" w:hAnsiTheme="majorHAnsi" w:cstheme="majorBidi"/>
      <w:b/>
      <w:bCs/>
      <w:color w:val="365F91" w:themeColor="accent1" w:themeShade="BF"/>
      <w:sz w:val="28"/>
      <w:szCs w:val="28"/>
      <w:lang w:val="fr-BE"/>
    </w:rPr>
  </w:style>
  <w:style w:type="paragraph" w:styleId="TOCHeading">
    <w:name w:val="TOC Heading"/>
    <w:basedOn w:val="Heading1"/>
    <w:next w:val="Normal"/>
    <w:uiPriority w:val="39"/>
    <w:unhideWhenUsed/>
    <w:qFormat/>
    <w:rsid w:val="00E34A7F"/>
    <w:pPr>
      <w:outlineLvl w:val="9"/>
    </w:pPr>
    <w:rPr>
      <w:lang w:val="en-US" w:eastAsia="ja-JP"/>
    </w:rPr>
  </w:style>
  <w:style w:type="paragraph" w:styleId="TOC1">
    <w:name w:val="toc 1"/>
    <w:basedOn w:val="Normal"/>
    <w:next w:val="Normal"/>
    <w:autoRedefine/>
    <w:uiPriority w:val="39"/>
    <w:unhideWhenUsed/>
    <w:rsid w:val="00E34A7F"/>
    <w:pPr>
      <w:spacing w:after="100"/>
    </w:pPr>
  </w:style>
  <w:style w:type="paragraph" w:styleId="TOC2">
    <w:name w:val="toc 2"/>
    <w:basedOn w:val="Normal"/>
    <w:next w:val="Normal"/>
    <w:autoRedefine/>
    <w:uiPriority w:val="39"/>
    <w:unhideWhenUsed/>
    <w:rsid w:val="005C67EE"/>
    <w:pPr>
      <w:spacing w:after="100"/>
      <w:ind w:left="220"/>
    </w:pPr>
  </w:style>
  <w:style w:type="character" w:customStyle="1" w:styleId="Heading2Char">
    <w:name w:val="Heading 2 Char"/>
    <w:basedOn w:val="DefaultParagraphFont"/>
    <w:link w:val="Heading2"/>
    <w:uiPriority w:val="9"/>
    <w:rsid w:val="00292E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2E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92E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92E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92E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92E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2E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92E1B"/>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EC0103"/>
    <w:pPr>
      <w:spacing w:after="100"/>
      <w:ind w:left="440"/>
    </w:pPr>
  </w:style>
  <w:style w:type="paragraph" w:customStyle="1" w:styleId="Body">
    <w:name w:val="Body"/>
    <w:rsid w:val="00FA311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ImportedStyle1">
    <w:name w:val="Imported Style 1"/>
    <w:rsid w:val="008201F2"/>
    <w:pPr>
      <w:numPr>
        <w:numId w:val="36"/>
      </w:numPr>
    </w:pPr>
  </w:style>
  <w:style w:type="character" w:customStyle="1" w:styleId="None">
    <w:name w:val="None"/>
    <w:rsid w:val="008201F2"/>
  </w:style>
  <w:style w:type="paragraph" w:customStyle="1" w:styleId="BodyAA">
    <w:name w:val="Body A A"/>
    <w:rsid w:val="008201F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Marker">
    <w:name w:val="Marker"/>
    <w:basedOn w:val="DefaultParagraphFont"/>
    <w:rsid w:val="00C22399"/>
    <w:rPr>
      <w:color w:val="0000FF"/>
      <w:shd w:val="clear" w:color="auto" w:fill="auto"/>
    </w:rPr>
  </w:style>
  <w:style w:type="paragraph" w:customStyle="1" w:styleId="Pagedecouverture">
    <w:name w:val="Page de couverture"/>
    <w:basedOn w:val="Normal"/>
    <w:next w:val="Normal"/>
    <w:rsid w:val="00C22399"/>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C22399"/>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C22399"/>
    <w:rPr>
      <w:rFonts w:ascii="Times New Roman" w:hAnsi="Times New Roman" w:cs="Times New Roman"/>
      <w:sz w:val="24"/>
    </w:rPr>
  </w:style>
  <w:style w:type="paragraph" w:customStyle="1" w:styleId="HeaderCoverPage">
    <w:name w:val="Header Cover Page"/>
    <w:basedOn w:val="Normal"/>
    <w:link w:val="HeaderCoverPageChar"/>
    <w:rsid w:val="00C22399"/>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C22399"/>
    <w:rPr>
      <w:rFonts w:ascii="Times New Roman" w:hAnsi="Times New Roman" w:cs="Times New Roman"/>
      <w:sz w:val="24"/>
    </w:rPr>
  </w:style>
  <w:style w:type="paragraph" w:customStyle="1" w:styleId="FooterSensitivity">
    <w:name w:val="Footer Sensitivity"/>
    <w:basedOn w:val="Normal"/>
    <w:link w:val="FooterSensitivityChar"/>
    <w:rsid w:val="006D48F8"/>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D48F8"/>
    <w:rPr>
      <w:rFonts w:ascii="Times New Roman" w:hAnsi="Times New Roman" w:cs="Times New Roman"/>
      <w:b/>
      <w:sz w:val="32"/>
    </w:rPr>
  </w:style>
  <w:style w:type="paragraph" w:customStyle="1" w:styleId="HeaderSensitivity">
    <w:name w:val="Header Sensitivity"/>
    <w:basedOn w:val="Normal"/>
    <w:link w:val="HeaderSensitivityChar"/>
    <w:rsid w:val="006D48F8"/>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D48F8"/>
    <w:rPr>
      <w:rFonts w:ascii="Times New Roman" w:hAnsi="Times New Roman" w:cs="Times New Roman"/>
      <w:b/>
      <w:sz w:val="32"/>
    </w:rPr>
  </w:style>
  <w:style w:type="paragraph" w:customStyle="1" w:styleId="BodyA">
    <w:name w:val="Body A"/>
    <w:rsid w:val="004C765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numbering" w:customStyle="1" w:styleId="ImportedStyle3">
    <w:name w:val="Imported Style 3"/>
    <w:rsid w:val="004C7658"/>
    <w:pPr>
      <w:numPr>
        <w:numId w:val="42"/>
      </w:numPr>
    </w:pPr>
  </w:style>
  <w:style w:type="numbering" w:customStyle="1" w:styleId="ImportedStyle8">
    <w:name w:val="Imported Style 8"/>
    <w:rsid w:val="00E029A0"/>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5423">
      <w:bodyDiv w:val="1"/>
      <w:marLeft w:val="0"/>
      <w:marRight w:val="0"/>
      <w:marTop w:val="0"/>
      <w:marBottom w:val="0"/>
      <w:divBdr>
        <w:top w:val="none" w:sz="0" w:space="0" w:color="auto"/>
        <w:left w:val="none" w:sz="0" w:space="0" w:color="auto"/>
        <w:bottom w:val="none" w:sz="0" w:space="0" w:color="auto"/>
        <w:right w:val="none" w:sz="0" w:space="0" w:color="auto"/>
      </w:divBdr>
    </w:div>
    <w:div w:id="719325830">
      <w:bodyDiv w:val="1"/>
      <w:marLeft w:val="0"/>
      <w:marRight w:val="0"/>
      <w:marTop w:val="0"/>
      <w:marBottom w:val="0"/>
      <w:divBdr>
        <w:top w:val="none" w:sz="0" w:space="0" w:color="auto"/>
        <w:left w:val="none" w:sz="0" w:space="0" w:color="auto"/>
        <w:bottom w:val="none" w:sz="0" w:space="0" w:color="auto"/>
        <w:right w:val="none" w:sz="0" w:space="0" w:color="auto"/>
      </w:divBdr>
    </w:div>
    <w:div w:id="1691568347">
      <w:bodyDiv w:val="1"/>
      <w:marLeft w:val="0"/>
      <w:marRight w:val="0"/>
      <w:marTop w:val="0"/>
      <w:marBottom w:val="0"/>
      <w:divBdr>
        <w:top w:val="none" w:sz="0" w:space="0" w:color="auto"/>
        <w:left w:val="none" w:sz="0" w:space="0" w:color="auto"/>
        <w:bottom w:val="none" w:sz="0" w:space="0" w:color="auto"/>
        <w:right w:val="none" w:sz="0" w:space="0" w:color="auto"/>
      </w:divBdr>
    </w:div>
    <w:div w:id="20289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cese.ma/Documents/PDF/Web%20Rapport%20Effectivite%20des%20droits%20VF%2011042013.pdf" TargetMode="External"/><Relationship Id="rId13" Type="http://schemas.openxmlformats.org/officeDocument/2006/relationships/hyperlink" Target="http://www.wsrw.org/a204x2048" TargetMode="External"/><Relationship Id="rId18" Type="http://schemas.openxmlformats.org/officeDocument/2006/relationships/hyperlink" Target="http://www.wsrw.org/a117x521" TargetMode="External"/><Relationship Id="rId3" Type="http://schemas.openxmlformats.org/officeDocument/2006/relationships/hyperlink" Target="https://minurso.unmissions.org/secretary-general-reports" TargetMode="External"/><Relationship Id="rId21" Type="http://schemas.openxmlformats.org/officeDocument/2006/relationships/hyperlink" Target="http://www.wsrw.org/a112x576" TargetMode="External"/><Relationship Id="rId7" Type="http://schemas.openxmlformats.org/officeDocument/2006/relationships/hyperlink" Target="https://www.finances.gov.ma/depf/SitePages/publications/en_catalogue/etudes/2017/croissance_des_regions.pdf" TargetMode="External"/><Relationship Id="rId12" Type="http://schemas.openxmlformats.org/officeDocument/2006/relationships/hyperlink" Target="http://www.wsrw.org/a214x2342" TargetMode="External"/><Relationship Id="rId17" Type="http://schemas.openxmlformats.org/officeDocument/2006/relationships/hyperlink" Target="http://www.phosboucraa.ma/" TargetMode="External"/><Relationship Id="rId25" Type="http://schemas.openxmlformats.org/officeDocument/2006/relationships/hyperlink" Target="http://www.ocpgroup.ma/sites/default/files/filiales/document/presentation_phosboucraa_fr.pdf" TargetMode="External"/><Relationship Id="rId2" Type="http://schemas.openxmlformats.org/officeDocument/2006/relationships/hyperlink" Target="https://minurso.unmissions.org/" TargetMode="External"/><Relationship Id="rId16" Type="http://schemas.openxmlformats.org/officeDocument/2006/relationships/hyperlink" Target="http://www.ocpgroup.ma/" TargetMode="External"/><Relationship Id="rId20" Type="http://schemas.openxmlformats.org/officeDocument/2006/relationships/hyperlink" Target="http://www.afaspa.com/IMG/pdf/RAPPORT_PHOSBOUCRAA.pdf" TargetMode="External"/><Relationship Id="rId1" Type="http://schemas.openxmlformats.org/officeDocument/2006/relationships/hyperlink" Target="https://eeas.europa.eu/sites/eeas/files/rapport_de_coorperation_2016_v.numerique.pdf" TargetMode="External"/><Relationship Id="rId6" Type="http://schemas.openxmlformats.org/officeDocument/2006/relationships/hyperlink" Target="http://www.un.org/en/decolonization/pdf/Western-Sahara2017.pdf" TargetMode="External"/><Relationship Id="rId11" Type="http://schemas.openxmlformats.org/officeDocument/2006/relationships/hyperlink" Target="https://webgate.ec.europa.eu/sanco/traces/output/MA/FFP_MA_en.pdf" TargetMode="External"/><Relationship Id="rId24" Type="http://schemas.openxmlformats.org/officeDocument/2006/relationships/hyperlink" Target="http://www.wsrw.org/a111x4160" TargetMode="External"/><Relationship Id="rId5" Type="http://schemas.openxmlformats.org/officeDocument/2006/relationships/hyperlink" Target="https://www.hrw.org/fr/middle-east/n-africa/morocco/western-sahara" TargetMode="External"/><Relationship Id="rId15" Type="http://schemas.openxmlformats.org/officeDocument/2006/relationships/hyperlink" Target="https://minerals.usgs.gov/minerals/pubs/commodity/phosphate_rock/mcs-2017-phosp.pdf" TargetMode="External"/><Relationship Id="rId23" Type="http://schemas.openxmlformats.org/officeDocument/2006/relationships/hyperlink" Target="http://www.wsrw.org/a105x3185" TargetMode="External"/><Relationship Id="rId10" Type="http://schemas.openxmlformats.org/officeDocument/2006/relationships/hyperlink" Target="http://www.ces.ma/Documents/PDF/Web-Rapport-NMDPSR-FR.pdf" TargetMode="External"/><Relationship Id="rId19" Type="http://schemas.openxmlformats.org/officeDocument/2006/relationships/hyperlink" Target="http://www.phosboucraa.ma/company/key-figures" TargetMode="External"/><Relationship Id="rId4" Type="http://schemas.openxmlformats.org/officeDocument/2006/relationships/hyperlink" Target="https://www.amnesty.org/fr/countries/middle-east-and-north-africa/morocco/report-morocco/" TargetMode="External"/><Relationship Id="rId9" Type="http://schemas.openxmlformats.org/officeDocument/2006/relationships/hyperlink" Target="http://www.cese.ma/Documents/PDF/Web%20Rapport%20Effectivite%20des%20droits%20VF%2011042013.pdf" TargetMode="External"/><Relationship Id="rId14" Type="http://schemas.openxmlformats.org/officeDocument/2006/relationships/hyperlink" Target="http://www.wsrw.org/a217x2479" TargetMode="External"/><Relationship Id="rId22" Type="http://schemas.openxmlformats.org/officeDocument/2006/relationships/hyperlink" Target="https://www.nutrien.com/sites/default/files/uploads/2018-01/NRF_Human%20Rights%20Assessment%20Report%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DEDD-97D2-4B73-9117-6A6B2FA5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17092</Words>
  <Characters>98734</Characters>
  <Application>Microsoft Office Word</Application>
  <DocSecurity>0</DocSecurity>
  <Lines>1842</Lines>
  <Paragraphs>450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CATALAN RODRIGUEZ Manuel (MARE)</dc:creator>
  <cp:lastModifiedBy>ANDRIKAKIS Nikolaos (SG)</cp:lastModifiedBy>
  <cp:revision>5</cp:revision>
  <cp:lastPrinted>2018-05-15T17:10:00Z</cp:lastPrinted>
  <dcterms:created xsi:type="dcterms:W3CDTF">2018-06-05T09:33:00Z</dcterms:created>
  <dcterms:modified xsi:type="dcterms:W3CDTF">2018-06-11T09:28:00Z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