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10" w:rsidRDefault="005D7BCD" w:rsidP="005D7BCD">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9F77F92-7CD5-47EB-A9F0-7CADD4982E3C" style="width:450.5pt;height:393.1pt">
            <v:imagedata r:id="rId9" o:title=""/>
          </v:shape>
        </w:pict>
      </w:r>
    </w:p>
    <w:p w:rsidR="00A64A20" w:rsidRPr="00A64A20" w:rsidRDefault="00A64A20" w:rsidP="00A64A20">
      <w:pPr>
        <w:pStyle w:val="Pagedecouverture"/>
        <w:sectPr w:rsidR="00A64A20" w:rsidRPr="00A64A20" w:rsidSect="005D7BC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5F79A7" w:rsidRPr="00BC3F64" w:rsidRDefault="005F79A7" w:rsidP="00BB6B30">
      <w:pPr>
        <w:pStyle w:val="Exposdesmotifstitre"/>
        <w:rPr>
          <w:lang w:val="fr-BE"/>
        </w:rPr>
      </w:pPr>
      <w:bookmarkStart w:id="0" w:name="_GoBack"/>
      <w:bookmarkEnd w:id="0"/>
      <w:r w:rsidRPr="00BC3F64">
        <w:rPr>
          <w:lang w:val="fr-BE"/>
        </w:rPr>
        <w:lastRenderedPageBreak/>
        <w:t>EXPOSÉ DES MOTIFS</w:t>
      </w:r>
    </w:p>
    <w:p w:rsidR="005F79A7" w:rsidRPr="00F222C8" w:rsidRDefault="005F79A7" w:rsidP="00BB6B30">
      <w:pPr>
        <w:pStyle w:val="ManualHeading1"/>
      </w:pPr>
      <w:r w:rsidRPr="00F222C8">
        <w:t>1.</w:t>
      </w:r>
      <w:r w:rsidRPr="00F222C8">
        <w:tab/>
        <w:t>CONTEXTE DE LA PROPOSITION</w:t>
      </w:r>
    </w:p>
    <w:p w:rsidR="005F79A7" w:rsidRPr="007D3BC9" w:rsidRDefault="005F79A7" w:rsidP="00044058">
      <w:pPr>
        <w:pStyle w:val="ManualHeading2"/>
        <w:rPr>
          <w:rFonts w:eastAsia="Arial Unicode MS"/>
        </w:rPr>
      </w:pPr>
      <w:r w:rsidRPr="007D3BC9">
        <w:rPr>
          <w:rFonts w:eastAsia="Arial Unicode MS"/>
          <w:u w:color="000000"/>
          <w:bdr w:val="nil"/>
          <w:lang w:eastAsia="en-GB"/>
        </w:rPr>
        <w:t>•</w:t>
      </w:r>
      <w:r w:rsidRPr="007D3BC9">
        <w:rPr>
          <w:rFonts w:eastAsia="Arial Unicode MS"/>
          <w:u w:color="000000"/>
          <w:bdr w:val="nil"/>
          <w:lang w:eastAsia="en-GB"/>
        </w:rPr>
        <w:tab/>
        <w:t>Justification et objectifs de la proposition</w:t>
      </w:r>
    </w:p>
    <w:p w:rsidR="00A830E8" w:rsidRPr="00695DFF" w:rsidRDefault="005F79A7" w:rsidP="005F79A7">
      <w:pPr>
        <w:pBdr>
          <w:top w:val="nil"/>
          <w:left w:val="nil"/>
          <w:bottom w:val="nil"/>
          <w:right w:val="nil"/>
          <w:between w:val="nil"/>
          <w:bar w:val="nil"/>
        </w:pBdr>
        <w:spacing w:before="0" w:after="240"/>
      </w:pPr>
      <w:r w:rsidRPr="00695DFF">
        <w:t>Pendant près d’un demi-siècle, l’Union européenne et le Maroc ont établi un partenariat enrichissant et pluridimensionnel</w:t>
      </w:r>
      <w:r w:rsidR="00F74DD7" w:rsidRPr="00695DFF">
        <w:t xml:space="preserve"> matérialisé en particulier par l’accord euro-méditerranéen établissant une association entre les Communautés européennes et leurs États membres, d'une part, et le Royaume du Maroc, d'autre part</w:t>
      </w:r>
      <w:r w:rsidR="00F74DD7" w:rsidRPr="007D3BC9">
        <w:rPr>
          <w:rStyle w:val="FootnoteReference"/>
          <w:rFonts w:eastAsia="Arial Unicode MS"/>
          <w:lang w:val="fr-BE"/>
        </w:rPr>
        <w:footnoteReference w:id="1"/>
      </w:r>
      <w:r w:rsidR="00F74DD7" w:rsidRPr="00695DFF">
        <w:t xml:space="preserve"> (ci-après dénommé l’«accord d’association UE-Maroc» ou l’«accord d’association»), entré en vigueur en 2000. </w:t>
      </w:r>
      <w:r w:rsidR="00A830E8" w:rsidRPr="00695DFF">
        <w:t>Des mesures de libéralisation en matière de produits agricoles, de produits agricoles transformés, de poissons et de produits de la pêche ont été introduites dans l’accord d’association par l’accord sous forme d’échange de lettres entre l’Union européenne et le Royaume du Maroc</w:t>
      </w:r>
      <w:r w:rsidR="00A830E8" w:rsidRPr="004E5F46">
        <w:rPr>
          <w:rStyle w:val="FootnoteReference"/>
          <w:rFonts w:eastAsia="Arial Unicode MS"/>
          <w:lang w:val="fr-BE"/>
        </w:rPr>
        <w:footnoteReference w:id="2"/>
      </w:r>
      <w:r w:rsidR="00A830E8" w:rsidRPr="00695DFF">
        <w:t xml:space="preserve">   (ci-après dénommé l’ « accord de libéralisation »), entré en vigueur en 2012.</w:t>
      </w:r>
    </w:p>
    <w:p w:rsidR="005F79A7" w:rsidRPr="00695DFF" w:rsidRDefault="00F74DD7" w:rsidP="005F79A7">
      <w:pPr>
        <w:pBdr>
          <w:top w:val="nil"/>
          <w:left w:val="nil"/>
          <w:bottom w:val="nil"/>
          <w:right w:val="nil"/>
          <w:between w:val="nil"/>
          <w:bar w:val="nil"/>
        </w:pBdr>
        <w:spacing w:before="0" w:after="240"/>
      </w:pPr>
      <w:r w:rsidRPr="00695DFF">
        <w:t xml:space="preserve">C’est aussi </w:t>
      </w:r>
      <w:r w:rsidR="005F79A7" w:rsidRPr="00695DFF">
        <w:t xml:space="preserve">en vertu </w:t>
      </w:r>
      <w:r w:rsidRPr="00695DFF">
        <w:t xml:space="preserve">de ce partenariat privilégié </w:t>
      </w:r>
      <w:r w:rsidR="005F79A7" w:rsidRPr="00695DFF">
        <w:t>que le Maroc s’est vu accorder un «statut avancé» en 2008, qui consacre la solidité des liens bilatéraux ainsi que les ambitions et engagements partagés par les deux parties en vue de faire progresser leurs initiatives communes</w:t>
      </w:r>
      <w:r w:rsidR="001067E8" w:rsidRPr="00695DFF">
        <w:t>, telles que la bonne gouvernance et les réformes politiques et socio-économiques</w:t>
      </w:r>
      <w:r w:rsidR="005F79A7" w:rsidRPr="00695DFF">
        <w:t>.</w:t>
      </w:r>
    </w:p>
    <w:p w:rsidR="00C80AC3" w:rsidRPr="00C92521" w:rsidRDefault="00C80AC3" w:rsidP="00C80AC3">
      <w:pPr>
        <w:pBdr>
          <w:top w:val="nil"/>
          <w:left w:val="nil"/>
          <w:bottom w:val="nil"/>
          <w:right w:val="nil"/>
          <w:between w:val="nil"/>
          <w:bar w:val="nil"/>
        </w:pBdr>
        <w:spacing w:before="0" w:after="240"/>
      </w:pPr>
      <w:r w:rsidRPr="00C92521">
        <w:t xml:space="preserve">Parallèlement, l’Union n’a cessé de réaffirmer son attachement au règlement du </w:t>
      </w:r>
      <w:r w:rsidR="009A73D0" w:rsidRPr="00C92521">
        <w:t>différend</w:t>
      </w:r>
      <w:r w:rsidRPr="00C92521">
        <w:t xml:space="preserve"> dans le Sahara occidental. Elle n'a pas reconnu la souveraineté du Maroc sur le Sahara Occidental, mais soutient pleinement les efforts accomplis par le secrétaire général des Nations unies et son envoyé personnel en vue d’aider les parties à parvenir à une solution politique juste, durable et mutuellement acceptable qui prévoirait l’autodétermination du peuple du Sahara occidental dans le cadre d’accords conformes aux principes et objectifs de la Charte des Nations unies tels qu’ils sont énoncés dans les résolutions du Conseil de sécurité des Nations unies, et notamment sa résolution 2152 (2014) et sa résolution 2218 (2015).</w:t>
      </w:r>
    </w:p>
    <w:p w:rsidR="00A830E8" w:rsidRDefault="00B64745" w:rsidP="005951E1">
      <w:pPr>
        <w:pBdr>
          <w:top w:val="nil"/>
          <w:left w:val="nil"/>
          <w:bottom w:val="nil"/>
          <w:right w:val="nil"/>
          <w:between w:val="nil"/>
          <w:bar w:val="nil"/>
        </w:pBdr>
        <w:spacing w:before="0" w:after="240"/>
        <w:rPr>
          <w:rFonts w:eastAsia="Arial Unicode MS"/>
          <w:lang w:val="fr-BE"/>
        </w:rPr>
      </w:pPr>
      <w:r>
        <w:rPr>
          <w:rFonts w:eastAsia="Arial Unicode MS"/>
          <w:lang w:val="fr-BE"/>
        </w:rPr>
        <w:t>Par</w:t>
      </w:r>
      <w:r w:rsidR="00A830E8" w:rsidRPr="00A830E8">
        <w:rPr>
          <w:rFonts w:eastAsia="Arial Unicode MS"/>
          <w:lang w:val="fr-BE"/>
        </w:rPr>
        <w:t xml:space="preserve"> son arrêt rendu le 21 décembre 2016 dans l’affaire C-104/16 P</w:t>
      </w:r>
      <w:r w:rsidR="00A830E8" w:rsidRPr="00695DFF">
        <w:rPr>
          <w:rStyle w:val="FootnoteReference"/>
        </w:rPr>
        <w:footnoteReference w:id="3"/>
      </w:r>
      <w:r w:rsidR="00A830E8" w:rsidRPr="00A830E8">
        <w:rPr>
          <w:rFonts w:eastAsia="Arial Unicode MS"/>
          <w:lang w:val="fr-BE"/>
        </w:rPr>
        <w:t xml:space="preserve">, la Cour de justice de l’Union européenne a jugé que l’accord d’association et l’accord </w:t>
      </w:r>
      <w:r w:rsidR="00A830E8" w:rsidRPr="00033328">
        <w:t>de libéralisation</w:t>
      </w:r>
      <w:r w:rsidR="00A830E8" w:rsidRPr="00A830E8">
        <w:rPr>
          <w:rFonts w:eastAsia="Arial Unicode MS"/>
          <w:lang w:val="fr-BE"/>
        </w:rPr>
        <w:t xml:space="preserve"> conclus entre l’Union et le Maroc ne s’appliquent pas au Sahara occidental.</w:t>
      </w:r>
    </w:p>
    <w:p w:rsidR="00C80AC3" w:rsidRPr="00382830" w:rsidRDefault="00C80AC3" w:rsidP="00C80AC3">
      <w:pPr>
        <w:pBdr>
          <w:top w:val="nil"/>
          <w:left w:val="nil"/>
          <w:bottom w:val="nil"/>
          <w:right w:val="nil"/>
          <w:between w:val="nil"/>
          <w:bar w:val="nil"/>
        </w:pBdr>
        <w:spacing w:before="0" w:after="240"/>
      </w:pPr>
      <w:r w:rsidRPr="00382830">
        <w:t xml:space="preserve">Depuis l'arrêt de la Cour, la pratique d'appliquer de facto les préférences commerciales prévues dans l’accord d’association et ses protocoles aux produits originaires du Sahara occidental, un territoire non autonome, ne pouvait plus se poursuivre, sauf si les protocoles n° 1 (accès au marché de l'Union des produits agricoles, produits agricoles transformés, poissons et produits de la pêche marocains) et n° 4 (relatif aux règles d’origine) sont modifiés de manière à établir que des produits provenant du Sahara occidental soient traités de la même manière que ceux obtenus au Maroc. </w:t>
      </w:r>
    </w:p>
    <w:p w:rsidR="003A4378" w:rsidRPr="00695DFF" w:rsidRDefault="003A4378" w:rsidP="003A4378">
      <w:pPr>
        <w:pBdr>
          <w:top w:val="nil"/>
          <w:left w:val="nil"/>
          <w:bottom w:val="nil"/>
          <w:right w:val="nil"/>
          <w:between w:val="nil"/>
          <w:bar w:val="nil"/>
        </w:pBdr>
        <w:spacing w:before="0" w:after="240"/>
      </w:pPr>
      <w:r w:rsidRPr="00695DFF">
        <w:t xml:space="preserve">Le 29 mai 2017, le Conseil a autorisé la Commission à ouvrir des négociations en vue de fournir une base légale pour octroyer des préférences aux produits originaires du Sahara occidental, et il a adopté des directives de négociation. Deux cycles de négociation ont eu </w:t>
      </w:r>
      <w:r w:rsidRPr="00695DFF">
        <w:lastRenderedPageBreak/>
        <w:t>lieu. Le premier s’est tenu les 15 et 16 juin 2017, le deuxième le 18 juillet 2017. Les négociateurs en chef ont paraphé le projet d’accord le 31 janvier 2018.</w:t>
      </w:r>
    </w:p>
    <w:p w:rsidR="002F5E38" w:rsidRPr="00695DFF" w:rsidRDefault="00B03DC2" w:rsidP="005F79A7">
      <w:pPr>
        <w:pBdr>
          <w:top w:val="nil"/>
          <w:left w:val="nil"/>
          <w:bottom w:val="nil"/>
          <w:right w:val="nil"/>
          <w:between w:val="nil"/>
          <w:bar w:val="nil"/>
        </w:pBdr>
        <w:spacing w:before="0" w:after="240"/>
      </w:pPr>
      <w:r w:rsidRPr="00695DFF">
        <w:t>L</w:t>
      </w:r>
      <w:r w:rsidR="002F5E38" w:rsidRPr="00695DFF">
        <w:t xml:space="preserve">a présente proposition apporte des modifications au protocole </w:t>
      </w:r>
      <w:r w:rsidR="005951E1" w:rsidRPr="00695DFF">
        <w:t xml:space="preserve">n° </w:t>
      </w:r>
      <w:r w:rsidR="002F5E38" w:rsidRPr="00695DFF">
        <w:t xml:space="preserve">4 et au protocole </w:t>
      </w:r>
      <w:r w:rsidR="005951E1" w:rsidRPr="00695DFF">
        <w:t xml:space="preserve">n° </w:t>
      </w:r>
      <w:r w:rsidR="002F5E38" w:rsidRPr="00695DFF">
        <w:t xml:space="preserve">1 de l’accord </w:t>
      </w:r>
      <w:r w:rsidR="00F74DD7" w:rsidRPr="00695DFF">
        <w:t>d’association UE</w:t>
      </w:r>
      <w:r w:rsidR="002F5E38" w:rsidRPr="00695DFF">
        <w:t>-Maroc</w:t>
      </w:r>
      <w:r w:rsidR="00033328" w:rsidRPr="00695DFF">
        <w:t xml:space="preserve"> en vue de respecter les exigences de l’arrêt de la Cour du 21 décembre 2016</w:t>
      </w:r>
      <w:r w:rsidR="003A4378" w:rsidRPr="00695DFF">
        <w:t xml:space="preserve"> et fournir la base légale pour l’octroi de préférences aux produits du Sahara occidental</w:t>
      </w:r>
      <w:r w:rsidR="002F5E38" w:rsidRPr="00695DFF">
        <w:t xml:space="preserve">. </w:t>
      </w:r>
    </w:p>
    <w:p w:rsidR="00C80AC3" w:rsidRPr="00A830E8" w:rsidRDefault="00C80AC3" w:rsidP="00C80AC3">
      <w:pPr>
        <w:pBdr>
          <w:top w:val="nil"/>
          <w:left w:val="nil"/>
          <w:bottom w:val="nil"/>
          <w:right w:val="nil"/>
          <w:between w:val="nil"/>
          <w:bar w:val="nil"/>
        </w:pBdr>
        <w:spacing w:before="0" w:after="240"/>
        <w:rPr>
          <w:rFonts w:eastAsia="Arial Unicode MS"/>
          <w:lang w:val="fr-BE"/>
        </w:rPr>
      </w:pPr>
      <w:r w:rsidRPr="00A830E8">
        <w:rPr>
          <w:rFonts w:eastAsia="Arial Unicode MS"/>
          <w:lang w:val="fr-BE"/>
        </w:rPr>
        <w:t xml:space="preserve">La proposition a pour objet d’éviter de perturber les échanges commerciaux </w:t>
      </w:r>
      <w:r>
        <w:rPr>
          <w:rFonts w:eastAsia="Arial Unicode MS"/>
          <w:lang w:val="fr-BE"/>
        </w:rPr>
        <w:t xml:space="preserve">avec le Sahara occidental </w:t>
      </w:r>
      <w:r w:rsidRPr="00A830E8">
        <w:rPr>
          <w:rFonts w:eastAsia="Arial Unicode MS"/>
          <w:lang w:val="fr-BE"/>
        </w:rPr>
        <w:t>en maintenant l’accès au marché de l’Union à un niveau stable, aucune nouvelle préférence n'étant accordée. Elle vise, en particulier, à faciliter le développement économique du Sahara occidental en accordant à ses exportations vers l'Union européenne le même traitement que celui accordé aux exportations de produits d'origine marocaine. Par conséquent, de telles mesures éviteront que le Sahara occidental soit en situation concurrentielle défavorable, et perde ainsi des opportunités d'investissement, par rapport aux pays voisins, qui eux bénéficient de préférences tarifaires à différents titres (accords d'association ou dans le cadre du système de préférences généralisées).</w:t>
      </w:r>
    </w:p>
    <w:p w:rsidR="00C80AC3" w:rsidRPr="00C92521" w:rsidRDefault="00C80AC3" w:rsidP="00C80AC3">
      <w:pPr>
        <w:pBdr>
          <w:top w:val="nil"/>
          <w:left w:val="nil"/>
          <w:bottom w:val="nil"/>
          <w:right w:val="nil"/>
          <w:between w:val="nil"/>
          <w:bar w:val="nil"/>
        </w:pBdr>
        <w:spacing w:before="0" w:after="240"/>
      </w:pPr>
      <w:r w:rsidRPr="00C92521">
        <w:t xml:space="preserve">Enfin, il convient de souligner que l’arrêt rendu le 27 février 2018 par la Cour de justice de l’Union européenne dans l’affaire C-266/16 concerne l’accord de partenariat dans le secteur de la pêche entre l’Union et le Maroc, qui est un sujet séparé de la question de l'accès aux marchés dont il est question dans l'accord d'association et par conséquent de cette proposition. </w:t>
      </w:r>
    </w:p>
    <w:p w:rsidR="00C80AC3" w:rsidRPr="007D3BC9" w:rsidRDefault="00C80AC3" w:rsidP="00C80AC3">
      <w:pPr>
        <w:pBdr>
          <w:top w:val="nil"/>
          <w:left w:val="nil"/>
          <w:bottom w:val="nil"/>
          <w:right w:val="nil"/>
          <w:between w:val="nil"/>
          <w:bar w:val="nil"/>
        </w:pBdr>
        <w:spacing w:before="0" w:after="240"/>
        <w:rPr>
          <w:rFonts w:eastAsia="Arial Unicode MS"/>
          <w:lang w:val="fr-BE"/>
        </w:rPr>
      </w:pPr>
      <w:r w:rsidRPr="00C92521">
        <w:t xml:space="preserve">Il est entendu que tout accord ne sera que provisoire, dans l’attente du règlement du </w:t>
      </w:r>
      <w:r w:rsidR="009A73D0" w:rsidRPr="00C92521">
        <w:t>différend</w:t>
      </w:r>
      <w:r w:rsidRPr="00C92521">
        <w:t xml:space="preserve"> le cadre des Nations unies et conformément aux résolutions pertinentes du Conseil de sécurité de l’ONU. Dans ce contexte, il est observé que l'accord stipule qu'il est conclu sans préjudice des positions respectives de l’Union européenne sur le statut du Sahara occidental et du Maroc sur ladite région.</w:t>
      </w:r>
    </w:p>
    <w:p w:rsidR="005F79A7" w:rsidRPr="007D3BC9" w:rsidRDefault="005F79A7" w:rsidP="00044058">
      <w:pPr>
        <w:pStyle w:val="ManualHeading2"/>
        <w:rPr>
          <w:rFonts w:eastAsia="Arial Unicode MS"/>
          <w:u w:color="000000"/>
          <w:bdr w:val="nil"/>
          <w:lang w:eastAsia="en-GB"/>
        </w:rPr>
      </w:pPr>
      <w:r w:rsidRPr="007D3BC9">
        <w:rPr>
          <w:rFonts w:eastAsia="Arial Unicode MS"/>
          <w:u w:color="000000"/>
          <w:bdr w:val="nil"/>
          <w:lang w:eastAsia="en-GB"/>
        </w:rPr>
        <w:t>•</w:t>
      </w:r>
      <w:r w:rsidRPr="007D3BC9">
        <w:rPr>
          <w:rFonts w:eastAsia="Arial Unicode MS"/>
          <w:u w:color="000000"/>
          <w:bdr w:val="nil"/>
          <w:lang w:eastAsia="en-GB"/>
        </w:rPr>
        <w:tab/>
        <w:t>Cohérence avec les dispositions existantes dans le domaine d'action</w:t>
      </w:r>
    </w:p>
    <w:p w:rsidR="005F79A7" w:rsidRPr="00695DFF" w:rsidRDefault="005F79A7" w:rsidP="005F79A7">
      <w:pPr>
        <w:pBdr>
          <w:top w:val="nil"/>
          <w:left w:val="nil"/>
          <w:bottom w:val="nil"/>
          <w:right w:val="nil"/>
          <w:between w:val="nil"/>
          <w:bar w:val="nil"/>
        </w:pBdr>
        <w:spacing w:before="0" w:after="240"/>
      </w:pPr>
      <w:r w:rsidRPr="00695DFF">
        <w:t xml:space="preserve">La présente </w:t>
      </w:r>
      <w:r w:rsidR="00B03DC2" w:rsidRPr="00695DFF">
        <w:t>proposition</w:t>
      </w:r>
      <w:r w:rsidRPr="00695DFF">
        <w:t xml:space="preserve"> est conforme à la politique commerciale actuelle</w:t>
      </w:r>
      <w:r w:rsidR="001A012C" w:rsidRPr="00695DFF">
        <w:t>. Il est à noter</w:t>
      </w:r>
      <w:r w:rsidRPr="00695DFF">
        <w:t xml:space="preserve"> que les autorités douanières ont jusqu’</w:t>
      </w:r>
      <w:r w:rsidR="001A012C" w:rsidRPr="00695DFF">
        <w:t>au 21 décembre 2016, date de l’arrêt de la Cour dans l’affaire C-104/16 P,</w:t>
      </w:r>
      <w:r w:rsidRPr="00695DFF">
        <w:t xml:space="preserve"> appliqué de facto des préférences aux produits du Sahara occidental certifiés d’origine marocaine. Aucune nouvelle préférence commerciale ne sera accordée au Maroc, </w:t>
      </w:r>
      <w:r w:rsidR="00711A56" w:rsidRPr="00695DFF">
        <w:t xml:space="preserve">ainsi qu'au Sahara occidental par rapport à celles dont il bénéficiait </w:t>
      </w:r>
      <w:r w:rsidR="00A96B3A" w:rsidRPr="00695DFF">
        <w:t>de</w:t>
      </w:r>
      <w:r w:rsidR="00711A56" w:rsidRPr="00695DFF">
        <w:t xml:space="preserve"> fait avant le 21 décembre 2016, </w:t>
      </w:r>
      <w:r w:rsidRPr="00695DFF">
        <w:t>l’objectif étant simplement d’étendre la zone géographique couverte par les préférences et non d’en modifier le volume</w:t>
      </w:r>
      <w:r w:rsidR="0053445A" w:rsidRPr="00695DFF">
        <w:t xml:space="preserve"> ou les produits couverts par les préférences</w:t>
      </w:r>
      <w:r w:rsidRPr="00695DFF">
        <w:t>.</w:t>
      </w:r>
    </w:p>
    <w:p w:rsidR="005951E1" w:rsidRPr="00695DFF" w:rsidRDefault="005951E1" w:rsidP="005951E1">
      <w:pPr>
        <w:pBdr>
          <w:top w:val="nil"/>
          <w:left w:val="nil"/>
          <w:bottom w:val="nil"/>
          <w:right w:val="nil"/>
          <w:between w:val="nil"/>
          <w:bar w:val="nil"/>
        </w:pBdr>
        <w:spacing w:before="0" w:after="240"/>
      </w:pPr>
      <w:r w:rsidRPr="00695DFF">
        <w:t>La proposition est conforme aux objectifs généraux de la politique européenne de voisinage dans la mesure où elle contribue à l’amélioration des relations commerciales et économiques dans le voisinage méridional dans un esprit de coopération étroite. Elle est également conforme à la politique globale de l’Union à l’égard du Maroc, qui vise à renforcer un partenariat privilégié avec ce pays, sans préjuger de l’issue de la procédure menée par l’Organisation des Nations Unies en ce qui concerne le Sahara occidental.</w:t>
      </w:r>
    </w:p>
    <w:p w:rsidR="005F79A7" w:rsidRPr="007D3BC9" w:rsidRDefault="005F79A7" w:rsidP="005F79A7">
      <w:pPr>
        <w:pBdr>
          <w:top w:val="nil"/>
          <w:left w:val="nil"/>
          <w:bottom w:val="nil"/>
          <w:right w:val="nil"/>
          <w:between w:val="nil"/>
          <w:bar w:val="nil"/>
        </w:pBdr>
        <w:spacing w:before="0" w:after="240"/>
        <w:rPr>
          <w:rFonts w:eastAsia="Arial Unicode MS"/>
          <w:lang w:val="fr-BE"/>
        </w:rPr>
      </w:pPr>
      <w:r w:rsidRPr="00695DFF">
        <w:t xml:space="preserve">Le fait que les préférences commerciales puissent avoir une portée plus large </w:t>
      </w:r>
      <w:r w:rsidR="00711A56" w:rsidRPr="00695DFF">
        <w:t xml:space="preserve">que les territoires des parties contractantes </w:t>
      </w:r>
      <w:r w:rsidRPr="00695DFF">
        <w:t>n’est pas une situation inédite, puisque l’accord d’association UE-Maroc comporte deux déclarations communes indiquant que les produits originaires de la République de Saint-Marin et de l’Andorre «sont acceptés par le Maroc comme produits originaires de la Communauté au sens de l’accord».</w:t>
      </w:r>
    </w:p>
    <w:p w:rsidR="005F79A7" w:rsidRPr="007D3BC9" w:rsidRDefault="005F79A7" w:rsidP="00A4693B">
      <w:pPr>
        <w:pStyle w:val="ManualHeading2"/>
        <w:rPr>
          <w:rFonts w:eastAsia="Arial Unicode MS"/>
        </w:rPr>
      </w:pPr>
      <w:r w:rsidRPr="007D3BC9">
        <w:rPr>
          <w:rFonts w:eastAsia="Arial Unicode MS"/>
          <w:u w:color="000000"/>
          <w:bdr w:val="nil"/>
          <w:lang w:eastAsia="en-GB"/>
        </w:rPr>
        <w:t>•</w:t>
      </w:r>
      <w:r w:rsidRPr="007D3BC9">
        <w:rPr>
          <w:rFonts w:eastAsia="Arial Unicode MS"/>
          <w:u w:color="000000"/>
          <w:bdr w:val="nil"/>
          <w:lang w:eastAsia="en-GB"/>
        </w:rPr>
        <w:tab/>
        <w:t>Cohérence avec les autres politiques de l'Union</w:t>
      </w:r>
    </w:p>
    <w:p w:rsidR="00C80AC3" w:rsidRPr="007D3BC9" w:rsidRDefault="00C80AC3" w:rsidP="00C80AC3">
      <w:pPr>
        <w:pBdr>
          <w:top w:val="nil"/>
          <w:left w:val="nil"/>
          <w:bottom w:val="nil"/>
          <w:right w:val="nil"/>
          <w:between w:val="nil"/>
          <w:bar w:val="nil"/>
        </w:pBdr>
        <w:spacing w:before="0" w:after="240"/>
        <w:rPr>
          <w:rFonts w:eastAsia="Arial Unicode MS"/>
          <w:lang w:val="fr-BE"/>
        </w:rPr>
      </w:pPr>
      <w:r w:rsidRPr="00C92521">
        <w:t>Les préférences tarifaires accordées par les protocoles n° 1 et n° 4  au Maroc peuvent être étendues aux produits du Sahara occidental dans certaines conditions, sous réserve qu’existe la base légale appropriée. L’établissement de la base légale est précisément l’objet du projet d’accord en annexe. La modification des protocoles concernés de l’accord d’association permet également de fonder l’octroi des préférences tarifaires de l’Union sur une évaluation des avantages pour les populations locales et du respect des droits de l’homme.</w:t>
      </w:r>
    </w:p>
    <w:p w:rsidR="005F79A7" w:rsidRPr="007D3BC9" w:rsidRDefault="005F79A7" w:rsidP="00550536">
      <w:pPr>
        <w:pStyle w:val="ManualHeading1"/>
      </w:pPr>
      <w:r w:rsidRPr="007D3BC9">
        <w:t>2.</w:t>
      </w:r>
      <w:r w:rsidRPr="007D3BC9">
        <w:tab/>
        <w:t>BASE JURIDIQUE, SUBSIDIARITÉ ET PROPORTIONNALITÉ</w:t>
      </w:r>
    </w:p>
    <w:p w:rsidR="005F79A7" w:rsidRPr="007D3BC9" w:rsidRDefault="005F79A7" w:rsidP="00A4693B">
      <w:pPr>
        <w:pStyle w:val="ManualHeading2"/>
        <w:rPr>
          <w:rFonts w:eastAsia="Arial Unicode MS"/>
          <w:u w:color="000000"/>
          <w:bdr w:val="nil"/>
          <w:lang w:eastAsia="en-GB"/>
        </w:rPr>
      </w:pPr>
      <w:r w:rsidRPr="007D3BC9">
        <w:rPr>
          <w:rFonts w:eastAsia="Arial Unicode MS"/>
          <w:u w:color="000000"/>
          <w:bdr w:val="nil"/>
          <w:lang w:eastAsia="en-GB"/>
        </w:rPr>
        <w:t>•</w:t>
      </w:r>
      <w:r w:rsidRPr="007D3BC9">
        <w:rPr>
          <w:rFonts w:eastAsia="Arial Unicode MS"/>
          <w:u w:color="000000"/>
          <w:bdr w:val="nil"/>
          <w:lang w:eastAsia="en-GB"/>
        </w:rPr>
        <w:tab/>
        <w:t>Base juridique</w:t>
      </w:r>
    </w:p>
    <w:p w:rsidR="005F79A7" w:rsidRPr="007D3BC9" w:rsidRDefault="005F79A7" w:rsidP="00550536">
      <w:pPr>
        <w:pBdr>
          <w:top w:val="nil"/>
          <w:left w:val="nil"/>
          <w:bottom w:val="nil"/>
          <w:right w:val="nil"/>
          <w:between w:val="nil"/>
          <w:bar w:val="nil"/>
        </w:pBdr>
        <w:spacing w:before="0" w:after="240"/>
        <w:rPr>
          <w:rFonts w:eastAsia="Arial Unicode MS"/>
          <w:lang w:val="fr-BE"/>
        </w:rPr>
      </w:pPr>
      <w:r w:rsidRPr="00695DFF">
        <w:t xml:space="preserve">La </w:t>
      </w:r>
      <w:r w:rsidR="00684AB8" w:rsidRPr="00695DFF">
        <w:t>base juridique permettant la conclus</w:t>
      </w:r>
      <w:r w:rsidR="00BD5E70" w:rsidRPr="00695DFF">
        <w:t>ion de l’accord est l’article 20</w:t>
      </w:r>
      <w:r w:rsidR="00684AB8" w:rsidRPr="00695DFF">
        <w:t>7, en liaison avec l’article 218, paragraphe 6, point a) i) et l’article 218, paragraphe 8, premier alinéa,</w:t>
      </w:r>
      <w:r w:rsidRPr="00695DFF">
        <w:t xml:space="preserve"> du traité sur le fonctionnement de l’Union européenne</w:t>
      </w:r>
      <w:r w:rsidR="001A012C" w:rsidRPr="00695DFF">
        <w:t xml:space="preserve"> (TFUE)</w:t>
      </w:r>
      <w:r w:rsidR="00CC3654" w:rsidRPr="00695DFF">
        <w:t>, car il s'agit d'une question relevant de la politique commerciale commune</w:t>
      </w:r>
      <w:r w:rsidRPr="00695DFF">
        <w:t>.</w:t>
      </w:r>
    </w:p>
    <w:p w:rsidR="005F79A7" w:rsidRPr="007D3BC9" w:rsidRDefault="005F79A7" w:rsidP="00A4693B">
      <w:pPr>
        <w:pStyle w:val="ManualHeading2"/>
        <w:rPr>
          <w:rFonts w:eastAsia="Arial Unicode MS"/>
          <w:u w:color="000000"/>
          <w:bdr w:val="nil"/>
          <w:lang w:eastAsia="en-GB"/>
        </w:rPr>
      </w:pPr>
      <w:r w:rsidRPr="007D3BC9">
        <w:rPr>
          <w:rFonts w:eastAsia="Arial Unicode MS"/>
          <w:u w:color="000000"/>
          <w:bdr w:val="nil"/>
          <w:lang w:eastAsia="en-GB"/>
        </w:rPr>
        <w:t>•</w:t>
      </w:r>
      <w:r w:rsidRPr="007D3BC9">
        <w:rPr>
          <w:rFonts w:eastAsia="Arial Unicode MS"/>
          <w:u w:color="000000"/>
          <w:bdr w:val="nil"/>
          <w:lang w:eastAsia="en-GB"/>
        </w:rPr>
        <w:tab/>
        <w:t>Subsidiarité (en cas de compétence non exclusive)</w:t>
      </w:r>
    </w:p>
    <w:p w:rsidR="005F79A7" w:rsidRPr="007D3BC9" w:rsidRDefault="005F79A7" w:rsidP="00550536">
      <w:pPr>
        <w:pBdr>
          <w:top w:val="nil"/>
          <w:left w:val="nil"/>
          <w:bottom w:val="nil"/>
          <w:right w:val="nil"/>
          <w:between w:val="nil"/>
          <w:bar w:val="nil"/>
        </w:pBdr>
        <w:spacing w:before="0" w:after="240"/>
        <w:rPr>
          <w:rFonts w:eastAsia="Arial Unicode MS"/>
          <w:lang w:val="fr-BE"/>
        </w:rPr>
      </w:pPr>
      <w:r w:rsidRPr="00695DFF">
        <w:t>La politique commerciale commune relève de la compétence exclusive de l’Union (article 3, paragraphe 1, du TFUE) et, conformément à l’article 5, paragraphe 3, du TUE, le principe de subsidiarité ne s’applique pas aux domaines de compétence exclusive.</w:t>
      </w:r>
    </w:p>
    <w:p w:rsidR="005F79A7" w:rsidRPr="007D3BC9" w:rsidRDefault="005F79A7" w:rsidP="00A4693B">
      <w:pPr>
        <w:pStyle w:val="ManualHeading2"/>
        <w:rPr>
          <w:rFonts w:eastAsia="Arial Unicode MS"/>
          <w:u w:color="000000"/>
          <w:bdr w:val="nil"/>
          <w:lang w:val="fr-BE" w:eastAsia="en-GB"/>
        </w:rPr>
      </w:pPr>
      <w:r w:rsidRPr="007D3BC9">
        <w:rPr>
          <w:rFonts w:eastAsia="Arial Unicode MS"/>
          <w:u w:color="000000"/>
          <w:bdr w:val="nil"/>
          <w:lang w:val="fr-BE" w:eastAsia="en-GB"/>
        </w:rPr>
        <w:t>•</w:t>
      </w:r>
      <w:r w:rsidRPr="007D3BC9">
        <w:rPr>
          <w:rFonts w:eastAsia="Arial Unicode MS"/>
          <w:u w:color="000000"/>
          <w:bdr w:val="nil"/>
          <w:lang w:val="fr-BE" w:eastAsia="en-GB"/>
        </w:rPr>
        <w:tab/>
        <w:t>Proportionnalité</w:t>
      </w:r>
    </w:p>
    <w:p w:rsidR="00C80AC3" w:rsidRPr="00C92521" w:rsidRDefault="00C80AC3" w:rsidP="00C80AC3">
      <w:pPr>
        <w:pBdr>
          <w:top w:val="nil"/>
          <w:left w:val="nil"/>
          <w:bottom w:val="nil"/>
          <w:right w:val="nil"/>
          <w:between w:val="nil"/>
          <w:bar w:val="nil"/>
        </w:pBdr>
        <w:spacing w:before="0" w:after="240"/>
      </w:pPr>
      <w:r w:rsidRPr="00C92521">
        <w:t xml:space="preserve">La proposition constitue une réponse proportionnée à la question soulevée. L’accord ne modifiera pas le degré d’accès au marché de l’Union des produits originaires du Sahara occidental existant avant l'arrêt de la Cour du 21 décembre 2016. Les règles d’origine sont définies dans le protocole n° 4 de l’accord d’association; des modifications sont apportées à celui-ci pour atteindre l’objectif poursuivi et répondre dans un délai raisonnable aux incertitudes commerciales actuelles qui touchent les exportations vers l'Union des produits du Sahara occidental, sans préjudice de la procédure menée par l’Organisation des Nations Unies concernant le Sahara occidental et sans préjuger de l’issue finale du </w:t>
      </w:r>
      <w:r w:rsidR="009A73D0" w:rsidRPr="00C92521">
        <w:t>différend</w:t>
      </w:r>
      <w:r w:rsidRPr="00C92521">
        <w:t>.</w:t>
      </w:r>
    </w:p>
    <w:p w:rsidR="005F79A7" w:rsidRPr="007D3BC9" w:rsidRDefault="005F79A7" w:rsidP="005F79A7">
      <w:pPr>
        <w:pBdr>
          <w:top w:val="nil"/>
          <w:left w:val="nil"/>
          <w:bottom w:val="nil"/>
          <w:right w:val="nil"/>
          <w:between w:val="nil"/>
          <w:bar w:val="nil"/>
        </w:pBdr>
        <w:spacing w:before="0" w:after="240"/>
        <w:rPr>
          <w:rFonts w:eastAsia="Arial Unicode MS"/>
          <w:lang w:val="fr-BE"/>
        </w:rPr>
      </w:pPr>
      <w:r w:rsidRPr="00695DFF">
        <w:t xml:space="preserve">Par conséquent, la </w:t>
      </w:r>
      <w:r w:rsidR="001A012C" w:rsidRPr="00695DFF">
        <w:t>proposition</w:t>
      </w:r>
      <w:r w:rsidRPr="00695DFF">
        <w:t xml:space="preserve"> de décision du Conseil </w:t>
      </w:r>
      <w:r w:rsidR="001A012C" w:rsidRPr="00695DFF">
        <w:t>relative à la conclusion de l'accord sous forme d'échange de lettres entre l'Union européenne et le Royaume du Maroc sur l</w:t>
      </w:r>
      <w:r w:rsidR="00747112" w:rsidRPr="00695DFF">
        <w:t>a modification</w:t>
      </w:r>
      <w:r w:rsidR="001A012C" w:rsidRPr="00695DFF">
        <w:t xml:space="preserve"> des Protocoles </w:t>
      </w:r>
      <w:r w:rsidR="00747112" w:rsidRPr="00695DFF">
        <w:t xml:space="preserve">n° </w:t>
      </w:r>
      <w:r w:rsidR="001A012C" w:rsidRPr="00695DFF">
        <w:t xml:space="preserve">1 et </w:t>
      </w:r>
      <w:r w:rsidR="00747112" w:rsidRPr="00695DFF">
        <w:t xml:space="preserve">n° </w:t>
      </w:r>
      <w:r w:rsidR="001A012C" w:rsidRPr="00695DFF">
        <w:t xml:space="preserve">4 </w:t>
      </w:r>
      <w:r w:rsidR="00747112" w:rsidRPr="00695DFF">
        <w:t>à</w:t>
      </w:r>
      <w:r w:rsidR="001A012C" w:rsidRPr="00695DFF">
        <w:t xml:space="preserve"> l'accord euro-méditerranéen établissant une association entre les Communautés européennes et leurs </w:t>
      </w:r>
      <w:r w:rsidR="006D62CB">
        <w:rPr>
          <w:rFonts w:eastAsia="Times New Roman"/>
          <w:noProof/>
          <w:snapToGrid w:val="0"/>
          <w:szCs w:val="24"/>
          <w:lang w:eastAsia="en-GB"/>
        </w:rPr>
        <w:t>États</w:t>
      </w:r>
      <w:r w:rsidR="001A012C" w:rsidRPr="00695DFF">
        <w:t xml:space="preserve"> membres, d'une part et le Royaume du Maroc, d'autre part </w:t>
      </w:r>
      <w:r w:rsidRPr="00695DFF">
        <w:t>ne va pas au-delà de ce qui est nécessaire ou approprié en vue de la réalisation des objectifs fixés.</w:t>
      </w:r>
    </w:p>
    <w:p w:rsidR="005F79A7" w:rsidRPr="007D3BC9" w:rsidRDefault="005F79A7" w:rsidP="00A4693B">
      <w:pPr>
        <w:pStyle w:val="ManualHeading2"/>
        <w:rPr>
          <w:rFonts w:eastAsia="Arial Unicode MS"/>
          <w:u w:color="000000"/>
          <w:bdr w:val="nil"/>
          <w:lang w:val="fr-BE" w:eastAsia="en-GB"/>
        </w:rPr>
      </w:pPr>
      <w:r w:rsidRPr="007D3BC9">
        <w:rPr>
          <w:rFonts w:eastAsia="Arial Unicode MS"/>
          <w:u w:color="000000"/>
          <w:bdr w:val="nil"/>
          <w:lang w:val="fr-BE" w:eastAsia="en-GB"/>
        </w:rPr>
        <w:t>•</w:t>
      </w:r>
      <w:r w:rsidRPr="007D3BC9">
        <w:rPr>
          <w:rFonts w:eastAsia="Arial Unicode MS"/>
          <w:u w:color="000000"/>
          <w:bdr w:val="nil"/>
          <w:lang w:val="fr-BE" w:eastAsia="en-GB"/>
        </w:rPr>
        <w:tab/>
        <w:t>Choix de l'instrument</w:t>
      </w:r>
    </w:p>
    <w:p w:rsidR="00182E0B" w:rsidRPr="00695DFF" w:rsidRDefault="00182E0B" w:rsidP="00182E0B">
      <w:pPr>
        <w:pBdr>
          <w:top w:val="nil"/>
          <w:left w:val="nil"/>
          <w:bottom w:val="nil"/>
          <w:right w:val="nil"/>
          <w:between w:val="nil"/>
          <w:bar w:val="nil"/>
        </w:pBdr>
        <w:spacing w:before="0" w:after="240"/>
      </w:pPr>
      <w:r w:rsidRPr="00695DFF">
        <w:t>Les protocoles concernés ne peuvent être modifiés que par un accord entre les parties. Cela concerne également la coopération requise entre les autorités afin de mettre en œuvre les préférences commerciales.</w:t>
      </w:r>
    </w:p>
    <w:p w:rsidR="008713E2" w:rsidRDefault="00182E0B" w:rsidP="00182E0B">
      <w:pPr>
        <w:pBdr>
          <w:top w:val="nil"/>
          <w:left w:val="nil"/>
          <w:bottom w:val="nil"/>
          <w:right w:val="nil"/>
          <w:between w:val="nil"/>
          <w:bar w:val="nil"/>
        </w:pBdr>
        <w:spacing w:before="0" w:after="240"/>
      </w:pPr>
      <w:r w:rsidRPr="00695DFF">
        <w:t>L’accord prend la forme d’un échange de lettres entre l’Union européenne et le Royaume du Maroc.</w:t>
      </w:r>
      <w:r w:rsidR="00A13898" w:rsidRPr="00695DFF">
        <w:t xml:space="preserve"> Un accord entre l'Union européenne et le Royaume du Maroc constitue le seul moyen d'assurer que l'importation de produits </w:t>
      </w:r>
      <w:r w:rsidR="00B64745">
        <w:t>originaires</w:t>
      </w:r>
      <w:r w:rsidR="00A13898" w:rsidRPr="00695DFF">
        <w:t xml:space="preserve"> </w:t>
      </w:r>
      <w:r w:rsidR="00B64745">
        <w:t>du Sahara occidental</w:t>
      </w:r>
      <w:r w:rsidR="00A13898" w:rsidRPr="00695DFF">
        <w:t xml:space="preserve"> peut bénéficier d'une origine préférentielle</w:t>
      </w:r>
      <w:r w:rsidR="00337DB6" w:rsidRPr="00695DFF">
        <w:t>, étant donné que les autorités marocaines sont les seules capables d'assurer le respect des règles nécessaires pour l'octroi de telles préférences.</w:t>
      </w:r>
    </w:p>
    <w:p w:rsidR="005F79A7" w:rsidRPr="007D3BC9" w:rsidRDefault="005F79A7" w:rsidP="00550536">
      <w:pPr>
        <w:pStyle w:val="ManualHeading1"/>
      </w:pPr>
      <w:r w:rsidRPr="007D3BC9">
        <w:t>3.</w:t>
      </w:r>
      <w:r w:rsidRPr="007D3BC9">
        <w:tab/>
        <w:t>RÉSULTATS DES ÉVALUATIONS EX POST, DES CONSULTATIONS DES PARTIES INTÉRESSÉES ET DES ANALYSES D'IMPACT</w:t>
      </w:r>
    </w:p>
    <w:p w:rsidR="005F79A7" w:rsidRPr="00C85067" w:rsidRDefault="00A96B3A" w:rsidP="00A4693B">
      <w:pPr>
        <w:pStyle w:val="ManualHeading2"/>
        <w:rPr>
          <w:rFonts w:eastAsia="Arial Unicode MS"/>
          <w:u w:color="000000"/>
          <w:bdr w:val="nil"/>
          <w:lang w:val="fr-BE" w:eastAsia="en-GB"/>
        </w:rPr>
      </w:pPr>
      <w:r w:rsidRPr="007D3BC9">
        <w:rPr>
          <w:rFonts w:eastAsia="Arial Unicode MS"/>
          <w:u w:color="000000"/>
          <w:bdr w:val="nil"/>
          <w:lang w:val="fr-BE" w:eastAsia="en-GB"/>
        </w:rPr>
        <w:t>•</w:t>
      </w:r>
      <w:r w:rsidRPr="007D3BC9">
        <w:rPr>
          <w:rFonts w:eastAsia="Arial Unicode MS"/>
          <w:u w:color="000000"/>
          <w:bdr w:val="nil"/>
          <w:lang w:val="fr-BE" w:eastAsia="en-GB"/>
        </w:rPr>
        <w:tab/>
      </w:r>
      <w:r w:rsidR="005F79A7" w:rsidRPr="00C85067">
        <w:rPr>
          <w:rFonts w:eastAsia="Arial Unicode MS"/>
          <w:u w:color="000000"/>
          <w:bdr w:val="nil"/>
          <w:lang w:val="fr-BE" w:eastAsia="en-GB"/>
        </w:rPr>
        <w:t>Analyse d'impact</w:t>
      </w:r>
    </w:p>
    <w:p w:rsidR="00C80AC3" w:rsidRDefault="00C80AC3" w:rsidP="00C80AC3">
      <w:pPr>
        <w:rPr>
          <w:rFonts w:eastAsia="Arial Unicode MS"/>
          <w:lang w:val="fr-BE"/>
        </w:rPr>
      </w:pPr>
      <w:r w:rsidRPr="00A830E8">
        <w:rPr>
          <w:rFonts w:eastAsia="Arial Unicode MS"/>
          <w:lang w:val="fr-BE"/>
        </w:rPr>
        <w:t xml:space="preserve">Comme cela a été demandé par le Conseil, la Commission a évalué les répercussions potentielles de l'accord sur le développement durable, notamment en ce qui concerne les avantages </w:t>
      </w:r>
      <w:r>
        <w:rPr>
          <w:rFonts w:eastAsia="Arial Unicode MS"/>
          <w:lang w:val="fr-BE"/>
        </w:rPr>
        <w:t>et désavantages dé</w:t>
      </w:r>
      <w:r w:rsidR="00B64745">
        <w:rPr>
          <w:rFonts w:eastAsia="Arial Unicode MS"/>
          <w:lang w:val="fr-BE"/>
        </w:rPr>
        <w:t>c</w:t>
      </w:r>
      <w:r>
        <w:rPr>
          <w:rFonts w:eastAsia="Arial Unicode MS"/>
          <w:lang w:val="fr-BE"/>
        </w:rPr>
        <w:t>oulant des préférences tarifaires accordé</w:t>
      </w:r>
      <w:r w:rsidR="00B64745">
        <w:rPr>
          <w:rFonts w:eastAsia="Arial Unicode MS"/>
          <w:lang w:val="fr-BE"/>
        </w:rPr>
        <w:t>e</w:t>
      </w:r>
      <w:r>
        <w:rPr>
          <w:rFonts w:eastAsia="Arial Unicode MS"/>
          <w:lang w:val="fr-BE"/>
        </w:rPr>
        <w:t xml:space="preserve">s aux produits du Sahara occidental </w:t>
      </w:r>
      <w:r w:rsidRPr="00A830E8">
        <w:rPr>
          <w:rFonts w:eastAsia="Arial Unicode MS"/>
          <w:lang w:val="fr-BE"/>
        </w:rPr>
        <w:t xml:space="preserve">pour </w:t>
      </w:r>
      <w:r>
        <w:rPr>
          <w:rFonts w:eastAsia="Arial Unicode MS"/>
          <w:lang w:val="fr-BE"/>
        </w:rPr>
        <w:t>son peuple.</w:t>
      </w:r>
    </w:p>
    <w:p w:rsidR="00C65897" w:rsidRPr="00A610B2" w:rsidRDefault="00C65897" w:rsidP="00A610B2">
      <w:pPr>
        <w:rPr>
          <w:rFonts w:eastAsia="Arial Unicode MS"/>
          <w:lang w:val="fr-BE"/>
        </w:rPr>
      </w:pPr>
      <w:r w:rsidRPr="00A610B2">
        <w:rPr>
          <w:rFonts w:eastAsia="Arial Unicode MS"/>
          <w:lang w:val="fr-BE"/>
        </w:rPr>
        <w:t xml:space="preserve">Les services de la Commission ont été </w:t>
      </w:r>
      <w:r w:rsidR="00C973AA" w:rsidRPr="00C973AA">
        <w:rPr>
          <w:rFonts w:eastAsia="Arial Unicode MS"/>
          <w:lang w:val="fr-BE"/>
        </w:rPr>
        <w:t>confrontés</w:t>
      </w:r>
      <w:r w:rsidRPr="00A610B2">
        <w:rPr>
          <w:rFonts w:eastAsia="Arial Unicode MS"/>
          <w:lang w:val="fr-BE"/>
        </w:rPr>
        <w:t xml:space="preserve"> à des contraintes méthodologiques de différentes natures. Tout d’abord, de manière générale, les informations statistiques concernant le Sahara occidental demeurent incomplètes et hétérogènes. Une autre contrainte tient à la pratique ayant prévalu jusqu’au 21 décembre 2016, date de l’arrêt de la Cour de </w:t>
      </w:r>
      <w:r w:rsidR="008A4642">
        <w:rPr>
          <w:rFonts w:eastAsia="Arial Unicode MS"/>
          <w:lang w:val="fr-BE"/>
        </w:rPr>
        <w:t>j</w:t>
      </w:r>
      <w:r w:rsidRPr="00A610B2">
        <w:rPr>
          <w:rFonts w:eastAsia="Arial Unicode MS"/>
          <w:lang w:val="fr-BE"/>
        </w:rPr>
        <w:t>ustice de l’Union européenne. En effet, les marchandises du Sahara occidental importées dans l’Union ayant bénéficié de facto des mêmes préférences que les marchandises originaires du Maroc, il n'est généralement pas possible de distinguer les importations du Maroc de celles du Sahara occidental. De plus, l’expression même «populations concernées» est sujette à  interprétations différentes voire divergentes</w:t>
      </w:r>
      <w:r w:rsidR="001538C8">
        <w:rPr>
          <w:rStyle w:val="FootnoteReference"/>
          <w:rFonts w:eastAsia="Arial Unicode MS"/>
          <w:lang w:val="fr-BE"/>
        </w:rPr>
        <w:footnoteReference w:id="4"/>
      </w:r>
      <w:r w:rsidRPr="00A610B2">
        <w:rPr>
          <w:rFonts w:eastAsia="Arial Unicode MS"/>
          <w:lang w:val="fr-BE"/>
        </w:rPr>
        <w:t xml:space="preserve">. Elle peut renvoyer aux populations habitant le territoire ; c’est l’interprétation marocaine, qui ne fait pas de distinction entre les habitants sur une base ethnique/communautaire. Elle peut aussi renvoyer à des habitants déterminés, notamment sur une base ethnique/communautaire (Sahraouis) ; dans ce cas, les populations concernées peuvent être au moins en partie des personnes habitant en dehors du Sahara occidental (réfugiés) et certains habitants actuels établis récemment pourraient ne pas en faire partie. C’est l’interprétation retenue en particulier par le Front Polisario. </w:t>
      </w:r>
    </w:p>
    <w:p w:rsidR="00C80AC3" w:rsidRDefault="00C80AC3" w:rsidP="00C80AC3">
      <w:pPr>
        <w:rPr>
          <w:szCs w:val="24"/>
          <w:lang w:val="fr-BE"/>
        </w:rPr>
      </w:pPr>
      <w:r>
        <w:rPr>
          <w:szCs w:val="24"/>
          <w:lang w:val="fr-BE"/>
        </w:rPr>
        <w:t>Certes le droit à l'auto-détermination est détenu par le peuple du Sahara occidental</w:t>
      </w:r>
      <w:r w:rsidR="00C65897">
        <w:rPr>
          <w:szCs w:val="24"/>
          <w:lang w:val="fr-BE"/>
        </w:rPr>
        <w:t xml:space="preserve"> mais</w:t>
      </w:r>
      <w:r>
        <w:rPr>
          <w:szCs w:val="24"/>
          <w:lang w:val="fr-BE"/>
        </w:rPr>
        <w:t>, d'une part, ce n'est pas à l'Union européenne de réaliser un recensement de ce peuple et, d'autre part, les documents de l'ONU relatifs aux activités économiques sur des territoire</w:t>
      </w:r>
      <w:r w:rsidR="00B64745">
        <w:rPr>
          <w:szCs w:val="24"/>
          <w:lang w:val="fr-BE"/>
        </w:rPr>
        <w:t>s</w:t>
      </w:r>
      <w:r>
        <w:rPr>
          <w:szCs w:val="24"/>
          <w:lang w:val="fr-BE"/>
        </w:rPr>
        <w:t xml:space="preserve"> non</w:t>
      </w:r>
      <w:r w:rsidR="00B64745">
        <w:rPr>
          <w:szCs w:val="24"/>
          <w:lang w:val="fr-BE"/>
        </w:rPr>
        <w:t>-</w:t>
      </w:r>
      <w:r>
        <w:rPr>
          <w:szCs w:val="24"/>
          <w:lang w:val="fr-BE"/>
        </w:rPr>
        <w:t>autonomes se réfèrent aussi, lorsqu'il est question des bénéfices socio-économiques, aux habitants de ces territoires.</w:t>
      </w:r>
      <w:r>
        <w:rPr>
          <w:rStyle w:val="FootnoteReference"/>
          <w:szCs w:val="24"/>
          <w:lang w:val="fr-BE"/>
        </w:rPr>
        <w:footnoteReference w:id="5"/>
      </w:r>
      <w:r>
        <w:rPr>
          <w:szCs w:val="24"/>
          <w:lang w:val="fr-BE"/>
        </w:rPr>
        <w:t xml:space="preserve"> </w:t>
      </w:r>
      <w:r w:rsidR="00B64745" w:rsidRPr="000604D5">
        <w:rPr>
          <w:rFonts w:eastAsia="Calibri"/>
          <w:color w:val="000000" w:themeColor="text1"/>
          <w:lang w:val="fr-BE"/>
        </w:rPr>
        <w:t>Tout en ayant à l'esprit ces différences et les difficultés d'examiner l'impact sur un peuple dont les contours restent à définir, compte tenu du fait que les préférences sont étendues aux produits d'un territoire donné, et que donc les avantages seront, logiquement, liés principalement à ce territoire, l'analyse s'est concentrée sur les bénéfices pour la population du Sahara occidental</w:t>
      </w:r>
      <w:r>
        <w:rPr>
          <w:szCs w:val="24"/>
          <w:lang w:val="fr-BE"/>
        </w:rPr>
        <w:t>.</w:t>
      </w:r>
    </w:p>
    <w:p w:rsidR="00C80AC3" w:rsidRDefault="00C80AC3" w:rsidP="00C80AC3">
      <w:pPr>
        <w:pBdr>
          <w:top w:val="nil"/>
          <w:left w:val="nil"/>
          <w:bottom w:val="nil"/>
          <w:right w:val="nil"/>
          <w:between w:val="nil"/>
          <w:bar w:val="nil"/>
        </w:pBdr>
        <w:spacing w:before="0" w:after="240"/>
        <w:rPr>
          <w:rFonts w:eastAsia="Arial Unicode MS"/>
          <w:lang w:val="fr-BE"/>
        </w:rPr>
      </w:pPr>
      <w:r>
        <w:rPr>
          <w:rFonts w:eastAsia="Arial Unicode MS"/>
          <w:lang w:val="fr-BE"/>
        </w:rPr>
        <w:t xml:space="preserve">Les critères de l'évaluation se fondent sur les paramètres pertinents dans le cadre de l'article 73 de la Charte des Nations Unies, qui prévoit que ceux </w:t>
      </w:r>
      <w:r w:rsidRPr="00C84D6F">
        <w:rPr>
          <w:rFonts w:eastAsia="Arial Unicode MS"/>
          <w:lang w:val="fr-BE" w:bidi="fr-FR"/>
        </w:rPr>
        <w:t>"</w:t>
      </w:r>
      <w:r w:rsidRPr="00D33FDE">
        <w:rPr>
          <w:rFonts w:eastAsia="Arial Unicode MS"/>
          <w:i/>
          <w:lang w:val="fr-BE" w:bidi="fr-FR"/>
        </w:rPr>
        <w:t>qui assument la responsabilité d'administrer des territoires dont les populations ne s'administrent pas encore complètement elles-mêmes reconnaissent le principe de la primauté des intérêts des habitants de ces territoires"</w:t>
      </w:r>
      <w:r w:rsidRPr="00C84D6F">
        <w:rPr>
          <w:rFonts w:eastAsia="Arial Unicode MS"/>
          <w:lang w:val="fr-BE" w:bidi="fr-FR"/>
        </w:rPr>
        <w:t>, et que ce</w:t>
      </w:r>
      <w:r>
        <w:rPr>
          <w:rFonts w:eastAsia="Arial Unicode MS"/>
          <w:lang w:val="fr-BE" w:bidi="fr-FR"/>
        </w:rPr>
        <w:t xml:space="preserve">ux-ci </w:t>
      </w:r>
      <w:r w:rsidRPr="00D33FDE">
        <w:rPr>
          <w:rFonts w:eastAsia="Arial Unicode MS"/>
          <w:i/>
          <w:lang w:val="fr-BE" w:bidi="fr-FR"/>
        </w:rPr>
        <w:t>"acceptent comme une mission sacrée l'obligation de favoriser dans toute la mesure possible leur prospérité"</w:t>
      </w:r>
      <w:r>
        <w:rPr>
          <w:rFonts w:eastAsia="Arial Unicode MS"/>
          <w:lang w:val="fr-BE"/>
        </w:rPr>
        <w:t>.</w:t>
      </w:r>
    </w:p>
    <w:p w:rsidR="00C80AC3" w:rsidRDefault="00C80AC3" w:rsidP="00C80AC3">
      <w:pPr>
        <w:pBdr>
          <w:top w:val="nil"/>
          <w:left w:val="nil"/>
          <w:bottom w:val="nil"/>
          <w:right w:val="nil"/>
          <w:between w:val="nil"/>
          <w:bar w:val="nil"/>
        </w:pBdr>
        <w:spacing w:before="0" w:after="240"/>
        <w:rPr>
          <w:rFonts w:eastAsia="Arial Unicode MS"/>
          <w:lang w:val="fr-BE"/>
        </w:rPr>
      </w:pPr>
      <w:r>
        <w:rPr>
          <w:rFonts w:eastAsia="Arial Unicode MS"/>
          <w:lang w:val="fr-BE"/>
        </w:rPr>
        <w:t xml:space="preserve">Ainsi, </w:t>
      </w:r>
      <w:r w:rsidR="009B288C">
        <w:rPr>
          <w:rFonts w:eastAsia="Arial Unicode MS"/>
          <w:lang w:val="fr-BE"/>
        </w:rPr>
        <w:t>l’évaluation</w:t>
      </w:r>
      <w:r>
        <w:rPr>
          <w:rFonts w:eastAsia="Arial Unicode MS"/>
          <w:lang w:val="fr-BE"/>
        </w:rPr>
        <w:t xml:space="preserve"> </w:t>
      </w:r>
      <w:r w:rsidRPr="00A830E8">
        <w:rPr>
          <w:rFonts w:eastAsia="Arial Unicode MS"/>
          <w:lang w:val="fr-BE"/>
        </w:rPr>
        <w:t>porte sur les flux commerciaux en provenance du Sahara occidental et plus particulièrement sur les produits de la pêche, les produits agricoles et les phosphates</w:t>
      </w:r>
      <w:r>
        <w:rPr>
          <w:rFonts w:eastAsia="Arial Unicode MS"/>
          <w:lang w:val="fr-BE"/>
        </w:rPr>
        <w:t xml:space="preserve"> ainsi que sur les effets sur les ressources naturelles, l'emploi et les droits d</w:t>
      </w:r>
      <w:r w:rsidR="00B64745">
        <w:rPr>
          <w:rFonts w:eastAsia="Arial Unicode MS"/>
          <w:lang w:val="fr-BE"/>
        </w:rPr>
        <w:t>e l</w:t>
      </w:r>
      <w:r>
        <w:rPr>
          <w:rFonts w:eastAsia="Arial Unicode MS"/>
          <w:lang w:val="fr-BE"/>
        </w:rPr>
        <w:t>'homme</w:t>
      </w:r>
      <w:r w:rsidRPr="00A830E8">
        <w:rPr>
          <w:rFonts w:eastAsia="Arial Unicode MS"/>
          <w:lang w:val="fr-BE"/>
        </w:rPr>
        <w:t xml:space="preserve"> Elle est fondée non seulement sur une analyse des données existantes, mais également sur un exercice de projection. </w:t>
      </w:r>
      <w:r w:rsidR="00B64745">
        <w:rPr>
          <w:rFonts w:eastAsia="Arial Unicode MS"/>
          <w:lang w:val="fr-BE"/>
        </w:rPr>
        <w:t>Compte tenu</w:t>
      </w:r>
      <w:r>
        <w:rPr>
          <w:rFonts w:eastAsia="Arial Unicode MS"/>
          <w:lang w:val="fr-BE"/>
        </w:rPr>
        <w:t xml:space="preserve"> de la situation particulière du Sahara occidental</w:t>
      </w:r>
      <w:r w:rsidR="00A23299" w:rsidRPr="00A23299">
        <w:t xml:space="preserve"> </w:t>
      </w:r>
      <w:r w:rsidR="00A23299" w:rsidRPr="00A23299">
        <w:rPr>
          <w:rFonts w:eastAsia="Arial Unicode MS"/>
          <w:lang w:val="fr-BE"/>
        </w:rPr>
        <w:t>et tenant compte de la difficulté pour l’Union en tant que partie tierce à faire des enquêtes sur le territoire du Sahara occidental</w:t>
      </w:r>
      <w:r>
        <w:rPr>
          <w:rFonts w:eastAsia="Arial Unicode MS"/>
          <w:lang w:val="fr-BE"/>
        </w:rPr>
        <w:t xml:space="preserve">, la Commission </w:t>
      </w:r>
      <w:r w:rsidR="00B64745">
        <w:rPr>
          <w:rFonts w:eastAsia="Arial Unicode MS"/>
          <w:lang w:val="fr-BE"/>
        </w:rPr>
        <w:t>s’est efforcée</w:t>
      </w:r>
      <w:r>
        <w:rPr>
          <w:rFonts w:eastAsia="Arial Unicode MS"/>
          <w:lang w:val="fr-BE"/>
        </w:rPr>
        <w:t xml:space="preserve"> d'obtenir des donné</w:t>
      </w:r>
      <w:r w:rsidR="00B64745">
        <w:rPr>
          <w:rFonts w:eastAsia="Arial Unicode MS"/>
          <w:lang w:val="fr-BE"/>
        </w:rPr>
        <w:t>e</w:t>
      </w:r>
      <w:r>
        <w:rPr>
          <w:rFonts w:eastAsia="Arial Unicode MS"/>
          <w:lang w:val="fr-BE"/>
        </w:rPr>
        <w:t xml:space="preserve">s objectives et fiables </w:t>
      </w:r>
      <w:r w:rsidR="009B288C">
        <w:rPr>
          <w:rFonts w:eastAsia="Arial Unicode MS"/>
          <w:lang w:val="fr-BE"/>
        </w:rPr>
        <w:t>notamment par des échanges avec le Maroc,</w:t>
      </w:r>
      <w:r>
        <w:rPr>
          <w:rFonts w:eastAsia="Arial Unicode MS"/>
          <w:lang w:val="fr-BE"/>
        </w:rPr>
        <w:t xml:space="preserve"> la société civile </w:t>
      </w:r>
      <w:r w:rsidR="009B288C">
        <w:rPr>
          <w:rFonts w:eastAsia="Arial Unicode MS"/>
          <w:lang w:val="fr-BE"/>
        </w:rPr>
        <w:t>et</w:t>
      </w:r>
      <w:r>
        <w:rPr>
          <w:rFonts w:eastAsia="Arial Unicode MS"/>
          <w:lang w:val="fr-BE"/>
        </w:rPr>
        <w:t xml:space="preserve">  le Front Polisario</w:t>
      </w:r>
      <w:r w:rsidR="00D33FDE">
        <w:rPr>
          <w:rFonts w:eastAsia="Arial Unicode MS"/>
          <w:lang w:val="fr-BE"/>
        </w:rPr>
        <w:t xml:space="preserve"> et en se référant à des </w:t>
      </w:r>
      <w:r w:rsidR="00D33FDE" w:rsidRPr="00D33FDE">
        <w:rPr>
          <w:rFonts w:eastAsia="Arial Unicode MS"/>
          <w:lang w:val="fr-BE"/>
        </w:rPr>
        <w:t>informations disponibles dans le domaine public</w:t>
      </w:r>
      <w:r>
        <w:rPr>
          <w:rFonts w:eastAsia="Arial Unicode MS"/>
          <w:lang w:val="fr-BE"/>
        </w:rPr>
        <w:t>. La Commission a également pris en considération toute autre information disponible. Dans certains cas, les informations restent non-concluantes et limité</w:t>
      </w:r>
      <w:r w:rsidR="00B64745">
        <w:rPr>
          <w:rFonts w:eastAsia="Arial Unicode MS"/>
          <w:lang w:val="fr-BE"/>
        </w:rPr>
        <w:t>e</w:t>
      </w:r>
      <w:r>
        <w:rPr>
          <w:rFonts w:eastAsia="Arial Unicode MS"/>
          <w:lang w:val="fr-BE"/>
        </w:rPr>
        <w:t>s.</w:t>
      </w:r>
    </w:p>
    <w:p w:rsidR="00C80AC3" w:rsidRPr="007D3BC9" w:rsidRDefault="00C70DE5" w:rsidP="00C80AC3">
      <w:pPr>
        <w:pStyle w:val="ManualHeading2"/>
        <w:rPr>
          <w:rFonts w:eastAsia="Arial Unicode MS"/>
          <w:u w:color="000000"/>
          <w:bdr w:val="nil"/>
          <w:lang w:val="fr-BE" w:eastAsia="en-GB"/>
        </w:rPr>
      </w:pPr>
      <w:r>
        <w:rPr>
          <w:rFonts w:eastAsia="Arial Unicode MS"/>
          <w:u w:color="000000"/>
          <w:bdr w:val="nil"/>
          <w:lang w:val="fr-BE" w:eastAsia="en-GB"/>
        </w:rPr>
        <w:tab/>
      </w:r>
      <w:r w:rsidR="00C80AC3" w:rsidRPr="007D3BC9">
        <w:rPr>
          <w:rFonts w:eastAsia="Arial Unicode MS"/>
          <w:u w:color="000000"/>
          <w:bdr w:val="nil"/>
          <w:lang w:val="fr-BE" w:eastAsia="en-GB"/>
        </w:rPr>
        <w:t>Consultation des parties intéressées</w:t>
      </w:r>
    </w:p>
    <w:p w:rsidR="00C80AC3" w:rsidRPr="002301A0" w:rsidRDefault="00C80AC3" w:rsidP="002301A0">
      <w:pPr>
        <w:widowControl w:val="0"/>
        <w:spacing w:after="0"/>
        <w:rPr>
          <w:rFonts w:eastAsia="Arial Unicode MS"/>
          <w:szCs w:val="24"/>
          <w:bdr w:val="nil"/>
          <w:lang w:val="fr-BE"/>
        </w:rPr>
      </w:pPr>
      <w:r w:rsidRPr="002301A0">
        <w:rPr>
          <w:rFonts w:eastAsia="Arial Unicode MS"/>
          <w:szCs w:val="24"/>
          <w:bdr w:val="nil"/>
          <w:lang w:val="fr-BE"/>
        </w:rPr>
        <w:t xml:space="preserve">Les services de la Commission européenne et le Service Européen d'Action Extérieure ont mené un large exercice de consultation des populations du Sahara occidental. </w:t>
      </w:r>
    </w:p>
    <w:p w:rsidR="00C80AC3" w:rsidRPr="002301A0" w:rsidRDefault="00C80AC3" w:rsidP="002301A0">
      <w:pPr>
        <w:widowControl w:val="0"/>
        <w:spacing w:after="0"/>
        <w:rPr>
          <w:rFonts w:eastAsia="Arial Unicode MS"/>
          <w:szCs w:val="24"/>
          <w:bdr w:val="nil"/>
          <w:lang w:val="fr-BE"/>
        </w:rPr>
      </w:pPr>
      <w:r w:rsidRPr="002301A0">
        <w:rPr>
          <w:rFonts w:eastAsia="Arial Unicode MS"/>
          <w:szCs w:val="24"/>
          <w:bdr w:val="nil"/>
          <w:lang w:val="fr-BE"/>
        </w:rPr>
        <w:t>Ces consultations ont fait apparaître une opinion majoritairement favorable à l</w:t>
      </w:r>
      <w:r w:rsidR="00B64745" w:rsidRPr="002301A0">
        <w:rPr>
          <w:rFonts w:eastAsia="Arial Unicode MS"/>
          <w:szCs w:val="24"/>
          <w:bdr w:val="nil"/>
          <w:lang w:val="fr-BE"/>
        </w:rPr>
        <w:t>a modification</w:t>
      </w:r>
      <w:r w:rsidRPr="002301A0">
        <w:rPr>
          <w:rFonts w:eastAsia="Arial Unicode MS"/>
          <w:szCs w:val="24"/>
          <w:bdr w:val="nil"/>
          <w:lang w:val="fr-BE"/>
        </w:rPr>
        <w:t xml:space="preserve"> de l'accord de libéralisation en vue d'en étendre les préférences tarifaires aux produits du Sahara occidental. Une majorité d'interlocuteurs ont fait état d'un impact positif en faveur de la population dans son ensemble, insistant tout particulièrement sur l'effet de levier déterminant qu'auraient de telles préférences commerciales en matière d'investissement privé. Ils ont indiqué qu'un accès privilégié aux marchés européens serait de nature à améliorer le climat des affaires ainsi que les investissements directs européens et, ce faisant, conforterait le nouveau modèle de développement participatif et durable du Sahara occidental. Toujours selon ce point de vue majoritaire, a contrario, la persistance de l'insécurité juridique </w:t>
      </w:r>
      <w:r w:rsidRPr="002301A0">
        <w:rPr>
          <w:szCs w:val="24"/>
          <w:bdr w:val="nil"/>
        </w:rPr>
        <w:t>grevant les flux commerciaux avec le Sahara occidental hypothèquerait</w:t>
      </w:r>
      <w:r w:rsidRPr="002301A0">
        <w:rPr>
          <w:rFonts w:eastAsia="Arial Unicode MS"/>
          <w:szCs w:val="24"/>
          <w:bdr w:val="nil"/>
          <w:lang w:val="fr-BE"/>
        </w:rPr>
        <w:t xml:space="preserve"> fortement le développement socio-économique, ainsi qu'en témoigne déjà le ralentissement des relations commerciales du Sahara occidental avec certains </w:t>
      </w:r>
      <w:r w:rsidR="006D62CB">
        <w:rPr>
          <w:rFonts w:eastAsia="Times New Roman"/>
          <w:noProof/>
          <w:snapToGrid w:val="0"/>
          <w:szCs w:val="24"/>
          <w:lang w:eastAsia="en-GB"/>
        </w:rPr>
        <w:t>États</w:t>
      </w:r>
      <w:r w:rsidRPr="002301A0">
        <w:rPr>
          <w:rFonts w:eastAsia="Arial Unicode MS"/>
          <w:szCs w:val="24"/>
          <w:bdr w:val="nil"/>
          <w:lang w:val="fr-BE"/>
        </w:rPr>
        <w:t xml:space="preserve"> membres ou dans certains secteurs. Selon ces interlocuteurs, restreindre l'accès du Sahara occidental aux marchés et investissements étrangers ne ferait donc qu'entraver le développement d'activités économiques endogènes et compromettre certaines évolutions socio-économiques ou politiques au moment précis où le développement du Sahara occidental semble enfin devoir décoller.</w:t>
      </w:r>
    </w:p>
    <w:p w:rsidR="008713E2" w:rsidRDefault="00C80AC3" w:rsidP="00C80AC3">
      <w:pPr>
        <w:pBdr>
          <w:top w:val="nil"/>
          <w:left w:val="nil"/>
          <w:bottom w:val="nil"/>
          <w:right w:val="nil"/>
          <w:between w:val="nil"/>
          <w:bar w:val="nil"/>
        </w:pBdr>
        <w:spacing w:before="0" w:after="240"/>
        <w:rPr>
          <w:rFonts w:eastAsia="Arial Unicode MS"/>
          <w:szCs w:val="24"/>
          <w:bdr w:val="nil"/>
          <w:lang w:val="fr-BE"/>
        </w:rPr>
      </w:pPr>
      <w:r>
        <w:rPr>
          <w:rFonts w:eastAsia="Arial Unicode MS"/>
          <w:szCs w:val="24"/>
          <w:bdr w:val="nil"/>
          <w:lang w:val="fr-BE"/>
        </w:rPr>
        <w:t>Le Front Polisario qui a été également consulté et certain</w:t>
      </w:r>
      <w:r w:rsidR="00614C80">
        <w:rPr>
          <w:rFonts w:eastAsia="Arial Unicode MS"/>
          <w:szCs w:val="24"/>
          <w:bdr w:val="nil"/>
          <w:lang w:val="fr-BE"/>
        </w:rPr>
        <w:t>e</w:t>
      </w:r>
      <w:r>
        <w:rPr>
          <w:rFonts w:eastAsia="Arial Unicode MS"/>
          <w:szCs w:val="24"/>
          <w:bdr w:val="nil"/>
          <w:lang w:val="fr-BE"/>
        </w:rPr>
        <w:t xml:space="preserve">s </w:t>
      </w:r>
      <w:r w:rsidR="00614C80">
        <w:rPr>
          <w:rFonts w:eastAsia="Arial Unicode MS"/>
          <w:szCs w:val="24"/>
          <w:bdr w:val="nil"/>
          <w:lang w:val="fr-BE"/>
        </w:rPr>
        <w:t>organisations non-gouvernementales</w:t>
      </w:r>
      <w:r>
        <w:rPr>
          <w:rFonts w:eastAsia="Arial Unicode MS"/>
          <w:szCs w:val="24"/>
          <w:bdr w:val="nil"/>
          <w:lang w:val="fr-BE"/>
        </w:rPr>
        <w:t xml:space="preserve"> ont exprimé des avis négatifs. Ceci étant, ces derniers n'étaient pas motivés par des effets négatifs spécifiques </w:t>
      </w:r>
      <w:r w:rsidR="002301A0">
        <w:rPr>
          <w:rFonts w:eastAsia="Arial Unicode MS"/>
          <w:szCs w:val="24"/>
          <w:bdr w:val="nil"/>
          <w:lang w:val="fr-BE"/>
        </w:rPr>
        <w:t>sur les</w:t>
      </w:r>
      <w:r>
        <w:rPr>
          <w:rFonts w:eastAsia="Arial Unicode MS"/>
          <w:szCs w:val="24"/>
          <w:bdr w:val="nil"/>
          <w:lang w:val="fr-BE"/>
        </w:rPr>
        <w:t xml:space="preserve"> populations du Sahara occidental par l'application des préférences tarifaires envisagées, mais plutôt par une crainte que les préférences </w:t>
      </w:r>
      <w:r w:rsidR="00614C80">
        <w:rPr>
          <w:rFonts w:eastAsia="Arial Unicode MS"/>
          <w:szCs w:val="24"/>
          <w:bdr w:val="nil"/>
          <w:lang w:val="fr-BE"/>
        </w:rPr>
        <w:t xml:space="preserve">ne </w:t>
      </w:r>
      <w:r>
        <w:rPr>
          <w:rFonts w:eastAsia="Arial Unicode MS"/>
          <w:szCs w:val="24"/>
          <w:bdr w:val="nil"/>
          <w:lang w:val="fr-BE"/>
        </w:rPr>
        <w:t xml:space="preserve">pérennisent le statu quo du Sahara occidental qui est selon eux sous occupation </w:t>
      </w:r>
      <w:r w:rsidR="008A4642">
        <w:rPr>
          <w:rFonts w:eastAsia="Arial Unicode MS"/>
          <w:szCs w:val="24"/>
          <w:bdr w:val="nil"/>
          <w:lang w:val="fr-BE"/>
        </w:rPr>
        <w:t>m</w:t>
      </w:r>
      <w:r>
        <w:rPr>
          <w:rFonts w:eastAsia="Arial Unicode MS"/>
          <w:szCs w:val="24"/>
          <w:bdr w:val="nil"/>
          <w:lang w:val="fr-BE"/>
        </w:rPr>
        <w:t xml:space="preserve">arocaine. </w:t>
      </w:r>
    </w:p>
    <w:p w:rsidR="00C80AC3" w:rsidRDefault="00C80AC3" w:rsidP="00C80AC3">
      <w:pPr>
        <w:pBdr>
          <w:top w:val="nil"/>
          <w:left w:val="nil"/>
          <w:bottom w:val="nil"/>
          <w:right w:val="nil"/>
          <w:between w:val="nil"/>
          <w:bar w:val="nil"/>
        </w:pBdr>
        <w:spacing w:before="0" w:after="240"/>
        <w:rPr>
          <w:rFonts w:eastAsia="Arial Unicode MS"/>
          <w:lang w:val="fr-BE"/>
        </w:rPr>
      </w:pPr>
      <w:r w:rsidRPr="00A830E8">
        <w:rPr>
          <w:rFonts w:eastAsia="Arial Unicode MS"/>
          <w:lang w:val="fr-BE"/>
        </w:rPr>
        <w:t xml:space="preserve">Il ressort de </w:t>
      </w:r>
      <w:r>
        <w:rPr>
          <w:rFonts w:eastAsia="Arial Unicode MS"/>
          <w:lang w:val="fr-BE"/>
        </w:rPr>
        <w:t>l'</w:t>
      </w:r>
      <w:r w:rsidRPr="00A830E8">
        <w:rPr>
          <w:rFonts w:eastAsia="Arial Unicode MS"/>
          <w:lang w:val="fr-BE"/>
        </w:rPr>
        <w:t xml:space="preserve">évaluation que l’octroi des préférences tarifaires prévues par l’accord d’association UE-Maroc a un impact positif pour </w:t>
      </w:r>
      <w:r>
        <w:rPr>
          <w:rFonts w:eastAsia="Arial Unicode MS"/>
          <w:lang w:val="fr-BE"/>
        </w:rPr>
        <w:t>l'économie du Sahara occidental</w:t>
      </w:r>
      <w:r w:rsidRPr="00A830E8">
        <w:rPr>
          <w:rFonts w:eastAsia="Arial Unicode MS"/>
          <w:lang w:val="fr-BE"/>
        </w:rPr>
        <w:t xml:space="preserve"> et devrait conserver voire accroître potentiellement un tel effet dans le futur.</w:t>
      </w:r>
      <w:r>
        <w:rPr>
          <w:rFonts w:eastAsia="Arial Unicode MS"/>
          <w:lang w:val="fr-BE"/>
        </w:rPr>
        <w:t xml:space="preserve"> La crainte que l'extension des préférences tarifaires </w:t>
      </w:r>
      <w:r w:rsidR="00361D6C">
        <w:rPr>
          <w:rFonts w:eastAsia="Arial Unicode MS"/>
          <w:lang w:val="fr-BE"/>
        </w:rPr>
        <w:t>n’</w:t>
      </w:r>
      <w:r>
        <w:rPr>
          <w:rFonts w:eastAsia="Arial Unicode MS"/>
          <w:lang w:val="fr-BE"/>
        </w:rPr>
        <w:t xml:space="preserve">implique une reconnaissance du statu quo n'est pas fondée, car rien dans l'accord </w:t>
      </w:r>
      <w:r w:rsidR="00614C80">
        <w:rPr>
          <w:rFonts w:eastAsia="Arial Unicode MS"/>
          <w:lang w:val="fr-BE"/>
        </w:rPr>
        <w:t>n’</w:t>
      </w:r>
      <w:r>
        <w:rPr>
          <w:rFonts w:eastAsia="Arial Unicode MS"/>
          <w:lang w:val="fr-BE"/>
        </w:rPr>
        <w:t>implique la reconnaissance de la souveraineté du Maroc sur le Sahara occidental.</w:t>
      </w:r>
      <w:r w:rsidRPr="00A830E8">
        <w:rPr>
          <w:rFonts w:eastAsia="Arial Unicode MS"/>
          <w:lang w:val="fr-BE"/>
        </w:rPr>
        <w:t xml:space="preserve"> </w:t>
      </w:r>
    </w:p>
    <w:p w:rsidR="00FF63DC" w:rsidRPr="00AD6270" w:rsidRDefault="00C70DE5" w:rsidP="00C70DE5">
      <w:pPr>
        <w:pStyle w:val="ManualHeading2"/>
        <w:rPr>
          <w:lang w:val="fr-BE"/>
        </w:rPr>
      </w:pPr>
      <w:r>
        <w:rPr>
          <w:lang w:val="fr-BE"/>
        </w:rPr>
        <w:tab/>
      </w:r>
      <w:r w:rsidR="00FF63DC">
        <w:rPr>
          <w:lang w:val="fr-BE"/>
        </w:rPr>
        <w:t>Droits de l’homme</w:t>
      </w:r>
    </w:p>
    <w:p w:rsidR="009B288C" w:rsidRDefault="009B288C" w:rsidP="00C80AC3">
      <w:pPr>
        <w:pBdr>
          <w:top w:val="nil"/>
          <w:left w:val="nil"/>
          <w:bottom w:val="nil"/>
          <w:right w:val="nil"/>
          <w:between w:val="nil"/>
          <w:bar w:val="nil"/>
        </w:pBdr>
        <w:spacing w:before="0" w:after="240"/>
        <w:rPr>
          <w:rFonts w:eastAsia="Arial Unicode MS"/>
          <w:lang w:val="fr-BE"/>
        </w:rPr>
      </w:pPr>
      <w:r>
        <w:rPr>
          <w:rFonts w:eastAsia="Arial Unicode MS"/>
          <w:lang w:val="fr-BE"/>
        </w:rPr>
        <w:t>En ce qui concerne</w:t>
      </w:r>
      <w:r w:rsidRPr="009B288C">
        <w:rPr>
          <w:rFonts w:eastAsia="Arial Unicode MS"/>
          <w:lang w:val="fr-BE"/>
        </w:rPr>
        <w:t xml:space="preserve"> la situation des droits de l'homme au Sahara occidental</w:t>
      </w:r>
      <w:r>
        <w:rPr>
          <w:rFonts w:eastAsia="Arial Unicode MS"/>
          <w:lang w:val="fr-BE"/>
        </w:rPr>
        <w:t>, celle-ci correspond de manière générale</w:t>
      </w:r>
      <w:r w:rsidRPr="009B288C">
        <w:rPr>
          <w:rFonts w:eastAsia="Arial Unicode MS"/>
          <w:lang w:val="fr-BE"/>
        </w:rPr>
        <w:t xml:space="preserve"> à la situation des droits de l'homme au Maroc. Les mécanismes et les lois régissant la protection sont les mêmes. Néanmoins, il existe des spécificités au Sahara occidental en lien avec le </w:t>
      </w:r>
      <w:r w:rsidR="009A73D0">
        <w:rPr>
          <w:rFonts w:eastAsia="Arial Unicode MS"/>
          <w:lang w:val="fr-BE"/>
        </w:rPr>
        <w:t>différend</w:t>
      </w:r>
      <w:r w:rsidRPr="009B288C">
        <w:rPr>
          <w:rFonts w:eastAsia="Arial Unicode MS"/>
          <w:lang w:val="fr-BE"/>
        </w:rPr>
        <w:t xml:space="preserve"> politique, notamment en ce qui concerne les libertés d'expression, de manifestation et d'association. En effet, toute « atteinte à l'intégrité territoriale », c’est-à-dire également l'indépendantisme pro-Polisario, est prohibée sous peine d'amende voire de prison. </w:t>
      </w:r>
    </w:p>
    <w:p w:rsidR="009B288C" w:rsidRDefault="009B288C" w:rsidP="00C80AC3">
      <w:pPr>
        <w:pBdr>
          <w:top w:val="nil"/>
          <w:left w:val="nil"/>
          <w:bottom w:val="nil"/>
          <w:right w:val="nil"/>
          <w:between w:val="nil"/>
          <w:bar w:val="nil"/>
        </w:pBdr>
        <w:spacing w:before="0" w:after="240"/>
        <w:rPr>
          <w:rFonts w:eastAsia="Arial Unicode MS"/>
          <w:lang w:val="fr-BE"/>
        </w:rPr>
      </w:pPr>
      <w:r w:rsidRPr="009B288C">
        <w:rPr>
          <w:rFonts w:eastAsia="Arial Unicode MS"/>
          <w:lang w:val="fr-BE"/>
        </w:rPr>
        <w:t xml:space="preserve">De manière générale, en ce qui concerne l'impact attendu d'une extension des préférences tarifaires aux produits du Sahara occidental sur la situation des droits de l'homme dans ce territoire, il convient de raisonner par analogie avec l'effet de l'accord d'association UE-Maroc sur la situation des droits de l'homme au Maroc. Dans la mesure où l'accord encourage une convergence réglementaire vers les normes de l'Union européenne dans divers domaines, l'on constate un effet indirect positif, en ce qui concerne notamment les conditions de travail (par exemple les mesures de sécurité), la législation du travail (par exemple la protection de l'enfance), les mesures phytosanitaires ou encore la protection des consommateurs. </w:t>
      </w:r>
    </w:p>
    <w:p w:rsidR="00CF4D5F" w:rsidRPr="00C70DE5" w:rsidRDefault="00C70DE5" w:rsidP="00C70DE5">
      <w:pPr>
        <w:pStyle w:val="ManualHeading2"/>
        <w:rPr>
          <w:lang w:val="fr-BE"/>
        </w:rPr>
      </w:pPr>
      <w:r>
        <w:rPr>
          <w:lang w:val="fr-BE"/>
        </w:rPr>
        <w:tab/>
      </w:r>
      <w:r w:rsidR="00CF4D5F" w:rsidRPr="00C70DE5">
        <w:rPr>
          <w:lang w:val="fr-BE"/>
        </w:rPr>
        <w:t>Impact économique et commercial</w:t>
      </w:r>
    </w:p>
    <w:p w:rsidR="00875478" w:rsidRDefault="00875478" w:rsidP="00C80AC3">
      <w:pPr>
        <w:pBdr>
          <w:top w:val="nil"/>
          <w:left w:val="nil"/>
          <w:bottom w:val="nil"/>
          <w:right w:val="nil"/>
          <w:between w:val="nil"/>
          <w:bar w:val="nil"/>
        </w:pBdr>
        <w:spacing w:before="0" w:after="240"/>
        <w:rPr>
          <w:szCs w:val="24"/>
          <w:lang w:val="fr-BE"/>
        </w:rPr>
      </w:pPr>
      <w:r>
        <w:rPr>
          <w:szCs w:val="24"/>
          <w:lang w:val="fr-BE"/>
        </w:rPr>
        <w:t>En ce qui concerne les différents secteurs d’activité économique les conclusions sont les suivantes.</w:t>
      </w:r>
    </w:p>
    <w:p w:rsidR="00875478" w:rsidRPr="00875478" w:rsidRDefault="00875478" w:rsidP="00875478">
      <w:pPr>
        <w:pBdr>
          <w:top w:val="nil"/>
          <w:left w:val="nil"/>
          <w:bottom w:val="nil"/>
          <w:right w:val="nil"/>
          <w:between w:val="nil"/>
          <w:bar w:val="nil"/>
        </w:pBdr>
        <w:spacing w:before="0" w:after="240"/>
        <w:rPr>
          <w:szCs w:val="24"/>
          <w:lang w:val="fr-BE"/>
        </w:rPr>
      </w:pPr>
      <w:r w:rsidRPr="003678F4">
        <w:rPr>
          <w:szCs w:val="24"/>
          <w:lang w:val="fr-BE"/>
        </w:rPr>
        <w:t>Il y a une production agricole au Sahara occidental, surtout de primeurs (tomates et melons), pour laquelle il existe un marché dans l'Union européenne. Cette production est esti</w:t>
      </w:r>
      <w:r w:rsidRPr="001526F5">
        <w:rPr>
          <w:szCs w:val="24"/>
          <w:lang w:val="fr-BE"/>
        </w:rPr>
        <w:t xml:space="preserve">mée à 64.000 tonnes et représente quelques 14.000 emplois directs. Sa valeur à l'importation s'élève à environ 65 millions </w:t>
      </w:r>
      <w:r w:rsidR="008A4642">
        <w:rPr>
          <w:szCs w:val="24"/>
          <w:lang w:val="fr-BE"/>
        </w:rPr>
        <w:t>d’euros</w:t>
      </w:r>
      <w:r w:rsidRPr="001526F5">
        <w:rPr>
          <w:szCs w:val="24"/>
          <w:lang w:val="fr-BE"/>
        </w:rPr>
        <w:t xml:space="preserve">. En l'absence de préférences tarifaires, de telles exportations seraient redevables de 6,6 millions </w:t>
      </w:r>
      <w:r w:rsidR="008A4642">
        <w:rPr>
          <w:szCs w:val="24"/>
          <w:lang w:val="fr-BE"/>
        </w:rPr>
        <w:t>d’euros</w:t>
      </w:r>
      <w:r w:rsidRPr="001526F5">
        <w:rPr>
          <w:szCs w:val="24"/>
          <w:lang w:val="fr-BE"/>
        </w:rPr>
        <w:t xml:space="preserve"> de droits de douane.</w:t>
      </w:r>
    </w:p>
    <w:p w:rsidR="00C80AC3" w:rsidRDefault="00875478" w:rsidP="00875478">
      <w:pPr>
        <w:pBdr>
          <w:top w:val="nil"/>
          <w:left w:val="nil"/>
          <w:bottom w:val="nil"/>
          <w:right w:val="nil"/>
          <w:between w:val="nil"/>
          <w:bar w:val="nil"/>
        </w:pBdr>
        <w:spacing w:before="0" w:after="240"/>
        <w:rPr>
          <w:szCs w:val="24"/>
          <w:lang w:val="fr-BE"/>
        </w:rPr>
      </w:pPr>
      <w:r w:rsidRPr="00875478">
        <w:rPr>
          <w:szCs w:val="24"/>
          <w:lang w:val="fr-BE"/>
        </w:rPr>
        <w:t xml:space="preserve">Ces bénéfices économiques pourraient s'étendre si à l'avenir le Sahara occidental développait davantage sa production et ses exportations vers l'Union européenne dans le cadre des projets actuellement en considération. Cela aurait aussi un impact sur le nombre d'emplois, pouvant se multiplier par cinq, d'après certaines projections. </w:t>
      </w:r>
      <w:r w:rsidR="00C80AC3">
        <w:rPr>
          <w:szCs w:val="24"/>
          <w:lang w:val="fr-BE"/>
        </w:rPr>
        <w:t xml:space="preserve">Quant aux allégations </w:t>
      </w:r>
      <w:r w:rsidR="00614C80">
        <w:rPr>
          <w:szCs w:val="24"/>
          <w:lang w:val="fr-BE"/>
        </w:rPr>
        <w:t>selon lesquelles</w:t>
      </w:r>
      <w:r w:rsidR="00C80AC3" w:rsidRPr="00D23BA8">
        <w:rPr>
          <w:szCs w:val="24"/>
          <w:lang w:val="fr-BE"/>
        </w:rPr>
        <w:t xml:space="preserve"> </w:t>
      </w:r>
      <w:r w:rsidR="00C80AC3">
        <w:rPr>
          <w:szCs w:val="24"/>
          <w:lang w:val="fr-BE"/>
        </w:rPr>
        <w:t>le développement d</w:t>
      </w:r>
      <w:r w:rsidR="00C80AC3" w:rsidRPr="00D23BA8">
        <w:rPr>
          <w:szCs w:val="24"/>
          <w:lang w:val="fr-BE"/>
        </w:rPr>
        <w:t xml:space="preserve">es activités </w:t>
      </w:r>
      <w:r w:rsidR="00C80AC3">
        <w:rPr>
          <w:szCs w:val="24"/>
          <w:lang w:val="fr-BE"/>
        </w:rPr>
        <w:t xml:space="preserve">agricoles encouragé par l'accord </w:t>
      </w:r>
      <w:r w:rsidR="00C80AC3" w:rsidRPr="00D23BA8">
        <w:rPr>
          <w:szCs w:val="24"/>
          <w:lang w:val="fr-BE"/>
        </w:rPr>
        <w:t>a</w:t>
      </w:r>
      <w:r w:rsidR="00614C80">
        <w:rPr>
          <w:szCs w:val="24"/>
          <w:lang w:val="fr-BE"/>
        </w:rPr>
        <w:t>ura</w:t>
      </w:r>
      <w:r w:rsidR="00C80AC3" w:rsidRPr="00D23BA8">
        <w:rPr>
          <w:szCs w:val="24"/>
          <w:lang w:val="fr-BE"/>
        </w:rPr>
        <w:t xml:space="preserve">it un impact sur l'utilisation de ressources naturelles, dont l'eau en particulier, </w:t>
      </w:r>
      <w:r w:rsidR="00C80AC3">
        <w:rPr>
          <w:szCs w:val="24"/>
          <w:lang w:val="fr-BE"/>
        </w:rPr>
        <w:t xml:space="preserve">des estimations marocaines sur l'utilisation de la nappe, bien que mises en doute par certains, font état d’un impact modeste sur les réserves aquifères non-renouvelables. De même des mesures sont prises pour diminuer l'utilisation </w:t>
      </w:r>
      <w:r w:rsidR="008A4642">
        <w:rPr>
          <w:szCs w:val="24"/>
          <w:lang w:val="fr-BE"/>
        </w:rPr>
        <w:t>d</w:t>
      </w:r>
      <w:r w:rsidR="00C80AC3">
        <w:rPr>
          <w:szCs w:val="24"/>
          <w:lang w:val="fr-BE"/>
        </w:rPr>
        <w:t xml:space="preserve">'eau provenant de la nappe (irrigation localisée, dessalement d'eau de mer). </w:t>
      </w:r>
      <w:r w:rsidR="00361D6C" w:rsidRPr="00502405">
        <w:rPr>
          <w:szCs w:val="24"/>
          <w:lang w:val="fr-BE"/>
        </w:rPr>
        <w:t xml:space="preserve">Globalement, </w:t>
      </w:r>
      <w:r w:rsidR="00361D6C" w:rsidRPr="00462CA2">
        <w:rPr>
          <w:szCs w:val="24"/>
          <w:lang w:val="fr-BE"/>
        </w:rPr>
        <w:t xml:space="preserve">il semble </w:t>
      </w:r>
      <w:r w:rsidR="00361D6C">
        <w:rPr>
          <w:szCs w:val="24"/>
          <w:lang w:val="fr-BE"/>
        </w:rPr>
        <w:t xml:space="preserve">d’une part </w:t>
      </w:r>
      <w:r w:rsidR="00361D6C" w:rsidRPr="00462CA2">
        <w:rPr>
          <w:szCs w:val="24"/>
          <w:lang w:val="fr-BE"/>
        </w:rPr>
        <w:t xml:space="preserve">qu'il y ait peu d'alternatives </w:t>
      </w:r>
      <w:r w:rsidR="00361D6C">
        <w:rPr>
          <w:szCs w:val="24"/>
          <w:lang w:val="fr-BE"/>
        </w:rPr>
        <w:t xml:space="preserve">crédibles </w:t>
      </w:r>
      <w:r w:rsidR="00361D6C" w:rsidRPr="00462CA2">
        <w:rPr>
          <w:szCs w:val="24"/>
          <w:lang w:val="fr-BE"/>
        </w:rPr>
        <w:t>aujourd'hui pour permettre le développement économique du territoire concerné</w:t>
      </w:r>
      <w:r w:rsidR="00361D6C">
        <w:rPr>
          <w:szCs w:val="24"/>
          <w:lang w:val="fr-BE"/>
        </w:rPr>
        <w:t xml:space="preserve"> et d’autre part l</w:t>
      </w:r>
      <w:r w:rsidR="00361D6C" w:rsidRPr="00502405">
        <w:rPr>
          <w:szCs w:val="24"/>
          <w:lang w:val="fr-BE"/>
        </w:rPr>
        <w:t xml:space="preserve">es </w:t>
      </w:r>
      <w:r w:rsidR="00361D6C">
        <w:rPr>
          <w:szCs w:val="24"/>
          <w:lang w:val="fr-BE"/>
        </w:rPr>
        <w:t>inconvénients</w:t>
      </w:r>
      <w:r w:rsidR="00361D6C" w:rsidRPr="00502405">
        <w:rPr>
          <w:szCs w:val="24"/>
          <w:lang w:val="fr-BE"/>
        </w:rPr>
        <w:t xml:space="preserve"> dé</w:t>
      </w:r>
      <w:r w:rsidR="00361D6C">
        <w:rPr>
          <w:szCs w:val="24"/>
          <w:lang w:val="fr-BE"/>
        </w:rPr>
        <w:t>c</w:t>
      </w:r>
      <w:r w:rsidR="00361D6C" w:rsidRPr="00502405">
        <w:rPr>
          <w:szCs w:val="24"/>
          <w:lang w:val="fr-BE"/>
        </w:rPr>
        <w:t xml:space="preserve">oulant de l'utilisation des ressources </w:t>
      </w:r>
      <w:r w:rsidR="00361D6C">
        <w:rPr>
          <w:szCs w:val="24"/>
          <w:lang w:val="fr-BE"/>
        </w:rPr>
        <w:t>hydriques</w:t>
      </w:r>
      <w:r w:rsidR="00361D6C" w:rsidRPr="00502405">
        <w:rPr>
          <w:szCs w:val="24"/>
          <w:lang w:val="fr-BE"/>
        </w:rPr>
        <w:t xml:space="preserve"> sont compensés par l'impact économique positi</w:t>
      </w:r>
      <w:r w:rsidR="00361D6C">
        <w:rPr>
          <w:szCs w:val="24"/>
          <w:lang w:val="fr-BE"/>
        </w:rPr>
        <w:t>f</w:t>
      </w:r>
      <w:r w:rsidR="00361D6C" w:rsidRPr="00502405">
        <w:rPr>
          <w:szCs w:val="24"/>
          <w:lang w:val="fr-BE"/>
        </w:rPr>
        <w:t xml:space="preserve"> pour le Sahara </w:t>
      </w:r>
      <w:r w:rsidR="00361D6C">
        <w:rPr>
          <w:szCs w:val="24"/>
          <w:lang w:val="fr-BE"/>
        </w:rPr>
        <w:t>occidental</w:t>
      </w:r>
      <w:r w:rsidR="00C80AC3">
        <w:rPr>
          <w:szCs w:val="24"/>
          <w:lang w:val="fr-BE"/>
        </w:rPr>
        <w:t>.</w:t>
      </w:r>
    </w:p>
    <w:p w:rsidR="00875478" w:rsidRPr="00875478" w:rsidRDefault="00875478" w:rsidP="00A610B2">
      <w:pPr>
        <w:pBdr>
          <w:top w:val="nil"/>
          <w:left w:val="nil"/>
          <w:bottom w:val="nil"/>
          <w:right w:val="nil"/>
          <w:between w:val="nil"/>
          <w:bar w:val="nil"/>
        </w:pBdr>
        <w:spacing w:before="0" w:after="240"/>
        <w:rPr>
          <w:szCs w:val="24"/>
          <w:lang w:val="fr-BE"/>
        </w:rPr>
      </w:pPr>
      <w:r w:rsidRPr="00875478">
        <w:rPr>
          <w:szCs w:val="24"/>
          <w:lang w:val="fr-BE"/>
        </w:rPr>
        <w:t>E</w:t>
      </w:r>
      <w:r w:rsidRPr="00D33FDE">
        <w:rPr>
          <w:szCs w:val="24"/>
          <w:lang w:val="fr-BE"/>
        </w:rPr>
        <w:t>n ce qui concerne le secteur de</w:t>
      </w:r>
      <w:r w:rsidRPr="002301A0">
        <w:rPr>
          <w:szCs w:val="24"/>
          <w:lang w:val="fr-BE"/>
        </w:rPr>
        <w:t xml:space="preserve">s produits de la </w:t>
      </w:r>
      <w:r w:rsidRPr="00875478">
        <w:rPr>
          <w:szCs w:val="24"/>
          <w:lang w:val="fr-BE"/>
        </w:rPr>
        <w:t xml:space="preserve">pêche, il existe au Sahara occidental une importante industrie de transformation des produits de la pêche, comprenant 141 établissements autorisés à exporter vers l’Union Européenne. Les exportations de produits de la pêche du territoire en 2015 et 2016 se sont élevées à entre 100 millions et 200 millions d’euros. Le nombre d’emplois dépendant de ces exportations vers l'Union européenne, directement ou indirectement, était d’environ 45.000. L’extension des préférences tarifaires à ces importations aurait donc un impact important sur l’économie du </w:t>
      </w:r>
      <w:r w:rsidRPr="00D33FDE">
        <w:rPr>
          <w:szCs w:val="24"/>
          <w:lang w:val="fr-BE"/>
        </w:rPr>
        <w:t>territoire</w:t>
      </w:r>
      <w:r w:rsidRPr="002301A0">
        <w:rPr>
          <w:szCs w:val="24"/>
          <w:lang w:val="fr-BE"/>
        </w:rPr>
        <w:t xml:space="preserve"> et donc sur </w:t>
      </w:r>
      <w:r w:rsidRPr="00875478">
        <w:rPr>
          <w:szCs w:val="24"/>
          <w:lang w:val="fr-BE"/>
        </w:rPr>
        <w:t>l’emploi. Elle serait aussi cohérente avec la contribution de l’Union européenne pour soutenir et développer au Sahara occidental par son appui financier la compétitivité du secteur, l’emploi et la qualité de vie des pêcheurs ainsi qu’une exploitation durable des ressources naturelles. A l’inverse, refuser l’octroi de ces préférences compromettrait les exportations mais aussi l’emploi, et faciliterait le transfert de ces activités de transformation vers d'autres emplacements et probablement vers le Maroc. Elle serait aussi contraire aux objectifs de l’U</w:t>
      </w:r>
      <w:r>
        <w:rPr>
          <w:szCs w:val="24"/>
          <w:lang w:val="fr-BE"/>
        </w:rPr>
        <w:t>nion européenne</w:t>
      </w:r>
      <w:r w:rsidRPr="00875478">
        <w:rPr>
          <w:szCs w:val="24"/>
          <w:lang w:val="fr-BE"/>
        </w:rPr>
        <w:t xml:space="preserve"> de soutenir le développement de ce secteur au Sahara occidental. </w:t>
      </w:r>
    </w:p>
    <w:p w:rsidR="00C80AC3" w:rsidRDefault="00875478" w:rsidP="008713E2">
      <w:pPr>
        <w:pBdr>
          <w:top w:val="nil"/>
          <w:left w:val="nil"/>
          <w:bottom w:val="nil"/>
          <w:right w:val="nil"/>
          <w:between w:val="nil"/>
          <w:bar w:val="nil"/>
        </w:pBdr>
        <w:spacing w:before="0" w:after="240"/>
        <w:rPr>
          <w:szCs w:val="24"/>
          <w:lang w:val="fr-BE"/>
        </w:rPr>
      </w:pPr>
      <w:r w:rsidRPr="003678F4">
        <w:rPr>
          <w:szCs w:val="24"/>
          <w:lang w:val="fr-BE"/>
        </w:rPr>
        <w:t>Les importateurs européens de produits de la pêche du Sahara occidental ont indiqué</w:t>
      </w:r>
      <w:r w:rsidR="00761C21">
        <w:rPr>
          <w:szCs w:val="24"/>
          <w:lang w:val="fr-BE"/>
        </w:rPr>
        <w:t xml:space="preserve"> </w:t>
      </w:r>
      <w:r w:rsidR="00761C21" w:rsidRPr="00761C21">
        <w:rPr>
          <w:szCs w:val="24"/>
          <w:lang w:val="fr-BE"/>
        </w:rPr>
        <w:t>que, vu le niveau élevé du tarif extérieur commun (hors préférence – taux non-préférentiels), l’achat de ces produits serait beaucoup moins avantageux si aucun traitement préférentiel n’était accordé</w:t>
      </w:r>
      <w:r w:rsidR="00A844EC" w:rsidRPr="00761C21">
        <w:rPr>
          <w:szCs w:val="24"/>
          <w:lang w:val="fr-BE"/>
        </w:rPr>
        <w:t>.</w:t>
      </w:r>
    </w:p>
    <w:p w:rsidR="00875478" w:rsidRPr="00875478" w:rsidRDefault="00875478" w:rsidP="00875478">
      <w:pPr>
        <w:pBdr>
          <w:top w:val="nil"/>
          <w:left w:val="nil"/>
          <w:bottom w:val="nil"/>
          <w:right w:val="nil"/>
          <w:between w:val="nil"/>
          <w:bar w:val="nil"/>
        </w:pBdr>
        <w:spacing w:before="0" w:after="240"/>
        <w:rPr>
          <w:szCs w:val="24"/>
          <w:lang w:val="fr-BE"/>
        </w:rPr>
      </w:pPr>
      <w:r>
        <w:rPr>
          <w:szCs w:val="24"/>
          <w:lang w:val="fr-BE"/>
        </w:rPr>
        <w:t>En ce qui concerne enfin l’industrie du phosphate, a</w:t>
      </w:r>
      <w:r w:rsidRPr="00875478">
        <w:rPr>
          <w:szCs w:val="24"/>
          <w:lang w:val="fr-BE"/>
        </w:rPr>
        <w:t xml:space="preserve">u vu de son état actuel, </w:t>
      </w:r>
      <w:r>
        <w:rPr>
          <w:szCs w:val="24"/>
          <w:lang w:val="fr-BE"/>
        </w:rPr>
        <w:t>celle-ci</w:t>
      </w:r>
      <w:r w:rsidRPr="00875478">
        <w:rPr>
          <w:szCs w:val="24"/>
          <w:lang w:val="fr-BE"/>
        </w:rPr>
        <w:t xml:space="preserve"> n’est pas immédiatement et directement impactée par l’exclusion du Sahara occidental de l’accord d’association. On peut identifier trois raisons principales à cela: 1. certains produits (phosphates bruts) sont assujettis à droit zéro (clause de la nation la plus favorisée</w:t>
      </w:r>
      <w:r w:rsidR="008A4642">
        <w:rPr>
          <w:szCs w:val="24"/>
          <w:lang w:val="fr-BE"/>
        </w:rPr>
        <w:t>)</w:t>
      </w:r>
      <w:r w:rsidRPr="00875478">
        <w:rPr>
          <w:szCs w:val="24"/>
          <w:lang w:val="fr-BE"/>
        </w:rPr>
        <w:t xml:space="preserve">, 2 - il n'y a pas de production de phosphates pour lesquels un marché existe au sein de l'Union, 3 - la transformation au Maroc (ou au sein de tout autre pays avec lequel l’Union européenne a conclu un accord préférentiel) de certains phosphates produits au Sahara occidental serait suffisante pour conférer à ces produits une origine préférentielle Maroc, donc </w:t>
      </w:r>
      <w:r w:rsidR="008A4642">
        <w:rPr>
          <w:szCs w:val="24"/>
          <w:lang w:val="fr-BE"/>
        </w:rPr>
        <w:t xml:space="preserve">le bénéfice </w:t>
      </w:r>
      <w:r w:rsidRPr="00875478">
        <w:rPr>
          <w:szCs w:val="24"/>
          <w:lang w:val="fr-BE"/>
        </w:rPr>
        <w:t>des préférences pour ces produits transformés ne dépend pas de l'origine des minerais.</w:t>
      </w:r>
    </w:p>
    <w:p w:rsidR="00875478" w:rsidRDefault="00875478" w:rsidP="00875478">
      <w:pPr>
        <w:pBdr>
          <w:top w:val="nil"/>
          <w:left w:val="nil"/>
          <w:bottom w:val="nil"/>
          <w:right w:val="nil"/>
          <w:between w:val="nil"/>
          <w:bar w:val="nil"/>
        </w:pBdr>
        <w:spacing w:before="0" w:after="240"/>
        <w:rPr>
          <w:szCs w:val="24"/>
          <w:lang w:val="fr-BE"/>
        </w:rPr>
      </w:pPr>
      <w:r w:rsidRPr="00875478">
        <w:rPr>
          <w:szCs w:val="24"/>
          <w:lang w:val="fr-BE"/>
        </w:rPr>
        <w:t xml:space="preserve">Dans le même temps, il apparaît que l'octroi de préférences aux produits originaires du Sahara occidental aurait un impact sur le développement futur de la production de certains phosphates. En effet, d'importants investissements annoncés (plus de 2 milliards </w:t>
      </w:r>
      <w:r>
        <w:rPr>
          <w:szCs w:val="24"/>
          <w:lang w:val="fr-BE"/>
        </w:rPr>
        <w:t>de dollars</w:t>
      </w:r>
      <w:r w:rsidRPr="00875478">
        <w:rPr>
          <w:szCs w:val="24"/>
          <w:lang w:val="fr-BE"/>
        </w:rPr>
        <w:t>) dans la production de produits dérivés du phosphate au Sahara occidental (notamment l'acide phosphorique et les engrais) seraient compromis si les exportations vers l’Union de ces produits phosphatés ne pouvaient pas bénéficier d’un traitement préférentiel. En l'absence de préférences, les investissements dans d'autres endroits où la production bénéficierait de préférences (par exemple au Maroc) seraient plus attrayants qu'au Sahara occidental. L'interruption des investissements au Sahara occidental aurait un impact sur la capacité de production, la diversité des produits et donc sur les emplois dans la filière des phosphates dans la région.</w:t>
      </w:r>
    </w:p>
    <w:p w:rsidR="00C80AC3" w:rsidRPr="00A830E8" w:rsidRDefault="00875478" w:rsidP="00C80AC3">
      <w:pPr>
        <w:pBdr>
          <w:top w:val="nil"/>
          <w:left w:val="nil"/>
          <w:bottom w:val="nil"/>
          <w:right w:val="nil"/>
          <w:between w:val="nil"/>
          <w:bar w:val="nil"/>
        </w:pBdr>
        <w:spacing w:before="0" w:after="240"/>
        <w:rPr>
          <w:rFonts w:eastAsia="Arial Unicode MS"/>
          <w:lang w:val="fr-BE"/>
        </w:rPr>
      </w:pPr>
      <w:r w:rsidRPr="00875478">
        <w:rPr>
          <w:rFonts w:eastAsia="Arial Unicode MS"/>
          <w:lang w:val="fr-BE"/>
        </w:rPr>
        <w:t xml:space="preserve">De manière </w:t>
      </w:r>
      <w:r>
        <w:rPr>
          <w:rFonts w:eastAsia="Arial Unicode MS"/>
          <w:lang w:val="fr-BE"/>
        </w:rPr>
        <w:t>gé</w:t>
      </w:r>
      <w:r w:rsidRPr="00875478">
        <w:rPr>
          <w:rFonts w:eastAsia="Arial Unicode MS"/>
          <w:lang w:val="fr-BE"/>
        </w:rPr>
        <w:t xml:space="preserve">nérale, l'octroi de préférences tarifaires devrait </w:t>
      </w:r>
      <w:r>
        <w:rPr>
          <w:rFonts w:eastAsia="Arial Unicode MS"/>
          <w:lang w:val="fr-BE"/>
        </w:rPr>
        <w:t xml:space="preserve">donc </w:t>
      </w:r>
      <w:r w:rsidRPr="00875478">
        <w:rPr>
          <w:rFonts w:eastAsia="Arial Unicode MS"/>
          <w:lang w:val="fr-BE"/>
        </w:rPr>
        <w:t xml:space="preserve">avoir un impact important sur le développement </w:t>
      </w:r>
      <w:r w:rsidR="00D33FDE">
        <w:rPr>
          <w:rFonts w:eastAsia="Arial Unicode MS"/>
          <w:lang w:val="fr-BE"/>
        </w:rPr>
        <w:t>économique du territoire</w:t>
      </w:r>
      <w:r w:rsidRPr="00875478">
        <w:rPr>
          <w:rFonts w:eastAsia="Arial Unicode MS"/>
          <w:lang w:val="fr-BE"/>
        </w:rPr>
        <w:t>.</w:t>
      </w:r>
      <w:r w:rsidR="00D33FDE">
        <w:rPr>
          <w:rFonts w:eastAsia="Arial Unicode MS"/>
          <w:lang w:val="fr-BE"/>
        </w:rPr>
        <w:t xml:space="preserve"> </w:t>
      </w:r>
      <w:r w:rsidR="00C80AC3" w:rsidRPr="00A830E8">
        <w:rPr>
          <w:rFonts w:eastAsia="Arial Unicode MS"/>
          <w:lang w:val="fr-BE"/>
        </w:rPr>
        <w:t>Afin toutefois d’assurer un suivi de ces effets, l’accord prévoit explicitement un cadre et une procédure appropriés permettant aux parties, sur la base d'échanges d'informations réguliers, d'évaluer les répercussions de celui-ci durant sa mise en œuvre.</w:t>
      </w:r>
    </w:p>
    <w:p w:rsidR="00C80AC3" w:rsidRPr="00C85067" w:rsidRDefault="00C80AC3" w:rsidP="00C80AC3">
      <w:pPr>
        <w:pBdr>
          <w:top w:val="nil"/>
          <w:left w:val="nil"/>
          <w:bottom w:val="nil"/>
          <w:right w:val="nil"/>
          <w:between w:val="nil"/>
          <w:bar w:val="nil"/>
        </w:pBdr>
        <w:spacing w:before="0" w:after="240"/>
        <w:rPr>
          <w:rFonts w:eastAsia="Arial Unicode MS"/>
          <w:lang w:val="fr-BE"/>
        </w:rPr>
      </w:pPr>
      <w:r w:rsidRPr="00C85067">
        <w:rPr>
          <w:rFonts w:eastAsia="Arial Unicode MS"/>
          <w:lang w:val="fr-BE"/>
        </w:rPr>
        <w:t xml:space="preserve">Malgré la difficulté </w:t>
      </w:r>
      <w:r>
        <w:rPr>
          <w:rFonts w:eastAsia="Arial Unicode MS"/>
          <w:lang w:val="fr-BE"/>
        </w:rPr>
        <w:t>pour</w:t>
      </w:r>
      <w:r w:rsidRPr="00C85067">
        <w:rPr>
          <w:rFonts w:eastAsia="Arial Unicode MS"/>
          <w:lang w:val="fr-BE"/>
        </w:rPr>
        <w:t xml:space="preserve"> obtenir des données toujours précises, cette étude permet de conclure à l'existence au Sahara occidental d'activités économiques et de productions qui auraient le plus grand intérêt à bénéficier des mêmes préférences tarifaires que celles accordées au Royaume du Maroc. De fait, certaines de ces productions ont bénéficié jusqu'au 21 décembre 2016 de telles préférences, ce qui a permis le développement de l'activité économique et la création d'emplois au Sahara occidental: c'est le cas notamment dans les secteurs des produits de la pêche et de certains produits agricoles. Une extension des préférences tarifaires de l'Union à ces produits permettrait d'assurer la perpétuation de ces exportations.</w:t>
      </w:r>
    </w:p>
    <w:p w:rsidR="00C80AC3" w:rsidRPr="00A830E8" w:rsidRDefault="00C80AC3" w:rsidP="00C80AC3">
      <w:pPr>
        <w:pBdr>
          <w:top w:val="nil"/>
          <w:left w:val="nil"/>
          <w:bottom w:val="nil"/>
          <w:right w:val="nil"/>
          <w:between w:val="nil"/>
          <w:bar w:val="nil"/>
        </w:pBdr>
        <w:spacing w:before="0" w:after="240"/>
        <w:rPr>
          <w:rFonts w:eastAsia="Arial Unicode MS"/>
          <w:lang w:val="fr-BE"/>
        </w:rPr>
      </w:pPr>
      <w:r w:rsidRPr="00A830E8">
        <w:rPr>
          <w:rFonts w:eastAsia="Arial Unicode MS"/>
          <w:lang w:val="fr-BE"/>
        </w:rPr>
        <w:t>La diversification nécessaire du potentiel économique du Sahara occidental suppose l'encouragement des investissements extérieurs, lequel a notamment pour préalable une meilleure sécurité juridique et donc une clarification des conditions tarifaires applicables aux exportations actuelles ou futures du Sahara occidental vers l'Union. Etendre le bénéfice des préférences tarifaires aux produits du Sahara occidental est de nature à sécuriser les conditions d'investissement et, compte tenu du potentiel économique inexploité du territoire et du faible niveau actuel des investissements étrangers directs, d'en favoriser un essor rapide et significatif propice à l'emploi local.</w:t>
      </w:r>
    </w:p>
    <w:p w:rsidR="00C80AC3" w:rsidRPr="00A830E8" w:rsidRDefault="00C80AC3" w:rsidP="00C80AC3">
      <w:pPr>
        <w:pBdr>
          <w:top w:val="nil"/>
          <w:left w:val="nil"/>
          <w:bottom w:val="nil"/>
          <w:right w:val="nil"/>
          <w:between w:val="nil"/>
          <w:bar w:val="nil"/>
        </w:pBdr>
        <w:spacing w:before="0" w:after="240"/>
        <w:rPr>
          <w:rFonts w:eastAsia="Arial Unicode MS"/>
          <w:lang w:val="fr-BE"/>
        </w:rPr>
      </w:pPr>
      <w:r w:rsidRPr="00A830E8">
        <w:rPr>
          <w:rFonts w:eastAsia="Arial Unicode MS"/>
          <w:lang w:val="fr-BE"/>
        </w:rPr>
        <w:t>A contrario, le non-octroi de préférences tarifaires compromettrait de manière significative les exportations du Sahara occidental, notamment celles relatives aux produits de la pêche et aux produits agricoles, et il est donc probable que le nombre - déjà limité - de ses productions viendrait à diminuer encore davantage, ce qui équivaudrait à créer un handicap supplémentaire au développement du territoire. En effet, en l'absence d'extension des préférences aux produits du Sahara occidental, ces produits seraient soumis aux droits de douane applicables dans l’Union sous le régime de la nation la plus favorisée et n’auraient donc pas un accès privilégié au marché de l’Union. Ceci n’affecterait que de manière très limitée les exportations de produits industriels (phosphates), mais aurait un impact très négatif sur les exportations de produits de la pêche et de produits agricoles à destination de l’Union.</w:t>
      </w:r>
    </w:p>
    <w:p w:rsidR="00C80AC3" w:rsidRDefault="00C80AC3" w:rsidP="00C80AC3">
      <w:pPr>
        <w:pBdr>
          <w:top w:val="nil"/>
          <w:left w:val="nil"/>
          <w:bottom w:val="nil"/>
          <w:right w:val="nil"/>
          <w:between w:val="nil"/>
          <w:bar w:val="nil"/>
        </w:pBdr>
        <w:spacing w:before="0" w:after="240"/>
        <w:rPr>
          <w:rFonts w:eastAsia="Arial Unicode MS"/>
          <w:lang w:val="fr-BE"/>
        </w:rPr>
      </w:pPr>
      <w:r w:rsidRPr="00C85067">
        <w:rPr>
          <w:rFonts w:eastAsia="Arial Unicode MS"/>
          <w:lang w:val="fr-BE"/>
        </w:rPr>
        <w:t xml:space="preserve">De manière plus générale, l'octroi de préférences tarifaires devrait avoir un impact important sur le développement de l'économie </w:t>
      </w:r>
      <w:r>
        <w:rPr>
          <w:rFonts w:eastAsia="Arial Unicode MS"/>
          <w:lang w:val="fr-BE"/>
        </w:rPr>
        <w:t>du Sahara occidental</w:t>
      </w:r>
      <w:r w:rsidRPr="00C85067">
        <w:rPr>
          <w:rFonts w:eastAsia="Arial Unicode MS"/>
          <w:lang w:val="fr-BE"/>
        </w:rPr>
        <w:t>, en stimulant les investissements effectués dans ces secteurs. Ceci est par exemple le cas pour certains phosphates (notamment pour l'acide phosphorique et les engrais), des investissements étant déjà envisagés, pour l'agriculture où il y a également des projets de développement, de même que pour la pêche. A contrario, si de telles préférences n'étaient pas octroyées, les investissements, le développement et la diversification des activités économiques ainsi que l'emploi pourraient se voir entravés.</w:t>
      </w:r>
    </w:p>
    <w:p w:rsidR="00C80AC3" w:rsidRPr="00C85067" w:rsidRDefault="00C80AC3" w:rsidP="00C80AC3">
      <w:pPr>
        <w:pBdr>
          <w:top w:val="nil"/>
          <w:left w:val="nil"/>
          <w:bottom w:val="nil"/>
          <w:right w:val="nil"/>
          <w:between w:val="nil"/>
          <w:bar w:val="nil"/>
        </w:pBdr>
        <w:spacing w:before="0" w:after="240"/>
        <w:rPr>
          <w:rFonts w:eastAsia="Arial Unicode MS"/>
          <w:lang w:val="fr-BE"/>
        </w:rPr>
      </w:pPr>
      <w:r>
        <w:rPr>
          <w:rFonts w:eastAsia="Arial Unicode MS"/>
          <w:lang w:val="fr-BE"/>
        </w:rPr>
        <w:t xml:space="preserve">Il ressort du droit international et notamment </w:t>
      </w:r>
      <w:r w:rsidR="00614C80">
        <w:rPr>
          <w:rFonts w:eastAsia="Arial Unicode MS"/>
          <w:lang w:val="fr-BE"/>
        </w:rPr>
        <w:t xml:space="preserve">de </w:t>
      </w:r>
      <w:r>
        <w:rPr>
          <w:rFonts w:eastAsia="Arial Unicode MS"/>
          <w:lang w:val="fr-BE"/>
        </w:rPr>
        <w:t xml:space="preserve">l'article 36 de la Convention de Vienne que l'octroi des préférences n'est en soi qu'un droit additionnel pour le territoire de Sahara occidental, sans comporter d'obligations en contrepartie et </w:t>
      </w:r>
      <w:r w:rsidR="00614C80">
        <w:rPr>
          <w:rFonts w:eastAsia="Arial Unicode MS"/>
          <w:lang w:val="fr-BE"/>
        </w:rPr>
        <w:t>qu’</w:t>
      </w:r>
      <w:r>
        <w:rPr>
          <w:rFonts w:eastAsia="Arial Unicode MS"/>
          <w:lang w:val="fr-BE"/>
        </w:rPr>
        <w:t xml:space="preserve">il peut donc être  présumé qu'il bénéficie </w:t>
      </w:r>
      <w:r w:rsidR="00614C80">
        <w:rPr>
          <w:rFonts w:eastAsia="Arial Unicode MS"/>
          <w:lang w:val="fr-BE"/>
        </w:rPr>
        <w:t xml:space="preserve">à </w:t>
      </w:r>
      <w:r>
        <w:rPr>
          <w:rFonts w:eastAsia="Arial Unicode MS"/>
          <w:lang w:val="fr-BE"/>
        </w:rPr>
        <w:t>ce dernier.  En effet, les effets potentiellement négatifs all</w:t>
      </w:r>
      <w:r w:rsidR="00614C80">
        <w:rPr>
          <w:rFonts w:eastAsia="Arial Unicode MS"/>
          <w:lang w:val="fr-BE"/>
        </w:rPr>
        <w:t>égués</w:t>
      </w:r>
      <w:r>
        <w:rPr>
          <w:rFonts w:eastAsia="Arial Unicode MS"/>
          <w:lang w:val="fr-BE"/>
        </w:rPr>
        <w:t xml:space="preserve"> ne sont que des effets purement indirects dans le cas de l'utilisation des ressources </w:t>
      </w:r>
      <w:r w:rsidR="00614C80">
        <w:rPr>
          <w:rFonts w:eastAsia="Arial Unicode MS"/>
          <w:lang w:val="fr-BE"/>
        </w:rPr>
        <w:t xml:space="preserve">en </w:t>
      </w:r>
      <w:r>
        <w:rPr>
          <w:rFonts w:eastAsia="Arial Unicode MS"/>
          <w:lang w:val="fr-BE"/>
        </w:rPr>
        <w:t>eau ou sur l'emploi.  Dans le cas des droits de l'homme, aucun effet négatif ne pourra être attribué aux préférences tarifaires.</w:t>
      </w:r>
    </w:p>
    <w:p w:rsidR="005F79A7" w:rsidRPr="00C85067" w:rsidRDefault="005F79A7" w:rsidP="00A4693B">
      <w:pPr>
        <w:pStyle w:val="ManualHeading2"/>
        <w:rPr>
          <w:rFonts w:eastAsia="Arial Unicode MS"/>
          <w:u w:color="000000"/>
          <w:bdr w:val="nil"/>
          <w:lang w:val="fr-BE" w:eastAsia="en-GB"/>
        </w:rPr>
      </w:pPr>
      <w:r w:rsidRPr="00C85067">
        <w:rPr>
          <w:rFonts w:eastAsia="Arial Unicode MS"/>
          <w:u w:color="000000"/>
          <w:bdr w:val="nil"/>
          <w:lang w:val="fr-BE" w:eastAsia="en-GB"/>
        </w:rPr>
        <w:t>•</w:t>
      </w:r>
      <w:r w:rsidRPr="00C85067">
        <w:rPr>
          <w:rFonts w:eastAsia="Arial Unicode MS"/>
          <w:u w:color="000000"/>
          <w:bdr w:val="nil"/>
          <w:lang w:val="fr-BE" w:eastAsia="en-GB"/>
        </w:rPr>
        <w:tab/>
        <w:t>Réglementation affûtée et simplification</w:t>
      </w:r>
    </w:p>
    <w:p w:rsidR="00C80AC3" w:rsidRPr="003A11C6" w:rsidRDefault="00B744F8" w:rsidP="00C80AC3">
      <w:pPr>
        <w:pBdr>
          <w:top w:val="nil"/>
          <w:left w:val="nil"/>
          <w:bottom w:val="nil"/>
          <w:right w:val="nil"/>
          <w:between w:val="nil"/>
          <w:bar w:val="nil"/>
        </w:pBdr>
        <w:spacing w:before="0" w:after="240"/>
        <w:rPr>
          <w:rFonts w:eastAsia="Arial Unicode MS"/>
          <w:lang w:val="fr-BE"/>
        </w:rPr>
      </w:pPr>
      <w:r w:rsidRPr="00695DFF">
        <w:t>La proposition n’est pas liée à REFIT.</w:t>
      </w:r>
    </w:p>
    <w:p w:rsidR="005F79A7" w:rsidRPr="003A11C6" w:rsidRDefault="005F79A7" w:rsidP="00550536">
      <w:pPr>
        <w:pStyle w:val="ManualHeading1"/>
        <w:rPr>
          <w:lang w:val="fr-BE"/>
        </w:rPr>
      </w:pPr>
      <w:r w:rsidRPr="003A11C6">
        <w:rPr>
          <w:lang w:val="fr-BE"/>
        </w:rPr>
        <w:t>4.</w:t>
      </w:r>
      <w:r w:rsidRPr="003A11C6">
        <w:rPr>
          <w:lang w:val="fr-BE"/>
        </w:rPr>
        <w:tab/>
        <w:t>INCIDENCE BUDGÉTAIRE</w:t>
      </w:r>
    </w:p>
    <w:p w:rsidR="005F79A7" w:rsidRPr="003A11C6" w:rsidRDefault="00182E0B" w:rsidP="00550536">
      <w:pPr>
        <w:pBdr>
          <w:top w:val="nil"/>
          <w:left w:val="nil"/>
          <w:bottom w:val="nil"/>
          <w:right w:val="nil"/>
          <w:between w:val="nil"/>
          <w:bar w:val="nil"/>
        </w:pBdr>
        <w:spacing w:before="0" w:after="240"/>
        <w:rPr>
          <w:rFonts w:eastAsia="Arial Unicode MS"/>
          <w:lang w:val="fr-BE"/>
        </w:rPr>
      </w:pPr>
      <w:r w:rsidRPr="00695DFF">
        <w:t xml:space="preserve">Pour ce qui est des recettes douanières de l’Union, aucune incidence budgétaire </w:t>
      </w:r>
      <w:r w:rsidR="00AD760E" w:rsidRPr="00695DFF">
        <w:t xml:space="preserve">notable </w:t>
      </w:r>
      <w:r w:rsidRPr="00695DFF">
        <w:t>ne devrait être enregistrée</w:t>
      </w:r>
      <w:r w:rsidR="00AD760E" w:rsidRPr="00695DFF">
        <w:t>. Il est rappelé à cet égard</w:t>
      </w:r>
      <w:r w:rsidRPr="00695DFF">
        <w:t xml:space="preserve"> que les produits originaires du Sahara occidental ont jusqu’</w:t>
      </w:r>
      <w:r w:rsidR="00AD760E" w:rsidRPr="00695DFF">
        <w:t>au 21 décembre 2016</w:t>
      </w:r>
      <w:r w:rsidRPr="00695DFF">
        <w:t xml:space="preserve"> de facto bénéficié de l’exonération des droits de douane lors de leur entrée dans l’Union.</w:t>
      </w:r>
    </w:p>
    <w:p w:rsidR="005F79A7" w:rsidRPr="003A11C6" w:rsidRDefault="005F79A7" w:rsidP="00550536">
      <w:pPr>
        <w:pStyle w:val="ManualHeading1"/>
      </w:pPr>
      <w:r w:rsidRPr="003A11C6">
        <w:t>5.</w:t>
      </w:r>
      <w:r w:rsidRPr="003A11C6">
        <w:tab/>
        <w:t>AUTRES ÉLÉMENTS</w:t>
      </w:r>
    </w:p>
    <w:p w:rsidR="005F79A7" w:rsidRDefault="005F79A7" w:rsidP="00A4693B">
      <w:pPr>
        <w:pStyle w:val="ManualHeading2"/>
        <w:rPr>
          <w:rFonts w:eastAsia="Arial Unicode MS"/>
          <w:u w:color="000000"/>
          <w:bdr w:val="nil"/>
          <w:lang w:eastAsia="en-GB"/>
        </w:rPr>
      </w:pPr>
      <w:r w:rsidRPr="003A11C6">
        <w:rPr>
          <w:rFonts w:eastAsia="Arial Unicode MS"/>
          <w:u w:color="000000"/>
          <w:bdr w:val="nil"/>
          <w:lang w:eastAsia="en-GB"/>
        </w:rPr>
        <w:t>•</w:t>
      </w:r>
      <w:r w:rsidRPr="003A11C6">
        <w:rPr>
          <w:rFonts w:eastAsia="Arial Unicode MS"/>
          <w:u w:color="000000"/>
          <w:bdr w:val="nil"/>
          <w:lang w:eastAsia="en-GB"/>
        </w:rPr>
        <w:tab/>
        <w:t>Plans de mise en œuvre et modalités de suivi, d'évaluation et d'information</w:t>
      </w:r>
    </w:p>
    <w:p w:rsidR="00B7078D" w:rsidRPr="00E4052C" w:rsidRDefault="00B7078D" w:rsidP="00B7078D">
      <w:pPr>
        <w:pBdr>
          <w:top w:val="nil"/>
          <w:left w:val="nil"/>
          <w:bottom w:val="nil"/>
          <w:right w:val="nil"/>
          <w:between w:val="nil"/>
          <w:bar w:val="nil"/>
        </w:pBdr>
        <w:spacing w:before="0" w:after="240"/>
        <w:rPr>
          <w:rFonts w:eastAsia="Arial Unicode MS"/>
          <w:lang w:val="fr-BE"/>
        </w:rPr>
      </w:pPr>
      <w:r w:rsidRPr="00E4052C">
        <w:rPr>
          <w:sz w:val="22"/>
          <w:lang w:val="fr-BE"/>
        </w:rPr>
        <w:t>Afin d’assurer un suivi des effets de l’accord sur les populations concernées et l'exploitation des ressources naturelles des territoires concernés, l’accord prévoit explicitement un cadre et une procédure appropriés permettant aux parties, sur la base d'échanges d'informations réguliers, d'évaluer les répercussions de celui-ci durant sa mise en œuvre. L’Union européenne et le Maroc sont convenus d’échanger mutuellement des informations dans le cadre du comité d’association institué par l’accord d’association UE-Maroc au moins une fois par an. Les modalités spécifiques de cet exercice d'évaluation seront déterminées ultérieurement en vue de leur adoption par le comité d'association.</w:t>
      </w:r>
    </w:p>
    <w:p w:rsidR="00B7078D" w:rsidRPr="00E4052C" w:rsidRDefault="00B7078D" w:rsidP="00B7078D">
      <w:pPr>
        <w:pBdr>
          <w:top w:val="nil"/>
          <w:left w:val="nil"/>
          <w:bottom w:val="nil"/>
          <w:right w:val="nil"/>
          <w:between w:val="nil"/>
          <w:bar w:val="nil"/>
        </w:pBdr>
        <w:spacing w:before="0" w:after="240"/>
        <w:rPr>
          <w:rFonts w:eastAsia="Arial Unicode MS"/>
          <w:lang w:val="fr-BE"/>
        </w:rPr>
      </w:pPr>
      <w:r w:rsidRPr="00E4052C">
        <w:rPr>
          <w:sz w:val="22"/>
          <w:lang w:val="fr-BE"/>
        </w:rPr>
        <w:t>Par ailleurs, la société civile sera tenue informée par les services de la Commission et le Service Européen d’Action Extérieure de la mise en œuvre de l’accord.</w:t>
      </w:r>
    </w:p>
    <w:p w:rsidR="005F79A7" w:rsidRPr="003A11C6" w:rsidRDefault="005F79A7" w:rsidP="00776A00">
      <w:pPr>
        <w:rPr>
          <w:lang w:val="fr-BE"/>
        </w:rPr>
        <w:sectPr w:rsidR="005F79A7" w:rsidRPr="003A11C6" w:rsidSect="005D7BCD">
          <w:footerReference w:type="default" r:id="rId16"/>
          <w:footerReference w:type="first" r:id="rId17"/>
          <w:pgSz w:w="11907" w:h="16839"/>
          <w:pgMar w:top="1134" w:right="1417" w:bottom="1134" w:left="1417" w:header="709" w:footer="709" w:gutter="0"/>
          <w:pgNumType w:start="1"/>
          <w:cols w:space="708"/>
          <w:docGrid w:linePitch="360"/>
        </w:sectPr>
      </w:pPr>
    </w:p>
    <w:p w:rsidR="005D7BCD" w:rsidRDefault="005D7BCD" w:rsidP="005D7BCD">
      <w:pPr>
        <w:pStyle w:val="Rfrenceinterinstitutionnelle"/>
      </w:pPr>
      <w:r w:rsidRPr="005D7BCD">
        <w:t>2018/256 (NLE)</w:t>
      </w:r>
    </w:p>
    <w:p w:rsidR="005F79A7" w:rsidRPr="003A11C6" w:rsidRDefault="005D7BCD" w:rsidP="005D7BCD">
      <w:pPr>
        <w:pStyle w:val="Statut"/>
      </w:pPr>
      <w:r w:rsidRPr="005D7BCD">
        <w:t>Proposition de</w:t>
      </w:r>
    </w:p>
    <w:p w:rsidR="005F79A7" w:rsidRPr="003A11C6" w:rsidRDefault="005D7BCD" w:rsidP="005D7BCD">
      <w:pPr>
        <w:pStyle w:val="Typedudocument"/>
      </w:pPr>
      <w:r w:rsidRPr="005D7BCD">
        <w:t>DÉCISION DU CONSEIL</w:t>
      </w:r>
    </w:p>
    <w:p w:rsidR="005F79A7" w:rsidRPr="003A11C6" w:rsidRDefault="005D7BCD" w:rsidP="005D7BCD">
      <w:pPr>
        <w:pStyle w:val="Titreobjet"/>
      </w:pPr>
      <w:r w:rsidRPr="005D7BCD">
        <w:t>relative à la conclusion de l'accord sous forme d'échange de lettres entre l'Union européenne et le Royaume du Maroc sur la modification des Protocoles n° 1 et n° 4 à l'accord euro-méditerranéen établissant une association entre les Communautés européennes et leurs États membres, d'une part et le Royaume du Maroc, d'autre part</w:t>
      </w:r>
    </w:p>
    <w:p w:rsidR="005F79A7" w:rsidRPr="003A11C6" w:rsidRDefault="005F79A7" w:rsidP="00993E83">
      <w:pPr>
        <w:pStyle w:val="Institutionquiagit"/>
      </w:pPr>
      <w:r w:rsidRPr="003A11C6">
        <w:t>LE CONSEIL DE L’UNION EUROPÉENNE,</w:t>
      </w:r>
    </w:p>
    <w:p w:rsidR="00013338" w:rsidRPr="003A11C6" w:rsidRDefault="00013338" w:rsidP="00013338">
      <w:pPr>
        <w:suppressAutoHyphens/>
        <w:spacing w:before="0" w:after="240"/>
        <w:rPr>
          <w:rFonts w:eastAsia="Times New Roman"/>
          <w:snapToGrid w:val="0"/>
          <w:szCs w:val="24"/>
          <w:lang w:eastAsia="en-GB"/>
        </w:rPr>
      </w:pPr>
      <w:r w:rsidRPr="003A11C6">
        <w:rPr>
          <w:rFonts w:eastAsia="Times New Roman"/>
          <w:noProof/>
          <w:snapToGrid w:val="0"/>
          <w:szCs w:val="24"/>
          <w:lang w:eastAsia="en-GB"/>
        </w:rPr>
        <w:t>vu le traité sur le fonctionnement de l’Union européenne, et notamment son article 207</w:t>
      </w:r>
      <w:r>
        <w:rPr>
          <w:rFonts w:eastAsia="Times New Roman"/>
          <w:noProof/>
          <w:snapToGrid w:val="0"/>
          <w:szCs w:val="24"/>
          <w:lang w:eastAsia="en-GB"/>
        </w:rPr>
        <w:t>, paragraphe 4, premier alinéa</w:t>
      </w:r>
      <w:r w:rsidRPr="003A11C6">
        <w:rPr>
          <w:rFonts w:eastAsia="Times New Roman"/>
          <w:noProof/>
          <w:snapToGrid w:val="0"/>
          <w:szCs w:val="24"/>
          <w:lang w:eastAsia="en-GB"/>
        </w:rPr>
        <w:t>, en liaison avec son article 218, paragraphe 6, point a) i),</w:t>
      </w:r>
    </w:p>
    <w:p w:rsidR="00F139F9" w:rsidRPr="003A11C6" w:rsidRDefault="00F139F9" w:rsidP="00F139F9">
      <w:pPr>
        <w:suppressAutoHyphens/>
        <w:spacing w:before="0" w:after="240"/>
        <w:rPr>
          <w:rFonts w:eastAsia="Times New Roman"/>
          <w:snapToGrid w:val="0"/>
          <w:szCs w:val="24"/>
          <w:lang w:eastAsia="en-GB"/>
        </w:rPr>
      </w:pPr>
      <w:r w:rsidRPr="003A11C6">
        <w:rPr>
          <w:rFonts w:eastAsia="Times New Roman"/>
          <w:noProof/>
          <w:snapToGrid w:val="0"/>
          <w:szCs w:val="24"/>
          <w:lang w:eastAsia="en-GB"/>
        </w:rPr>
        <w:t>vu la proposition de la Commission européenne,</w:t>
      </w:r>
    </w:p>
    <w:p w:rsidR="00F139F9" w:rsidRPr="003A11C6" w:rsidRDefault="00F139F9" w:rsidP="00F139F9">
      <w:pPr>
        <w:suppressAutoHyphens/>
        <w:spacing w:before="0" w:after="240"/>
        <w:rPr>
          <w:rFonts w:eastAsia="Times New Roman"/>
          <w:snapToGrid w:val="0"/>
          <w:szCs w:val="24"/>
          <w:lang w:eastAsia="en-GB"/>
        </w:rPr>
      </w:pPr>
      <w:r w:rsidRPr="003A11C6">
        <w:rPr>
          <w:rFonts w:eastAsia="Times New Roman"/>
          <w:noProof/>
          <w:snapToGrid w:val="0"/>
          <w:szCs w:val="24"/>
          <w:lang w:eastAsia="en-GB"/>
        </w:rPr>
        <w:t>vu l'approbation du Parlement européen,</w:t>
      </w:r>
    </w:p>
    <w:p w:rsidR="005F79A7" w:rsidRPr="003A11C6" w:rsidRDefault="005F79A7" w:rsidP="00993E83">
      <w:r w:rsidRPr="003A11C6">
        <w:t>considérant ce qui suit:</w:t>
      </w:r>
    </w:p>
    <w:p w:rsidR="00013338" w:rsidRPr="00695DFF" w:rsidRDefault="00013338" w:rsidP="00013338">
      <w:pPr>
        <w:pStyle w:val="Considrant"/>
        <w:numPr>
          <w:ilvl w:val="0"/>
          <w:numId w:val="5"/>
        </w:numPr>
      </w:pPr>
      <w:r w:rsidRPr="00695DFF">
        <w:t>L'accord euro-méditerranéen établissant une association entre les Communautés européennes et leurs États membres, d'une part, et le Royaume du Maroc, d'autre part</w:t>
      </w:r>
      <w:r w:rsidRPr="003A11C6">
        <w:rPr>
          <w:rStyle w:val="FootnoteReference"/>
        </w:rPr>
        <w:footnoteReference w:id="6"/>
      </w:r>
      <w:r w:rsidRPr="00695DFF">
        <w:t xml:space="preserve"> (ci-après dénommé "</w:t>
      </w:r>
      <w:r>
        <w:t>l'</w:t>
      </w:r>
      <w:r w:rsidRPr="00695DFF">
        <w:t>accord d'association"), est entré en vigueur le 1er mars 2000.</w:t>
      </w:r>
    </w:p>
    <w:p w:rsidR="00013338" w:rsidRPr="00695DFF" w:rsidRDefault="00013338" w:rsidP="00013338">
      <w:pPr>
        <w:pStyle w:val="Considrant"/>
      </w:pPr>
      <w:r w:rsidRPr="00695DFF">
        <w:t xml:space="preserve">Depuis l'entrée en vigueur de l'accord d'association, l'Union a continué à renforcer </w:t>
      </w:r>
      <w:r>
        <w:t>s</w:t>
      </w:r>
      <w:r w:rsidRPr="00695DFF">
        <w:t xml:space="preserve">es relations bilatérales avec le Maroc et lui a accordé le </w:t>
      </w:r>
      <w:r>
        <w:t>s</w:t>
      </w:r>
      <w:r w:rsidRPr="00695DFF">
        <w:t xml:space="preserve">tatut </w:t>
      </w:r>
      <w:r>
        <w:t>a</w:t>
      </w:r>
      <w:r w:rsidRPr="00695DFF">
        <w:t>vancé.</w:t>
      </w:r>
    </w:p>
    <w:p w:rsidR="006569BD" w:rsidRDefault="006569BD" w:rsidP="006569BD">
      <w:pPr>
        <w:pStyle w:val="Considrant"/>
      </w:pPr>
      <w:r w:rsidRPr="00695DFF">
        <w:t xml:space="preserve">Parallèlement, </w:t>
      </w:r>
      <w:r w:rsidR="00C80AC3" w:rsidRPr="00C92521">
        <w:t xml:space="preserve">l’Union, qui n'a pas reconnu la souveraineté du Maroc sur le Sahara occidental, n’a cessé </w:t>
      </w:r>
      <w:r w:rsidRPr="00695DFF">
        <w:t xml:space="preserve">de réaffirmer son attachement au règlement du </w:t>
      </w:r>
      <w:r w:rsidR="009A73D0">
        <w:t>différend</w:t>
      </w:r>
      <w:r w:rsidRPr="00695DFF">
        <w:t xml:space="preserve"> </w:t>
      </w:r>
      <w:r w:rsidR="00013338">
        <w:t>au</w:t>
      </w:r>
      <w:r w:rsidR="00013338" w:rsidRPr="00695DFF">
        <w:t xml:space="preserve"> Sahara occidental, territoire non-autonome actuellement en grande partie administré par le Maroc. Elle soutient pleinement les efforts accomplis par le Secrétaire général des Nations unies et son </w:t>
      </w:r>
      <w:r w:rsidR="00013338">
        <w:t>E</w:t>
      </w:r>
      <w:r w:rsidR="00013338" w:rsidRPr="00695DFF">
        <w:t xml:space="preserve">nvoyé personnel en vue d’aider les parties à parvenir à une solution politique juste, durable et mutuellement acceptable qui </w:t>
      </w:r>
      <w:r w:rsidR="00013338">
        <w:t>permette</w:t>
      </w:r>
      <w:r w:rsidR="00013338" w:rsidRPr="00695DFF">
        <w:t xml:space="preserve"> l’autodétermination du peuple du Sahara occidental dans le cadre </w:t>
      </w:r>
      <w:r w:rsidR="00013338" w:rsidRPr="009C463D">
        <w:t>d’</w:t>
      </w:r>
      <w:r w:rsidR="00013338">
        <w:t>arrangements</w:t>
      </w:r>
      <w:r w:rsidR="00013338" w:rsidRPr="00695DFF">
        <w:t xml:space="preserve"> conformes aux </w:t>
      </w:r>
      <w:r w:rsidR="00013338">
        <w:t>buts et principes énoncés dans</w:t>
      </w:r>
      <w:r w:rsidR="00013338" w:rsidRPr="009C463D">
        <w:t xml:space="preserve"> </w:t>
      </w:r>
      <w:r w:rsidR="00013338" w:rsidRPr="00695DFF">
        <w:t xml:space="preserve">la Charte des Nations </w:t>
      </w:r>
      <w:r w:rsidR="00013338">
        <w:t>U</w:t>
      </w:r>
      <w:r w:rsidR="00013338" w:rsidRPr="00695DFF">
        <w:t>nies tels qu’ils sont énoncés dans les résolutions du Conseil de sécurité des Nations unies, et notamment sa résolution 2152 (2014) et sa résolution 2218 (2015).</w:t>
      </w:r>
    </w:p>
    <w:p w:rsidR="00013338" w:rsidRPr="00695DFF" w:rsidRDefault="00013338" w:rsidP="00013338">
      <w:pPr>
        <w:pStyle w:val="Considrant"/>
      </w:pPr>
      <w:r>
        <w:t>D</w:t>
      </w:r>
      <w:r w:rsidRPr="00450994">
        <w:t xml:space="preserve">epuis </w:t>
      </w:r>
      <w:r>
        <w:t>l'</w:t>
      </w:r>
      <w:r w:rsidRPr="00450994">
        <w:t>entrée en vigueur</w:t>
      </w:r>
      <w:r>
        <w:t xml:space="preserve"> de l'accord d'association</w:t>
      </w:r>
      <w:r w:rsidRPr="00450994">
        <w:t>, des produits provenant du Sahara occidental et certifiés d'origine marocaine ont été importés dans l'Union en bénéficiant des préférences tarifaires prévues par les dispositions pertinentes d</w:t>
      </w:r>
      <w:r>
        <w:t>udit</w:t>
      </w:r>
      <w:r w:rsidRPr="00450994">
        <w:t xml:space="preserve"> accord.</w:t>
      </w:r>
    </w:p>
    <w:p w:rsidR="001610BF" w:rsidRPr="00695DFF" w:rsidRDefault="001610BF" w:rsidP="006569BD">
      <w:pPr>
        <w:pStyle w:val="Considrant"/>
      </w:pPr>
      <w:r w:rsidRPr="00695DFF">
        <w:t>Dans son arrêt rendu dans l'affaire C-104/16 P</w:t>
      </w:r>
      <w:r w:rsidRPr="003A11C6">
        <w:rPr>
          <w:rStyle w:val="FootnoteReference"/>
        </w:rPr>
        <w:footnoteReference w:id="7"/>
      </w:r>
      <w:r w:rsidRPr="00695DFF">
        <w:t xml:space="preserve">, la Cour de justice de l’Union européenne a </w:t>
      </w:r>
      <w:r w:rsidR="00013338">
        <w:t xml:space="preserve">cependant </w:t>
      </w:r>
      <w:r w:rsidR="00013338" w:rsidRPr="00695DFF">
        <w:t xml:space="preserve">précisé que l'accord d'association ne couvrait que le territoire du Royaume du Maroc et pas le Sahara occidental, un territoire non-autonome. </w:t>
      </w:r>
    </w:p>
    <w:p w:rsidR="006569BD" w:rsidRPr="00695DFF" w:rsidRDefault="00013338" w:rsidP="006569BD">
      <w:pPr>
        <w:pStyle w:val="Considrant"/>
      </w:pPr>
      <w:r>
        <w:t>I</w:t>
      </w:r>
      <w:r w:rsidRPr="00695DFF">
        <w:t xml:space="preserve">l importe de veiller à ce que les flux commerciaux qui se sont développés au fil des ans ne soient pas perturbés, tout en </w:t>
      </w:r>
      <w:r>
        <w:t>établissant</w:t>
      </w:r>
      <w:r w:rsidRPr="00695DFF">
        <w:t xml:space="preserve"> des garanties appropriées pour la protection des droits de l'homme et le développement durable des territoires concernés. </w:t>
      </w:r>
      <w:r w:rsidRPr="00C92521">
        <w:t xml:space="preserve">Le Conseil a dès lors autorisé la Commission le 29 mai 2017 à ouvrir des négociations avec le Royaume du Maroc en vue d'établir une base légale pour l'octroi des préférences </w:t>
      </w:r>
      <w:r>
        <w:t xml:space="preserve">tarifaires </w:t>
      </w:r>
      <w:r w:rsidRPr="00135340">
        <w:t>prévues par l’accord d’association</w:t>
      </w:r>
      <w:r w:rsidRPr="00C92521">
        <w:t xml:space="preserve"> aux produits originaires du Sahara occidental. Un </w:t>
      </w:r>
      <w:r w:rsidR="00C80AC3" w:rsidRPr="00C92521">
        <w:t xml:space="preserve">accord entre l'Union européenne et le Royaume du Maroc constitue le seul moyen d'assurer que l'importation de produits </w:t>
      </w:r>
      <w:r w:rsidR="000476A6" w:rsidRPr="00C92521">
        <w:t>originaires</w:t>
      </w:r>
      <w:r w:rsidR="00C80AC3" w:rsidRPr="00C92521">
        <w:t xml:space="preserve"> du Sahara occidental bénéficie d'une origine préférentielle, étant donné que les autorités marocaines sont les seules capables d'assurer le respect des règles nécessaires pour l'octroi de telles préférences. </w:t>
      </w:r>
    </w:p>
    <w:p w:rsidR="00C80AC3" w:rsidRPr="00C92521" w:rsidRDefault="00013338" w:rsidP="00C80AC3">
      <w:pPr>
        <w:pStyle w:val="Considrant"/>
      </w:pPr>
      <w:r w:rsidRPr="00C92521">
        <w:t xml:space="preserve">La Commission a évalué les répercussions potentielles de l'accord sur le développement durable, notamment en ce qui concerne les avantages et désavantages </w:t>
      </w:r>
      <w:r w:rsidRPr="003D09A9">
        <w:t xml:space="preserve">découlant des préférences tarifaires accordées aux produits du Sahara occidental </w:t>
      </w:r>
      <w:r w:rsidRPr="00C92521">
        <w:t xml:space="preserve">pour les populations concernées et les effets sur l'exploitation des ressources naturelles des territoires concernés. </w:t>
      </w:r>
      <w:r w:rsidR="00C80AC3" w:rsidRPr="00C92521">
        <w:t xml:space="preserve">Les </w:t>
      </w:r>
      <w:r w:rsidR="00C80AC3" w:rsidRPr="00BD2B9A">
        <w:rPr>
          <w:lang w:val="fr-BE"/>
        </w:rPr>
        <w:t>effets des avantages tarifaires sur l'emploi</w:t>
      </w:r>
      <w:r w:rsidR="00C80AC3">
        <w:rPr>
          <w:lang w:val="fr-BE"/>
        </w:rPr>
        <w:t>,</w:t>
      </w:r>
      <w:r w:rsidR="00C80AC3" w:rsidRPr="00BD2B9A">
        <w:rPr>
          <w:lang w:val="fr-BE"/>
        </w:rPr>
        <w:t xml:space="preserve"> les droits </w:t>
      </w:r>
      <w:r w:rsidR="00C80AC3">
        <w:rPr>
          <w:lang w:val="fr-BE"/>
        </w:rPr>
        <w:t>de l'homme</w:t>
      </w:r>
      <w:r w:rsidR="00C80AC3" w:rsidRPr="00BD2B9A">
        <w:rPr>
          <w:lang w:val="fr-BE"/>
        </w:rPr>
        <w:t xml:space="preserve"> </w:t>
      </w:r>
      <w:r w:rsidR="00C80AC3">
        <w:rPr>
          <w:lang w:val="fr-BE"/>
        </w:rPr>
        <w:t>et l'exploitation d</w:t>
      </w:r>
      <w:r w:rsidR="00C80AC3" w:rsidRPr="00BD2B9A">
        <w:rPr>
          <w:lang w:val="fr-BE"/>
        </w:rPr>
        <w:t xml:space="preserve">es ressources naturelles, sont très difficiles à mesurer car ils sont de </w:t>
      </w:r>
      <w:r w:rsidR="00C80AC3">
        <w:rPr>
          <w:lang w:val="fr-BE"/>
        </w:rPr>
        <w:t>nature indirecte.  De même, il n'est pas aisé d'obtenir des informations objectives à cet égard.</w:t>
      </w:r>
    </w:p>
    <w:p w:rsidR="00C80AC3" w:rsidRPr="00BD2B9A" w:rsidRDefault="00013338" w:rsidP="00C80AC3">
      <w:pPr>
        <w:pStyle w:val="Considrant"/>
        <w:rPr>
          <w:lang w:val="fr-BE"/>
        </w:rPr>
      </w:pPr>
      <w:r w:rsidRPr="00C92521">
        <w:t xml:space="preserve">Néanmoins, il ressort de cette évaluation que, globalement, les avantages </w:t>
      </w:r>
      <w:r w:rsidRPr="00135340">
        <w:t xml:space="preserve">pour l'économie du Sahara occidental </w:t>
      </w:r>
      <w:r w:rsidRPr="00C92521">
        <w:t xml:space="preserve">découlant de l'octroi des préférences tarifaires prévues par l’accord d’association </w:t>
      </w:r>
      <w:r w:rsidRPr="00450994">
        <w:t>aux produits originaires du Sahara occidental</w:t>
      </w:r>
      <w:r w:rsidRPr="00135340">
        <w:t xml:space="preserve"> </w:t>
      </w:r>
      <w:r w:rsidRPr="00C92521">
        <w:t>et notamment le puissant levier économique et donc de développement social qu'il constitue, dépassent les désavantages mentionnés dans le processus de consultations</w:t>
      </w:r>
      <w:r>
        <w:t xml:space="preserve">, </w:t>
      </w:r>
      <w:r w:rsidRPr="006E355F">
        <w:t xml:space="preserve">dont </w:t>
      </w:r>
      <w:r>
        <w:t xml:space="preserve">l'utilisation extensive des ressources naturelles en particulier des réserves d'eau souterraines, pour </w:t>
      </w:r>
      <w:r w:rsidR="00C80AC3">
        <w:t>laquelle des mesures ont été prises.</w:t>
      </w:r>
    </w:p>
    <w:p w:rsidR="00C80AC3" w:rsidRPr="00C92521" w:rsidRDefault="00C80AC3" w:rsidP="00C80AC3">
      <w:pPr>
        <w:pStyle w:val="Considrant"/>
      </w:pPr>
      <w:r>
        <w:rPr>
          <w:lang w:val="fr-BE"/>
        </w:rPr>
        <w:t xml:space="preserve">Ainsi l'extension des préférences tarifaires </w:t>
      </w:r>
      <w:r w:rsidR="00013338" w:rsidRPr="00450994">
        <w:t>aux produits originaires du Sahara occidental</w:t>
      </w:r>
      <w:r w:rsidR="00013338" w:rsidRPr="00135340">
        <w:t xml:space="preserve"> </w:t>
      </w:r>
      <w:r w:rsidR="00013338">
        <w:rPr>
          <w:lang w:val="fr-BE"/>
        </w:rPr>
        <w:t xml:space="preserve">aura </w:t>
      </w:r>
      <w:r w:rsidR="00013338" w:rsidRPr="00C92521">
        <w:t xml:space="preserve"> un impact globalement positif pour les populations concernées et devrait conserver voire potentiellement accroître un tel effet dans le futur. L'évaluation montre qu’étendre le bénéfice des préférences tarifaires aux produits du Sahara occidental est de nature à sécuriser les conditions d'investissement et à en favoriser un essor rapide et significatif propice à l'emploi local.</w:t>
      </w:r>
      <w:r w:rsidR="00013338" w:rsidRPr="003A11C6">
        <w:t xml:space="preserve"> </w:t>
      </w:r>
      <w:r w:rsidR="00013338" w:rsidRPr="00C92521">
        <w:t xml:space="preserve">L'existence au Sahara occidental d'activités économiques et de productions qui auraient le plus grand intérêt à bénéficier des préférences tarifaires </w:t>
      </w:r>
      <w:r w:rsidR="00013338" w:rsidRPr="00A844EC">
        <w:t xml:space="preserve">prévues par l’accord d’association </w:t>
      </w:r>
      <w:r w:rsidR="00013338" w:rsidRPr="00C92521">
        <w:t xml:space="preserve">montre que le non-octroi de préférences tarifaires compromettrait de manière significative les exportations du Sahara occidental, notamment celles relatives aux produits de la pêche et aux produits agricoles. </w:t>
      </w:r>
      <w:r w:rsidRPr="00C92521">
        <w:t xml:space="preserve">L'octroi de préférences tarifaires devrait également avoir un impact positif sur le développement de l'économie </w:t>
      </w:r>
      <w:r w:rsidR="002301A0" w:rsidRPr="00C92521">
        <w:t>du Sahara occidental</w:t>
      </w:r>
      <w:r w:rsidRPr="00C92521">
        <w:t xml:space="preserve">, en stimulant les investissements. </w:t>
      </w:r>
    </w:p>
    <w:p w:rsidR="00C80AC3" w:rsidRPr="00C92521" w:rsidRDefault="00C80AC3" w:rsidP="00C80AC3">
      <w:pPr>
        <w:pStyle w:val="Considrant"/>
      </w:pPr>
      <w:r w:rsidRPr="00C92521">
        <w:t xml:space="preserve">La </w:t>
      </w:r>
      <w:r w:rsidR="00013338" w:rsidRPr="00C92521">
        <w:t xml:space="preserve">Commission, en lien avec le Service Européen d’Action Extérieure, s’est également assurée que les populations concernées par l’accord ont été associées de manière appropriée </w:t>
      </w:r>
      <w:r w:rsidR="003264C9" w:rsidRPr="00A844EC">
        <w:rPr>
          <w:i/>
        </w:rPr>
        <w:t xml:space="preserve"> </w:t>
      </w:r>
      <w:r w:rsidR="00013338" w:rsidRPr="00C92521">
        <w:t>en procédant à des consultations réunissant un large éventail d’acteurs socio-économiques et politiques de la population du Sahara occidental. Ceux-ci se sont majoritairement prononcés en faveur de l'extension des préférences tarifaires de l'accord d'association au Sahara occidental. Ceux qui ont rejeté l'extension n'ont pas identifié</w:t>
      </w:r>
      <w:r w:rsidR="00013338" w:rsidRPr="00A844EC">
        <w:t xml:space="preserve"> </w:t>
      </w:r>
      <w:r w:rsidR="00013338" w:rsidRPr="00C92521">
        <w:t>de répercussions négatives concrètes pour la population du territoire, mais estimaient essentiellement que cet accord entérinerait la position du Maroc sur le territoire</w:t>
      </w:r>
      <w:r w:rsidR="00013338" w:rsidRPr="00A844EC">
        <w:t xml:space="preserve"> du Sahara occidental</w:t>
      </w:r>
      <w:r w:rsidR="00013338" w:rsidRPr="00C92521">
        <w:t>. Or, rien dans les termes de cet accord ne permet de considérer qu'il reconnaîtrait la souveraineté du Maroc sur le Sahara occidental. L'Union continuera d'ailleurs, par des efforts renforcés, à soutenir le processus de résolution pacifique du différend entamé sous l'égide de l'ONU</w:t>
      </w:r>
      <w:r w:rsidRPr="00C92521">
        <w:t>.</w:t>
      </w:r>
    </w:p>
    <w:p w:rsidR="003264C9" w:rsidRPr="00C92521" w:rsidRDefault="003264C9" w:rsidP="00A844EC">
      <w:pPr>
        <w:pStyle w:val="Considrant"/>
      </w:pPr>
      <w:r w:rsidRPr="00C92521">
        <w:t>Conformément à la décision [XXX] du Conseil du […]</w:t>
      </w:r>
      <w:r w:rsidRPr="00C92521">
        <w:rPr>
          <w:rStyle w:val="FootnoteReference"/>
        </w:rPr>
        <w:footnoteReference w:id="8"/>
      </w:r>
      <w:r w:rsidRPr="00C92521">
        <w:t>, l’accord sous forme d'échange de lettres entre l'Union européenne et le Royaume du Maroc sur la modification des Protocoles n° 1 et n° 4 de l'accord euro-méditerranéen établissant une association entre les Communautés européennes et leurs États membres, d'une part et le Royaume du Maroc, d'autre part a été signé le […], sous réserve de sa conclusion à une date ultérieure.</w:t>
      </w:r>
    </w:p>
    <w:p w:rsidR="00FF63DC" w:rsidRPr="00C92521" w:rsidRDefault="00FF63DC" w:rsidP="00C80AC3">
      <w:pPr>
        <w:pStyle w:val="Considrant"/>
      </w:pPr>
      <w:r w:rsidRPr="00C92521">
        <w:t>L’accord contribue à la réalisation des objectifs poursuivis par l’Union dans le cadre de l’article 21 du traité sur l’Union européenne.</w:t>
      </w:r>
    </w:p>
    <w:p w:rsidR="00201254" w:rsidRPr="00695DFF" w:rsidRDefault="00201254" w:rsidP="0010050F">
      <w:pPr>
        <w:pStyle w:val="Considrant"/>
      </w:pPr>
      <w:r w:rsidRPr="00695DFF">
        <w:t>Il convient d'approuver cet accord au nom de l'Union européenne,</w:t>
      </w:r>
    </w:p>
    <w:p w:rsidR="005F79A7" w:rsidRPr="003A11C6" w:rsidRDefault="005F79A7" w:rsidP="00993E83">
      <w:pPr>
        <w:pStyle w:val="Formuledadoption"/>
      </w:pPr>
      <w:r w:rsidRPr="003A11C6">
        <w:t>A ADOPTÉ LA PRÉSENTE DÉCISION:</w:t>
      </w:r>
    </w:p>
    <w:p w:rsidR="005F79A7" w:rsidRPr="003A11C6" w:rsidRDefault="005F79A7" w:rsidP="00993E83">
      <w:pPr>
        <w:pStyle w:val="Titrearticle"/>
      </w:pPr>
      <w:r w:rsidRPr="003A11C6">
        <w:t>Article premier</w:t>
      </w:r>
    </w:p>
    <w:p w:rsidR="00201254" w:rsidRPr="003A11C6" w:rsidRDefault="00201254" w:rsidP="00201254">
      <w:pPr>
        <w:suppressAutoHyphens/>
        <w:spacing w:before="0" w:after="240"/>
        <w:rPr>
          <w:rFonts w:eastAsia="Times New Roman"/>
          <w:snapToGrid w:val="0"/>
          <w:szCs w:val="24"/>
          <w:lang w:eastAsia="en-GB"/>
        </w:rPr>
      </w:pPr>
      <w:r w:rsidRPr="003A11C6">
        <w:rPr>
          <w:rFonts w:eastAsia="Times New Roman"/>
          <w:noProof/>
          <w:snapToGrid w:val="0"/>
          <w:szCs w:val="24"/>
          <w:lang w:eastAsia="en-GB"/>
        </w:rPr>
        <w:t>L</w:t>
      </w:r>
      <w:r w:rsidR="006501A5" w:rsidRPr="003A11C6">
        <w:rPr>
          <w:rFonts w:eastAsia="Times New Roman"/>
          <w:noProof/>
          <w:snapToGrid w:val="0"/>
          <w:szCs w:val="24"/>
          <w:lang w:eastAsia="en-GB"/>
        </w:rPr>
        <w:t>'accord sous forme d'échange de lettres entre l'Union européenne et le Royaume du Maroc sur l</w:t>
      </w:r>
      <w:r w:rsidR="00747112" w:rsidRPr="003A11C6">
        <w:rPr>
          <w:rFonts w:eastAsia="Times New Roman"/>
          <w:noProof/>
          <w:snapToGrid w:val="0"/>
          <w:szCs w:val="24"/>
          <w:lang w:eastAsia="en-GB"/>
        </w:rPr>
        <w:t>a modification</w:t>
      </w:r>
      <w:r w:rsidR="006501A5" w:rsidRPr="003A11C6">
        <w:rPr>
          <w:rFonts w:eastAsia="Times New Roman"/>
          <w:noProof/>
          <w:snapToGrid w:val="0"/>
          <w:szCs w:val="24"/>
          <w:lang w:eastAsia="en-GB"/>
        </w:rPr>
        <w:t xml:space="preserve"> des Protocoles </w:t>
      </w:r>
      <w:r w:rsidR="00747112" w:rsidRPr="003A11C6">
        <w:rPr>
          <w:rFonts w:eastAsia="Times New Roman"/>
          <w:noProof/>
          <w:snapToGrid w:val="0"/>
          <w:szCs w:val="24"/>
          <w:lang w:eastAsia="en-GB"/>
        </w:rPr>
        <w:t xml:space="preserve">n° </w:t>
      </w:r>
      <w:r w:rsidR="006501A5" w:rsidRPr="003A11C6">
        <w:rPr>
          <w:rFonts w:eastAsia="Times New Roman"/>
          <w:noProof/>
          <w:snapToGrid w:val="0"/>
          <w:szCs w:val="24"/>
          <w:lang w:eastAsia="en-GB"/>
        </w:rPr>
        <w:t xml:space="preserve">1 et </w:t>
      </w:r>
      <w:r w:rsidR="00747112" w:rsidRPr="003A11C6">
        <w:rPr>
          <w:rFonts w:eastAsia="Times New Roman"/>
          <w:noProof/>
          <w:snapToGrid w:val="0"/>
          <w:szCs w:val="24"/>
          <w:lang w:eastAsia="en-GB"/>
        </w:rPr>
        <w:t xml:space="preserve">n° </w:t>
      </w:r>
      <w:r w:rsidR="006501A5" w:rsidRPr="003A11C6">
        <w:rPr>
          <w:rFonts w:eastAsia="Times New Roman"/>
          <w:noProof/>
          <w:snapToGrid w:val="0"/>
          <w:szCs w:val="24"/>
          <w:lang w:eastAsia="en-GB"/>
        </w:rPr>
        <w:t xml:space="preserve">4 </w:t>
      </w:r>
      <w:r w:rsidR="00747112" w:rsidRPr="003A11C6">
        <w:rPr>
          <w:rFonts w:eastAsia="Times New Roman"/>
          <w:noProof/>
          <w:snapToGrid w:val="0"/>
          <w:szCs w:val="24"/>
          <w:lang w:eastAsia="en-GB"/>
        </w:rPr>
        <w:t>à</w:t>
      </w:r>
      <w:r w:rsidR="006501A5" w:rsidRPr="003A11C6">
        <w:rPr>
          <w:rFonts w:eastAsia="Times New Roman"/>
          <w:noProof/>
          <w:snapToGrid w:val="0"/>
          <w:szCs w:val="24"/>
          <w:lang w:eastAsia="en-GB"/>
        </w:rPr>
        <w:t xml:space="preserve"> l'accord euro-méditerranéen établissant une association entre les Communautés européennes et </w:t>
      </w:r>
      <w:r w:rsidR="00013338" w:rsidRPr="003A11C6">
        <w:rPr>
          <w:rFonts w:eastAsia="Times New Roman"/>
          <w:noProof/>
          <w:snapToGrid w:val="0"/>
          <w:szCs w:val="24"/>
          <w:lang w:eastAsia="en-GB"/>
        </w:rPr>
        <w:t xml:space="preserve">leurs </w:t>
      </w:r>
      <w:r w:rsidR="00013338">
        <w:rPr>
          <w:rFonts w:eastAsia="Times New Roman"/>
          <w:noProof/>
          <w:snapToGrid w:val="0"/>
          <w:szCs w:val="24"/>
          <w:lang w:eastAsia="en-GB"/>
        </w:rPr>
        <w:t>États</w:t>
      </w:r>
      <w:r w:rsidR="00013338" w:rsidRPr="003A11C6">
        <w:rPr>
          <w:rFonts w:eastAsia="Times New Roman"/>
          <w:noProof/>
          <w:snapToGrid w:val="0"/>
          <w:szCs w:val="24"/>
          <w:lang w:eastAsia="en-GB"/>
        </w:rPr>
        <w:t xml:space="preserve"> membres</w:t>
      </w:r>
      <w:r w:rsidR="006501A5" w:rsidRPr="003A11C6">
        <w:rPr>
          <w:rFonts w:eastAsia="Times New Roman"/>
          <w:noProof/>
          <w:snapToGrid w:val="0"/>
          <w:szCs w:val="24"/>
          <w:lang w:eastAsia="en-GB"/>
        </w:rPr>
        <w:t>, d'une part et le Royaume du Maroc, d'autre part</w:t>
      </w:r>
      <w:r w:rsidR="00D80149" w:rsidRPr="003A11C6">
        <w:rPr>
          <w:rFonts w:eastAsia="Times New Roman"/>
          <w:noProof/>
          <w:snapToGrid w:val="0"/>
          <w:szCs w:val="24"/>
          <w:lang w:eastAsia="en-GB"/>
        </w:rPr>
        <w:t xml:space="preserve">, </w:t>
      </w:r>
      <w:r w:rsidRPr="003A11C6">
        <w:rPr>
          <w:rFonts w:eastAsia="Times New Roman"/>
          <w:noProof/>
          <w:snapToGrid w:val="0"/>
          <w:szCs w:val="24"/>
          <w:lang w:eastAsia="en-GB"/>
        </w:rPr>
        <w:t>est approuvé au nom de l’Union.</w:t>
      </w:r>
      <w:r w:rsidRPr="003A11C6">
        <w:rPr>
          <w:rFonts w:eastAsia="Times New Roman"/>
          <w:snapToGrid w:val="0"/>
          <w:szCs w:val="24"/>
          <w:lang w:eastAsia="en-GB"/>
        </w:rPr>
        <w:t xml:space="preserve"> </w:t>
      </w:r>
    </w:p>
    <w:p w:rsidR="00201254" w:rsidRPr="003A11C6" w:rsidRDefault="00201254" w:rsidP="00201254">
      <w:pPr>
        <w:suppressAutoHyphens/>
        <w:spacing w:before="0" w:after="240"/>
        <w:rPr>
          <w:rFonts w:eastAsia="Times New Roman"/>
          <w:snapToGrid w:val="0"/>
          <w:szCs w:val="24"/>
          <w:lang w:eastAsia="en-GB"/>
        </w:rPr>
      </w:pPr>
      <w:r w:rsidRPr="003A11C6">
        <w:rPr>
          <w:rFonts w:eastAsia="Times New Roman"/>
          <w:noProof/>
          <w:snapToGrid w:val="0"/>
          <w:szCs w:val="24"/>
          <w:lang w:eastAsia="en-GB"/>
        </w:rPr>
        <w:t>Le texte de l’accord est annexé à la présente décision.</w:t>
      </w:r>
    </w:p>
    <w:p w:rsidR="005F79A7" w:rsidRPr="003A11C6" w:rsidRDefault="008B02D6" w:rsidP="0010050F">
      <w:pPr>
        <w:pStyle w:val="Titrearticle"/>
      </w:pPr>
      <w:r>
        <w:t>Article 2</w:t>
      </w:r>
    </w:p>
    <w:p w:rsidR="0010050F" w:rsidRPr="003A11C6" w:rsidRDefault="0010050F" w:rsidP="0010050F">
      <w:r w:rsidRPr="003A11C6">
        <w:t xml:space="preserve">Le Président </w:t>
      </w:r>
      <w:r w:rsidR="00A14E20">
        <w:t xml:space="preserve">du </w:t>
      </w:r>
      <w:r w:rsidR="00013338" w:rsidRPr="003A11C6">
        <w:t xml:space="preserve">Conseil désigne la personne habilitée à procéder, au nom de l'Union, </w:t>
      </w:r>
      <w:r w:rsidR="00013338">
        <w:t>à la notification</w:t>
      </w:r>
      <w:r w:rsidR="00013338" w:rsidRPr="003A11C6">
        <w:t xml:space="preserve"> prévu</w:t>
      </w:r>
      <w:r w:rsidR="00013338">
        <w:t>e</w:t>
      </w:r>
      <w:r w:rsidR="00013338" w:rsidRPr="003A11C6">
        <w:t xml:space="preserve"> à l'accord, à l'effet </w:t>
      </w:r>
      <w:r w:rsidR="00013338">
        <w:t>d'exprimer le consentement de l'Union européenne à être liée par l'accord</w:t>
      </w:r>
      <w:r w:rsidR="00013338" w:rsidRPr="003A11C6">
        <w:t>.</w:t>
      </w:r>
    </w:p>
    <w:p w:rsidR="005F79A7" w:rsidRPr="003A11C6" w:rsidRDefault="005F79A7" w:rsidP="00993E83">
      <w:pPr>
        <w:pStyle w:val="Titrearticle"/>
      </w:pPr>
      <w:r w:rsidRPr="003A11C6">
        <w:t xml:space="preserve">Article </w:t>
      </w:r>
      <w:r w:rsidR="002B78FC" w:rsidRPr="003A11C6">
        <w:t>3</w:t>
      </w:r>
    </w:p>
    <w:p w:rsidR="005F79A7" w:rsidRPr="003A11C6" w:rsidRDefault="005F79A7" w:rsidP="00993E83">
      <w:pPr>
        <w:keepNext/>
      </w:pPr>
      <w:r w:rsidRPr="003A11C6">
        <w:t xml:space="preserve">La présente décision entre en vigueur le </w:t>
      </w:r>
      <w:r w:rsidRPr="00695DFF">
        <w:t>[…]</w:t>
      </w:r>
      <w:r w:rsidRPr="003A11C6">
        <w:t xml:space="preserve"> jour suivant celui de sa publication au </w:t>
      </w:r>
      <w:r w:rsidRPr="003A11C6">
        <w:rPr>
          <w:i/>
        </w:rPr>
        <w:t>Journal officiel de l’Union européenne</w:t>
      </w:r>
      <w:r w:rsidRPr="003A11C6">
        <w:t>.</w:t>
      </w:r>
    </w:p>
    <w:p w:rsidR="005F79A7" w:rsidRPr="003A11C6" w:rsidRDefault="005D7BCD" w:rsidP="005D7BCD">
      <w:pPr>
        <w:pStyle w:val="Fait"/>
      </w:pPr>
      <w:r w:rsidRPr="005D7BCD">
        <w:t>Fait à Bruxelles, le</w:t>
      </w:r>
    </w:p>
    <w:p w:rsidR="005F79A7" w:rsidRPr="003A11C6" w:rsidRDefault="005F79A7" w:rsidP="005F79A7">
      <w:pPr>
        <w:pStyle w:val="Institutionquisigne"/>
      </w:pPr>
      <w:r w:rsidRPr="003A11C6">
        <w:tab/>
        <w:t>Par le Conseil</w:t>
      </w:r>
    </w:p>
    <w:p w:rsidR="005F79A7" w:rsidRPr="005D7BCD" w:rsidRDefault="005F79A7" w:rsidP="007F6326">
      <w:pPr>
        <w:pStyle w:val="Personnequisigne"/>
      </w:pPr>
      <w:r w:rsidRPr="007F6326">
        <w:tab/>
        <w:t>Le président</w:t>
      </w:r>
    </w:p>
    <w:sectPr w:rsidR="005F79A7" w:rsidRPr="005D7BCD" w:rsidSect="005D7BC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3F5" w:rsidRDefault="003F73F5" w:rsidP="005F79A7">
      <w:pPr>
        <w:spacing w:before="0" w:after="0"/>
      </w:pPr>
      <w:r>
        <w:separator/>
      </w:r>
    </w:p>
  </w:endnote>
  <w:endnote w:type="continuationSeparator" w:id="0">
    <w:p w:rsidR="003F73F5" w:rsidRDefault="003F73F5" w:rsidP="005F79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CD" w:rsidRPr="005D7BCD" w:rsidRDefault="005D7BCD" w:rsidP="005D7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A1" w:rsidRPr="005D7BCD" w:rsidRDefault="005D7BCD" w:rsidP="005D7BCD">
    <w:pPr>
      <w:pStyle w:val="Footer"/>
      <w:rPr>
        <w:rFonts w:ascii="Arial" w:hAnsi="Arial" w:cs="Arial"/>
        <w:b/>
        <w:sz w:val="48"/>
      </w:rPr>
    </w:pPr>
    <w:r w:rsidRPr="005D7BCD">
      <w:rPr>
        <w:rFonts w:ascii="Arial" w:hAnsi="Arial" w:cs="Arial"/>
        <w:b/>
        <w:sz w:val="48"/>
      </w:rPr>
      <w:t>FR</w:t>
    </w:r>
    <w:r w:rsidRPr="005D7BCD">
      <w:rPr>
        <w:rFonts w:ascii="Arial" w:hAnsi="Arial" w:cs="Arial"/>
        <w:b/>
        <w:sz w:val="48"/>
      </w:rPr>
      <w:tab/>
    </w:r>
    <w:r w:rsidRPr="005D7BCD">
      <w:rPr>
        <w:rFonts w:ascii="Arial" w:hAnsi="Arial" w:cs="Arial"/>
        <w:b/>
        <w:sz w:val="48"/>
      </w:rPr>
      <w:tab/>
    </w:r>
    <w:r w:rsidRPr="005D7BCD">
      <w:tab/>
    </w:r>
    <w:proofErr w:type="spellStart"/>
    <w:r w:rsidRPr="005D7BCD">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CD" w:rsidRPr="005D7BCD" w:rsidRDefault="005D7BCD" w:rsidP="005D7B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CD" w:rsidRPr="005D7BCD" w:rsidRDefault="005D7BCD" w:rsidP="005D7BCD">
    <w:pPr>
      <w:pStyle w:val="Footer"/>
      <w:rPr>
        <w:rFonts w:ascii="Arial" w:hAnsi="Arial" w:cs="Arial"/>
        <w:b/>
        <w:sz w:val="48"/>
      </w:rPr>
    </w:pPr>
    <w:r w:rsidRPr="005D7BCD">
      <w:rPr>
        <w:rFonts w:ascii="Arial" w:hAnsi="Arial" w:cs="Arial"/>
        <w:b/>
        <w:sz w:val="48"/>
      </w:rPr>
      <w:t>FR</w:t>
    </w:r>
    <w:r w:rsidRPr="005D7BCD">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5D7BCD">
      <w:tab/>
    </w:r>
    <w:r w:rsidRPr="005D7BCD">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CD" w:rsidRPr="005D7BCD" w:rsidRDefault="005D7BCD" w:rsidP="005D7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3F5" w:rsidRDefault="003F73F5" w:rsidP="005F79A7">
      <w:pPr>
        <w:spacing w:before="0" w:after="0"/>
      </w:pPr>
      <w:r>
        <w:separator/>
      </w:r>
    </w:p>
  </w:footnote>
  <w:footnote w:type="continuationSeparator" w:id="0">
    <w:p w:rsidR="003F73F5" w:rsidRDefault="003F73F5" w:rsidP="005F79A7">
      <w:pPr>
        <w:spacing w:before="0" w:after="0"/>
      </w:pPr>
      <w:r>
        <w:continuationSeparator/>
      </w:r>
    </w:p>
  </w:footnote>
  <w:footnote w:id="1">
    <w:p w:rsidR="00F74DD7" w:rsidRPr="00F74DD7" w:rsidRDefault="00F74DD7">
      <w:pPr>
        <w:pStyle w:val="FootnoteText"/>
      </w:pPr>
      <w:r w:rsidRPr="002E1DD6">
        <w:rPr>
          <w:rStyle w:val="FootnoteReference"/>
        </w:rPr>
        <w:footnoteRef/>
      </w:r>
      <w:r w:rsidR="002E1DD6">
        <w:tab/>
      </w:r>
      <w:r>
        <w:t xml:space="preserve">JO L 70 du 18.3.2000, p. </w:t>
      </w:r>
      <w:r w:rsidR="006D62CB">
        <w:t>2</w:t>
      </w:r>
      <w:r>
        <w:t>.</w:t>
      </w:r>
    </w:p>
  </w:footnote>
  <w:footnote w:id="2">
    <w:p w:rsidR="00A830E8" w:rsidRPr="00C27099" w:rsidRDefault="00A830E8" w:rsidP="00A830E8">
      <w:pPr>
        <w:pStyle w:val="FootnoteText"/>
        <w:rPr>
          <w:lang w:val="fr-BE"/>
        </w:rPr>
      </w:pPr>
      <w:r w:rsidRPr="00695DFF">
        <w:rPr>
          <w:rStyle w:val="FootnoteReference"/>
        </w:rPr>
        <w:footnoteRef/>
      </w:r>
      <w:r w:rsidR="00695DFF">
        <w:tab/>
      </w:r>
      <w:r>
        <w:rPr>
          <w:lang w:val="fr-BE"/>
        </w:rPr>
        <w:t>A</w:t>
      </w:r>
      <w:r w:rsidRPr="003E3DF0">
        <w:rPr>
          <w:lang w:val="fr-BE"/>
        </w:rPr>
        <w:t>ccord</w:t>
      </w:r>
      <w:r>
        <w:rPr>
          <w:lang w:val="fr-BE"/>
        </w:rPr>
        <w:t xml:space="preserve"> </w:t>
      </w:r>
      <w:r w:rsidRPr="003E3DF0">
        <w:rPr>
          <w:lang w:val="fr-BE"/>
        </w:rPr>
        <w:t>sous forme d’échange de lettres entre l’Union européenne et le Royaume du Maroc relatif aux mesures de libéralisation réciproques en matière de produits agricoles, de produits agricoles transformés, de poissons et de produits de la pêche, au remplacement des protocoles n° 1, 2 et 3 et de leurs annexes et aux modifications de l’accord d’association</w:t>
      </w:r>
      <w:r>
        <w:rPr>
          <w:lang w:val="fr-BE"/>
        </w:rPr>
        <w:t xml:space="preserve"> (JO L 241 du 7.9.2012, p. 2).</w:t>
      </w:r>
    </w:p>
  </w:footnote>
  <w:footnote w:id="3">
    <w:p w:rsidR="00A830E8" w:rsidRPr="002D40FB" w:rsidRDefault="00A830E8" w:rsidP="00A830E8">
      <w:pPr>
        <w:pStyle w:val="FootnoteText"/>
        <w:rPr>
          <w:lang w:val="fr-BE"/>
        </w:rPr>
      </w:pPr>
      <w:r w:rsidRPr="00E62FD8">
        <w:rPr>
          <w:rStyle w:val="FootnoteReference"/>
        </w:rPr>
        <w:footnoteRef/>
      </w:r>
      <w:r>
        <w:tab/>
      </w:r>
      <w:r w:rsidRPr="002D40FB">
        <w:t>Arrêt de la Cour de justice du 21 décembre 2016, Conseil/Front Polisario, C-104/16 P, ECLI:EU:C:2016:973</w:t>
      </w:r>
      <w:r>
        <w:t>.</w:t>
      </w:r>
    </w:p>
  </w:footnote>
  <w:footnote w:id="4">
    <w:p w:rsidR="001538C8" w:rsidRPr="001538C8" w:rsidRDefault="001538C8">
      <w:pPr>
        <w:pStyle w:val="FootnoteText"/>
      </w:pPr>
      <w:r w:rsidRPr="00C92521">
        <w:rPr>
          <w:rStyle w:val="FootnoteReference"/>
        </w:rPr>
        <w:footnoteRef/>
      </w:r>
      <w:r w:rsidR="00C92521">
        <w:tab/>
      </w:r>
      <w:r w:rsidR="00994FFE" w:rsidRPr="00994FFE">
        <w:t>Il est à noter que tandis que, par exemple, la version française des directives de négociation parle de «populations», la version anglaise parle de «people». Ceci reflète déjà une terminologie variable au niveau des documents de l'ONU. Par exemple, l'avis d</w:t>
      </w:r>
      <w:r w:rsidR="00994FFE">
        <w:t>u</w:t>
      </w:r>
      <w:r w:rsidR="00994FFE" w:rsidRPr="00994FFE">
        <w:t xml:space="preserve"> 16 octobre 1975 de la Cour internationale de justice utilise, dans ses conclusions, le terme «populations» dans la version française mais «people» dans la version anglaise.</w:t>
      </w:r>
    </w:p>
  </w:footnote>
  <w:footnote w:id="5">
    <w:p w:rsidR="00C80AC3" w:rsidRPr="00A610B2" w:rsidRDefault="00C80AC3" w:rsidP="00C80AC3">
      <w:pPr>
        <w:pStyle w:val="FootnoteText"/>
        <w:rPr>
          <w:lang w:val="fr-BE"/>
        </w:rPr>
      </w:pPr>
      <w:r w:rsidRPr="00C92521">
        <w:rPr>
          <w:rStyle w:val="FootnoteReference"/>
        </w:rPr>
        <w:footnoteRef/>
      </w:r>
      <w:r w:rsidR="00C92521">
        <w:tab/>
      </w:r>
      <w:r w:rsidR="008A4642" w:rsidRPr="008A4642">
        <w:rPr>
          <w:lang w:val="fr-BE"/>
        </w:rPr>
        <w:t>Résolution adoptée par l'Assemblée générale le 7 décembre 2017 sur les activités économiques et autres préjudiciables aux intérêts des peuples des territoires non autonomes (document A/RES/72/92 du 14 décembre 2017)</w:t>
      </w:r>
      <w:r w:rsidR="00C973AA">
        <w:rPr>
          <w:lang w:val="fr-BE"/>
        </w:rPr>
        <w:t>.</w:t>
      </w:r>
    </w:p>
  </w:footnote>
  <w:footnote w:id="6">
    <w:p w:rsidR="00013338" w:rsidRPr="001610BF" w:rsidRDefault="00013338" w:rsidP="00013338">
      <w:pPr>
        <w:pStyle w:val="FootnoteText"/>
        <w:rPr>
          <w:lang w:val="fr-BE"/>
        </w:rPr>
      </w:pPr>
      <w:r w:rsidRPr="002E1DD6">
        <w:rPr>
          <w:rStyle w:val="FootnoteReference"/>
        </w:rPr>
        <w:footnoteRef/>
      </w:r>
      <w:r>
        <w:tab/>
      </w:r>
      <w:r>
        <w:rPr>
          <w:lang w:val="fr-BE"/>
        </w:rPr>
        <w:t>JO L 70 du 18.3.2000, p. 2.</w:t>
      </w:r>
    </w:p>
  </w:footnote>
  <w:footnote w:id="7">
    <w:p w:rsidR="001610BF" w:rsidRPr="001610BF" w:rsidRDefault="001610BF">
      <w:pPr>
        <w:pStyle w:val="FootnoteText"/>
        <w:rPr>
          <w:lang w:val="fr-BE"/>
        </w:rPr>
      </w:pPr>
      <w:r w:rsidRPr="002E1DD6">
        <w:rPr>
          <w:rStyle w:val="FootnoteReference"/>
        </w:rPr>
        <w:footnoteRef/>
      </w:r>
      <w:r w:rsidR="002E1DD6">
        <w:tab/>
      </w:r>
      <w:r w:rsidRPr="001610BF">
        <w:rPr>
          <w:lang w:val="fr-BE"/>
        </w:rPr>
        <w:t>Arrêt de la Cour de justice du 21 décembre 2016, Conseil/Front Polisario, C-104/16 P, ECLI:EU:C:2016:973</w:t>
      </w:r>
      <w:r>
        <w:rPr>
          <w:lang w:val="fr-BE"/>
        </w:rPr>
        <w:t>.</w:t>
      </w:r>
    </w:p>
  </w:footnote>
  <w:footnote w:id="8">
    <w:p w:rsidR="003264C9" w:rsidRPr="003C39C5" w:rsidRDefault="003264C9" w:rsidP="003264C9">
      <w:pPr>
        <w:pStyle w:val="FootnoteText"/>
        <w:rPr>
          <w:lang w:val="fr-BE"/>
        </w:rPr>
      </w:pPr>
      <w:r w:rsidRPr="00C92521">
        <w:rPr>
          <w:rStyle w:val="FootnoteReference"/>
        </w:rPr>
        <w:footnoteRef/>
      </w:r>
      <w:r w:rsidR="00C92521">
        <w:tab/>
      </w:r>
      <w:r>
        <w:rPr>
          <w:lang w:val="fr-BE"/>
        </w:rPr>
        <w:t>Décision […] du C</w:t>
      </w:r>
      <w:r w:rsidRPr="009810BE">
        <w:rPr>
          <w:lang w:val="fr-BE"/>
        </w:rPr>
        <w:t>onseil</w:t>
      </w:r>
      <w:r>
        <w:rPr>
          <w:lang w:val="fr-BE"/>
        </w:rPr>
        <w:t xml:space="preserve"> du […] </w:t>
      </w:r>
      <w:r w:rsidRPr="009810BE">
        <w:rPr>
          <w:lang w:val="fr-BE"/>
        </w:rPr>
        <w:t>relative à la signature, au nom de l'Union européenne, de l'accord sous forme d'échange de lettres entre l'Union européenne et le Royaume du Maroc sur la modification des Protocoles n° 1 et n° 4 à l'accord euro-méditerranéen établissant une association entre les Communautés européennes et leurs États membres, d'une part et le Royaume du Maroc, d'autre part</w:t>
      </w:r>
      <w:r>
        <w:rPr>
          <w:lang w:val="fr-BE"/>
        </w:rPr>
        <w:t xml:space="preserve"> (JO L […] du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CD" w:rsidRPr="005D7BCD" w:rsidRDefault="005D7BCD" w:rsidP="005D7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CD" w:rsidRPr="005D7BCD" w:rsidRDefault="005D7BCD" w:rsidP="005D7B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CD" w:rsidRPr="005D7BCD" w:rsidRDefault="005D7BCD" w:rsidP="005D7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2E13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70CF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70F9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98DE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A6A5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F05D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AB0E2F0"/>
    <w:lvl w:ilvl="0">
      <w:start w:val="1"/>
      <w:numFmt w:val="decimal"/>
      <w:pStyle w:val="ListNumber"/>
      <w:lvlText w:val="%1."/>
      <w:lvlJc w:val="left"/>
      <w:pPr>
        <w:tabs>
          <w:tab w:val="num" w:pos="360"/>
        </w:tabs>
        <w:ind w:left="360" w:hanging="360"/>
      </w:pPr>
    </w:lvl>
  </w:abstractNum>
  <w:abstractNum w:abstractNumId="7">
    <w:nsid w:val="FFFFFF89"/>
    <w:multiLevelType w:val="singleLevel"/>
    <w:tmpl w:val="BE2299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proofState w:spelling="clean"/>
  <w:attachedTemplate r:id="rId1"/>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09:28: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9F77F92-7CD5-47EB-A9F0-7CADD4982E3C"/>
    <w:docVar w:name="LW_COVERPAGE_TYPE" w:val="1"/>
    <w:docVar w:name="LW_CROSSREFERENCE" w:val="{SWD(2018) 346 final}"/>
    <w:docVar w:name="LW_DocType" w:val="COM"/>
    <w:docVar w:name="LW_EMISSION" w:val="11.6.2018"/>
    <w:docVar w:name="LW_EMISSION_ISODATE" w:val="2018-06-11"/>
    <w:docVar w:name="LW_EMISSION_LOCATION" w:val="BRX"/>
    <w:docVar w:name="LW_EMISSION_PREFIX" w:val="Bruxelles, le"/>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256"/>
    <w:docVar w:name="LW_REF.II.NEW.CP_YEAR" w:val="2018"/>
    <w:docVar w:name="LW_REF.INST.NEW" w:val="COM"/>
    <w:docVar w:name="LW_REF.INST.NEW_ADOPTED" w:val="final"/>
    <w:docVar w:name="LW_REF.INST.NEW_TEXT" w:val="(2018) 4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conclusion de l'accord sous forme d'échange de lettres entre l'Union européenne et le Royaume du Maroc sur la modification des Protocoles n° 1 et n° 4 à l'accord euro-méditerranéen établissant une association entre les Communautés européennes et leurs États membres, d'une part et le Royaume du Maroc, d'autre part"/>
    <w:docVar w:name="LW_TYPE.DOC.CP" w:val="DÉCISION DU CONSEIL"/>
  </w:docVars>
  <w:rsids>
    <w:rsidRoot w:val="005F79A7"/>
    <w:rsid w:val="00004A99"/>
    <w:rsid w:val="00006D27"/>
    <w:rsid w:val="00013338"/>
    <w:rsid w:val="00014C15"/>
    <w:rsid w:val="00033328"/>
    <w:rsid w:val="000338CB"/>
    <w:rsid w:val="000476A6"/>
    <w:rsid w:val="00061D12"/>
    <w:rsid w:val="00081E49"/>
    <w:rsid w:val="000844EA"/>
    <w:rsid w:val="000901DD"/>
    <w:rsid w:val="000942D8"/>
    <w:rsid w:val="000A3965"/>
    <w:rsid w:val="000A55B5"/>
    <w:rsid w:val="000C0925"/>
    <w:rsid w:val="000D3B73"/>
    <w:rsid w:val="000D7FB1"/>
    <w:rsid w:val="000E0F1D"/>
    <w:rsid w:val="000F12F8"/>
    <w:rsid w:val="000F2DCE"/>
    <w:rsid w:val="0010050F"/>
    <w:rsid w:val="001067E8"/>
    <w:rsid w:val="00106D39"/>
    <w:rsid w:val="00112C26"/>
    <w:rsid w:val="00112F56"/>
    <w:rsid w:val="00147488"/>
    <w:rsid w:val="001526F5"/>
    <w:rsid w:val="001538C8"/>
    <w:rsid w:val="001610BF"/>
    <w:rsid w:val="0017138A"/>
    <w:rsid w:val="00171635"/>
    <w:rsid w:val="00182E0B"/>
    <w:rsid w:val="001920E0"/>
    <w:rsid w:val="001A012C"/>
    <w:rsid w:val="001B2590"/>
    <w:rsid w:val="001B6398"/>
    <w:rsid w:val="001C1F31"/>
    <w:rsid w:val="001C6030"/>
    <w:rsid w:val="001E776D"/>
    <w:rsid w:val="00201254"/>
    <w:rsid w:val="00211B16"/>
    <w:rsid w:val="00217660"/>
    <w:rsid w:val="002207F4"/>
    <w:rsid w:val="00226E08"/>
    <w:rsid w:val="002301A0"/>
    <w:rsid w:val="002326FF"/>
    <w:rsid w:val="00235371"/>
    <w:rsid w:val="00243166"/>
    <w:rsid w:val="002520D1"/>
    <w:rsid w:val="00256AAA"/>
    <w:rsid w:val="0026616A"/>
    <w:rsid w:val="00272336"/>
    <w:rsid w:val="00281F44"/>
    <w:rsid w:val="00293711"/>
    <w:rsid w:val="002B78FC"/>
    <w:rsid w:val="002C7FD2"/>
    <w:rsid w:val="002D40FB"/>
    <w:rsid w:val="002E1DD6"/>
    <w:rsid w:val="002E76EA"/>
    <w:rsid w:val="002F5E38"/>
    <w:rsid w:val="00302A19"/>
    <w:rsid w:val="0030343F"/>
    <w:rsid w:val="003150E1"/>
    <w:rsid w:val="00322348"/>
    <w:rsid w:val="003264C9"/>
    <w:rsid w:val="003302B2"/>
    <w:rsid w:val="00331309"/>
    <w:rsid w:val="00337DB6"/>
    <w:rsid w:val="0034445E"/>
    <w:rsid w:val="00353492"/>
    <w:rsid w:val="00361D6C"/>
    <w:rsid w:val="003678F4"/>
    <w:rsid w:val="00382830"/>
    <w:rsid w:val="00396D7A"/>
    <w:rsid w:val="003A11C6"/>
    <w:rsid w:val="003A1E4E"/>
    <w:rsid w:val="003A4378"/>
    <w:rsid w:val="003B093E"/>
    <w:rsid w:val="003C33DE"/>
    <w:rsid w:val="003C48FA"/>
    <w:rsid w:val="003D1145"/>
    <w:rsid w:val="003D6A75"/>
    <w:rsid w:val="003E5E3D"/>
    <w:rsid w:val="003F73F5"/>
    <w:rsid w:val="00412645"/>
    <w:rsid w:val="0041706B"/>
    <w:rsid w:val="00445D77"/>
    <w:rsid w:val="00450362"/>
    <w:rsid w:val="00461C28"/>
    <w:rsid w:val="00477194"/>
    <w:rsid w:val="00483A54"/>
    <w:rsid w:val="004A584D"/>
    <w:rsid w:val="004A7087"/>
    <w:rsid w:val="004B70C5"/>
    <w:rsid w:val="004D6153"/>
    <w:rsid w:val="004E2167"/>
    <w:rsid w:val="004F0183"/>
    <w:rsid w:val="004F28AC"/>
    <w:rsid w:val="004F56DC"/>
    <w:rsid w:val="00511BBF"/>
    <w:rsid w:val="0052070B"/>
    <w:rsid w:val="00521C07"/>
    <w:rsid w:val="00530A5C"/>
    <w:rsid w:val="0053445A"/>
    <w:rsid w:val="00535B3F"/>
    <w:rsid w:val="005572E1"/>
    <w:rsid w:val="00585E10"/>
    <w:rsid w:val="00594D67"/>
    <w:rsid w:val="005951E1"/>
    <w:rsid w:val="005A2758"/>
    <w:rsid w:val="005A7258"/>
    <w:rsid w:val="005D7BCD"/>
    <w:rsid w:val="005F012F"/>
    <w:rsid w:val="005F79A7"/>
    <w:rsid w:val="00603CEB"/>
    <w:rsid w:val="00612E0C"/>
    <w:rsid w:val="00614C80"/>
    <w:rsid w:val="00631AEC"/>
    <w:rsid w:val="00634FA0"/>
    <w:rsid w:val="0064538D"/>
    <w:rsid w:val="006501A5"/>
    <w:rsid w:val="00653D2E"/>
    <w:rsid w:val="006569BD"/>
    <w:rsid w:val="00672F7B"/>
    <w:rsid w:val="00673264"/>
    <w:rsid w:val="00673C79"/>
    <w:rsid w:val="00684AB8"/>
    <w:rsid w:val="00686CB6"/>
    <w:rsid w:val="00695DFF"/>
    <w:rsid w:val="006972ED"/>
    <w:rsid w:val="006A50DF"/>
    <w:rsid w:val="006D62CB"/>
    <w:rsid w:val="006E35FF"/>
    <w:rsid w:val="006E65EF"/>
    <w:rsid w:val="006E78F9"/>
    <w:rsid w:val="00711A56"/>
    <w:rsid w:val="00711FA6"/>
    <w:rsid w:val="00715D61"/>
    <w:rsid w:val="00747112"/>
    <w:rsid w:val="00755C9B"/>
    <w:rsid w:val="00761C21"/>
    <w:rsid w:val="007744E1"/>
    <w:rsid w:val="00780DAE"/>
    <w:rsid w:val="007C48E7"/>
    <w:rsid w:val="007C5DEA"/>
    <w:rsid w:val="007D3BC9"/>
    <w:rsid w:val="007D53B6"/>
    <w:rsid w:val="007F46D7"/>
    <w:rsid w:val="007F6326"/>
    <w:rsid w:val="0080482F"/>
    <w:rsid w:val="008131AE"/>
    <w:rsid w:val="00840142"/>
    <w:rsid w:val="00851B9C"/>
    <w:rsid w:val="008713E2"/>
    <w:rsid w:val="00874807"/>
    <w:rsid w:val="00875478"/>
    <w:rsid w:val="008763ED"/>
    <w:rsid w:val="00882FAD"/>
    <w:rsid w:val="008872DE"/>
    <w:rsid w:val="00893769"/>
    <w:rsid w:val="008A021D"/>
    <w:rsid w:val="008A4642"/>
    <w:rsid w:val="008B02D6"/>
    <w:rsid w:val="008B4236"/>
    <w:rsid w:val="008B4B5C"/>
    <w:rsid w:val="009061A5"/>
    <w:rsid w:val="00910DD9"/>
    <w:rsid w:val="00922B10"/>
    <w:rsid w:val="00925E79"/>
    <w:rsid w:val="00936F69"/>
    <w:rsid w:val="0094388C"/>
    <w:rsid w:val="00945352"/>
    <w:rsid w:val="00994FFE"/>
    <w:rsid w:val="009A73D0"/>
    <w:rsid w:val="009B156D"/>
    <w:rsid w:val="009B288C"/>
    <w:rsid w:val="009C26F9"/>
    <w:rsid w:val="009C5CFC"/>
    <w:rsid w:val="009C692A"/>
    <w:rsid w:val="00A012FB"/>
    <w:rsid w:val="00A04CF5"/>
    <w:rsid w:val="00A13898"/>
    <w:rsid w:val="00A14E20"/>
    <w:rsid w:val="00A23299"/>
    <w:rsid w:val="00A52EA6"/>
    <w:rsid w:val="00A57880"/>
    <w:rsid w:val="00A610B2"/>
    <w:rsid w:val="00A64956"/>
    <w:rsid w:val="00A64A20"/>
    <w:rsid w:val="00A666B5"/>
    <w:rsid w:val="00A830E8"/>
    <w:rsid w:val="00A844EC"/>
    <w:rsid w:val="00A96B3A"/>
    <w:rsid w:val="00AA2BE9"/>
    <w:rsid w:val="00AB128F"/>
    <w:rsid w:val="00AC4402"/>
    <w:rsid w:val="00AD760E"/>
    <w:rsid w:val="00B01E1B"/>
    <w:rsid w:val="00B03DC2"/>
    <w:rsid w:val="00B04DCA"/>
    <w:rsid w:val="00B075CF"/>
    <w:rsid w:val="00B15926"/>
    <w:rsid w:val="00B35F0F"/>
    <w:rsid w:val="00B40FC9"/>
    <w:rsid w:val="00B44CFD"/>
    <w:rsid w:val="00B540E5"/>
    <w:rsid w:val="00B5550B"/>
    <w:rsid w:val="00B618CA"/>
    <w:rsid w:val="00B64745"/>
    <w:rsid w:val="00B7078D"/>
    <w:rsid w:val="00B744F8"/>
    <w:rsid w:val="00B8440C"/>
    <w:rsid w:val="00BA1EA1"/>
    <w:rsid w:val="00BA7F2C"/>
    <w:rsid w:val="00BC3F64"/>
    <w:rsid w:val="00BC6384"/>
    <w:rsid w:val="00BC6EA4"/>
    <w:rsid w:val="00BD4E14"/>
    <w:rsid w:val="00BD5E70"/>
    <w:rsid w:val="00BD76C3"/>
    <w:rsid w:val="00BF2D34"/>
    <w:rsid w:val="00C120E1"/>
    <w:rsid w:val="00C14F2D"/>
    <w:rsid w:val="00C27099"/>
    <w:rsid w:val="00C320F9"/>
    <w:rsid w:val="00C332D6"/>
    <w:rsid w:val="00C33990"/>
    <w:rsid w:val="00C36E2E"/>
    <w:rsid w:val="00C42394"/>
    <w:rsid w:val="00C45875"/>
    <w:rsid w:val="00C53F67"/>
    <w:rsid w:val="00C543C8"/>
    <w:rsid w:val="00C65897"/>
    <w:rsid w:val="00C70DE5"/>
    <w:rsid w:val="00C80AC3"/>
    <w:rsid w:val="00C85067"/>
    <w:rsid w:val="00C86C41"/>
    <w:rsid w:val="00C92521"/>
    <w:rsid w:val="00C956FF"/>
    <w:rsid w:val="00C973AA"/>
    <w:rsid w:val="00CB6637"/>
    <w:rsid w:val="00CC1D1C"/>
    <w:rsid w:val="00CC3654"/>
    <w:rsid w:val="00CC6094"/>
    <w:rsid w:val="00CF4D5F"/>
    <w:rsid w:val="00D0225F"/>
    <w:rsid w:val="00D056F8"/>
    <w:rsid w:val="00D2468D"/>
    <w:rsid w:val="00D27124"/>
    <w:rsid w:val="00D33FDE"/>
    <w:rsid w:val="00D601CA"/>
    <w:rsid w:val="00D739E3"/>
    <w:rsid w:val="00D77B2A"/>
    <w:rsid w:val="00D80149"/>
    <w:rsid w:val="00D80D62"/>
    <w:rsid w:val="00D81145"/>
    <w:rsid w:val="00D81C0A"/>
    <w:rsid w:val="00DB1C27"/>
    <w:rsid w:val="00DB5B10"/>
    <w:rsid w:val="00DC6D24"/>
    <w:rsid w:val="00DE2B4A"/>
    <w:rsid w:val="00E35576"/>
    <w:rsid w:val="00E4007B"/>
    <w:rsid w:val="00E4052C"/>
    <w:rsid w:val="00E52EF7"/>
    <w:rsid w:val="00E53EE5"/>
    <w:rsid w:val="00E70C03"/>
    <w:rsid w:val="00E91780"/>
    <w:rsid w:val="00E95071"/>
    <w:rsid w:val="00EC497F"/>
    <w:rsid w:val="00EE2203"/>
    <w:rsid w:val="00F04405"/>
    <w:rsid w:val="00F139F9"/>
    <w:rsid w:val="00F211F4"/>
    <w:rsid w:val="00F222C8"/>
    <w:rsid w:val="00F230D4"/>
    <w:rsid w:val="00F36225"/>
    <w:rsid w:val="00F36870"/>
    <w:rsid w:val="00F6287D"/>
    <w:rsid w:val="00F74DD7"/>
    <w:rsid w:val="00F84D1A"/>
    <w:rsid w:val="00F84E24"/>
    <w:rsid w:val="00F86201"/>
    <w:rsid w:val="00F87183"/>
    <w:rsid w:val="00F92278"/>
    <w:rsid w:val="00FC24F1"/>
    <w:rsid w:val="00FD1478"/>
    <w:rsid w:val="00FE075B"/>
    <w:rsid w:val="00FE69E6"/>
    <w:rsid w:val="00FF0661"/>
    <w:rsid w:val="00FF10DA"/>
    <w:rsid w:val="00FF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6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645"/>
    <w:rPr>
      <w:rFonts w:ascii="Tahoma" w:hAnsi="Tahoma" w:cs="Tahoma"/>
      <w:sz w:val="16"/>
      <w:szCs w:val="16"/>
      <w:lang w:val="fr-FR"/>
    </w:rPr>
  </w:style>
  <w:style w:type="paragraph" w:styleId="ListBullet">
    <w:name w:val="List Bullet"/>
    <w:basedOn w:val="Normal"/>
    <w:uiPriority w:val="99"/>
    <w:semiHidden/>
    <w:unhideWhenUsed/>
    <w:rsid w:val="00F6287D"/>
    <w:pPr>
      <w:numPr>
        <w:numId w:val="1"/>
      </w:numPr>
      <w:contextualSpacing/>
    </w:pPr>
  </w:style>
  <w:style w:type="paragraph" w:styleId="ListBullet2">
    <w:name w:val="List Bullet 2"/>
    <w:basedOn w:val="Normal"/>
    <w:uiPriority w:val="99"/>
    <w:semiHidden/>
    <w:unhideWhenUsed/>
    <w:rsid w:val="00F6287D"/>
    <w:pPr>
      <w:numPr>
        <w:numId w:val="2"/>
      </w:numPr>
      <w:contextualSpacing/>
    </w:pPr>
  </w:style>
  <w:style w:type="paragraph" w:styleId="ListBullet3">
    <w:name w:val="List Bullet 3"/>
    <w:basedOn w:val="Normal"/>
    <w:uiPriority w:val="99"/>
    <w:semiHidden/>
    <w:unhideWhenUsed/>
    <w:rsid w:val="00F6287D"/>
    <w:pPr>
      <w:numPr>
        <w:numId w:val="3"/>
      </w:numPr>
      <w:contextualSpacing/>
    </w:pPr>
  </w:style>
  <w:style w:type="paragraph" w:styleId="ListBullet4">
    <w:name w:val="List Bullet 4"/>
    <w:basedOn w:val="Normal"/>
    <w:uiPriority w:val="99"/>
    <w:semiHidden/>
    <w:unhideWhenUsed/>
    <w:rsid w:val="00F6287D"/>
    <w:pPr>
      <w:numPr>
        <w:numId w:val="4"/>
      </w:numPr>
      <w:contextualSpacing/>
    </w:pPr>
  </w:style>
  <w:style w:type="character" w:styleId="CommentReference">
    <w:name w:val="annotation reference"/>
    <w:basedOn w:val="DefaultParagraphFont"/>
    <w:uiPriority w:val="99"/>
    <w:semiHidden/>
    <w:unhideWhenUsed/>
    <w:rsid w:val="009C5CFC"/>
    <w:rPr>
      <w:sz w:val="16"/>
      <w:szCs w:val="16"/>
    </w:rPr>
  </w:style>
  <w:style w:type="paragraph" w:styleId="CommentText">
    <w:name w:val="annotation text"/>
    <w:basedOn w:val="Normal"/>
    <w:link w:val="CommentTextChar"/>
    <w:uiPriority w:val="99"/>
    <w:semiHidden/>
    <w:unhideWhenUsed/>
    <w:rsid w:val="009C5CFC"/>
    <w:rPr>
      <w:sz w:val="20"/>
      <w:szCs w:val="20"/>
    </w:rPr>
  </w:style>
  <w:style w:type="character" w:customStyle="1" w:styleId="CommentTextChar">
    <w:name w:val="Comment Text Char"/>
    <w:basedOn w:val="DefaultParagraphFont"/>
    <w:link w:val="CommentText"/>
    <w:uiPriority w:val="99"/>
    <w:semiHidden/>
    <w:rsid w:val="009C5CFC"/>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9C5CFC"/>
    <w:rPr>
      <w:b/>
      <w:bCs/>
    </w:rPr>
  </w:style>
  <w:style w:type="character" w:customStyle="1" w:styleId="CommentSubjectChar">
    <w:name w:val="Comment Subject Char"/>
    <w:basedOn w:val="CommentTextChar"/>
    <w:link w:val="CommentSubject"/>
    <w:uiPriority w:val="99"/>
    <w:semiHidden/>
    <w:rsid w:val="009C5CFC"/>
    <w:rPr>
      <w:rFonts w:ascii="Times New Roman" w:hAnsi="Times New Roman" w:cs="Times New Roman"/>
      <w:b/>
      <w:bCs/>
      <w:sz w:val="20"/>
      <w:szCs w:val="20"/>
      <w:lang w:val="fr-FR"/>
    </w:rPr>
  </w:style>
  <w:style w:type="paragraph" w:styleId="Revision">
    <w:name w:val="Revision"/>
    <w:hidden/>
    <w:uiPriority w:val="99"/>
    <w:semiHidden/>
    <w:rsid w:val="009C5CFC"/>
    <w:pPr>
      <w:spacing w:after="0" w:line="240" w:lineRule="auto"/>
    </w:pPr>
    <w:rPr>
      <w:rFonts w:ascii="Times New Roman" w:hAnsi="Times New Roman" w:cs="Times New Roman"/>
      <w:sz w:val="24"/>
      <w:lang w:val="fr-FR"/>
    </w:rPr>
  </w:style>
  <w:style w:type="paragraph" w:styleId="Caption">
    <w:name w:val="caption"/>
    <w:basedOn w:val="Normal"/>
    <w:next w:val="Normal"/>
    <w:uiPriority w:val="35"/>
    <w:semiHidden/>
    <w:unhideWhenUsed/>
    <w:qFormat/>
    <w:rsid w:val="00521C07"/>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521C07"/>
    <w:pPr>
      <w:spacing w:after="0"/>
    </w:pPr>
  </w:style>
  <w:style w:type="paragraph" w:styleId="ListNumber">
    <w:name w:val="List Number"/>
    <w:basedOn w:val="Normal"/>
    <w:uiPriority w:val="99"/>
    <w:semiHidden/>
    <w:unhideWhenUsed/>
    <w:rsid w:val="00521C07"/>
    <w:pPr>
      <w:numPr>
        <w:numId w:val="6"/>
      </w:numPr>
      <w:contextualSpacing/>
    </w:pPr>
  </w:style>
  <w:style w:type="paragraph" w:styleId="ListNumber2">
    <w:name w:val="List Number 2"/>
    <w:basedOn w:val="Normal"/>
    <w:uiPriority w:val="99"/>
    <w:semiHidden/>
    <w:unhideWhenUsed/>
    <w:rsid w:val="00521C07"/>
    <w:pPr>
      <w:numPr>
        <w:numId w:val="7"/>
      </w:numPr>
      <w:contextualSpacing/>
    </w:pPr>
  </w:style>
  <w:style w:type="paragraph" w:styleId="ListNumber3">
    <w:name w:val="List Number 3"/>
    <w:basedOn w:val="Normal"/>
    <w:uiPriority w:val="99"/>
    <w:semiHidden/>
    <w:unhideWhenUsed/>
    <w:rsid w:val="00521C07"/>
    <w:pPr>
      <w:numPr>
        <w:numId w:val="8"/>
      </w:numPr>
      <w:contextualSpacing/>
    </w:pPr>
  </w:style>
  <w:style w:type="paragraph" w:styleId="ListNumber4">
    <w:name w:val="List Number 4"/>
    <w:basedOn w:val="Normal"/>
    <w:uiPriority w:val="99"/>
    <w:semiHidden/>
    <w:unhideWhenUsed/>
    <w:rsid w:val="00521C07"/>
    <w:pPr>
      <w:numPr>
        <w:numId w:val="9"/>
      </w:numPr>
      <w:contextualSpacing/>
    </w:pPr>
  </w:style>
  <w:style w:type="character" w:styleId="Hyperlink">
    <w:name w:val="Hyperlink"/>
    <w:basedOn w:val="DefaultParagraphFont"/>
    <w:uiPriority w:val="99"/>
    <w:unhideWhenUsed/>
    <w:rsid w:val="002E1DD6"/>
    <w:rPr>
      <w:color w:val="0000FF" w:themeColor="hyperlink"/>
      <w:u w:val="single"/>
    </w:rPr>
  </w:style>
  <w:style w:type="paragraph" w:styleId="EndnoteText">
    <w:name w:val="endnote text"/>
    <w:basedOn w:val="Normal"/>
    <w:link w:val="EndnoteTextChar"/>
    <w:uiPriority w:val="99"/>
    <w:semiHidden/>
    <w:unhideWhenUsed/>
    <w:rsid w:val="00A012FB"/>
    <w:pPr>
      <w:spacing w:before="0" w:after="0"/>
    </w:pPr>
    <w:rPr>
      <w:sz w:val="20"/>
      <w:szCs w:val="20"/>
    </w:rPr>
  </w:style>
  <w:style w:type="character" w:customStyle="1" w:styleId="EndnoteTextChar">
    <w:name w:val="Endnote Text Char"/>
    <w:basedOn w:val="DefaultParagraphFont"/>
    <w:link w:val="EndnoteText"/>
    <w:uiPriority w:val="99"/>
    <w:semiHidden/>
    <w:rsid w:val="00A012FB"/>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sid w:val="00A012FB"/>
    <w:rPr>
      <w:vertAlign w:val="superscript"/>
    </w:rPr>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paragraph" w:styleId="Header">
    <w:name w:val="header"/>
    <w:basedOn w:val="Normal"/>
    <w:link w:val="HeaderChar"/>
    <w:uiPriority w:val="99"/>
    <w:unhideWhenUsed/>
    <w:rsid w:val="005D7BCD"/>
    <w:pPr>
      <w:tabs>
        <w:tab w:val="center" w:pos="4535"/>
        <w:tab w:val="right" w:pos="9071"/>
      </w:tabs>
      <w:spacing w:before="0"/>
    </w:pPr>
  </w:style>
  <w:style w:type="character" w:customStyle="1" w:styleId="HeaderChar">
    <w:name w:val="Header Char"/>
    <w:basedOn w:val="DefaultParagraphFont"/>
    <w:link w:val="Header"/>
    <w:uiPriority w:val="99"/>
    <w:rsid w:val="005D7BCD"/>
    <w:rPr>
      <w:rFonts w:ascii="Times New Roman" w:hAnsi="Times New Roman" w:cs="Times New Roman"/>
      <w:sz w:val="24"/>
      <w:lang w:val="fr-FR"/>
    </w:rPr>
  </w:style>
  <w:style w:type="paragraph" w:styleId="Footer">
    <w:name w:val="footer"/>
    <w:basedOn w:val="Normal"/>
    <w:link w:val="FooterChar"/>
    <w:uiPriority w:val="99"/>
    <w:unhideWhenUsed/>
    <w:rsid w:val="005D7BC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D7BCD"/>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5D7BCD"/>
    <w:pPr>
      <w:tabs>
        <w:tab w:val="center" w:pos="7285"/>
        <w:tab w:val="right" w:pos="14003"/>
      </w:tabs>
      <w:spacing w:before="0"/>
    </w:pPr>
  </w:style>
  <w:style w:type="paragraph" w:customStyle="1" w:styleId="FooterLandscape">
    <w:name w:val="FooterLandscape"/>
    <w:basedOn w:val="Normal"/>
    <w:rsid w:val="005D7BC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5D7BC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D7BC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0"/>
      </w:numPr>
    </w:pPr>
  </w:style>
  <w:style w:type="paragraph" w:customStyle="1" w:styleId="Tiret1">
    <w:name w:val="Tiret 1"/>
    <w:basedOn w:val="Point1"/>
    <w:rsid w:val="00877878"/>
    <w:pPr>
      <w:numPr>
        <w:numId w:val="11"/>
      </w:numPr>
    </w:pPr>
  </w:style>
  <w:style w:type="paragraph" w:customStyle="1" w:styleId="Tiret2">
    <w:name w:val="Tiret 2"/>
    <w:basedOn w:val="Point2"/>
    <w:rsid w:val="00877878"/>
    <w:pPr>
      <w:numPr>
        <w:numId w:val="12"/>
      </w:numPr>
    </w:pPr>
  </w:style>
  <w:style w:type="paragraph" w:customStyle="1" w:styleId="Tiret3">
    <w:name w:val="Tiret 3"/>
    <w:basedOn w:val="Point3"/>
    <w:rsid w:val="00877878"/>
    <w:pPr>
      <w:numPr>
        <w:numId w:val="13"/>
      </w:numPr>
    </w:pPr>
  </w:style>
  <w:style w:type="paragraph" w:customStyle="1" w:styleId="Tiret4">
    <w:name w:val="Tiret 4"/>
    <w:basedOn w:val="Point4"/>
    <w:rsid w:val="00877878"/>
    <w:pPr>
      <w:numPr>
        <w:numId w:val="14"/>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5"/>
      </w:numPr>
    </w:pPr>
  </w:style>
  <w:style w:type="paragraph" w:customStyle="1" w:styleId="NumPar2">
    <w:name w:val="NumPar 2"/>
    <w:basedOn w:val="Normal"/>
    <w:next w:val="Text1"/>
    <w:rsid w:val="00877878"/>
    <w:pPr>
      <w:numPr>
        <w:ilvl w:val="1"/>
        <w:numId w:val="15"/>
      </w:numPr>
    </w:pPr>
  </w:style>
  <w:style w:type="paragraph" w:customStyle="1" w:styleId="NumPar3">
    <w:name w:val="NumPar 3"/>
    <w:basedOn w:val="Normal"/>
    <w:next w:val="Text1"/>
    <w:rsid w:val="00877878"/>
    <w:pPr>
      <w:numPr>
        <w:ilvl w:val="2"/>
        <w:numId w:val="15"/>
      </w:numPr>
    </w:pPr>
  </w:style>
  <w:style w:type="paragraph" w:customStyle="1" w:styleId="NumPar4">
    <w:name w:val="NumPar 4"/>
    <w:basedOn w:val="Normal"/>
    <w:next w:val="Text1"/>
    <w:rsid w:val="00877878"/>
    <w:pPr>
      <w:numPr>
        <w:ilvl w:val="3"/>
        <w:numId w:val="15"/>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17"/>
      </w:numPr>
    </w:pPr>
  </w:style>
  <w:style w:type="paragraph" w:customStyle="1" w:styleId="Point1number">
    <w:name w:val="Point 1 (number)"/>
    <w:basedOn w:val="Normal"/>
    <w:rsid w:val="00877878"/>
    <w:pPr>
      <w:numPr>
        <w:ilvl w:val="2"/>
        <w:numId w:val="17"/>
      </w:numPr>
    </w:pPr>
  </w:style>
  <w:style w:type="paragraph" w:customStyle="1" w:styleId="Point2number">
    <w:name w:val="Point 2 (number)"/>
    <w:basedOn w:val="Normal"/>
    <w:rsid w:val="00877878"/>
    <w:pPr>
      <w:numPr>
        <w:ilvl w:val="4"/>
        <w:numId w:val="17"/>
      </w:numPr>
    </w:pPr>
  </w:style>
  <w:style w:type="paragraph" w:customStyle="1" w:styleId="Point3number">
    <w:name w:val="Point 3 (number)"/>
    <w:basedOn w:val="Normal"/>
    <w:rsid w:val="00877878"/>
    <w:pPr>
      <w:numPr>
        <w:ilvl w:val="6"/>
        <w:numId w:val="17"/>
      </w:numPr>
    </w:pPr>
  </w:style>
  <w:style w:type="paragraph" w:customStyle="1" w:styleId="Point0letter">
    <w:name w:val="Point 0 (letter)"/>
    <w:basedOn w:val="Normal"/>
    <w:rsid w:val="00877878"/>
    <w:pPr>
      <w:numPr>
        <w:ilvl w:val="1"/>
        <w:numId w:val="17"/>
      </w:numPr>
    </w:pPr>
  </w:style>
  <w:style w:type="paragraph" w:customStyle="1" w:styleId="Point1letter">
    <w:name w:val="Point 1 (letter)"/>
    <w:basedOn w:val="Normal"/>
    <w:rsid w:val="00877878"/>
    <w:pPr>
      <w:numPr>
        <w:ilvl w:val="3"/>
        <w:numId w:val="17"/>
      </w:numPr>
    </w:pPr>
  </w:style>
  <w:style w:type="paragraph" w:customStyle="1" w:styleId="Point2letter">
    <w:name w:val="Point 2 (letter)"/>
    <w:basedOn w:val="Normal"/>
    <w:rsid w:val="00877878"/>
    <w:pPr>
      <w:numPr>
        <w:ilvl w:val="5"/>
        <w:numId w:val="17"/>
      </w:numPr>
    </w:pPr>
  </w:style>
  <w:style w:type="paragraph" w:customStyle="1" w:styleId="Point3letter">
    <w:name w:val="Point 3 (letter)"/>
    <w:basedOn w:val="Normal"/>
    <w:rsid w:val="00877878"/>
    <w:pPr>
      <w:numPr>
        <w:ilvl w:val="7"/>
        <w:numId w:val="17"/>
      </w:numPr>
    </w:pPr>
  </w:style>
  <w:style w:type="paragraph" w:customStyle="1" w:styleId="Point4letter">
    <w:name w:val="Point 4 (letter)"/>
    <w:basedOn w:val="Normal"/>
    <w:rsid w:val="00877878"/>
    <w:pPr>
      <w:numPr>
        <w:ilvl w:val="8"/>
        <w:numId w:val="17"/>
      </w:numPr>
    </w:pPr>
  </w:style>
  <w:style w:type="paragraph" w:customStyle="1" w:styleId="Bullet0">
    <w:name w:val="Bullet 0"/>
    <w:basedOn w:val="Normal"/>
    <w:rsid w:val="00877878"/>
    <w:pPr>
      <w:numPr>
        <w:numId w:val="18"/>
      </w:numPr>
    </w:pPr>
  </w:style>
  <w:style w:type="paragraph" w:customStyle="1" w:styleId="Bullet1">
    <w:name w:val="Bullet 1"/>
    <w:basedOn w:val="Normal"/>
    <w:rsid w:val="00877878"/>
    <w:pPr>
      <w:numPr>
        <w:numId w:val="19"/>
      </w:numPr>
    </w:pPr>
  </w:style>
  <w:style w:type="paragraph" w:customStyle="1" w:styleId="Bullet2">
    <w:name w:val="Bullet 2"/>
    <w:basedOn w:val="Normal"/>
    <w:rsid w:val="00877878"/>
    <w:pPr>
      <w:numPr>
        <w:numId w:val="20"/>
      </w:numPr>
    </w:pPr>
  </w:style>
  <w:style w:type="paragraph" w:customStyle="1" w:styleId="Bullet3">
    <w:name w:val="Bullet 3"/>
    <w:basedOn w:val="Normal"/>
    <w:rsid w:val="00877878"/>
    <w:pPr>
      <w:numPr>
        <w:numId w:val="21"/>
      </w:numPr>
    </w:pPr>
  </w:style>
  <w:style w:type="paragraph" w:customStyle="1" w:styleId="Bullet4">
    <w:name w:val="Bullet 4"/>
    <w:basedOn w:val="Normal"/>
    <w:rsid w:val="00877878"/>
    <w:pPr>
      <w:numPr>
        <w:numId w:val="22"/>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3"/>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6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645"/>
    <w:rPr>
      <w:rFonts w:ascii="Tahoma" w:hAnsi="Tahoma" w:cs="Tahoma"/>
      <w:sz w:val="16"/>
      <w:szCs w:val="16"/>
      <w:lang w:val="fr-FR"/>
    </w:rPr>
  </w:style>
  <w:style w:type="paragraph" w:styleId="ListBullet">
    <w:name w:val="List Bullet"/>
    <w:basedOn w:val="Normal"/>
    <w:uiPriority w:val="99"/>
    <w:semiHidden/>
    <w:unhideWhenUsed/>
    <w:rsid w:val="00F6287D"/>
    <w:pPr>
      <w:numPr>
        <w:numId w:val="1"/>
      </w:numPr>
      <w:contextualSpacing/>
    </w:pPr>
  </w:style>
  <w:style w:type="paragraph" w:styleId="ListBullet2">
    <w:name w:val="List Bullet 2"/>
    <w:basedOn w:val="Normal"/>
    <w:uiPriority w:val="99"/>
    <w:semiHidden/>
    <w:unhideWhenUsed/>
    <w:rsid w:val="00F6287D"/>
    <w:pPr>
      <w:numPr>
        <w:numId w:val="2"/>
      </w:numPr>
      <w:contextualSpacing/>
    </w:pPr>
  </w:style>
  <w:style w:type="paragraph" w:styleId="ListBullet3">
    <w:name w:val="List Bullet 3"/>
    <w:basedOn w:val="Normal"/>
    <w:uiPriority w:val="99"/>
    <w:semiHidden/>
    <w:unhideWhenUsed/>
    <w:rsid w:val="00F6287D"/>
    <w:pPr>
      <w:numPr>
        <w:numId w:val="3"/>
      </w:numPr>
      <w:contextualSpacing/>
    </w:pPr>
  </w:style>
  <w:style w:type="paragraph" w:styleId="ListBullet4">
    <w:name w:val="List Bullet 4"/>
    <w:basedOn w:val="Normal"/>
    <w:uiPriority w:val="99"/>
    <w:semiHidden/>
    <w:unhideWhenUsed/>
    <w:rsid w:val="00F6287D"/>
    <w:pPr>
      <w:numPr>
        <w:numId w:val="4"/>
      </w:numPr>
      <w:contextualSpacing/>
    </w:pPr>
  </w:style>
  <w:style w:type="character" w:styleId="CommentReference">
    <w:name w:val="annotation reference"/>
    <w:basedOn w:val="DefaultParagraphFont"/>
    <w:uiPriority w:val="99"/>
    <w:semiHidden/>
    <w:unhideWhenUsed/>
    <w:rsid w:val="009C5CFC"/>
    <w:rPr>
      <w:sz w:val="16"/>
      <w:szCs w:val="16"/>
    </w:rPr>
  </w:style>
  <w:style w:type="paragraph" w:styleId="CommentText">
    <w:name w:val="annotation text"/>
    <w:basedOn w:val="Normal"/>
    <w:link w:val="CommentTextChar"/>
    <w:uiPriority w:val="99"/>
    <w:semiHidden/>
    <w:unhideWhenUsed/>
    <w:rsid w:val="009C5CFC"/>
    <w:rPr>
      <w:sz w:val="20"/>
      <w:szCs w:val="20"/>
    </w:rPr>
  </w:style>
  <w:style w:type="character" w:customStyle="1" w:styleId="CommentTextChar">
    <w:name w:val="Comment Text Char"/>
    <w:basedOn w:val="DefaultParagraphFont"/>
    <w:link w:val="CommentText"/>
    <w:uiPriority w:val="99"/>
    <w:semiHidden/>
    <w:rsid w:val="009C5CFC"/>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9C5CFC"/>
    <w:rPr>
      <w:b/>
      <w:bCs/>
    </w:rPr>
  </w:style>
  <w:style w:type="character" w:customStyle="1" w:styleId="CommentSubjectChar">
    <w:name w:val="Comment Subject Char"/>
    <w:basedOn w:val="CommentTextChar"/>
    <w:link w:val="CommentSubject"/>
    <w:uiPriority w:val="99"/>
    <w:semiHidden/>
    <w:rsid w:val="009C5CFC"/>
    <w:rPr>
      <w:rFonts w:ascii="Times New Roman" w:hAnsi="Times New Roman" w:cs="Times New Roman"/>
      <w:b/>
      <w:bCs/>
      <w:sz w:val="20"/>
      <w:szCs w:val="20"/>
      <w:lang w:val="fr-FR"/>
    </w:rPr>
  </w:style>
  <w:style w:type="paragraph" w:styleId="Revision">
    <w:name w:val="Revision"/>
    <w:hidden/>
    <w:uiPriority w:val="99"/>
    <w:semiHidden/>
    <w:rsid w:val="009C5CFC"/>
    <w:pPr>
      <w:spacing w:after="0" w:line="240" w:lineRule="auto"/>
    </w:pPr>
    <w:rPr>
      <w:rFonts w:ascii="Times New Roman" w:hAnsi="Times New Roman" w:cs="Times New Roman"/>
      <w:sz w:val="24"/>
      <w:lang w:val="fr-FR"/>
    </w:rPr>
  </w:style>
  <w:style w:type="paragraph" w:styleId="Caption">
    <w:name w:val="caption"/>
    <w:basedOn w:val="Normal"/>
    <w:next w:val="Normal"/>
    <w:uiPriority w:val="35"/>
    <w:semiHidden/>
    <w:unhideWhenUsed/>
    <w:qFormat/>
    <w:rsid w:val="00521C07"/>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521C07"/>
    <w:pPr>
      <w:spacing w:after="0"/>
    </w:pPr>
  </w:style>
  <w:style w:type="paragraph" w:styleId="ListNumber">
    <w:name w:val="List Number"/>
    <w:basedOn w:val="Normal"/>
    <w:uiPriority w:val="99"/>
    <w:semiHidden/>
    <w:unhideWhenUsed/>
    <w:rsid w:val="00521C07"/>
    <w:pPr>
      <w:numPr>
        <w:numId w:val="6"/>
      </w:numPr>
      <w:contextualSpacing/>
    </w:pPr>
  </w:style>
  <w:style w:type="paragraph" w:styleId="ListNumber2">
    <w:name w:val="List Number 2"/>
    <w:basedOn w:val="Normal"/>
    <w:uiPriority w:val="99"/>
    <w:semiHidden/>
    <w:unhideWhenUsed/>
    <w:rsid w:val="00521C07"/>
    <w:pPr>
      <w:numPr>
        <w:numId w:val="7"/>
      </w:numPr>
      <w:contextualSpacing/>
    </w:pPr>
  </w:style>
  <w:style w:type="paragraph" w:styleId="ListNumber3">
    <w:name w:val="List Number 3"/>
    <w:basedOn w:val="Normal"/>
    <w:uiPriority w:val="99"/>
    <w:semiHidden/>
    <w:unhideWhenUsed/>
    <w:rsid w:val="00521C07"/>
    <w:pPr>
      <w:numPr>
        <w:numId w:val="8"/>
      </w:numPr>
      <w:contextualSpacing/>
    </w:pPr>
  </w:style>
  <w:style w:type="paragraph" w:styleId="ListNumber4">
    <w:name w:val="List Number 4"/>
    <w:basedOn w:val="Normal"/>
    <w:uiPriority w:val="99"/>
    <w:semiHidden/>
    <w:unhideWhenUsed/>
    <w:rsid w:val="00521C07"/>
    <w:pPr>
      <w:numPr>
        <w:numId w:val="9"/>
      </w:numPr>
      <w:contextualSpacing/>
    </w:pPr>
  </w:style>
  <w:style w:type="character" w:styleId="Hyperlink">
    <w:name w:val="Hyperlink"/>
    <w:basedOn w:val="DefaultParagraphFont"/>
    <w:uiPriority w:val="99"/>
    <w:unhideWhenUsed/>
    <w:rsid w:val="002E1DD6"/>
    <w:rPr>
      <w:color w:val="0000FF" w:themeColor="hyperlink"/>
      <w:u w:val="single"/>
    </w:rPr>
  </w:style>
  <w:style w:type="paragraph" w:styleId="EndnoteText">
    <w:name w:val="endnote text"/>
    <w:basedOn w:val="Normal"/>
    <w:link w:val="EndnoteTextChar"/>
    <w:uiPriority w:val="99"/>
    <w:semiHidden/>
    <w:unhideWhenUsed/>
    <w:rsid w:val="00A012FB"/>
    <w:pPr>
      <w:spacing w:before="0" w:after="0"/>
    </w:pPr>
    <w:rPr>
      <w:sz w:val="20"/>
      <w:szCs w:val="20"/>
    </w:rPr>
  </w:style>
  <w:style w:type="character" w:customStyle="1" w:styleId="EndnoteTextChar">
    <w:name w:val="Endnote Text Char"/>
    <w:basedOn w:val="DefaultParagraphFont"/>
    <w:link w:val="EndnoteText"/>
    <w:uiPriority w:val="99"/>
    <w:semiHidden/>
    <w:rsid w:val="00A012FB"/>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sid w:val="00A012FB"/>
    <w:rPr>
      <w:vertAlign w:val="superscript"/>
    </w:rPr>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paragraph" w:styleId="Header">
    <w:name w:val="header"/>
    <w:basedOn w:val="Normal"/>
    <w:link w:val="HeaderChar"/>
    <w:uiPriority w:val="99"/>
    <w:unhideWhenUsed/>
    <w:rsid w:val="005D7BCD"/>
    <w:pPr>
      <w:tabs>
        <w:tab w:val="center" w:pos="4535"/>
        <w:tab w:val="right" w:pos="9071"/>
      </w:tabs>
      <w:spacing w:before="0"/>
    </w:pPr>
  </w:style>
  <w:style w:type="character" w:customStyle="1" w:styleId="HeaderChar">
    <w:name w:val="Header Char"/>
    <w:basedOn w:val="DefaultParagraphFont"/>
    <w:link w:val="Header"/>
    <w:uiPriority w:val="99"/>
    <w:rsid w:val="005D7BCD"/>
    <w:rPr>
      <w:rFonts w:ascii="Times New Roman" w:hAnsi="Times New Roman" w:cs="Times New Roman"/>
      <w:sz w:val="24"/>
      <w:lang w:val="fr-FR"/>
    </w:rPr>
  </w:style>
  <w:style w:type="paragraph" w:styleId="Footer">
    <w:name w:val="footer"/>
    <w:basedOn w:val="Normal"/>
    <w:link w:val="FooterChar"/>
    <w:uiPriority w:val="99"/>
    <w:unhideWhenUsed/>
    <w:rsid w:val="005D7BC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D7BCD"/>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5D7BCD"/>
    <w:pPr>
      <w:tabs>
        <w:tab w:val="center" w:pos="7285"/>
        <w:tab w:val="right" w:pos="14003"/>
      </w:tabs>
      <w:spacing w:before="0"/>
    </w:pPr>
  </w:style>
  <w:style w:type="paragraph" w:customStyle="1" w:styleId="FooterLandscape">
    <w:name w:val="FooterLandscape"/>
    <w:basedOn w:val="Normal"/>
    <w:rsid w:val="005D7BC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5D7BC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D7BC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0"/>
      </w:numPr>
    </w:pPr>
  </w:style>
  <w:style w:type="paragraph" w:customStyle="1" w:styleId="Tiret1">
    <w:name w:val="Tiret 1"/>
    <w:basedOn w:val="Point1"/>
    <w:rsid w:val="00877878"/>
    <w:pPr>
      <w:numPr>
        <w:numId w:val="11"/>
      </w:numPr>
    </w:pPr>
  </w:style>
  <w:style w:type="paragraph" w:customStyle="1" w:styleId="Tiret2">
    <w:name w:val="Tiret 2"/>
    <w:basedOn w:val="Point2"/>
    <w:rsid w:val="00877878"/>
    <w:pPr>
      <w:numPr>
        <w:numId w:val="12"/>
      </w:numPr>
    </w:pPr>
  </w:style>
  <w:style w:type="paragraph" w:customStyle="1" w:styleId="Tiret3">
    <w:name w:val="Tiret 3"/>
    <w:basedOn w:val="Point3"/>
    <w:rsid w:val="00877878"/>
    <w:pPr>
      <w:numPr>
        <w:numId w:val="13"/>
      </w:numPr>
    </w:pPr>
  </w:style>
  <w:style w:type="paragraph" w:customStyle="1" w:styleId="Tiret4">
    <w:name w:val="Tiret 4"/>
    <w:basedOn w:val="Point4"/>
    <w:rsid w:val="00877878"/>
    <w:pPr>
      <w:numPr>
        <w:numId w:val="14"/>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5"/>
      </w:numPr>
    </w:pPr>
  </w:style>
  <w:style w:type="paragraph" w:customStyle="1" w:styleId="NumPar2">
    <w:name w:val="NumPar 2"/>
    <w:basedOn w:val="Normal"/>
    <w:next w:val="Text1"/>
    <w:rsid w:val="00877878"/>
    <w:pPr>
      <w:numPr>
        <w:ilvl w:val="1"/>
        <w:numId w:val="15"/>
      </w:numPr>
    </w:pPr>
  </w:style>
  <w:style w:type="paragraph" w:customStyle="1" w:styleId="NumPar3">
    <w:name w:val="NumPar 3"/>
    <w:basedOn w:val="Normal"/>
    <w:next w:val="Text1"/>
    <w:rsid w:val="00877878"/>
    <w:pPr>
      <w:numPr>
        <w:ilvl w:val="2"/>
        <w:numId w:val="15"/>
      </w:numPr>
    </w:pPr>
  </w:style>
  <w:style w:type="paragraph" w:customStyle="1" w:styleId="NumPar4">
    <w:name w:val="NumPar 4"/>
    <w:basedOn w:val="Normal"/>
    <w:next w:val="Text1"/>
    <w:rsid w:val="00877878"/>
    <w:pPr>
      <w:numPr>
        <w:ilvl w:val="3"/>
        <w:numId w:val="15"/>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17"/>
      </w:numPr>
    </w:pPr>
  </w:style>
  <w:style w:type="paragraph" w:customStyle="1" w:styleId="Point1number">
    <w:name w:val="Point 1 (number)"/>
    <w:basedOn w:val="Normal"/>
    <w:rsid w:val="00877878"/>
    <w:pPr>
      <w:numPr>
        <w:ilvl w:val="2"/>
        <w:numId w:val="17"/>
      </w:numPr>
    </w:pPr>
  </w:style>
  <w:style w:type="paragraph" w:customStyle="1" w:styleId="Point2number">
    <w:name w:val="Point 2 (number)"/>
    <w:basedOn w:val="Normal"/>
    <w:rsid w:val="00877878"/>
    <w:pPr>
      <w:numPr>
        <w:ilvl w:val="4"/>
        <w:numId w:val="17"/>
      </w:numPr>
    </w:pPr>
  </w:style>
  <w:style w:type="paragraph" w:customStyle="1" w:styleId="Point3number">
    <w:name w:val="Point 3 (number)"/>
    <w:basedOn w:val="Normal"/>
    <w:rsid w:val="00877878"/>
    <w:pPr>
      <w:numPr>
        <w:ilvl w:val="6"/>
        <w:numId w:val="17"/>
      </w:numPr>
    </w:pPr>
  </w:style>
  <w:style w:type="paragraph" w:customStyle="1" w:styleId="Point0letter">
    <w:name w:val="Point 0 (letter)"/>
    <w:basedOn w:val="Normal"/>
    <w:rsid w:val="00877878"/>
    <w:pPr>
      <w:numPr>
        <w:ilvl w:val="1"/>
        <w:numId w:val="17"/>
      </w:numPr>
    </w:pPr>
  </w:style>
  <w:style w:type="paragraph" w:customStyle="1" w:styleId="Point1letter">
    <w:name w:val="Point 1 (letter)"/>
    <w:basedOn w:val="Normal"/>
    <w:rsid w:val="00877878"/>
    <w:pPr>
      <w:numPr>
        <w:ilvl w:val="3"/>
        <w:numId w:val="17"/>
      </w:numPr>
    </w:pPr>
  </w:style>
  <w:style w:type="paragraph" w:customStyle="1" w:styleId="Point2letter">
    <w:name w:val="Point 2 (letter)"/>
    <w:basedOn w:val="Normal"/>
    <w:rsid w:val="00877878"/>
    <w:pPr>
      <w:numPr>
        <w:ilvl w:val="5"/>
        <w:numId w:val="17"/>
      </w:numPr>
    </w:pPr>
  </w:style>
  <w:style w:type="paragraph" w:customStyle="1" w:styleId="Point3letter">
    <w:name w:val="Point 3 (letter)"/>
    <w:basedOn w:val="Normal"/>
    <w:rsid w:val="00877878"/>
    <w:pPr>
      <w:numPr>
        <w:ilvl w:val="7"/>
        <w:numId w:val="17"/>
      </w:numPr>
    </w:pPr>
  </w:style>
  <w:style w:type="paragraph" w:customStyle="1" w:styleId="Point4letter">
    <w:name w:val="Point 4 (letter)"/>
    <w:basedOn w:val="Normal"/>
    <w:rsid w:val="00877878"/>
    <w:pPr>
      <w:numPr>
        <w:ilvl w:val="8"/>
        <w:numId w:val="17"/>
      </w:numPr>
    </w:pPr>
  </w:style>
  <w:style w:type="paragraph" w:customStyle="1" w:styleId="Bullet0">
    <w:name w:val="Bullet 0"/>
    <w:basedOn w:val="Normal"/>
    <w:rsid w:val="00877878"/>
    <w:pPr>
      <w:numPr>
        <w:numId w:val="18"/>
      </w:numPr>
    </w:pPr>
  </w:style>
  <w:style w:type="paragraph" w:customStyle="1" w:styleId="Bullet1">
    <w:name w:val="Bullet 1"/>
    <w:basedOn w:val="Normal"/>
    <w:rsid w:val="00877878"/>
    <w:pPr>
      <w:numPr>
        <w:numId w:val="19"/>
      </w:numPr>
    </w:pPr>
  </w:style>
  <w:style w:type="paragraph" w:customStyle="1" w:styleId="Bullet2">
    <w:name w:val="Bullet 2"/>
    <w:basedOn w:val="Normal"/>
    <w:rsid w:val="00877878"/>
    <w:pPr>
      <w:numPr>
        <w:numId w:val="20"/>
      </w:numPr>
    </w:pPr>
  </w:style>
  <w:style w:type="paragraph" w:customStyle="1" w:styleId="Bullet3">
    <w:name w:val="Bullet 3"/>
    <w:basedOn w:val="Normal"/>
    <w:rsid w:val="00877878"/>
    <w:pPr>
      <w:numPr>
        <w:numId w:val="21"/>
      </w:numPr>
    </w:pPr>
  </w:style>
  <w:style w:type="paragraph" w:customStyle="1" w:styleId="Bullet4">
    <w:name w:val="Bullet 4"/>
    <w:basedOn w:val="Normal"/>
    <w:rsid w:val="00877878"/>
    <w:pPr>
      <w:numPr>
        <w:numId w:val="22"/>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3"/>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8798-0B98-4033-8EE5-8B80AE8C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5304</Words>
  <Characters>30823</Characters>
  <Application>Microsoft Office Word</Application>
  <DocSecurity>0</DocSecurity>
  <Lines>453</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4</cp:revision>
  <cp:lastPrinted>2018-05-16T07:44:00Z</cp:lastPrinted>
  <dcterms:created xsi:type="dcterms:W3CDTF">2018-05-22T07:27:00Z</dcterms:created>
  <dcterms:modified xsi:type="dcterms:W3CDTF">2018-06-08T14:12:00Z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Yellow (DQC version 03)</vt:lpwstr>
  </property>
</Properties>
</file>