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62BC7C-CA78-4875-95CC-A946B914247D" style="width:450.25pt;height:39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b/>
          <w:noProof/>
        </w:rPr>
      </w:pPr>
      <w:r>
        <w:rPr>
          <w:b/>
          <w:noProof/>
        </w:rPr>
        <w:t xml:space="preserve">I. Мисия </w:t>
      </w:r>
    </w:p>
    <w:p>
      <w:pPr>
        <w:rPr>
          <w:noProof/>
        </w:rPr>
      </w:pPr>
      <w:r>
        <w:rPr>
          <w:noProof/>
        </w:rPr>
        <w:t>Комитетът по подбора изготвя списък с предварително подбрани квалифицирани кандидати за поста европейски главен прокурор в съответствие с член 14, параграф 3 от Регламент (ЕС) 2017/1939</w:t>
      </w:r>
      <w:r>
        <w:rPr>
          <w:rStyle w:val="FootnoteReference"/>
          <w:noProof/>
        </w:rPr>
        <w:footnoteReference w:id="1"/>
      </w:r>
      <w:r>
        <w:rPr>
          <w:noProof/>
        </w:rPr>
        <w:t xml:space="preserve">. Той също така дава </w:t>
      </w:r>
      <w:bookmarkStart w:id="1" w:name="OLE_LINK5"/>
      <w:bookmarkStart w:id="2" w:name="OLE_LINK6"/>
      <w:r>
        <w:rPr>
          <w:noProof/>
        </w:rPr>
        <w:t>обосновано становище относно квалификацията на посочените кандидати</w:t>
      </w:r>
      <w:bookmarkEnd w:id="1"/>
      <w:bookmarkEnd w:id="2"/>
      <w:r>
        <w:rPr>
          <w:noProof/>
        </w:rPr>
        <w:t xml:space="preserve"> за позицията европейски прокурор в съответствие с член 16, параграф 2 от Регламент (ЕС) 2017/1939. Той прави това преди назначаването им от Европейския парламент и Съвета в първия случай и от Съвета във втория случай.</w:t>
      </w:r>
    </w:p>
    <w:p>
      <w:pPr>
        <w:rPr>
          <w:b/>
          <w:noProof/>
        </w:rPr>
      </w:pPr>
      <w:r>
        <w:rPr>
          <w:b/>
          <w:noProof/>
        </w:rPr>
        <w:t xml:space="preserve">II. Състав и мандат </w:t>
      </w:r>
    </w:p>
    <w:p>
      <w:pPr>
        <w:rPr>
          <w:noProof/>
          <w:szCs w:val="24"/>
        </w:rPr>
      </w:pPr>
      <w:r>
        <w:rPr>
          <w:noProof/>
        </w:rPr>
        <w:t xml:space="preserve">Комитетът по подбора се състои от дванадесет лица, които към момента на назначаването си са бивши членове на Съда на ЕС и Сметната палата, бивши национални членове на Евроюст, членове на националните върховни съдилища, прокурори с висок ранг или юристи с общопризната компетентност. Към датата на назначаването си всички членове трябва да отговарят на поне един от горепосочените критерии. </w:t>
      </w:r>
    </w:p>
    <w:p>
      <w:pPr>
        <w:rPr>
          <w:noProof/>
        </w:rPr>
      </w:pPr>
      <w:r>
        <w:rPr>
          <w:noProof/>
        </w:rPr>
        <w:t>Членовете на комитета по подбора се назначават от Съвета по предложение на Комисията за срок от четири години. Едно от избраните лица се предлага от Европейския парламент. Лице, което трябва да замести член на комитета преди да е изтекъл този срок, се назначава за остатъка на мандата на своя предшественик. Членовете на комитета могат да бъдат повторно назначени на този пост само веднъж.</w:t>
      </w:r>
    </w:p>
    <w:p>
      <w:pPr>
        <w:rPr>
          <w:b/>
          <w:noProof/>
        </w:rPr>
      </w:pPr>
      <w:r>
        <w:rPr>
          <w:b/>
          <w:noProof/>
        </w:rPr>
        <w:t>III. Председателство и секретариат</w:t>
      </w:r>
    </w:p>
    <w:p>
      <w:pPr>
        <w:rPr>
          <w:noProof/>
        </w:rPr>
      </w:pPr>
      <w:r>
        <w:rPr>
          <w:noProof/>
        </w:rPr>
        <w:t>Комитетът по подбора се председателства от един от неговите членове, избран за тази цел от членовете на комитета с мнозинство от гласовете. Комисията осигурява секретариата на комитета. Той предоставя необходимата административна подкрепа за работата на комитета, включително превода на документи. Секретариатът също така предава на Европейския парламент и Съвета списъка с предварително подбрани кандидати за поста европейски главен прокурор, а на Съвета — обоснованите становища относно квалификацията на кандидатите да изпълняват задълженията на европейските прокурори.</w:t>
      </w:r>
    </w:p>
    <w:p>
      <w:pPr>
        <w:rPr>
          <w:b/>
          <w:noProof/>
        </w:rPr>
      </w:pPr>
      <w:r>
        <w:rPr>
          <w:b/>
          <w:noProof/>
        </w:rPr>
        <w:t xml:space="preserve">IV. Обсъждания и кворум </w:t>
      </w:r>
    </w:p>
    <w:p>
      <w:pPr>
        <w:rPr>
          <w:noProof/>
          <w:color w:val="000000"/>
          <w:szCs w:val="24"/>
        </w:rPr>
      </w:pPr>
      <w:r>
        <w:rPr>
          <w:noProof/>
          <w:color w:val="000000"/>
        </w:rPr>
        <w:t xml:space="preserve">Обсъжданията в рамките на комитета по подбора са поверителни и се провеждат при </w:t>
      </w:r>
      <w:bookmarkStart w:id="3" w:name="OLE_LINK3"/>
      <w:bookmarkStart w:id="4" w:name="OLE_LINK4"/>
      <w:r>
        <w:rPr>
          <w:noProof/>
          <w:color w:val="000000"/>
        </w:rPr>
        <w:t>закрити врата</w:t>
      </w:r>
      <w:bookmarkEnd w:id="3"/>
      <w:bookmarkEnd w:id="4"/>
      <w:r>
        <w:rPr>
          <w:noProof/>
          <w:color w:val="000000"/>
        </w:rPr>
        <w:t>. Заседанията на комитета са действителни при кворум от най-малко девет от неговите членове.</w:t>
      </w:r>
    </w:p>
    <w:p>
      <w:pPr>
        <w:rPr>
          <w:noProof/>
          <w:color w:val="000000"/>
          <w:szCs w:val="24"/>
        </w:rPr>
      </w:pPr>
      <w:r>
        <w:rPr>
          <w:noProof/>
          <w:color w:val="000000"/>
        </w:rPr>
        <w:t>Решенията на комитета по подбора се вземат с консенсус. При все това ако член на комитета поиска да се проведе гласуване, решението се взема с обикновено мнозинство на присъстващите членове. При равен брой на гласовете решаващ глас има председателят.</w:t>
      </w:r>
    </w:p>
    <w:p>
      <w:pPr>
        <w:rPr>
          <w:b/>
          <w:noProof/>
        </w:rPr>
      </w:pPr>
      <w:r>
        <w:rPr>
          <w:b/>
          <w:noProof/>
        </w:rPr>
        <w:t>V. Сезиране на комитета и искане на допълнителна информация</w:t>
      </w:r>
    </w:p>
    <w:p>
      <w:pPr>
        <w:rPr>
          <w:noProof/>
          <w:szCs w:val="24"/>
        </w:rPr>
      </w:pPr>
      <w:r>
        <w:rPr>
          <w:noProof/>
        </w:rPr>
        <w:t xml:space="preserve">Веднага след като са били получени кандидатурите за поста европейски главен прокурор, секретариатът ги изпраща на председателя на комитета. Същото се отнася и </w:t>
      </w:r>
      <w:r>
        <w:rPr>
          <w:noProof/>
        </w:rPr>
        <w:lastRenderedPageBreak/>
        <w:t xml:space="preserve">за посочените кандидати за позицията европейски прокурор, включително придружаващите документи, представени от държавите членки. </w:t>
      </w:r>
    </w:p>
    <w:p>
      <w:pPr>
        <w:rPr>
          <w:noProof/>
          <w:color w:val="000000"/>
          <w:szCs w:val="24"/>
        </w:rPr>
      </w:pPr>
      <w:r>
        <w:rPr>
          <w:noProof/>
          <w:color w:val="000000"/>
        </w:rPr>
        <w:t xml:space="preserve">Комитетът по подбора може да поиска от кандидатите, а в случая на посочените кандидати за позицията европейски прокурор — от правителството на посочилата ги държава членка, да представят допълнителна информация или други материали, които комитетът счита за необходими за обсъжданията си. </w:t>
      </w:r>
    </w:p>
    <w:p>
      <w:pPr>
        <w:rPr>
          <w:b/>
          <w:noProof/>
        </w:rPr>
      </w:pPr>
      <w:r>
        <w:rPr>
          <w:b/>
          <w:noProof/>
        </w:rPr>
        <w:t xml:space="preserve">VI. Разглеждане и изслушване </w:t>
      </w:r>
    </w:p>
    <w:p>
      <w:pPr>
        <w:rPr>
          <w:noProof/>
          <w:color w:val="000000"/>
          <w:szCs w:val="24"/>
        </w:rPr>
      </w:pPr>
      <w:r>
        <w:rPr>
          <w:noProof/>
          <w:color w:val="000000"/>
        </w:rPr>
        <w:t xml:space="preserve">1. </w:t>
      </w:r>
      <w:r>
        <w:rPr>
          <w:noProof/>
          <w:color w:val="000000"/>
          <w:u w:val="single"/>
        </w:rPr>
        <w:t>Процедура за назначаване на европейския главен прокурор</w:t>
      </w:r>
    </w:p>
    <w:p>
      <w:pPr>
        <w:rPr>
          <w:noProof/>
          <w:color w:val="000000"/>
          <w:szCs w:val="24"/>
        </w:rPr>
      </w:pPr>
      <w:r>
        <w:rPr>
          <w:noProof/>
          <w:color w:val="000000"/>
        </w:rPr>
        <w:t xml:space="preserve">При получаване на подадените от кандидатите кандидатури, комитетът по подбора разглежда кандидатурите с оглед на изискванията, съдържащи се в член 14, параграф 2 от </w:t>
      </w:r>
      <w:r>
        <w:rPr>
          <w:noProof/>
        </w:rPr>
        <w:t>Регламент 2017/1939,</w:t>
      </w:r>
      <w:r>
        <w:rPr>
          <w:noProof/>
          <w:color w:val="000000"/>
        </w:rPr>
        <w:t xml:space="preserve"> съгласно допълнителните уточнения в обявлението за свободна длъжност. Кандидатите, които не отговарят на изискванията за допустимост, се изключват от следващите етапи на процедурата. Комитетът класира отговарящите на изискванията кандидати според тяхната квалификация и опит, въз основа на документацията и информацията, предоставени в кандидатурата или след искане съгласно правило V. За да може да изготви списъка, посочен в правило VII, комитетът изслушва достатъчен брой от най-високо класираните кандидати. Изслушванията се провеждат присъствено. </w:t>
      </w:r>
    </w:p>
    <w:p>
      <w:pPr>
        <w:rPr>
          <w:noProof/>
          <w:sz w:val="22"/>
        </w:rPr>
      </w:pPr>
      <w:r>
        <w:rPr>
          <w:noProof/>
          <w:color w:val="000000"/>
        </w:rPr>
        <w:t>Кандидатите, които не отговарят на изискванията за допустимост или които не са поканени, за да бъдат изслушани от комитета, биват информирани за причините за това. Кандидатите могат да отговорят на това решение, като посочат причините, поради които не са съгласни с оценката на комисията. След това комитетът извършва повторна оценка на кандидатурата на съответния кандидат и го уведомява писмено за заключението си. Кандидатите, които са изключени от процедурата за подбор, могат да отнесат до Съвета жалба по смисъла на член 90, параграф 2 от Правилника за длъжностните лица.</w:t>
      </w:r>
    </w:p>
    <w:p>
      <w:pPr>
        <w:rPr>
          <w:noProof/>
          <w:color w:val="000000"/>
          <w:szCs w:val="24"/>
          <w:u w:val="single"/>
        </w:rPr>
      </w:pPr>
      <w:r>
        <w:rPr>
          <w:noProof/>
          <w:color w:val="000000"/>
        </w:rPr>
        <w:t xml:space="preserve">2. </w:t>
      </w:r>
      <w:r>
        <w:rPr>
          <w:noProof/>
          <w:color w:val="000000"/>
          <w:u w:val="single"/>
        </w:rPr>
        <w:t>Процедура за назначаване на европейските прокурори</w:t>
      </w:r>
    </w:p>
    <w:p>
      <w:pPr>
        <w:rPr>
          <w:noProof/>
          <w:color w:val="000000"/>
          <w:szCs w:val="24"/>
        </w:rPr>
      </w:pPr>
      <w:r>
        <w:rPr>
          <w:noProof/>
          <w:color w:val="000000"/>
        </w:rPr>
        <w:t xml:space="preserve">След като му бъдат посочени кандидатурите, комитетът по подбора ги разглежда с оглед на изискванията, съдържащи се в член 16, параграф 1 от </w:t>
      </w:r>
      <w:r>
        <w:rPr>
          <w:noProof/>
        </w:rPr>
        <w:t>Регламент 2017/1939</w:t>
      </w:r>
      <w:r>
        <w:rPr>
          <w:noProof/>
          <w:color w:val="000000"/>
        </w:rPr>
        <w:t xml:space="preserve">. Комитетът изслушва посочените кандидати. Изслушванията се провеждат присъствено. </w:t>
      </w:r>
    </w:p>
    <w:p>
      <w:pPr>
        <w:rPr>
          <w:b/>
          <w:noProof/>
        </w:rPr>
      </w:pPr>
      <w:r>
        <w:rPr>
          <w:b/>
          <w:noProof/>
        </w:rPr>
        <w:t>VII. Констатации и изложение на мотивите</w:t>
      </w:r>
    </w:p>
    <w:p>
      <w:pPr>
        <w:rPr>
          <w:noProof/>
          <w:color w:val="000000"/>
          <w:szCs w:val="24"/>
        </w:rPr>
      </w:pPr>
      <w:r>
        <w:rPr>
          <w:noProof/>
          <w:color w:val="000000"/>
        </w:rPr>
        <w:t xml:space="preserve">1. </w:t>
      </w:r>
      <w:r>
        <w:rPr>
          <w:noProof/>
          <w:color w:val="000000"/>
          <w:u w:val="single"/>
        </w:rPr>
        <w:t>Европейски главен прокурор</w:t>
      </w:r>
    </w:p>
    <w:p>
      <w:pPr>
        <w:rPr>
          <w:noProof/>
          <w:szCs w:val="24"/>
        </w:rPr>
      </w:pPr>
      <w:r>
        <w:rPr>
          <w:noProof/>
        </w:rPr>
        <w:t xml:space="preserve">Въз основа на констатациите си от разглеждането и изслушването комитетът по подбора съставя списък с трима до петима подбрани кандидати, който да бъде представен на Европейския парламент и Съвета. Комитетът обосновава подбора на кандидатите в списъка. </w:t>
      </w:r>
      <w:r>
        <w:rPr>
          <w:noProof/>
          <w:color w:val="000000"/>
        </w:rPr>
        <w:t xml:space="preserve">Кандидатите, които не са включени в списъка, биват уведомени за причините. </w:t>
      </w:r>
    </w:p>
    <w:p>
      <w:pPr>
        <w:rPr>
          <w:noProof/>
          <w:color w:val="000000"/>
          <w:szCs w:val="24"/>
        </w:rPr>
      </w:pPr>
      <w:r>
        <w:rPr>
          <w:noProof/>
          <w:color w:val="000000"/>
        </w:rPr>
        <w:t>Комитетът по подбора класира кандидатите според тяхната квалификация и опит. Класирането указва реда на предпочитание на комитета и не е обвързващо за Европейския парламент и Съвета.</w:t>
      </w:r>
      <w:r>
        <w:rPr>
          <w:noProof/>
        </w:rPr>
        <w:t xml:space="preserve"> </w:t>
      </w:r>
      <w:r>
        <w:rPr>
          <w:noProof/>
          <w:color w:val="000000"/>
        </w:rPr>
        <w:t>Кандидатите, които не са включени в списъка с предварително подбрани квалифицирани кандидати, могат да отнесат до Съвета жалба по смисъла на член 90, параграф 2 от Правилника за длъжностните лица.</w:t>
      </w:r>
    </w:p>
    <w:p>
      <w:pPr>
        <w:rPr>
          <w:noProof/>
          <w:color w:val="000000"/>
          <w:szCs w:val="24"/>
          <w:u w:val="single"/>
        </w:rPr>
      </w:pPr>
      <w:r>
        <w:rPr>
          <w:noProof/>
          <w:color w:val="000000"/>
        </w:rPr>
        <w:t xml:space="preserve">2. </w:t>
      </w:r>
      <w:r>
        <w:rPr>
          <w:noProof/>
          <w:color w:val="000000"/>
          <w:u w:val="single"/>
        </w:rPr>
        <w:t>Европейски прокурори</w:t>
      </w:r>
    </w:p>
    <w:p>
      <w:pPr>
        <w:rPr>
          <w:noProof/>
          <w:szCs w:val="24"/>
        </w:rPr>
      </w:pPr>
      <w:r>
        <w:rPr>
          <w:noProof/>
        </w:rPr>
        <w:t xml:space="preserve">Въз основа на констатациите си от разглеждането и изслушването, комитетът по подбора изготвя становище относно квалификациите на кандидатите за изпълнение на задълженията и посочва изрично дали даден кандидат отговаря на условията, посочени в член 16, параграф 1 от </w:t>
      </w:r>
      <w:r>
        <w:rPr>
          <w:noProof/>
          <w:color w:val="000000"/>
        </w:rPr>
        <w:t xml:space="preserve">Регламент (ЕС) 2017/1939. </w:t>
      </w:r>
      <w:r>
        <w:rPr>
          <w:noProof/>
        </w:rPr>
        <w:t xml:space="preserve">Комитетът обосновава становището си. </w:t>
      </w:r>
    </w:p>
    <w:p>
      <w:pPr>
        <w:rPr>
          <w:noProof/>
          <w:color w:val="000000"/>
          <w:szCs w:val="24"/>
        </w:rPr>
      </w:pPr>
      <w:r>
        <w:rPr>
          <w:noProof/>
          <w:color w:val="000000"/>
        </w:rPr>
        <w:t xml:space="preserve">В случай че посочените кандидати не отговарят на условията, определени в член 16, параграф 1 </w:t>
      </w:r>
      <w:r>
        <w:rPr>
          <w:noProof/>
        </w:rPr>
        <w:t xml:space="preserve">от Регламент (ЕС) 2017/1939, </w:t>
      </w:r>
      <w:r>
        <w:rPr>
          <w:noProof/>
          <w:color w:val="000000"/>
        </w:rPr>
        <w:t xml:space="preserve">комитетът по подбора отправя чрез своя секретариат искане до съответната държава членка да посочи съответен брой нови кандидати. </w:t>
      </w:r>
    </w:p>
    <w:p>
      <w:pPr>
        <w:rPr>
          <w:noProof/>
          <w:color w:val="000000"/>
          <w:szCs w:val="24"/>
        </w:rPr>
      </w:pPr>
      <w:r>
        <w:rPr>
          <w:noProof/>
          <w:color w:val="000000"/>
        </w:rPr>
        <w:t>Комитетът класира кандидатите според тяхната квалификация и опит. Класирането указва реда на предпочитание на комитета и не е обвързващо за Съвета.</w:t>
      </w:r>
    </w:p>
    <w:p>
      <w:pPr>
        <w:rPr>
          <w:b/>
          <w:noProof/>
        </w:rPr>
      </w:pPr>
      <w:r>
        <w:rPr>
          <w:b/>
          <w:noProof/>
        </w:rPr>
        <w:t>VIII. Финансови разпоредби</w:t>
      </w:r>
    </w:p>
    <w:p>
      <w:pPr>
        <w:rPr>
          <w:noProof/>
          <w:color w:val="000000"/>
          <w:szCs w:val="24"/>
        </w:rPr>
      </w:pPr>
      <w:r>
        <w:rPr>
          <w:noProof/>
          <w:color w:val="000000"/>
        </w:rPr>
        <w:t>Членовете на комитета по подбора, които трябва да пътуват извън мястото си на пребиваване, за да изпълняват задълженията си, имат право на възстановяване на разходите си и на надбавка в съответствие с член 9 от Регламент (ЕС) 2016/300 на Съвета</w:t>
      </w:r>
      <w:r>
        <w:rPr>
          <w:rStyle w:val="FootnoteReference"/>
          <w:noProof/>
          <w:color w:val="000000"/>
        </w:rPr>
        <w:footnoteReference w:id="2"/>
      </w:r>
      <w:r>
        <w:rPr>
          <w:noProof/>
          <w:color w:val="000000"/>
        </w:rPr>
        <w:t>.</w:t>
      </w:r>
    </w:p>
    <w:p>
      <w:pPr>
        <w:rPr>
          <w:noProof/>
          <w:color w:val="000000"/>
          <w:szCs w:val="24"/>
        </w:rPr>
      </w:pPr>
      <w:r>
        <w:rPr>
          <w:noProof/>
          <w:color w:val="000000"/>
        </w:rPr>
        <w:t>Съответните разходи се поемат от Съвета.</w:t>
      </w:r>
    </w:p>
    <w:p>
      <w:pPr>
        <w:rPr>
          <w:b/>
          <w:noProof/>
        </w:rPr>
      </w:pPr>
      <w:r>
        <w:rPr>
          <w:b/>
          <w:noProof/>
        </w:rPr>
        <w:t>IX. Лични данни</w:t>
      </w:r>
    </w:p>
    <w:p>
      <w:pPr>
        <w:rPr>
          <w:noProof/>
        </w:rPr>
      </w:pPr>
      <w:r>
        <w:rPr>
          <w:noProof/>
        </w:rPr>
        <w:t>Обработването на лични данни в контекста на работата на комитета по подбора се извършва под отговорността на Комисията в съответствие с Регламент (ЕО) № 45/2001 на Европейския парламент и на Съвета</w:t>
      </w:r>
      <w:r>
        <w:rPr>
          <w:rStyle w:val="FootnoteReference"/>
          <w:noProof/>
        </w:rPr>
        <w:footnoteReference w:id="3"/>
      </w:r>
      <w:r>
        <w:rPr>
          <w:noProof/>
        </w:rPr>
        <w:t>. Правилата, приложими по отношение на сигурността на информацията, обработвана в контекста на работата на комитета по подбора, и по отношение на достъпа до тази информация, са правилата, приложими за Комисията.</w:t>
      </w:r>
    </w:p>
    <w:p>
      <w:pPr>
        <w:rPr>
          <w:b/>
          <w:noProof/>
        </w:rPr>
      </w:pPr>
      <w:r>
        <w:rPr>
          <w:b/>
          <w:noProof/>
        </w:rPr>
        <w:t xml:space="preserve">X. Езиков режим </w:t>
      </w:r>
    </w:p>
    <w:p>
      <w:pPr>
        <w:rPr>
          <w:noProof/>
        </w:rPr>
      </w:pPr>
      <w:r>
        <w:rPr>
          <w:noProof/>
          <w:color w:val="000000"/>
        </w:rPr>
        <w:t xml:space="preserve">По предложение на своя председател комитетът по подбора определя своя работен език или езици с оглед на общите езици, които говорят неговите членове.  </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20DEA" w16cid:durableId="1E8F2A11"/>
  <w16cid:commentId w16cid:paraId="7159EEFF" w16cid:durableId="1E8F2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rStyle w:val="Strong"/>
          <w:sz w:val="22"/>
        </w:rPr>
        <w:t>Регламент (ЕС) 2017/1939 на Съвета от 12 октомври 2017 г. за установяване на засилено сътрудничество за създаване на Европейска прокуратура</w:t>
      </w:r>
      <w:r>
        <w:t xml:space="preserve"> </w:t>
      </w:r>
      <w:r>
        <w:rPr>
          <w:sz w:val="22"/>
        </w:rPr>
        <w:t>(OВ L 283, 31.10.2017 г., стp. 1)</w:t>
      </w:r>
      <w:r>
        <w:t>.</w:t>
      </w:r>
    </w:p>
  </w:footnote>
  <w:footnote w:id="2">
    <w:p>
      <w:pPr>
        <w:pStyle w:val="FootnoteText"/>
        <w:rPr>
          <w:lang w:val="en-IE"/>
        </w:rPr>
      </w:pPr>
      <w:r>
        <w:rPr>
          <w:rStyle w:val="FootnoteReference"/>
        </w:rPr>
        <w:footnoteRef/>
      </w:r>
      <w:r>
        <w:tab/>
      </w:r>
      <w:r>
        <w:rPr>
          <w:color w:val="000000"/>
          <w:sz w:val="22"/>
        </w:rPr>
        <w:t>Регламент (ЕС) 2016/300 на Съвета от 29 февруари 2016 г. за определяне на възнагражденията на високопоставените служители на ЕС, заемащи публична длъжност (ОВ L 58, 4.3.2016 г., стр. 1).</w:t>
      </w:r>
    </w:p>
  </w:footnote>
  <w:footnote w:id="3">
    <w:p>
      <w:pPr>
        <w:pStyle w:val="FootnoteText"/>
        <w:rPr>
          <w:lang w:val="en-IE"/>
        </w:rPr>
      </w:pPr>
      <w:r>
        <w:rPr>
          <w:rStyle w:val="FootnoteReference"/>
        </w:rPr>
        <w:footnoteRef/>
      </w:r>
      <w:r>
        <w:tab/>
      </w:r>
      <w:r>
        <w:rPr>
          <w:sz w:val="22"/>
        </w:rPr>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w:t>
      </w:r>
      <w:r>
        <w:rPr>
          <w:color w:val="444444"/>
          <w:sz w:val="22"/>
        </w:rPr>
        <w:t>ОВ L 8, 12.1.2001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0E8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7458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800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64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2E63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DCB9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607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FFA292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2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E62BC7C-CA78-4875-95CC-A946B914247D"/>
    <w:docVar w:name="LW_COVERPAGE_TYPE" w:val="1"/>
    <w:docVar w:name="LW_CROSSREFERENCE" w:val="&lt;UNUSED&gt;"/>
    <w:docVar w:name="LW_DocType" w:val="ANNEX"/>
    <w:docVar w:name="LW_EMISSION" w:val="25.5.2018"/>
    <w:docVar w:name="LW_EMISSION_ISODATE" w:val="2018-05-25"/>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8?\u1072?\u1074?\u1080?\u1083?\u1072?\u1090?\u1072? \u1079?\u1072? \u1088?\u1072?\u1073?\u1086?\u1090?\u1072?\u1090?\u1072? \u1085?\u1072? \u1082?\u1086?\u1084?\u1080?\u1090?\u1077?\u1090?\u1072? \u1087?\u1086? \u1087?\u1086?\u1076?\u1073?\u1086?\u1088?, \u1087?\u1088?\u1077?\u1076?\u1074?\u1080?\u1076?\u1077?\u1085? \u1074? \u1095?\u1083?\u1077?\u1085?&lt;LWCR:NBS&gt;14, \u1087?\u1072?\u1088?\u1072?\u1075?\u1088?\u1072?\u1092?&lt;LWCR:NBS&gt;3 \u1086?\u1090? \u1056?\u1077?\u1075?\u1083?\u1072?\u1084?\u1077?\u1085?\u1090? (\u1045?\u1057?) 2017/1939 \u1079?\u1072? \u1091?\u1089?\u1090?\u1072?\u1085?\u1086?\u1074?\u1103?\u1074?\u1072?\u1085?\u1077? \u1085?\u1072? \u1079?\u1072?\u1089?\u1080?\u1083?\u1077?\u1085?\u1086? \u1089?\u1098?\u1090?\u1088?\u1091?\u1076?\u1085?\u1080?\u1095?\u1077?\u1089?\u1090?\u1074?\u1086? \u1079?\u1072? \u1089?\u1098?\u1079?\u1076?\u1072?\u1074?\u1072?\u1085?\u1077? \u1085?\u1072? \u1045?\u1074?\u1088?\u1086?\u1087?\u1077?\u1081?\u1089?\u1082?\u1072? \u1087?\u1088?\u1086?\u1082?\u1091?\u1088?\u1072?\u1090?\u1091?\u1088?\u1072?"/>
    <w:docVar w:name="LW_OBJETACTEPRINCIPAL.CP" w:val="\u1086?\u1090?\u1085?\u1086?\u1089?\u1085?\u1086? \u1087?\u1088?\u1072?\u1074?\u1080?\u1083?\u1072?\u1090?\u1072? \u1079?\u1072? \u1088?\u1072?\u1073?\u1086?\u1090?\u1072?\u1090?\u1072? \u1085?\u1072? \u1082?\u1086?\u1084?\u1080?\u1090?\u1077?\u1090?\u1072? \u1087?\u1086? \u1087?\u1086?\u1076?\u1073?\u1086?\u1088?, \u1087?\u1088?\u1077?\u1076?\u1074?\u1080?\u1076?\u1077?\u1085? \u1074? \u1095?\u1083?\u1077?\u1085? 14, \u1087?\u1072?\u1088?\u1072?\u1075?\u1088?\u1072?\u1092? 3 \u1086?\u1090? \u1056?\u1077?\u1075?\u1083?\u1072?\u1084?\u1077?\u1085?\u1090? (\u1045?\u1057?) 2017/1939 \u1079?\u1072? \u1091?\u1089?\u1090?\u1072?\u1085?\u1086?\u1074?\u1103?\u1074?\u1072?\u1085?\u1077? \u1085?\u1072? \u1079?\u1072?\u1089?\u1080?\u1083?\u1077?\u1085?\u1086? \u1089?\u1098?\u1090?\u1088?\u1091?\u1076?\u1085?\u1080?\u1095?\u1077?\u1089?\u1090?\u1074?\u1086? \u1079?\u1072? \u1089?\u1098?\u1079?\u1076?\u1072?\u1074?\u1072?\u1085?\u1077? \u1085?\u1072? \u1045?\u1074?\u1088?\u1086?\u1087?\u1077?\u1081?\u1089?\u1082?\u1072? \u1087?\u1088?\u1086?\u1082?\u1091?\u1088?\u1072?\u1090?\u1091?\u1088?\u1072?"/>
    <w:docVar w:name="LW_PART_NBR" w:val="1"/>
    <w:docVar w:name="LW_PART_NBR_TOTAL" w:val="1"/>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79?\u1072? \u1080?\u1079?\u1087?\u1098?\u1083?\u1085?\u1077?\u1085?\u1080?\u1077? \u1085?\u1072? \u1057?\u1098?\u1074?\u1077?\u1090?\u1072?"/>
    <w:docVar w:name="LW_TYPEACTEPRINCIPAL.CP" w:val="\u1055?\u1088?\u1077?\u1076?\u1083?\u1086?\u1078?\u1077?\u1085?\u1080?\u1077? \u1079?\u1072? \u1056?\u1077?\u1096?\u1077?\u1085?\u1080?\u1077? \u1079?\u1072? \u1080?\u1079?\u1087?\u1098?\u1083?\u1085?\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069">
      <w:bodyDiv w:val="1"/>
      <w:marLeft w:val="0"/>
      <w:marRight w:val="0"/>
      <w:marTop w:val="0"/>
      <w:marBottom w:val="0"/>
      <w:divBdr>
        <w:top w:val="none" w:sz="0" w:space="0" w:color="auto"/>
        <w:left w:val="none" w:sz="0" w:space="0" w:color="auto"/>
        <w:bottom w:val="none" w:sz="0" w:space="0" w:color="auto"/>
        <w:right w:val="none" w:sz="0" w:space="0" w:color="auto"/>
      </w:divBdr>
    </w:div>
    <w:div w:id="624695356">
      <w:bodyDiv w:val="1"/>
      <w:marLeft w:val="0"/>
      <w:marRight w:val="0"/>
      <w:marTop w:val="0"/>
      <w:marBottom w:val="0"/>
      <w:divBdr>
        <w:top w:val="none" w:sz="0" w:space="0" w:color="auto"/>
        <w:left w:val="none" w:sz="0" w:space="0" w:color="auto"/>
        <w:bottom w:val="none" w:sz="0" w:space="0" w:color="auto"/>
        <w:right w:val="none" w:sz="0" w:space="0" w:color="auto"/>
      </w:divBdr>
    </w:div>
    <w:div w:id="1063868719">
      <w:bodyDiv w:val="1"/>
      <w:marLeft w:val="0"/>
      <w:marRight w:val="0"/>
      <w:marTop w:val="0"/>
      <w:marBottom w:val="0"/>
      <w:divBdr>
        <w:top w:val="none" w:sz="0" w:space="0" w:color="auto"/>
        <w:left w:val="none" w:sz="0" w:space="0" w:color="auto"/>
        <w:bottom w:val="none" w:sz="0" w:space="0" w:color="auto"/>
        <w:right w:val="none" w:sz="0" w:space="0" w:color="auto"/>
      </w:divBdr>
      <w:divsChild>
        <w:div w:id="339242700">
          <w:marLeft w:val="0"/>
          <w:marRight w:val="0"/>
          <w:marTop w:val="0"/>
          <w:marBottom w:val="0"/>
          <w:divBdr>
            <w:top w:val="none" w:sz="0" w:space="0" w:color="auto"/>
            <w:left w:val="none" w:sz="0" w:space="0" w:color="auto"/>
            <w:bottom w:val="none" w:sz="0" w:space="0" w:color="auto"/>
            <w:right w:val="none" w:sz="0" w:space="0" w:color="auto"/>
          </w:divBdr>
          <w:divsChild>
            <w:div w:id="1561479157">
              <w:marLeft w:val="0"/>
              <w:marRight w:val="0"/>
              <w:marTop w:val="0"/>
              <w:marBottom w:val="0"/>
              <w:divBdr>
                <w:top w:val="none" w:sz="0" w:space="0" w:color="auto"/>
                <w:left w:val="none" w:sz="0" w:space="0" w:color="auto"/>
                <w:bottom w:val="none" w:sz="0" w:space="0" w:color="auto"/>
                <w:right w:val="none" w:sz="0" w:space="0" w:color="auto"/>
              </w:divBdr>
              <w:divsChild>
                <w:div w:id="11574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8033">
      <w:bodyDiv w:val="1"/>
      <w:marLeft w:val="0"/>
      <w:marRight w:val="0"/>
      <w:marTop w:val="0"/>
      <w:marBottom w:val="0"/>
      <w:divBdr>
        <w:top w:val="none" w:sz="0" w:space="0" w:color="auto"/>
        <w:left w:val="none" w:sz="0" w:space="0" w:color="auto"/>
        <w:bottom w:val="none" w:sz="0" w:space="0" w:color="auto"/>
        <w:right w:val="none" w:sz="0" w:space="0" w:color="auto"/>
      </w:divBdr>
    </w:div>
    <w:div w:id="18026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2E0022-76CB-4F24-BC2E-1461346F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1036</Words>
  <Characters>6138</Characters>
  <Application>Microsoft Office Word</Application>
  <DocSecurity>0</DocSecurity>
  <Lines>113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7134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SASON Elisa (JUST)</dc:creator>
  <cp:lastModifiedBy>DIGIT/A3</cp:lastModifiedBy>
  <cp:revision>7</cp:revision>
  <cp:lastPrinted>2018-04-17T10:07:00Z</cp:lastPrinted>
  <dcterms:created xsi:type="dcterms:W3CDTF">2018-06-06T09:04:00Z</dcterms:created>
  <dcterms:modified xsi:type="dcterms:W3CDTF">2018-06-11T10:27:00Z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