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97" w:rsidRDefault="00FD2870" w:rsidP="00FD2870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67460AC-B4D1-4080-8DD1-5FEAA78B54D2" style="width:450.75pt;height:438pt">
            <v:imagedata r:id="rId11" o:title=""/>
          </v:shape>
        </w:pict>
      </w:r>
    </w:p>
    <w:p w:rsidR="00957F97" w:rsidRDefault="00957F97">
      <w:pPr>
        <w:rPr>
          <w:noProof/>
        </w:rPr>
        <w:sectPr w:rsidR="00957F97" w:rsidSect="00FD287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57F97" w:rsidRDefault="00FD2870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I </w:t>
      </w:r>
    </w:p>
    <w:p w:rsidR="00957F97" w:rsidRDefault="00957F97">
      <w:pPr>
        <w:spacing w:before="0" w:line="276" w:lineRule="auto"/>
        <w:jc w:val="center"/>
        <w:rPr>
          <w:b/>
          <w:noProof/>
        </w:rPr>
      </w:pPr>
    </w:p>
    <w:p w:rsidR="00957F97" w:rsidRDefault="00FD2870">
      <w:pPr>
        <w:spacing w:before="0" w:line="276" w:lineRule="auto"/>
        <w:rPr>
          <w:noProof/>
        </w:rPr>
      </w:pPr>
      <w:r>
        <w:rPr>
          <w:noProof/>
        </w:rPr>
        <w:t xml:space="preserve">Специфичните цели, изброени в член 3, параграф 2, заложени в рамките на програмата, в съответствие с общите насоки на дейността, описана </w:t>
      </w:r>
      <w:r>
        <w:rPr>
          <w:noProof/>
        </w:rPr>
        <w:t>в настоящото приложение. Чрез изпълнението на тези специфични цели Програмата подкрепя държавите членки в прилагането на законодателството на Евратом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засилва техните усилия и усилията на частния сектор в областта на научните изследвания. </w:t>
      </w:r>
    </w:p>
    <w:p w:rsidR="00957F97" w:rsidRDefault="00FD2870">
      <w:pPr>
        <w:spacing w:before="0" w:line="276" w:lineRule="auto"/>
        <w:rPr>
          <w:noProof/>
        </w:rPr>
      </w:pPr>
      <w:r>
        <w:rPr>
          <w:noProof/>
        </w:rPr>
        <w:t>За постигане н</w:t>
      </w:r>
      <w:r>
        <w:rPr>
          <w:noProof/>
        </w:rPr>
        <w:t>а специфичните цели Програмата ще подкрепя хоризонталните дейности, които осигуряват полезното взаимодействие на усилията в научноизследователската област за решаването на общите предизвикателства. Подходящи взаимовръзки и интерфейси, например съвместни по</w:t>
      </w:r>
      <w:r>
        <w:rPr>
          <w:noProof/>
        </w:rPr>
        <w:t>кани за представяне на предложения, ще бъдат осигурени по линия на програма „Хоризонт Европа“. Свързаните научноизследователски и иновационни дейности могат да се възползват също и от финансова подкрепа, предоставяна по линия на фондовете по Регламент […Ре</w:t>
      </w:r>
      <w:r>
        <w:rPr>
          <w:noProof/>
        </w:rPr>
        <w:t>гламент за общите разпоредби], доколкото това е в съответствие с целите и разпоредбите на тези фондове.</w:t>
      </w:r>
    </w:p>
    <w:p w:rsidR="00957F97" w:rsidRDefault="00FD2870">
      <w:pPr>
        <w:spacing w:before="0" w:line="276" w:lineRule="auto"/>
        <w:rPr>
          <w:noProof/>
        </w:rPr>
      </w:pPr>
      <w:r>
        <w:rPr>
          <w:noProof/>
        </w:rPr>
        <w:t xml:space="preserve">Дейностите, изброени в настоящото приложение, включват международно сътрудничество в областта на научните изследвания и иновациите в ядрената област за </w:t>
      </w:r>
      <w:r>
        <w:rPr>
          <w:noProof/>
        </w:rPr>
        <w:t>мирни цели, въз основа на споделени цели и взаимно доверие с цел осигуряването на ясни и значими ползи за Съюза, неговите граждани и околната среда. Това включва международното сътрудничество чрез многостранни рамки (като например МААЕ, МАЕ, ОИСР, ITER, GI</w:t>
      </w:r>
      <w:r>
        <w:rPr>
          <w:noProof/>
        </w:rPr>
        <w:t>F). JRC, като изпълнител от името на Евратом в рамките на Международния форум за поколение IV (GIF), ще продължи да координира приноса на Общността в GIF.</w:t>
      </w:r>
    </w:p>
    <w:p w:rsidR="00957F97" w:rsidRDefault="00FD2870">
      <w:pPr>
        <w:spacing w:before="0" w:line="276" w:lineRule="auto"/>
        <w:rPr>
          <w:noProof/>
        </w:rPr>
      </w:pPr>
      <w:r>
        <w:rPr>
          <w:noProof/>
        </w:rPr>
        <w:t>Приоритетите на работните програми следва да се определят от Комисията въз основа на нейните политиче</w:t>
      </w:r>
      <w:r>
        <w:rPr>
          <w:noProof/>
        </w:rPr>
        <w:t xml:space="preserve">ски приоритети, информация, предоставяна от националните публични органи и заинтересованите страни в областта на ядрените научни изследвания, обединени в органи или структури, като например европейски </w:t>
      </w:r>
      <w:r>
        <w:rPr>
          <w:noProof/>
        </w:rPr>
        <w:lastRenderedPageBreak/>
        <w:t>технологични платформи, сдружения, инициативи и техниче</w:t>
      </w:r>
      <w:r>
        <w:rPr>
          <w:noProof/>
        </w:rPr>
        <w:t>ски форуми за ядрени системи и безопасност, управление на радиоактивни отпадъци, отработено ядрено гориво и радиационна защита/риск при ниска доза, ядрени гаранции и сигурност, научни изследвания в областта на термоядрения синтез или всяка относима организ</w:t>
      </w:r>
      <w:r>
        <w:rPr>
          <w:noProof/>
        </w:rPr>
        <w:t xml:space="preserve">ация или форум на заинтересовани страни в ядрената област. </w:t>
      </w:r>
    </w:p>
    <w:p w:rsidR="00957F97" w:rsidRDefault="00FD2870">
      <w:pPr>
        <w:keepNext/>
        <w:spacing w:before="0" w:line="276" w:lineRule="auto"/>
        <w:rPr>
          <w:noProof/>
        </w:rPr>
      </w:pPr>
      <w:r>
        <w:rPr>
          <w:noProof/>
        </w:rPr>
        <w:t>Допустими за финансиране по програмата ще бъдат научни изследвания и обучение в следните области:</w:t>
      </w:r>
    </w:p>
    <w:p w:rsidR="00957F97" w:rsidRDefault="00FD2870">
      <w:pPr>
        <w:pStyle w:val="Point0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</w:r>
      <w:r>
        <w:rPr>
          <w:b/>
          <w:i/>
          <w:noProof/>
        </w:rPr>
        <w:t>Подобряване на безопасното и сигурно използване на ядрената енергия и приложенията на йонизиращ</w:t>
      </w:r>
      <w:r>
        <w:rPr>
          <w:b/>
          <w:i/>
          <w:noProof/>
        </w:rPr>
        <w:t>ите лъчения, различни от производството на енергия, включително ядрената безопасност, сигурност, гаранции, радиационна защита, безопасно управление на отработено гориво и радиоактивни отпадъци и извеждане от експлоатация</w:t>
      </w:r>
      <w:r>
        <w:rPr>
          <w:noProof/>
        </w:rPr>
        <w:t xml:space="preserve"> </w:t>
      </w:r>
    </w:p>
    <w:p w:rsidR="00957F97" w:rsidRDefault="00FD2870">
      <w:pPr>
        <w:pStyle w:val="Point1number"/>
        <w:numPr>
          <w:ilvl w:val="2"/>
          <w:numId w:val="9"/>
        </w:numPr>
        <w:rPr>
          <w:noProof/>
        </w:rPr>
      </w:pPr>
      <w:r>
        <w:rPr>
          <w:b/>
          <w:noProof/>
        </w:rPr>
        <w:t>Ядрена безопасност:</w:t>
      </w:r>
      <w:r>
        <w:rPr>
          <w:noProof/>
        </w:rPr>
        <w:t xml:space="preserve"> безопасност на реакторни системи и ядрени горивни цикли, които се използват в Общността, или, доколкото е необходимо, за поддържане на богат експертен опит в областта на ядрената безопасност в Общността, на тези видове реактори и ядрени горивни цикли, кои</w:t>
      </w:r>
      <w:r>
        <w:rPr>
          <w:noProof/>
        </w:rPr>
        <w:t>то биха могли да се използват в бъдеще, като се обърне изключително внимание на аспектите на безопасността, включително на всички аспекти на ядрения горивен цикъл, като отделяне и трансмутация.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b/>
          <w:noProof/>
        </w:rPr>
        <w:t>Безопасно управление на отработеното гориво и радиоактивните о</w:t>
      </w:r>
      <w:r>
        <w:rPr>
          <w:b/>
          <w:noProof/>
        </w:rPr>
        <w:t>тпадъци:</w:t>
      </w:r>
      <w:r>
        <w:rPr>
          <w:noProof/>
        </w:rPr>
        <w:t xml:space="preserve"> управление и по-специално обезвреждане на средно- и високоактивни и с дълъг период на разпад радиоактивни отпадъци и отработено ядрено гориво, както и на други радиоактивни отпадъчни потоци и видове, за които понастоящем не съществуват промишлено </w:t>
      </w:r>
      <w:r>
        <w:rPr>
          <w:noProof/>
        </w:rPr>
        <w:t>утвърдени процеси; Свеждане до минимум на радиоактивните отпадъци и намаляване на радиотоксичността на тези отпадъци; Управление и трансфер на знания и умения между поколенията, както и между на програмите на държавите членки в управлението на радиоактивни</w:t>
      </w:r>
      <w:r>
        <w:rPr>
          <w:noProof/>
        </w:rPr>
        <w:t xml:space="preserve"> отпадъци и отработено гориво.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b/>
          <w:noProof/>
        </w:rPr>
        <w:t>Извеждане от експлоатация:</w:t>
      </w:r>
      <w:r>
        <w:rPr>
          <w:noProof/>
        </w:rPr>
        <w:t xml:space="preserve"> научни изследвания за разработването и оценката на технологиите за извеждане от експлоатация и възстановяване на околната среда на територията на ядрени съоръжения; подкрепа за обмен на най-добри пр</w:t>
      </w:r>
      <w:r>
        <w:rPr>
          <w:noProof/>
        </w:rPr>
        <w:t>актики и познания по отношение на извеждането от експлоатация.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b/>
          <w:noProof/>
        </w:rPr>
        <w:t>Приложения на ядрената наука и йонизиращите лъчения, радиационна защита, готовност за действие при извънредни ситуации</w:t>
      </w:r>
      <w:r>
        <w:rPr>
          <w:noProof/>
        </w:rPr>
        <w:t xml:space="preserve">: </w:t>
      </w:r>
    </w:p>
    <w:p w:rsidR="00957F97" w:rsidRDefault="00FD2870">
      <w:pPr>
        <w:pStyle w:val="Tiret2"/>
        <w:numPr>
          <w:ilvl w:val="0"/>
          <w:numId w:val="10"/>
        </w:numPr>
        <w:rPr>
          <w:noProof/>
        </w:rPr>
      </w:pPr>
      <w:r>
        <w:rPr>
          <w:noProof/>
        </w:rPr>
        <w:t>Приложения на ядрената наука и йонизиращите радиационни технологии в обл</w:t>
      </w:r>
      <w:r>
        <w:rPr>
          <w:noProof/>
        </w:rPr>
        <w:t>астта на медицината, промишлеността и научните изследвания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 xml:space="preserve">Рискове при експозиция на ниски дози в промишлеността, медицината или околната среда. 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 xml:space="preserve">Аварийна готовност при аварии, включващи облъчване и научни изследвания относно радиоекологията. 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Доставка и и</w:t>
      </w:r>
      <w:r>
        <w:rPr>
          <w:noProof/>
        </w:rPr>
        <w:t>зползване на радиоизотопи.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Изследвания на модели за радиоактивно разсейване в околната среда и подкрепа за обмен на данни, системи за предупреждение и сътрудничество относно техники на измерване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(следва да се приложи чрез преки действия).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b/>
          <w:noProof/>
        </w:rPr>
        <w:t>Ядрена сигурност</w:t>
      </w:r>
      <w:r>
        <w:rPr>
          <w:b/>
          <w:noProof/>
        </w:rPr>
        <w:t>, ядрени гаранции и неразпространение</w:t>
      </w:r>
      <w:r>
        <w:rPr>
          <w:noProof/>
        </w:rPr>
        <w:t xml:space="preserve"> (следва да се приложи чрез преки действия):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 xml:space="preserve">Методи и технологии за подкрепа и засилване на общностните и международни гаранции. 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Оперативна подкрепа и обучение за системата за гаранции на Евратом.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Техническа подкрепа з</w:t>
      </w:r>
      <w:r>
        <w:rPr>
          <w:noProof/>
        </w:rPr>
        <w:t>а изпълнението на Договора за неразпространение на ядреното оръжие в областта на ядрените гаранции, включително подкрепа за засилване на режима на ЕС за контрол върху износа.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 xml:space="preserve">Подкрепа за глобалната рамка за ХБРЯ (химични, биологични, радиологични и ядрени </w:t>
      </w:r>
      <w:r>
        <w:rPr>
          <w:noProof/>
        </w:rPr>
        <w:t>вещества) и свързаните с нея стратегии на Общността.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Методи и технологии за откриване на ядрени и радиоактивни материали извън обхвата на регулаторния контрол и предотвратяване и реагиране на инциденти, свързани с такива материали, включително ядрена крими</w:t>
      </w:r>
      <w:r>
        <w:rPr>
          <w:noProof/>
        </w:rPr>
        <w:t>налистика.</w:t>
      </w:r>
    </w:p>
    <w:p w:rsidR="00957F97" w:rsidRDefault="00FD2870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 xml:space="preserve">Подкрепа за изграждане на капацитет за ядрена сигурност с помощта на Европейския център за обучение по ядрена сигурност.  </w:t>
      </w:r>
    </w:p>
    <w:p w:rsidR="00957F97" w:rsidRDefault="00FD2870">
      <w:pPr>
        <w:pStyle w:val="ListParagraph"/>
        <w:spacing w:before="0"/>
        <w:ind w:left="1440"/>
        <w:rPr>
          <w:noProof/>
        </w:rPr>
      </w:pPr>
      <w:r>
        <w:rPr>
          <w:noProof/>
        </w:rPr>
        <w:t xml:space="preserve">  </w:t>
      </w:r>
    </w:p>
    <w:p w:rsidR="00957F97" w:rsidRDefault="00FD2870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b/>
          <w:i/>
          <w:noProof/>
        </w:rPr>
        <w:t>Поддържане и доразвиване на експертни познания и компетентност в Съюза</w:t>
      </w:r>
    </w:p>
    <w:p w:rsidR="00957F97" w:rsidRDefault="00FD2870">
      <w:pPr>
        <w:pStyle w:val="Point1number"/>
        <w:numPr>
          <w:ilvl w:val="2"/>
          <w:numId w:val="14"/>
        </w:numPr>
        <w:rPr>
          <w:noProof/>
        </w:rPr>
      </w:pPr>
      <w:r>
        <w:rPr>
          <w:noProof/>
        </w:rPr>
        <w:t>Образование, обучение и мобилност, включителн</w:t>
      </w:r>
      <w:r>
        <w:rPr>
          <w:noProof/>
        </w:rPr>
        <w:t xml:space="preserve">о образователни и обучителни програми, като например действия „Мария Склодовска-Кюри“ („МСК“).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Насърчаване на иновациите, управление на знанията, разпространение и използване на ядрена наука и технологии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Подкрепа за трансфера на технологии от научните изс</w:t>
      </w:r>
      <w:r>
        <w:rPr>
          <w:noProof/>
        </w:rPr>
        <w:t xml:space="preserve">ледвания към промишлеността.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 xml:space="preserve">Подкрепа за подготовката и развитието на един конкурентоспособен европейски промишлен капацитет за термоядрен синтез.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Подкрепа за предоставянето, наличността и подходящия достъп до европейските и международните научноизследов</w:t>
      </w:r>
      <w:r>
        <w:rPr>
          <w:noProof/>
        </w:rPr>
        <w:t>ателски инфраструктури, включително инфраструктурите на JRC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За насърчаване на развитието на ядрената наука като основа за подкрепа на стандартизацията, преките действия ще осигуряват съответстващи на съвременното технологично равнище референтни данни, ма</w:t>
      </w:r>
      <w:r>
        <w:rPr>
          <w:noProof/>
        </w:rPr>
        <w:t xml:space="preserve">териали и измервания, свързани с ядрената безопасност, гаранции и сигурност, както и други приложения, като например ядрената медицина. </w:t>
      </w:r>
    </w:p>
    <w:p w:rsidR="00957F97" w:rsidRDefault="00FD2870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</w:r>
      <w:r>
        <w:rPr>
          <w:b/>
          <w:i/>
          <w:noProof/>
        </w:rPr>
        <w:t>Насърчаване на развитието на термоядрената енергия и принос за изпълнението на пътната карта за термоядрен синтез</w:t>
      </w:r>
    </w:p>
    <w:p w:rsidR="00957F97" w:rsidRDefault="00FD2870">
      <w:pPr>
        <w:spacing w:before="0"/>
        <w:rPr>
          <w:rFonts w:eastAsia="Times New Roman"/>
          <w:i/>
          <w:noProof/>
        </w:rPr>
      </w:pPr>
      <w:r>
        <w:rPr>
          <w:noProof/>
        </w:rPr>
        <w:t xml:space="preserve">Съфинансирано </w:t>
      </w:r>
      <w:r>
        <w:rPr>
          <w:noProof/>
          <w:color w:val="000000"/>
        </w:rPr>
        <w:t xml:space="preserve">европейско </w:t>
      </w:r>
      <w:r>
        <w:rPr>
          <w:noProof/>
        </w:rPr>
        <w:t>партньорство в научните изследвания в областта на термоядрения синтез ще изпълнява пътната карта за постигане на целта за производство на електроенергия от термоядрен синтез до средата на века. Това може да включва, наред с другото</w:t>
      </w:r>
      <w:r>
        <w:rPr>
          <w:noProof/>
        </w:rPr>
        <w:t>:</w:t>
      </w:r>
    </w:p>
    <w:p w:rsidR="00957F97" w:rsidRDefault="00FD2870">
      <w:pPr>
        <w:pStyle w:val="Point1number"/>
        <w:numPr>
          <w:ilvl w:val="2"/>
          <w:numId w:val="13"/>
        </w:numPr>
        <w:rPr>
          <w:noProof/>
        </w:rPr>
      </w:pPr>
      <w:r>
        <w:rPr>
          <w:noProof/>
        </w:rPr>
        <w:t xml:space="preserve">Използване на съществуващи и бъдещи съоръжения за термоядрен синтез. За тази цел могат да бъдат отпуснати оперативни безвъзмездни средства за инфраструктури за научни изследвания в областта на термоядрения синтез, когато това е уместно.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Подготовка за бъ</w:t>
      </w:r>
      <w:r>
        <w:rPr>
          <w:noProof/>
        </w:rPr>
        <w:t>дещи термоядрени електроцентрали чрез разработване на всички значими аспекти, включително материали, технологии и дизайн.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 xml:space="preserve">Осъществяване на целева програма за образование и обучение в допълнение към дейностите по буква б), подточка 1.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Координиране на съвме</w:t>
      </w:r>
      <w:r>
        <w:rPr>
          <w:noProof/>
        </w:rPr>
        <w:t xml:space="preserve">стни дейности със съвместното предприятие „Термоядрен синтез за енергия“. 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Сътрудничество с организацията ITER.</w:t>
      </w:r>
    </w:p>
    <w:p w:rsidR="00957F97" w:rsidRDefault="00FD2870"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Научно сътрудничество в рамките на международни споразумения по линия на Евратом.</w:t>
      </w:r>
    </w:p>
    <w:p w:rsidR="00957F97" w:rsidRDefault="00FD2870">
      <w:pPr>
        <w:spacing w:before="0"/>
        <w:rPr>
          <w:noProof/>
        </w:rPr>
      </w:pPr>
      <w:r>
        <w:rPr>
          <w:noProof/>
        </w:rPr>
        <w:t>Съфинансираното европейско партньорство в областта на термоядр</w:t>
      </w:r>
      <w:r>
        <w:rPr>
          <w:noProof/>
        </w:rPr>
        <w:t>ения синтез ще бъде осъществено чрез безвъзмездни средства, които ще бъдат отпуснати на правните образувания, установени или определени от държавите членки и от всяка трета държава, асоциирана към програмата. Безвъзмездните средства могат да включват нефин</w:t>
      </w:r>
      <w:r>
        <w:rPr>
          <w:noProof/>
        </w:rPr>
        <w:t>ансови ресурси от Общността или командироването на служители на Комисията.</w:t>
      </w:r>
    </w:p>
    <w:p w:rsidR="00957F97" w:rsidRDefault="00FD2870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</w:r>
      <w:r>
        <w:rPr>
          <w:b/>
          <w:i/>
          <w:noProof/>
        </w:rPr>
        <w:t>Подпомагане на политиката на Общността в областта на ядрената безопасност, ядрените гаранции и сигурността</w:t>
      </w:r>
      <w:r>
        <w:rPr>
          <w:noProof/>
        </w:rPr>
        <w:t xml:space="preserve"> </w:t>
      </w:r>
    </w:p>
    <w:p w:rsidR="00957F97" w:rsidRDefault="00FD2870">
      <w:pPr>
        <w:rPr>
          <w:noProof/>
        </w:rPr>
      </w:pPr>
      <w:r>
        <w:rPr>
          <w:noProof/>
        </w:rPr>
        <w:t>Преките действия ще подкрепят политиката на Съюза в областта на ядрена</w:t>
      </w:r>
      <w:r>
        <w:rPr>
          <w:noProof/>
        </w:rPr>
        <w:t>та безопасност, ядрените гаранции и сигурността и прилагането на съответното законодателство чрез осигуряване на независими научни и технически доказателства и експертен опит.</w:t>
      </w:r>
    </w:p>
    <w:p w:rsidR="00957F97" w:rsidRDefault="00957F97">
      <w:pPr>
        <w:spacing w:after="240"/>
        <w:contextualSpacing/>
        <w:rPr>
          <w:noProof/>
        </w:rPr>
      </w:pPr>
    </w:p>
    <w:p w:rsidR="00957F97" w:rsidRDefault="00FD2870">
      <w:pPr>
        <w:pStyle w:val="Annexetitre"/>
        <w:rPr>
          <w:noProof/>
        </w:rPr>
      </w:pPr>
      <w:r>
        <w:rPr>
          <w:noProof/>
        </w:rPr>
        <w:br w:type="page"/>
        <w:t>ПРИЛОЖЕНИЕ IІ</w:t>
      </w:r>
    </w:p>
    <w:p w:rsidR="00957F97" w:rsidRDefault="00957F97">
      <w:pPr>
        <w:contextualSpacing/>
        <w:jc w:val="center"/>
        <w:rPr>
          <w:i/>
          <w:noProof/>
        </w:rPr>
      </w:pPr>
    </w:p>
    <w:p w:rsidR="00957F97" w:rsidRDefault="00FD2870">
      <w:pPr>
        <w:keepNext/>
        <w:jc w:val="center"/>
        <w:rPr>
          <w:b/>
          <w:noProof/>
          <w:szCs w:val="24"/>
        </w:rPr>
      </w:pPr>
      <w:r>
        <w:rPr>
          <w:b/>
          <w:noProof/>
        </w:rPr>
        <w:t>Ключови показатели за пътищата на въздействие</w:t>
      </w:r>
    </w:p>
    <w:p w:rsidR="00957F97" w:rsidRDefault="00FD2870">
      <w:pPr>
        <w:spacing w:after="0"/>
        <w:rPr>
          <w:noProof/>
        </w:rPr>
      </w:pPr>
      <w:r>
        <w:rPr>
          <w:noProof/>
        </w:rPr>
        <w:t>Пътищата на възде</w:t>
      </w:r>
      <w:r>
        <w:rPr>
          <w:noProof/>
        </w:rPr>
        <w:t>йствие и свързаните с тях ключови показатели определят структурата на наблюдението на качеството на изпълнението на програмата на Евратом при постигането на нейните специфични цели. Пътищата на въздействие са чувствителни към фактора време: те правят разгр</w:t>
      </w:r>
      <w:r>
        <w:rPr>
          <w:noProof/>
        </w:rPr>
        <w:t>аничение между краткосрочен, средносрочен и дългосрочен план. Показателите за пътищата на въздействие служат като показатели за докладване относно напредъка в постигането на специфичните цели. Микроданните зад ключовите показатели за пътищата на въздействи</w:t>
      </w:r>
      <w:r>
        <w:rPr>
          <w:noProof/>
        </w:rPr>
        <w:t>е, които са споделени с „Хоризонт Европа“, ще се събират по централно управляван и хармонизиран начин, с минимална отчетна тежест по отношение на бенефициерите. Ключовите показатели за пътищата на въздействие могат да бъдат доусъвършенствани в хода на осъщ</w:t>
      </w:r>
      <w:r>
        <w:rPr>
          <w:noProof/>
        </w:rPr>
        <w:t>ествяването на програмата.</w:t>
      </w:r>
    </w:p>
    <w:p w:rsidR="00957F97" w:rsidRDefault="00957F97">
      <w:pPr>
        <w:ind w:left="720"/>
        <w:contextualSpacing/>
        <w:rPr>
          <w:i/>
          <w:noProof/>
        </w:rPr>
      </w:pPr>
    </w:p>
    <w:p w:rsidR="00957F97" w:rsidRDefault="00FD2870">
      <w:pPr>
        <w:spacing w:before="0"/>
        <w:rPr>
          <w:b/>
          <w:noProof/>
        </w:rPr>
      </w:pPr>
      <w:r>
        <w:rPr>
          <w:b/>
          <w:noProof/>
        </w:rPr>
        <w:t xml:space="preserve">Показатели за пътищата на въздействие в научната сфера </w:t>
      </w:r>
    </w:p>
    <w:p w:rsidR="00957F97" w:rsidRDefault="00FD2870">
      <w:pPr>
        <w:spacing w:before="0"/>
        <w:rPr>
          <w:noProof/>
        </w:rPr>
      </w:pPr>
      <w:r>
        <w:rPr>
          <w:noProof/>
        </w:rPr>
        <w:t>Очаква се Програмата да постигне напредък по отношение на знанията в областта на повишаване на ядрената безопасност и сигурност; безопасни приложения на йонизиращи лъчения;</w:t>
      </w:r>
      <w:r>
        <w:rPr>
          <w:noProof/>
        </w:rPr>
        <w:t xml:space="preserve"> управление на отработено гориво и радиоактивни отпадъци; радиационна защита; и разработване на термоядрена енергия. Напредъкът в тази област ще се измерва чрез показатели, отнасящи се до научните публикации, напредъка в прилагането на пътната карта за тер</w:t>
      </w:r>
      <w:r>
        <w:rPr>
          <w:noProof/>
        </w:rPr>
        <w:t>моядрен синтез, развитието на знания и умения, достъпа до научноизследователски инфраструктури.</w:t>
      </w:r>
    </w:p>
    <w:p w:rsidR="00957F97" w:rsidRDefault="00957F97">
      <w:pPr>
        <w:rPr>
          <w:noProof/>
        </w:rPr>
      </w:pPr>
    </w:p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09"/>
        <w:gridCol w:w="459"/>
        <w:gridCol w:w="2944"/>
      </w:tblGrid>
      <w:tr w:rsidR="00957F97">
        <w:trPr>
          <w:trHeight w:val="327"/>
        </w:trPr>
        <w:tc>
          <w:tcPr>
            <w:tcW w:w="2093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Към научно въздействие </w:t>
            </w:r>
          </w:p>
        </w:tc>
        <w:tc>
          <w:tcPr>
            <w:tcW w:w="1984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Краткосрочни</w:t>
            </w:r>
          </w:p>
        </w:tc>
        <w:tc>
          <w:tcPr>
            <w:tcW w:w="2268" w:type="dxa"/>
            <w:gridSpan w:val="2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ind w:left="-10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Средносрочни</w:t>
            </w:r>
          </w:p>
        </w:tc>
        <w:tc>
          <w:tcPr>
            <w:tcW w:w="2944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Дългосрочни</w:t>
            </w:r>
          </w:p>
        </w:tc>
      </w:tr>
      <w:tr w:rsidR="00957F97">
        <w:trPr>
          <w:trHeight w:val="1242"/>
        </w:trPr>
        <w:tc>
          <w:tcPr>
            <w:tcW w:w="2093" w:type="dxa"/>
            <w:vMerge w:val="restart"/>
            <w:vAlign w:val="center"/>
          </w:tcPr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Подобряване на безопасното и сигурно използване на ядрената енергия и приложенията на </w:t>
            </w:r>
            <w:r>
              <w:rPr>
                <w:noProof/>
                <w:sz w:val="20"/>
              </w:rPr>
              <w:t>йонизиращите лъчения, различни от производството на енергия, включително ядрената безопасност, сигурност, гаранции, радиационна защита, безопасно управление на отработено гориво и радиоактивни отпадъци и извеждане от експлоатация.</w:t>
            </w:r>
          </w:p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Публикации</w:t>
            </w:r>
            <w:r>
              <w:rPr>
                <w:noProof/>
                <w:sz w:val="20"/>
              </w:rPr>
              <w:t xml:space="preserve"> –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реценз</w:t>
            </w:r>
            <w:r>
              <w:rPr>
                <w:noProof/>
                <w:sz w:val="20"/>
              </w:rPr>
              <w:t>ирани научни публикации на Евратом</w:t>
            </w:r>
          </w:p>
          <w:p w:rsidR="00957F97" w:rsidRDefault="00957F97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Цитати</w:t>
            </w:r>
            <w:r>
              <w:rPr>
                <w:noProof/>
                <w:sz w:val="20"/>
              </w:rPr>
              <w:t xml:space="preserve"> -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Претеглен за съответната област индекс на цитиране на рецензирани научни публикации на Евратом</w:t>
            </w:r>
          </w:p>
          <w:p w:rsidR="00957F97" w:rsidRDefault="00957F97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94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Научни изследвания на световно равнище</w:t>
            </w:r>
            <w:r>
              <w:rPr>
                <w:noProof/>
                <w:sz w:val="20"/>
              </w:rPr>
              <w:t xml:space="preserve">- брой и дял на рецензирани публикации от програмата на Евратом, които имат основен принос към научни области </w:t>
            </w:r>
          </w:p>
        </w:tc>
      </w:tr>
      <w:tr w:rsidR="00957F97">
        <w:trPr>
          <w:trHeight w:val="1242"/>
        </w:trPr>
        <w:tc>
          <w:tcPr>
            <w:tcW w:w="2093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Споделени знания</w:t>
            </w:r>
            <w:r>
              <w:rPr>
                <w:noProof/>
                <w:sz w:val="20"/>
              </w:rPr>
              <w:t xml:space="preserve"> - </w:t>
            </w:r>
          </w:p>
          <w:p w:rsidR="00957F97" w:rsidRDefault="00FD2870">
            <w:pPr>
              <w:jc w:val="center"/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</w:rPr>
              <w:t>Споделяне на крайния продукт от научноизследователската дейност (свободно достъпни данни/публикации/софтуер и др.) чрез отв</w:t>
            </w:r>
            <w:r>
              <w:rPr>
                <w:noProof/>
                <w:sz w:val="20"/>
              </w:rPr>
              <w:t>орена инфраструктура на знанието</w:t>
            </w:r>
          </w:p>
        </w:tc>
        <w:tc>
          <w:tcPr>
            <w:tcW w:w="2268" w:type="dxa"/>
            <w:gridSpan w:val="2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t>Разпространение на знанията</w:t>
            </w:r>
            <w:r>
              <w:rPr>
                <w:noProof/>
                <w:sz w:val="20"/>
              </w:rPr>
              <w:t xml:space="preserve"> - Дял на свободно достъпни активно използвани/цитирани крайни продукти от научните изследвания</w:t>
            </w:r>
          </w:p>
        </w:tc>
        <w:tc>
          <w:tcPr>
            <w:tcW w:w="294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t>Нови сътрудничества</w:t>
            </w:r>
            <w:r>
              <w:rPr>
                <w:noProof/>
                <w:sz w:val="20"/>
              </w:rPr>
              <w:t xml:space="preserve"> - Дял на бенефициери по линия на Евратом, които са разработили нови трансдисципл</w:t>
            </w:r>
            <w:r>
              <w:rPr>
                <w:noProof/>
                <w:sz w:val="20"/>
              </w:rPr>
              <w:t>инарни/междуотраслови сътрудничества с потребителите на техните свободно достъпни крайни продукти от научноизследователска и иновационна дейност по линия на Евратом</w:t>
            </w:r>
          </w:p>
        </w:tc>
      </w:tr>
      <w:tr w:rsidR="00957F97">
        <w:trPr>
          <w:trHeight w:val="32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18"/>
              </w:rPr>
              <w:t>Насърчаване на развитието на термоядрената енергия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Напредък в изпълнението на пътната карт</w:t>
            </w:r>
            <w:r>
              <w:rPr>
                <w:noProof/>
                <w:sz w:val="20"/>
                <w:u w:val="single"/>
              </w:rPr>
              <w:t>а за термоядрен синтез</w:t>
            </w:r>
            <w:r>
              <w:rPr>
                <w:noProof/>
                <w:sz w:val="20"/>
              </w:rPr>
              <w:t xml:space="preserve"> –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Дял на изпълнените от програмата на Евратом етапни цели по пътната карта за термоядрен синтез, определени за периода 2021—2025 г.</w:t>
            </w:r>
          </w:p>
        </w:tc>
      </w:tr>
      <w:tr w:rsidR="00957F97">
        <w:trPr>
          <w:trHeight w:val="327"/>
        </w:trPr>
        <w:tc>
          <w:tcPr>
            <w:tcW w:w="2093" w:type="dxa"/>
            <w:vMerge w:val="restart"/>
            <w:vAlign w:val="center"/>
          </w:tcPr>
          <w:p w:rsidR="00957F97" w:rsidRDefault="00957F97">
            <w:pPr>
              <w:rPr>
                <w:noProof/>
                <w:sz w:val="18"/>
              </w:rPr>
            </w:pPr>
          </w:p>
          <w:p w:rsidR="00957F97" w:rsidRDefault="00FD287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Поддържане и доразвиване на експертни познания и върхови постижения в Съюза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Умения</w:t>
            </w:r>
            <w:r>
              <w:rPr>
                <w:noProof/>
                <w:sz w:val="20"/>
              </w:rPr>
              <w:t xml:space="preserve">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Брой </w:t>
            </w:r>
            <w:r>
              <w:rPr>
                <w:noProof/>
                <w:sz w:val="20"/>
              </w:rPr>
              <w:t>изследователи, които са се възползвали от дейности за повишаване на квалификацията по линия на програмата на Евратом (чрез обучение, мобилност и достъп до инфраструктура)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Кариерно развитие</w:t>
            </w:r>
            <w:r>
              <w:rPr>
                <w:noProof/>
                <w:sz w:val="20"/>
              </w:rPr>
              <w:t xml:space="preserve">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и дял на усъвършенствалите уменията си изследователи с пове</w:t>
            </w:r>
            <w:r>
              <w:rPr>
                <w:noProof/>
                <w:sz w:val="20"/>
              </w:rPr>
              <w:t xml:space="preserve">че влияние в своята област на НИИ 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Условия на труд -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  <w:szCs w:val="18"/>
              </w:rPr>
              <w:br/>
            </w:r>
            <w:r>
              <w:rPr>
                <w:noProof/>
                <w:sz w:val="20"/>
              </w:rPr>
              <w:t>Брой и дял на усъвършенствалите уменията си изследователи с подобрени условия на труд</w:t>
            </w:r>
            <w:r>
              <w:rPr>
                <w:noProof/>
                <w:sz w:val="21"/>
              </w:rPr>
              <w:t xml:space="preserve"> </w:t>
            </w:r>
          </w:p>
        </w:tc>
      </w:tr>
      <w:tr w:rsidR="00957F97">
        <w:trPr>
          <w:trHeight w:val="327"/>
        </w:trPr>
        <w:tc>
          <w:tcPr>
            <w:tcW w:w="2093" w:type="dxa"/>
            <w:vMerge/>
            <w:vAlign w:val="center"/>
          </w:tcPr>
          <w:p w:rsidR="00957F97" w:rsidRDefault="00957F97">
            <w:pPr>
              <w:rPr>
                <w:noProof/>
                <w:sz w:val="18"/>
              </w:rPr>
            </w:pP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изследователи, които разполагат с достъп до научноизследователска инфраструктура благодарение на подпомагане</w:t>
            </w:r>
            <w:r>
              <w:rPr>
                <w:noProof/>
                <w:sz w:val="20"/>
              </w:rPr>
              <w:t>то по линия на програмата</w:t>
            </w:r>
          </w:p>
        </w:tc>
      </w:tr>
      <w:tr w:rsidR="00957F97">
        <w:trPr>
          <w:trHeight w:val="32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957F97" w:rsidRDefault="00957F97">
            <w:pPr>
              <w:rPr>
                <w:noProof/>
                <w:sz w:val="1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Доставени референтни материали и референтни измервания, включени в библиотека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модифицирани международни стандарти</w:t>
            </w:r>
          </w:p>
        </w:tc>
      </w:tr>
    </w:tbl>
    <w:p w:rsidR="00957F97" w:rsidRDefault="00FD2870">
      <w:pPr>
        <w:rPr>
          <w:b/>
          <w:noProof/>
        </w:rPr>
      </w:pPr>
      <w:r>
        <w:rPr>
          <w:b/>
          <w:noProof/>
        </w:rPr>
        <w:t>Показатели за пътищата на въздействие в обществената сфера</w:t>
      </w:r>
    </w:p>
    <w:p w:rsidR="00957F97" w:rsidRDefault="00FD2870">
      <w:pPr>
        <w:rPr>
          <w:noProof/>
        </w:rPr>
      </w:pPr>
      <w:r>
        <w:rPr>
          <w:noProof/>
        </w:rPr>
        <w:t xml:space="preserve">Програмата допринася за изпълнение на </w:t>
      </w:r>
      <w:r>
        <w:rPr>
          <w:noProof/>
        </w:rPr>
        <w:t>приоритетите на политиката на ЕС във връзка с ядрената безопасност и сигурност, радиационната защита и приложенията на йонизиращите лъчения чрез научноизследователска дейност и иновации, както е видно от портфейлите от проекти, които генерират крайни проду</w:t>
      </w:r>
      <w:r>
        <w:rPr>
          <w:noProof/>
        </w:rPr>
        <w:t>кти, допринасящи за преодоляване на предизвикателствата в тези области. Въздействието върху обществото също се измерва по отношение на специфично развитие в сферата на ядрената безопасност и гаранциите.</w:t>
      </w:r>
    </w:p>
    <w:p w:rsidR="00957F97" w:rsidRDefault="00957F97">
      <w:pPr>
        <w:rPr>
          <w:noProof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583"/>
        <w:gridCol w:w="2204"/>
        <w:gridCol w:w="1024"/>
        <w:gridCol w:w="1076"/>
        <w:gridCol w:w="2152"/>
      </w:tblGrid>
      <w:tr w:rsidR="00957F97">
        <w:trPr>
          <w:trHeight w:val="327"/>
        </w:trPr>
        <w:tc>
          <w:tcPr>
            <w:tcW w:w="2583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По пътя към постигането на въздействие върху обществ</w:t>
            </w:r>
            <w:r>
              <w:rPr>
                <w:b/>
                <w:noProof/>
                <w:sz w:val="20"/>
              </w:rPr>
              <w:t>ото</w:t>
            </w:r>
          </w:p>
        </w:tc>
        <w:tc>
          <w:tcPr>
            <w:tcW w:w="2204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Краткосрочни</w:t>
            </w:r>
          </w:p>
        </w:tc>
        <w:tc>
          <w:tcPr>
            <w:tcW w:w="2100" w:type="dxa"/>
            <w:gridSpan w:val="2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ind w:left="-10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Средносрочни </w:t>
            </w:r>
          </w:p>
        </w:tc>
        <w:tc>
          <w:tcPr>
            <w:tcW w:w="2152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Дългосрочни</w:t>
            </w:r>
          </w:p>
        </w:tc>
      </w:tr>
      <w:tr w:rsidR="00957F97">
        <w:trPr>
          <w:trHeight w:val="921"/>
        </w:trPr>
        <w:tc>
          <w:tcPr>
            <w:tcW w:w="2583" w:type="dxa"/>
            <w:vMerge w:val="restart"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Подобряване на безопасното и сигурно използване на ядрената енергия и приложенията на йонизиращите лъчения, различни от производството на енергия, включително ядрената безопасност, сигурност, гаранции, </w:t>
            </w:r>
            <w:r>
              <w:rPr>
                <w:noProof/>
                <w:sz w:val="20"/>
              </w:rPr>
              <w:t>радиационна защита и безопасно управление на отработено гориво и радиоактивни отпадъци и извеждане от експлоатация</w:t>
            </w:r>
          </w:p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220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>Резултати</w:t>
            </w:r>
            <w:r>
              <w:rPr>
                <w:noProof/>
                <w:sz w:val="18"/>
              </w:rPr>
              <w:t xml:space="preserve"> -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Брой и дял на крайните продукти, насочени към изпълнение на специфичните приоритети на политиката на ЕС</w:t>
            </w:r>
          </w:p>
        </w:tc>
        <w:tc>
          <w:tcPr>
            <w:tcW w:w="2100" w:type="dxa"/>
            <w:gridSpan w:val="2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>Решения</w:t>
            </w:r>
            <w:r>
              <w:rPr>
                <w:noProof/>
                <w:sz w:val="18"/>
              </w:rPr>
              <w:t xml:space="preserve"> -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Брой и дял н</w:t>
            </w:r>
            <w:r>
              <w:rPr>
                <w:noProof/>
                <w:sz w:val="18"/>
              </w:rPr>
              <w:t>а иновации и научни резултати, свързани с конкретни приоритети на политиката на ЕС</w:t>
            </w:r>
          </w:p>
        </w:tc>
        <w:tc>
          <w:tcPr>
            <w:tcW w:w="2152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>Ползи</w:t>
            </w:r>
            <w:r>
              <w:rPr>
                <w:noProof/>
                <w:sz w:val="18"/>
              </w:rPr>
              <w:t xml:space="preserve"> -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Обобщени данни за очакваните въздействия от използването на финансирани по линия на Евратом резултати върху изпълнението на определени политически приоритети на ЕС,</w:t>
            </w:r>
            <w:r>
              <w:rPr>
                <w:noProof/>
                <w:sz w:val="18"/>
              </w:rPr>
              <w:t xml:space="preserve"> включително приноса към политическия и законодателния цикъл </w:t>
            </w:r>
          </w:p>
        </w:tc>
      </w:tr>
      <w:tr w:rsidR="00957F97">
        <w:trPr>
          <w:trHeight w:val="1631"/>
        </w:trPr>
        <w:tc>
          <w:tcPr>
            <w:tcW w:w="2583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на предоставените услуги в подкрепа на гаранциите в ЕС</w:t>
            </w:r>
          </w:p>
        </w:tc>
        <w:tc>
          <w:tcPr>
            <w:tcW w:w="3228" w:type="dxa"/>
            <w:gridSpan w:val="2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на предоставените и използвани технически системи</w:t>
            </w:r>
          </w:p>
        </w:tc>
      </w:tr>
      <w:tr w:rsidR="00957F97">
        <w:trPr>
          <w:trHeight w:val="588"/>
        </w:trPr>
        <w:tc>
          <w:tcPr>
            <w:tcW w:w="2583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6456" w:type="dxa"/>
            <w:gridSpan w:val="4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на обучителните сесии за служители от първа линия</w:t>
            </w:r>
          </w:p>
        </w:tc>
      </w:tr>
      <w:tr w:rsidR="00957F97">
        <w:trPr>
          <w:trHeight w:val="327"/>
        </w:trPr>
        <w:tc>
          <w:tcPr>
            <w:tcW w:w="2583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2204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 xml:space="preserve">Съвместно </w:t>
            </w:r>
            <w:r>
              <w:rPr>
                <w:noProof/>
                <w:sz w:val="18"/>
                <w:u w:val="single"/>
              </w:rPr>
              <w:t>създаване</w:t>
            </w:r>
            <w:r>
              <w:rPr>
                <w:noProof/>
                <w:sz w:val="18"/>
              </w:rPr>
              <w:t xml:space="preserve"> -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Брой и дял на проекти по линия на Евратом, в които гражданите на ЕС и крайните потребители допринасят за съвместно създаване на съдържание, свързано с НИИ</w:t>
            </w:r>
          </w:p>
        </w:tc>
        <w:tc>
          <w:tcPr>
            <w:tcW w:w="2100" w:type="dxa"/>
            <w:gridSpan w:val="2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>Участие</w:t>
            </w:r>
            <w:r>
              <w:rPr>
                <w:noProof/>
                <w:sz w:val="18"/>
              </w:rPr>
              <w:t xml:space="preserve"> -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Брой и дял на субектите бенефициери по линия на Евратом с механизми за участи</w:t>
            </w:r>
            <w:r>
              <w:rPr>
                <w:noProof/>
                <w:sz w:val="18"/>
              </w:rPr>
              <w:t>е на гражданите и крайните потребители след приключване на проекта по линия на Евратом</w:t>
            </w:r>
          </w:p>
        </w:tc>
        <w:tc>
          <w:tcPr>
            <w:tcW w:w="2152" w:type="dxa"/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u w:val="single"/>
              </w:rPr>
              <w:t>Възприемане на НИИ от страна на обществото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Възприемане и популяризиране на резултати от съвместна с Евратом научна дейност и иновативни решения</w:t>
            </w:r>
          </w:p>
        </w:tc>
      </w:tr>
    </w:tbl>
    <w:p w:rsidR="00957F97" w:rsidRDefault="00957F97">
      <w:pPr>
        <w:rPr>
          <w:noProof/>
        </w:rPr>
      </w:pPr>
    </w:p>
    <w:p w:rsidR="00957F97" w:rsidRDefault="00FD2870">
      <w:pPr>
        <w:spacing w:before="0"/>
        <w:rPr>
          <w:b/>
          <w:noProof/>
        </w:rPr>
      </w:pPr>
      <w:r>
        <w:rPr>
          <w:b/>
          <w:noProof/>
        </w:rPr>
        <w:t xml:space="preserve">Показатели за пътищата на въздействие в сферата на иновациите </w:t>
      </w:r>
    </w:p>
    <w:p w:rsidR="00957F97" w:rsidRDefault="00FD2870">
      <w:pPr>
        <w:spacing w:before="0"/>
        <w:rPr>
          <w:b/>
          <w:noProof/>
        </w:rPr>
      </w:pPr>
      <w:r>
        <w:rPr>
          <w:noProof/>
        </w:rPr>
        <w:t>Очаква се Програмата да доведе до въздействие върху иновациите в подкрепа на напредъка в постигането на нейните специфични цели. Напредъкът в тази област ще се измерва чрез показатели, свързани</w:t>
      </w:r>
      <w:r>
        <w:rPr>
          <w:noProof/>
        </w:rPr>
        <w:t xml:space="preserve"> с правата върху интелектуалната собственост (ПИС), иновативни продукти, методи и процеси и тяхното използване, заедно със създаването на работни места.</w:t>
      </w:r>
    </w:p>
    <w:p w:rsidR="00957F97" w:rsidRDefault="00957F97">
      <w:pPr>
        <w:rPr>
          <w:b/>
          <w:noProof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55"/>
        <w:gridCol w:w="2163"/>
        <w:gridCol w:w="2171"/>
        <w:gridCol w:w="2008"/>
      </w:tblGrid>
      <w:tr w:rsidR="00957F97">
        <w:trPr>
          <w:trHeight w:val="327"/>
        </w:trPr>
        <w:tc>
          <w:tcPr>
            <w:tcW w:w="2201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Към въздействие върху икономиката/иновациите</w:t>
            </w:r>
          </w:p>
        </w:tc>
        <w:tc>
          <w:tcPr>
            <w:tcW w:w="2294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Краткосрочни </w:t>
            </w:r>
          </w:p>
        </w:tc>
        <w:tc>
          <w:tcPr>
            <w:tcW w:w="2352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ind w:left="-10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Средносрочни </w:t>
            </w:r>
          </w:p>
        </w:tc>
        <w:tc>
          <w:tcPr>
            <w:tcW w:w="2050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Дългосрочни</w:t>
            </w:r>
          </w:p>
        </w:tc>
      </w:tr>
      <w:tr w:rsidR="00957F97">
        <w:trPr>
          <w:trHeight w:val="327"/>
        </w:trPr>
        <w:tc>
          <w:tcPr>
            <w:tcW w:w="2201" w:type="dxa"/>
            <w:vMerge w:val="restart"/>
            <w:vAlign w:val="center"/>
          </w:tcPr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Подобряване на </w:t>
            </w:r>
            <w:r>
              <w:rPr>
                <w:noProof/>
                <w:sz w:val="20"/>
              </w:rPr>
              <w:t>безопасното и сигурно използване на ядрената енергия и приложенията на йонизиращите лъчения, различни от производството на енергия, включително ядрена безопасност, сигурност, гаранции, радиационна защита и безопасно управление на отработено гориво и радиоа</w:t>
            </w:r>
            <w:r>
              <w:rPr>
                <w:noProof/>
                <w:sz w:val="20"/>
              </w:rPr>
              <w:t>ктивни отпадъци и извеждане от експлоатация</w:t>
            </w:r>
          </w:p>
          <w:p w:rsidR="00957F97" w:rsidRDefault="00957F97">
            <w:pPr>
              <w:rPr>
                <w:noProof/>
                <w:sz w:val="20"/>
              </w:rPr>
            </w:pPr>
          </w:p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Насърчаване на развитието на термоядрената енергия</w:t>
            </w:r>
          </w:p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Поддържане и доразвиване на експертни познания и върхови постижения в Съюза</w:t>
            </w:r>
          </w:p>
        </w:tc>
        <w:tc>
          <w:tcPr>
            <w:tcW w:w="2294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t xml:space="preserve">Иновативни продукти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Брой на иновативните продукти, процеси или методи по линия на</w:t>
            </w:r>
            <w:r>
              <w:rPr>
                <w:noProof/>
                <w:sz w:val="20"/>
              </w:rPr>
              <w:t xml:space="preserve"> програмата на Евратом (по типове иновации) и на приложенията на правата върху интелектуалната собственост (ПИС)</w:t>
            </w:r>
          </w:p>
        </w:tc>
        <w:tc>
          <w:tcPr>
            <w:tcW w:w="2352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Иновации</w:t>
            </w:r>
            <w:r>
              <w:rPr>
                <w:noProof/>
                <w:sz w:val="20"/>
              </w:rPr>
              <w:t xml:space="preserve">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</w:rPr>
              <w:t xml:space="preserve"> Брой на иновациите от проектите на Евратом (по типове иновации), включително от присъдените ПИС</w:t>
            </w:r>
          </w:p>
        </w:tc>
        <w:tc>
          <w:tcPr>
            <w:tcW w:w="2050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Икономически растеж</w:t>
            </w:r>
            <w:r>
              <w:rPr>
                <w:noProof/>
                <w:sz w:val="20"/>
              </w:rPr>
              <w:t xml:space="preserve">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Създаване, </w:t>
            </w:r>
            <w:r>
              <w:rPr>
                <w:noProof/>
                <w:sz w:val="20"/>
              </w:rPr>
              <w:t>растеж и пазарни дялове на дружества, които са разработили иновации, финансирани по линия на Евратом</w:t>
            </w:r>
          </w:p>
        </w:tc>
      </w:tr>
      <w:tr w:rsidR="00957F97">
        <w:trPr>
          <w:trHeight w:val="327"/>
        </w:trPr>
        <w:tc>
          <w:tcPr>
            <w:tcW w:w="2201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2294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t xml:space="preserve">Подкрепа на заетостта - 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Брой създадени работни места на пълен работен ден и запазени работни места в субектите бенефициери по проекта по линия на </w:t>
            </w:r>
            <w:r>
              <w:rPr>
                <w:noProof/>
                <w:sz w:val="20"/>
              </w:rPr>
              <w:t>Евратом (по вид работни места)</w:t>
            </w:r>
          </w:p>
        </w:tc>
        <w:tc>
          <w:tcPr>
            <w:tcW w:w="2352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>Запазени работни места</w:t>
            </w:r>
            <w:r>
              <w:rPr>
                <w:noProof/>
                <w:sz w:val="20"/>
              </w:rPr>
              <w:t xml:space="preserve"> -</w:t>
            </w:r>
          </w:p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Увеличаване на работните места, изразени като еквиваленти на пълно работно време, в образуванията бенефициери след изпълнение на проекта по Евратом (по вид работни места)</w:t>
            </w:r>
          </w:p>
        </w:tc>
        <w:tc>
          <w:tcPr>
            <w:tcW w:w="2050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u w:val="single"/>
              </w:rPr>
              <w:t xml:space="preserve">Обща заетост - </w:t>
            </w:r>
            <w:r>
              <w:rPr>
                <w:noProof/>
                <w:sz w:val="20"/>
              </w:rPr>
              <w:t>Брой пряко и н</w:t>
            </w:r>
            <w:r>
              <w:rPr>
                <w:noProof/>
                <w:sz w:val="20"/>
              </w:rPr>
              <w:t>епряко създадени или запазени работни места поради разпространението на резултатите по линия на Евратом (по вид работни места)</w:t>
            </w:r>
          </w:p>
        </w:tc>
      </w:tr>
      <w:tr w:rsidR="00957F97">
        <w:trPr>
          <w:trHeight w:val="327"/>
        </w:trPr>
        <w:tc>
          <w:tcPr>
            <w:tcW w:w="2201" w:type="dxa"/>
            <w:vMerge/>
            <w:vAlign w:val="center"/>
          </w:tcPr>
          <w:p w:rsidR="00957F97" w:rsidRDefault="00957F97">
            <w:pPr>
              <w:rPr>
                <w:noProof/>
                <w:sz w:val="20"/>
              </w:rPr>
            </w:pPr>
          </w:p>
        </w:tc>
        <w:tc>
          <w:tcPr>
            <w:tcW w:w="2294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Размер на публичните и частните инвестиции, мобилизирани с първоначалната инвестиция по линия на Евратом</w:t>
            </w:r>
          </w:p>
        </w:tc>
        <w:tc>
          <w:tcPr>
            <w:tcW w:w="2352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Размер на публичните и</w:t>
            </w:r>
            <w:r>
              <w:rPr>
                <w:noProof/>
                <w:sz w:val="20"/>
              </w:rPr>
              <w:t xml:space="preserve"> частните инвестиции, мобилизирани за използване или разширяване на резултатите по линия на Евратом</w:t>
            </w:r>
          </w:p>
        </w:tc>
        <w:tc>
          <w:tcPr>
            <w:tcW w:w="2050" w:type="dxa"/>
            <w:tcBorders>
              <w:top w:val="single" w:sz="8" w:space="0" w:color="002060"/>
              <w:bottom w:val="single" w:sz="8" w:space="0" w:color="002060"/>
            </w:tcBorders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Напредък на ЕС към 3 % от БВП вследствие на програмата на Евратом</w:t>
            </w:r>
          </w:p>
        </w:tc>
      </w:tr>
    </w:tbl>
    <w:p w:rsidR="00957F97" w:rsidRDefault="00957F97">
      <w:pPr>
        <w:spacing w:before="0"/>
        <w:rPr>
          <w:b/>
          <w:noProof/>
        </w:rPr>
      </w:pPr>
    </w:p>
    <w:p w:rsidR="00957F97" w:rsidRDefault="00FD2870">
      <w:pPr>
        <w:spacing w:before="0"/>
        <w:rPr>
          <w:b/>
          <w:noProof/>
        </w:rPr>
      </w:pPr>
      <w:r>
        <w:rPr>
          <w:b/>
          <w:noProof/>
        </w:rPr>
        <w:t>Показатели за пътищата на въздействие в областта на политиките</w:t>
      </w:r>
    </w:p>
    <w:p w:rsidR="00957F97" w:rsidRDefault="00FD2870">
      <w:pPr>
        <w:spacing w:before="0"/>
        <w:rPr>
          <w:noProof/>
        </w:rPr>
      </w:pPr>
      <w:r>
        <w:rPr>
          <w:noProof/>
        </w:rPr>
        <w:t>В Програмата се предвижда</w:t>
      </w:r>
      <w:r>
        <w:rPr>
          <w:noProof/>
        </w:rPr>
        <w:t>т научни доказателства за определянето на политиките. Това се отнася по-специално за оказване на научна подкрепа на други служби на Комисията, като например подкрепа за гаранции на Евратом, или за прилагането от страна на държавите членки на директиви в об</w:t>
      </w:r>
      <w:r>
        <w:rPr>
          <w:noProof/>
        </w:rPr>
        <w:t>ластта на ядрената енергия и йонизиращите лъчения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192"/>
        <w:gridCol w:w="2287"/>
        <w:gridCol w:w="2343"/>
        <w:gridCol w:w="2075"/>
      </w:tblGrid>
      <w:tr w:rsidR="00957F97">
        <w:trPr>
          <w:trHeight w:val="327"/>
        </w:trPr>
        <w:tc>
          <w:tcPr>
            <w:tcW w:w="2201" w:type="dxa"/>
            <w:shd w:val="clear" w:color="auto" w:fill="B3ABAF" w:themeFill="background1" w:themeFillShade="BF"/>
            <w:vAlign w:val="center"/>
          </w:tcPr>
          <w:p w:rsidR="00957F97" w:rsidRDefault="00FD2870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Към постигането на въздействие в областта на политиките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Краткосрочни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B3ABAF" w:themeFill="background1" w:themeFillShade="BF"/>
            <w:vAlign w:val="center"/>
          </w:tcPr>
          <w:p w:rsidR="00957F97" w:rsidRDefault="00FD2870">
            <w:pPr>
              <w:keepNext/>
              <w:ind w:left="-10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Средносрочни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B3ABAF" w:themeFill="background1" w:themeFillShade="BF"/>
            <w:vAlign w:val="center"/>
          </w:tcPr>
          <w:p w:rsidR="00957F97" w:rsidRDefault="00FD2870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Дългосрочни</w:t>
            </w:r>
          </w:p>
        </w:tc>
      </w:tr>
      <w:tr w:rsidR="00957F97">
        <w:trPr>
          <w:trHeight w:val="883"/>
        </w:trPr>
        <w:tc>
          <w:tcPr>
            <w:tcW w:w="2201" w:type="dxa"/>
            <w:vAlign w:val="center"/>
          </w:tcPr>
          <w:p w:rsidR="00957F97" w:rsidRDefault="00FD287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Подпомагане на политиката на Съюза в областта на ядрената безопасност, ядрените гаранции и сигурността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Брой </w:t>
            </w:r>
            <w:r>
              <w:rPr>
                <w:noProof/>
                <w:sz w:val="18"/>
              </w:rPr>
              <w:t>и дял на проектите по линия на Евратом, водещи до заключения, относими към политика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Брой на крайните продукти с осезаемо въздействие върху политиката на ЕС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957F97" w:rsidRDefault="00FD287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Брой и дял на констатациите по проекти по линия на Евратом, цитирани в политически/програмни докуме</w:t>
            </w:r>
            <w:r>
              <w:rPr>
                <w:noProof/>
                <w:sz w:val="18"/>
              </w:rPr>
              <w:t>нти</w:t>
            </w:r>
          </w:p>
        </w:tc>
      </w:tr>
    </w:tbl>
    <w:p w:rsidR="00957F97" w:rsidRDefault="00957F97">
      <w:pPr>
        <w:rPr>
          <w:noProof/>
        </w:rPr>
      </w:pPr>
    </w:p>
    <w:p w:rsidR="00957F97" w:rsidRDefault="00FD2870">
      <w:pPr>
        <w:spacing w:before="0" w:after="200" w:line="276" w:lineRule="auto"/>
        <w:jc w:val="left"/>
        <w:rPr>
          <w:noProof/>
        </w:rPr>
      </w:pPr>
      <w:r>
        <w:rPr>
          <w:noProof/>
        </w:rPr>
        <w:t>Ще бъдат определени целеви стойности както за преките, така и за непреките действия, които да отразяват очакваните резултати за всяка част от програмата.</w:t>
      </w:r>
    </w:p>
    <w:sectPr w:rsidR="00957F97" w:rsidSect="00FD2870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97" w:rsidRDefault="00FD2870">
      <w:pPr>
        <w:spacing w:before="0" w:after="0"/>
      </w:pPr>
      <w:r>
        <w:separator/>
      </w:r>
    </w:p>
  </w:endnote>
  <w:endnote w:type="continuationSeparator" w:id="0">
    <w:p w:rsidR="00957F97" w:rsidRDefault="00FD2870">
      <w:pPr>
        <w:spacing w:before="0" w:after="0"/>
      </w:pPr>
      <w:r>
        <w:continuationSeparator/>
      </w:r>
    </w:p>
  </w:endnote>
  <w:endnote w:type="continuationNotice" w:id="1">
    <w:p w:rsidR="00957F97" w:rsidRDefault="00957F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97" w:rsidRPr="00FD2870" w:rsidRDefault="00FD2870" w:rsidP="00FD2870">
    <w:pPr>
      <w:pStyle w:val="Footer"/>
      <w:rPr>
        <w:rFonts w:ascii="Arial" w:hAnsi="Arial" w:cs="Arial"/>
        <w:b/>
        <w:sz w:val="48"/>
      </w:rPr>
    </w:pPr>
    <w:r w:rsidRPr="00FD2870">
      <w:rPr>
        <w:rFonts w:ascii="Arial" w:hAnsi="Arial" w:cs="Arial"/>
        <w:b/>
        <w:sz w:val="48"/>
      </w:rPr>
      <w:t>BG</w:t>
    </w:r>
    <w:r w:rsidRPr="00FD2870">
      <w:rPr>
        <w:rFonts w:ascii="Arial" w:hAnsi="Arial" w:cs="Arial"/>
        <w:b/>
        <w:sz w:val="48"/>
      </w:rPr>
      <w:tab/>
    </w:r>
    <w:r w:rsidRPr="00FD2870">
      <w:rPr>
        <w:rFonts w:ascii="Arial" w:hAnsi="Arial" w:cs="Arial"/>
        <w:b/>
        <w:sz w:val="48"/>
      </w:rPr>
      <w:tab/>
    </w:r>
    <w:r w:rsidRPr="00FD2870">
      <w:tab/>
    </w:r>
    <w:proofErr w:type="spellStart"/>
    <w:r w:rsidRPr="00FD2870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Footer"/>
      <w:rPr>
        <w:rFonts w:ascii="Arial" w:hAnsi="Arial" w:cs="Arial"/>
        <w:b/>
        <w:sz w:val="48"/>
      </w:rPr>
    </w:pPr>
    <w:r w:rsidRPr="00FD2870">
      <w:rPr>
        <w:rFonts w:ascii="Arial" w:hAnsi="Arial" w:cs="Arial"/>
        <w:b/>
        <w:sz w:val="48"/>
      </w:rPr>
      <w:t>BG</w:t>
    </w:r>
    <w:r w:rsidRPr="00FD287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 w:rsidRPr="00FD2870">
      <w:tab/>
    </w:r>
    <w:r w:rsidRPr="00FD287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97" w:rsidRDefault="00FD2870">
      <w:pPr>
        <w:spacing w:before="0" w:after="0"/>
      </w:pPr>
      <w:r>
        <w:separator/>
      </w:r>
    </w:p>
  </w:footnote>
  <w:footnote w:type="continuationSeparator" w:id="0">
    <w:p w:rsidR="00957F97" w:rsidRDefault="00FD2870">
      <w:pPr>
        <w:spacing w:before="0" w:after="0"/>
      </w:pPr>
      <w:r>
        <w:continuationSeparator/>
      </w:r>
    </w:p>
  </w:footnote>
  <w:footnote w:type="continuationNotice" w:id="1">
    <w:p w:rsidR="00957F97" w:rsidRDefault="00957F97">
      <w:pPr>
        <w:spacing w:before="0" w:after="0"/>
      </w:pPr>
    </w:p>
  </w:footnote>
  <w:footnote w:id="2">
    <w:p w:rsidR="00957F97" w:rsidRDefault="00FD2870">
      <w:pPr>
        <w:pStyle w:val="FootnoteText"/>
      </w:pPr>
      <w:r>
        <w:rPr>
          <w:rStyle w:val="FootnoteReference"/>
        </w:rPr>
        <w:footnoteRef/>
      </w:r>
      <w:r>
        <w:tab/>
      </w:r>
      <w:r>
        <w:t>По-конкретно, Директива 2009/71/</w:t>
      </w:r>
      <w:proofErr w:type="spellStart"/>
      <w:r>
        <w:t>Евратом</w:t>
      </w:r>
      <w:proofErr w:type="spellEnd"/>
      <w:r>
        <w:t xml:space="preserve"> на Съвета от 25 юни 2009 г. за установяване на </w:t>
      </w:r>
      <w:proofErr w:type="spellStart"/>
      <w:r>
        <w:t>общностна</w:t>
      </w:r>
      <w:proofErr w:type="spellEnd"/>
      <w:r>
        <w:t xml:space="preserve"> рамка за ядрената безопасност на ядрените инсталации, изменена с Директива 2014/87/</w:t>
      </w:r>
      <w:proofErr w:type="spellStart"/>
      <w:r>
        <w:t>Евратом</w:t>
      </w:r>
      <w:proofErr w:type="spellEnd"/>
      <w:r>
        <w:t xml:space="preserve"> на Съвета от 8 юли 2014 г.; Директива 2011/70/</w:t>
      </w:r>
      <w:proofErr w:type="spellStart"/>
      <w:r>
        <w:t>Евратом</w:t>
      </w:r>
      <w:proofErr w:type="spellEnd"/>
      <w:r>
        <w:t xml:space="preserve"> на Съвета от 1</w:t>
      </w:r>
      <w:r>
        <w:t xml:space="preserve">9 юли 2011 г. за създаване на рамка на Общността за отговорно и безопасно управление на отработено гориво и радиоактивни отпадъци; </w:t>
      </w:r>
      <w:hyperlink r:id="rId1">
        <w:r>
          <w:rPr>
            <w:rStyle w:val="Hyperlink"/>
            <w:color w:val="000000" w:themeColor="text1"/>
          </w:rPr>
          <w:t>Директива 2006/117/</w:t>
        </w:r>
        <w:proofErr w:type="spellStart"/>
        <w:r>
          <w:rPr>
            <w:rStyle w:val="Hyperlink"/>
            <w:color w:val="000000" w:themeColor="text1"/>
          </w:rPr>
          <w:t>Евратом</w:t>
        </w:r>
        <w:proofErr w:type="spellEnd"/>
        <w:r>
          <w:rPr>
            <w:rStyle w:val="Hyperlink"/>
            <w:color w:val="000000" w:themeColor="text1"/>
          </w:rPr>
          <w:t xml:space="preserve"> н</w:t>
        </w:r>
        <w:r>
          <w:rPr>
            <w:rStyle w:val="Hyperlink"/>
            <w:color w:val="000000" w:themeColor="text1"/>
          </w:rPr>
          <w:t>а Съвета</w:t>
        </w:r>
      </w:hyperlink>
      <w:r>
        <w:t xml:space="preserve"> от 20 ноември 2006 г. относно надзор и контрол на превоза на радиоактивни отпадъци и отработено гориво между държавите-членки, както и тези, внасяни във и изнасяни от Общността; Директива 2013/59/</w:t>
      </w:r>
      <w:proofErr w:type="spellStart"/>
      <w:r>
        <w:t>Евратом</w:t>
      </w:r>
      <w:proofErr w:type="spellEnd"/>
      <w:r>
        <w:t xml:space="preserve"> на Съвета от 5 декември 2013 г. за определя</w:t>
      </w:r>
      <w:r>
        <w:t>не на основни норми на безопасност за защита срещу опасностите, произтичащи от излагане на йонизиращо лъчение и за отмяна на директиви 89/618/</w:t>
      </w:r>
      <w:proofErr w:type="spellStart"/>
      <w:r>
        <w:t>Евратом</w:t>
      </w:r>
      <w:proofErr w:type="spellEnd"/>
      <w:r>
        <w:t>, 90/641/</w:t>
      </w:r>
      <w:proofErr w:type="spellStart"/>
      <w:r>
        <w:t>Евратом</w:t>
      </w:r>
      <w:proofErr w:type="spellEnd"/>
      <w:r>
        <w:t>, 96/29/</w:t>
      </w:r>
      <w:proofErr w:type="spellStart"/>
      <w:r>
        <w:t>Евратом</w:t>
      </w:r>
      <w:proofErr w:type="spellEnd"/>
      <w:r>
        <w:t>, 97/43/</w:t>
      </w:r>
      <w:proofErr w:type="spellStart"/>
      <w:r>
        <w:t>Евратом</w:t>
      </w:r>
      <w:proofErr w:type="spellEnd"/>
      <w:r>
        <w:t xml:space="preserve"> и 2003/122/</w:t>
      </w:r>
      <w:proofErr w:type="spellStart"/>
      <w:r>
        <w:t>Евратом</w:t>
      </w:r>
      <w:proofErr w:type="spellEnd"/>
      <w:r>
        <w:t>; Директива 2013/51/</w:t>
      </w:r>
      <w:proofErr w:type="spellStart"/>
      <w:r>
        <w:t>Евратом</w:t>
      </w:r>
      <w:proofErr w:type="spellEnd"/>
      <w:r>
        <w:t xml:space="preserve"> на Съвета от 2</w:t>
      </w:r>
      <w:r>
        <w:t>2 октомври 2013 г. за определяне на изисквания за защита на здравето на населението по отношение на радиоактивни вещества във водата, предназначена за консумация от човека и Регламент (</w:t>
      </w:r>
      <w:proofErr w:type="spellStart"/>
      <w:r>
        <w:t>Евратом</w:t>
      </w:r>
      <w:proofErr w:type="spellEnd"/>
      <w:r>
        <w:t>) 2016/52 на Съвета от 15 януари 2016 г. за установяване на макс</w:t>
      </w:r>
      <w:r>
        <w:t>имално допустимите нива на радиоактивно замърсяване на храните и фуражите след ядрена авария или друг случай на радиационна аварийна обстановка.</w:t>
      </w:r>
    </w:p>
    <w:p w:rsidR="00957F97" w:rsidRDefault="00957F97">
      <w:pPr>
        <w:pStyle w:val="FootnoteText"/>
      </w:pPr>
    </w:p>
  </w:footnote>
  <w:footnote w:id="3">
    <w:p w:rsidR="00957F97" w:rsidRDefault="00FD2870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Членове 35, 36, 38 от Договора за </w:t>
      </w:r>
      <w:proofErr w:type="spellStart"/>
      <w:r>
        <w:t>Евратом</w:t>
      </w:r>
      <w:proofErr w:type="spellEnd"/>
      <w:r>
        <w:t xml:space="preserve"> Решение 87/600/</w:t>
      </w:r>
      <w:proofErr w:type="spellStart"/>
      <w:r>
        <w:t>Евратом</w:t>
      </w:r>
      <w:proofErr w:type="spellEnd"/>
      <w:r>
        <w:t xml:space="preserve"> на Съвета</w:t>
      </w:r>
    </w:p>
  </w:footnote>
  <w:footnote w:id="4">
    <w:p w:rsidR="00957F97" w:rsidRDefault="00FD2870">
      <w:pPr>
        <w:pStyle w:val="Text1"/>
        <w:spacing w:before="0"/>
        <w:ind w:left="0"/>
        <w:rPr>
          <w:sz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>Въз основа на действащия план з</w:t>
      </w:r>
      <w:r>
        <w:rPr>
          <w:sz w:val="20"/>
        </w:rPr>
        <w:t>а инвестиции в инфраструктурите на JRC</w:t>
      </w:r>
    </w:p>
  </w:footnote>
  <w:footnote w:id="5">
    <w:p w:rsidR="00957F97" w:rsidRDefault="00FD2870">
      <w:pPr>
        <w:pStyle w:val="Default"/>
        <w:ind w:left="284" w:hanging="284"/>
        <w:jc w:val="both"/>
        <w:rPr>
          <w:bCs/>
          <w:sz w:val="18"/>
          <w:szCs w:val="18"/>
          <w:lang w:val="bg-BG"/>
        </w:rPr>
      </w:pPr>
      <w:r>
        <w:rPr>
          <w:rStyle w:val="FootnoteReference"/>
        </w:rPr>
        <w:footnoteRef/>
      </w:r>
      <w:r>
        <w:rPr>
          <w:lang w:val="bg-BG"/>
        </w:rPr>
        <w:tab/>
      </w:r>
      <w:r>
        <w:rPr>
          <w:sz w:val="18"/>
          <w:lang w:val="bg-BG"/>
        </w:rPr>
        <w:t>Директива 2014/87/</w:t>
      </w:r>
      <w:proofErr w:type="spellStart"/>
      <w:r>
        <w:rPr>
          <w:sz w:val="18"/>
          <w:lang w:val="bg-BG"/>
        </w:rPr>
        <w:t>Евратом</w:t>
      </w:r>
      <w:proofErr w:type="spellEnd"/>
      <w:r>
        <w:rPr>
          <w:sz w:val="18"/>
          <w:lang w:val="bg-BG"/>
        </w:rPr>
        <w:t xml:space="preserve"> на Съвета от 8 юли 2014 г. за изменение на Директива 2009/71/</w:t>
      </w:r>
      <w:proofErr w:type="spellStart"/>
      <w:r>
        <w:rPr>
          <w:sz w:val="18"/>
          <w:lang w:val="bg-BG"/>
        </w:rPr>
        <w:t>Евратом</w:t>
      </w:r>
      <w:proofErr w:type="spellEnd"/>
      <w:r>
        <w:rPr>
          <w:sz w:val="18"/>
          <w:lang w:val="bg-BG"/>
        </w:rPr>
        <w:t xml:space="preserve"> за установяване на рамка на Общността за ядрената безопасност на ядрените инсталации; Директива 2011/70/</w:t>
      </w:r>
      <w:proofErr w:type="spellStart"/>
      <w:r>
        <w:rPr>
          <w:sz w:val="18"/>
          <w:lang w:val="bg-BG"/>
        </w:rPr>
        <w:t>Евратом</w:t>
      </w:r>
      <w:proofErr w:type="spellEnd"/>
      <w:r>
        <w:rPr>
          <w:sz w:val="18"/>
          <w:lang w:val="bg-BG"/>
        </w:rPr>
        <w:t xml:space="preserve"> на Съвет</w:t>
      </w:r>
      <w:r>
        <w:rPr>
          <w:sz w:val="18"/>
          <w:lang w:val="bg-BG"/>
        </w:rPr>
        <w:t>а от 19 юли 2011</w:t>
      </w:r>
      <w:r>
        <w:rPr>
          <w:sz w:val="18"/>
        </w:rPr>
        <w:t> </w:t>
      </w:r>
      <w:r>
        <w:rPr>
          <w:sz w:val="18"/>
          <w:lang w:val="bg-BG"/>
        </w:rPr>
        <w:t xml:space="preserve">г. за създаване на рамка на Общността за отговорно и безопасно управление на отработено гориво и радиоактивни отпадъци; както и </w:t>
      </w:r>
      <w:r>
        <w:rPr>
          <w:color w:val="231F20"/>
          <w:sz w:val="18"/>
          <w:lang w:val="bg-BG"/>
        </w:rPr>
        <w:t>Регламент (</w:t>
      </w:r>
      <w:proofErr w:type="spellStart"/>
      <w:r>
        <w:rPr>
          <w:color w:val="231F20"/>
          <w:sz w:val="18"/>
          <w:lang w:val="bg-BG"/>
        </w:rPr>
        <w:t>Евратом</w:t>
      </w:r>
      <w:proofErr w:type="spellEnd"/>
      <w:r>
        <w:rPr>
          <w:color w:val="231F20"/>
          <w:sz w:val="18"/>
          <w:lang w:val="bg-BG"/>
        </w:rPr>
        <w:t xml:space="preserve">) № 302/2005 на Комисията от 8 февруари 2005 г. за прилагане на предпазните мерки по </w:t>
      </w:r>
      <w:proofErr w:type="spellStart"/>
      <w:r>
        <w:rPr>
          <w:color w:val="231F20"/>
          <w:sz w:val="18"/>
          <w:lang w:val="bg-BG"/>
        </w:rPr>
        <w:t>Евратом</w:t>
      </w:r>
      <w:proofErr w:type="spellEnd"/>
      <w:r>
        <w:rPr>
          <w:color w:val="231F20"/>
          <w:sz w:val="18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0" w:rsidRPr="00FD2870" w:rsidRDefault="00FD2870" w:rsidP="00FD2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7D41F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2E16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361D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E6C55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2C6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56AB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88496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280C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18"/>
  </w:num>
  <w:num w:numId="30">
    <w:abstractNumId w:val="12"/>
  </w:num>
  <w:num w:numId="31">
    <w:abstractNumId w:val="20"/>
  </w:num>
  <w:num w:numId="32">
    <w:abstractNumId w:val="11"/>
  </w:num>
  <w:num w:numId="33">
    <w:abstractNumId w:val="13"/>
  </w:num>
  <w:num w:numId="34">
    <w:abstractNumId w:val="9"/>
  </w:num>
  <w:num w:numId="35">
    <w:abstractNumId w:val="19"/>
  </w:num>
  <w:num w:numId="36">
    <w:abstractNumId w:val="8"/>
  </w:num>
  <w:num w:numId="37">
    <w:abstractNumId w:val="14"/>
  </w:num>
  <w:num w:numId="38">
    <w:abstractNumId w:val="16"/>
  </w:num>
  <w:num w:numId="39">
    <w:abstractNumId w:val="17"/>
  </w:num>
  <w:num w:numId="40">
    <w:abstractNumId w:val="10"/>
  </w:num>
  <w:num w:numId="41">
    <w:abstractNumId w:val="15"/>
  </w:num>
  <w:num w:numId="42">
    <w:abstractNumId w:val="21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IWINSKI Tomasz (RTD)">
    <w15:presenceInfo w15:providerId="None" w15:userId="SLIWINSKI Tomasz (RTD)"/>
  </w15:person>
  <w15:person w15:author="ZANNAS Ioannis (RTD)">
    <w15:presenceInfo w15:providerId="None" w15:userId="ZANNAS Ioannis (RT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2:46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1"/>
    <w:docVar w:name="DQCResult_UnknownFonts" w:val="0;0"/>
    <w:docVar w:name="DQCResult_UnknownStyles" w:val="0;3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67460AC-B4D1-4080-8DD1-5FEAA78B54D2"/>
    <w:docVar w:name="LW_COVERPAGE_TYPE" w:val="1"/>
    <w:docVar w:name="LW_CROSSREFERENCE" w:val="&lt;UNUSED&gt;"/>
    <w:docVar w:name="LW_DocType" w:val="ANNEX"/>
    <w:docVar w:name="LW_EMISSION" w:val="7.6.2018"/>
    <w:docVar w:name="LW_EMISSION_ISODATE" w:val="2018-06-0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45?\u1043?\u1051?\u1040?\u1052?\u1045?\u1053?\u1058? \u1053?\u1040? \u1057?\u1066?\u1042?\u1045?\u1058?\u1040? _x000b__x000b_\u1079?\u1072? \u1089?\u1098?\u1079?\u1076?\u1072?\u1074?\u1072?\u1085?\u1077? \u1085?\u1072? \u1055?\u1088?\u1086?\u1075?\u1088?\u1072?\u1084?\u1072? \u1079?\u1072? \u1085?\u1072?\u1091?\u1095?\u1085?\u1080? \u1080?\u1079?\u1089?\u1083?\u1077?\u1076?\u1074?\u1072?\u1085?\u1080?\u1103? \u1080? \u1086?\u1073?\u1091?\u1095?\u1077?\u1085?\u1080?\u1077? \u1085?\u1072? \u1045?\u1074?\u1088?\u1086?\u1087?\u1077?\u1081?\u1089?\u1082?\u1072?\u1090?\u1072? \u1086?\u1073?\u1097?\u1085?\u1086?\u1089?\u1090? \u1079?\u1072? \u1072?\u1090?\u1086?\u1084?\u1085?\u1072? \u1077?\u1085?\u1077?\u1088?\u1075?\u1080?\u1103? \u1079?\u1072? \u1087?\u1077?\u1088?\u1080?\u1086?\u1076?\u1072? 2021\u8212?2025 \u1075?. \u1074? \u1076?\u1086?\u1087?\u1098?\u1083?\u1085?\u1077?\u1085?\u1080?\u1077? \u1082?\u1098?\u1084? \u1056?\u1072?\u1084?\u1082?\u1086?\u1074?\u1072?\u1090?\u1072? \u1087?\u1088?\u1086?\u1075?\u1088?\u1072?\u1084?\u1072? \u1079?\u1072? \u1085?\u1072?\u1091?\u1095?\u1085?\u1080? \u1080?\u1079?\u1089?\u1083?\u1077?\u1076?\u1074?\u1072?\u1085?\u1080?\u1103? \u1080? \u1080?\u1085?\u1086?\u1074?\u1072?\u1094?\u1080?\u1080? \u8222?\u1061?\u1086?\u1088?\u1080?\u1079?\u1086?\u1085?\u1090? \u1045?\u1074?\u1088?\u1086?\u1087?\u1072?\u8220?"/>
    <w:docVar w:name="LW_OBJETACTEPRINCIPAL.CP" w:val="\u1056?\u1045?\u1043?\u1051?\u1040?\u1052?\u1045?\u1053?\u1058? \u1053?\u1040? \u1057?\u1066?\u1042?\u1045?\u1058?\u1040? _x000b__x000b_\u1079?\u1072? \u1089?\u1098?\u1079?\u1076?\u1072?\u1074?\u1072?\u1085?\u1077? \u1085?\u1072? \u1055?\u1088?\u1086?\u1075?\u1088?\u1072?\u1084?\u1072? \u1079?\u1072? \u1085?\u1072?\u1091?\u1095?\u1085?\u1080? \u1080?\u1079?\u1089?\u1083?\u1077?\u1076?\u1074?\u1072?\u1085?\u1080?\u1103? \u1080? \u1086?\u1073?\u1091?\u1095?\u1077?\u1085?\u1080?\u1077? \u1085?\u1072? \u1045?\u1074?\u1088?\u1086?\u1087?\u1077?\u1081?\u1089?\u1082?\u1072?\u1090?\u1072? \u1086?\u1073?\u1097?\u1085?\u1086?\u1089?\u1090? \u1079?\u1072? \u1072?\u1090?\u1086?\u1084?\u1085?\u1072? \u1077?\u1085?\u1077?\u1088?\u1075?\u1080?\u1103? \u1079?\u1072? \u1087?\u1077?\u1088?\u1080?\u1086?\u1076?\u1072? 2021\u8212?2025 \u1075?. \u1074? \u1076?\u1086?\u1087?\u1098?\u1083?\u1085?\u1077?\u1085?\u1080?\u1077? \u1082?\u1098?\u1084? \u1056?\u1072?\u1084?\u1082?\u1086?\u1074?\u1072?\u1090?\u1072? \u1087?\u1088?\u1086?\u1075?\u1088?\u1072?\u1084?\u1072? \u1079?\u1072? \u1085?\u1072?\u1091?\u1095?\u1085?\u1080? \u1080?\u1079?\u1089?\u1083?\u1077?\u1076?\u1074?\u1072?\u1085?\u1080?\u1103? \u1080? \u1080?\u1085?\u1086?\u1074?\u1072?\u1094?\u1080?\u1080? \u8222?\u1061?\u1086?\u1088?\u1080?\u1079?\u1086?\u1085?\u1090? \u1045?\u1074?\u1088?\u1086?\u1087?\u1072?\u822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4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_x000b_"/>
    <w:docVar w:name="LW_TYPEACTEPRINCIPAL.CP" w:val="\u1055?\u1088?\u1077?\u1076?\u1083?\u1086?\u1078?\u1077?\u1085?\u1080?\u1077? \u1079?\u1072?_x000b_"/>
  </w:docVars>
  <w:rsids>
    <w:rsidRoot w:val="00957F97"/>
    <w:rsid w:val="00957F97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,Bullet Points,Nad,L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qFormat/>
    <w:locked/>
    <w:rPr>
      <w:rFonts w:ascii="Times New Roman" w:hAnsi="Times New Roman" w:cs="Times New Roman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EBE9EA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aliases w:val="Document Table,CV1,Standard table format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leformat1">
    <w:name w:val="Standard table format1"/>
    <w:basedOn w:val="TableNormal"/>
    <w:next w:val="TableGrid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Pr>
      <w:rFonts w:ascii="EUAlbertina" w:hAnsi="EUAlbertina" w:cstheme="minorBidi"/>
      <w:color w:val="auto"/>
      <w:lang w:val="fr-BE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 w:cstheme="minorBidi"/>
      <w:color w:val="auto"/>
      <w:lang w:val="fr-BE"/>
    </w:rPr>
  </w:style>
  <w:style w:type="paragraph" w:customStyle="1" w:styleId="PSParagraphTitle">
    <w:name w:val="PS_Paragraph_Title"/>
    <w:basedOn w:val="Normal"/>
    <w:link w:val="PSParagraphTitleChar"/>
    <w:qFormat/>
    <w:rPr>
      <w:rFonts w:eastAsia="Times New Roman"/>
      <w:b/>
      <w:i/>
      <w:sz w:val="20"/>
      <w:szCs w:val="20"/>
      <w:lang w:eastAsia="en-GB"/>
    </w:rPr>
  </w:style>
  <w:style w:type="character" w:customStyle="1" w:styleId="PSParagraphTitleChar">
    <w:name w:val="PS_Paragraph_Title Char"/>
    <w:basedOn w:val="DefaultParagraphFont"/>
    <w:link w:val="PSParagraphTitle"/>
    <w:rPr>
      <w:rFonts w:ascii="Times New Roman" w:eastAsia="Times New Roman" w:hAnsi="Times New Roman" w:cs="Times New Roman"/>
      <w:b/>
      <w:i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87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2870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D287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D2870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D287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FD287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FD28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FD28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,Bullet Points,Nad,L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qFormat/>
    <w:locked/>
    <w:rPr>
      <w:rFonts w:ascii="Times New Roman" w:hAnsi="Times New Roman" w:cs="Times New Roman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EBE9EA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aliases w:val="Document Table,CV1,Standard table format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leformat1">
    <w:name w:val="Standard table format1"/>
    <w:basedOn w:val="TableNormal"/>
    <w:next w:val="TableGrid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Pr>
      <w:rFonts w:ascii="EUAlbertina" w:hAnsi="EUAlbertina" w:cstheme="minorBidi"/>
      <w:color w:val="auto"/>
      <w:lang w:val="fr-BE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 w:cstheme="minorBidi"/>
      <w:color w:val="auto"/>
      <w:lang w:val="fr-BE"/>
    </w:rPr>
  </w:style>
  <w:style w:type="paragraph" w:customStyle="1" w:styleId="PSParagraphTitle">
    <w:name w:val="PS_Paragraph_Title"/>
    <w:basedOn w:val="Normal"/>
    <w:link w:val="PSParagraphTitleChar"/>
    <w:qFormat/>
    <w:rPr>
      <w:rFonts w:eastAsia="Times New Roman"/>
      <w:b/>
      <w:i/>
      <w:sz w:val="20"/>
      <w:szCs w:val="20"/>
      <w:lang w:eastAsia="en-GB"/>
    </w:rPr>
  </w:style>
  <w:style w:type="character" w:customStyle="1" w:styleId="PSParagraphTitleChar">
    <w:name w:val="PS_Paragraph_Title Char"/>
    <w:basedOn w:val="DefaultParagraphFont"/>
    <w:link w:val="PSParagraphTitle"/>
    <w:rPr>
      <w:rFonts w:ascii="Times New Roman" w:eastAsia="Times New Roman" w:hAnsi="Times New Roman" w:cs="Times New Roman"/>
      <w:b/>
      <w:i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87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2870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D287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D2870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D287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FD287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FD28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FD28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CELEX:32006L0117:BG:N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220B9CDD5B4AA251AE0A4FB43EDD" ma:contentTypeVersion="0" ma:contentTypeDescription="Create a new document." ma:contentTypeScope="" ma:versionID="4a3ad58c74ce6b717f7c202ddeb4ce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4BF5-2124-4609-8276-6BE673F02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07A8C-9243-4637-8DFA-37002F113C8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A24AE3-925B-4851-A7A3-D31CEE83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2395</Words>
  <Characters>15144</Characters>
  <Application>Microsoft Office Word</Application>
  <DocSecurity>0</DocSecurity>
  <Lines>546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LADSTAETTER (RTD)</dc:creator>
  <cp:lastModifiedBy>LAGES CARVALHO Patrick (SG)</cp:lastModifiedBy>
  <cp:revision>8</cp:revision>
  <dcterms:created xsi:type="dcterms:W3CDTF">2018-06-08T13:54:00Z</dcterms:created>
  <dcterms:modified xsi:type="dcterms:W3CDTF">2018-06-11T10:58:00Z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0x010100E276220B9CDD5B4AA251AE0A4FB43EDD</vt:lpwstr>
  </property>
  <property fmtid="{D5CDD505-2E9C-101B-9397-08002B2CF9AE}" pid="14" name="IsMyDocuments">
    <vt:bool>true</vt:bool>
  </property>
  <property fmtid="{D5CDD505-2E9C-101B-9397-08002B2CF9AE}" pid="15" name="DQCStatus">
    <vt:lpwstr>Yellow (DQC version 03)</vt:lpwstr>
  </property>
</Properties>
</file>