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0C" w:rsidRDefault="0045144E" w:rsidP="0045144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54A3053-8023-4BD9-A221-6A70436CCEDF" style="width:450pt;height:545.4pt">
            <v:imagedata r:id="rId11" o:title=""/>
          </v:shape>
        </w:pict>
      </w:r>
    </w:p>
    <w:bookmarkEnd w:id="0"/>
    <w:p w:rsidR="005E190C" w:rsidRDefault="005E190C">
      <w:pPr>
        <w:rPr>
          <w:noProof/>
        </w:rPr>
        <w:sectPr w:rsidR="005E190C" w:rsidSect="0045144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5E190C" w:rsidRDefault="0045144E">
      <w:pPr>
        <w:pStyle w:val="Heading1"/>
        <w:numPr>
          <w:ilvl w:val="0"/>
          <w:numId w:val="0"/>
        </w:numPr>
        <w:ind w:left="432" w:hanging="432"/>
        <w:rPr>
          <w:noProof/>
          <w:szCs w:val="24"/>
        </w:rPr>
      </w:pPr>
      <w:bookmarkStart w:id="1" w:name="_Toc509421237"/>
      <w:bookmarkStart w:id="2" w:name="_Toc509423048"/>
      <w:bookmarkStart w:id="3" w:name="_Toc509424563"/>
      <w:bookmarkStart w:id="4" w:name="_Toc509419834"/>
      <w:bookmarkStart w:id="5" w:name="_Toc509421484"/>
      <w:bookmarkStart w:id="6" w:name="_Toc509425531"/>
      <w:bookmarkStart w:id="7" w:name="_Toc509430068"/>
      <w:bookmarkStart w:id="8" w:name="_Toc512437599"/>
      <w:bookmarkStart w:id="9" w:name="_Toc513140912"/>
      <w:bookmarkStart w:id="10" w:name="_Toc513141636"/>
      <w:bookmarkStart w:id="11" w:name="_Toc513191858"/>
      <w:bookmarkStart w:id="12" w:name="_Toc513192623"/>
      <w:bookmarkStart w:id="13" w:name="_Toc506994158"/>
      <w:bookmarkStart w:id="14" w:name="_Toc507075367"/>
      <w:bookmarkStart w:id="15" w:name="_Toc507079703"/>
      <w:bookmarkStart w:id="16" w:name="_Toc507082156"/>
      <w:bookmarkStart w:id="17" w:name="_Toc507082189"/>
      <w:bookmarkStart w:id="18" w:name="_Toc508373407"/>
      <w:bookmarkStart w:id="19" w:name="_Toc508641228"/>
      <w:bookmarkStart w:id="20" w:name="_Toc508820523"/>
      <w:bookmarkStart w:id="21" w:name="_Toc509339539"/>
      <w:bookmarkStart w:id="22" w:name="_Toc509347533"/>
      <w:bookmarkStart w:id="23" w:name="_Toc509347986"/>
      <w:bookmarkStart w:id="24" w:name="_Toc509348058"/>
      <w:bookmarkStart w:id="25" w:name="_Toc509348457"/>
      <w:bookmarkStart w:id="26" w:name="_Toc509394317"/>
      <w:bookmarkStart w:id="27" w:name="_Toc509395428"/>
      <w:bookmarkStart w:id="28" w:name="_Toc509396595"/>
      <w:bookmarkStart w:id="29" w:name="_Toc509398107"/>
      <w:bookmarkStart w:id="30" w:name="_Toc509402633"/>
      <w:bookmarkStart w:id="31" w:name="_Toc509405015"/>
      <w:bookmarkStart w:id="32" w:name="_Toc509416369"/>
      <w:bookmarkStart w:id="33" w:name="_GoBack"/>
      <w:bookmarkEnd w:id="33"/>
      <w:r>
        <w:rPr>
          <w:noProof/>
        </w:rPr>
        <w:lastRenderedPageBreak/>
        <w:t>Обобщена оценка</w:t>
      </w:r>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Настоящата оценка на въздействието придружава предложението на Комисията за Рамковата програма за научни изследвания и иновации за </w:t>
      </w:r>
      <w:r>
        <w:rPr>
          <w:rFonts w:ascii="Times New Roman" w:hAnsi="Times New Roman"/>
          <w:noProof/>
          <w:sz w:val="24"/>
        </w:rPr>
        <w:t>периода 2021—2027 г. „Хоризонт Европа“, която ще наследи настоящата програма „Хоризонт 2020“ (чийто срок на действие е 2014—2020 г.) и предложението за Програмата за научни изследвания и обучение на Европейската общност за атомна енергия (програма Евратом)</w:t>
      </w:r>
      <w:r>
        <w:rPr>
          <w:rFonts w:ascii="Times New Roman" w:hAnsi="Times New Roman"/>
          <w:noProof/>
          <w:sz w:val="24"/>
        </w:rPr>
        <w:t xml:space="preserve"> за периода 2021—2025 г.</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Научните изследвания и иновациите помагат на Европа</w:t>
      </w:r>
      <w:r>
        <w:rPr>
          <w:rFonts w:ascii="Times New Roman" w:hAnsi="Times New Roman"/>
          <w:noProof/>
          <w:sz w:val="24"/>
        </w:rPr>
        <w:t xml:space="preserve"> да осъществява гражданските приоритети, залегнали в целите за устойчиво развитие и в Парижкото споразумение за борба с изменението на климата, да генерира устойчив растеж и качест</w:t>
      </w:r>
      <w:r>
        <w:rPr>
          <w:rFonts w:ascii="Times New Roman" w:hAnsi="Times New Roman"/>
          <w:noProof/>
          <w:sz w:val="24"/>
        </w:rPr>
        <w:t>вени работни места и да решава настоящите и непредвидените глобални предизвикателства. В сравнение с основните си търговски партньори обаче Европа като цяло не инвестира достатъчно и рискува да бъде изпреварена необратимо.</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Инвестициите на равнището на ЕС, </w:t>
      </w:r>
      <w:r>
        <w:rPr>
          <w:rFonts w:ascii="Times New Roman" w:hAnsi="Times New Roman"/>
          <w:b/>
          <w:noProof/>
          <w:sz w:val="24"/>
        </w:rPr>
        <w:t>чрез последователни рамкови програми, подкрепят предоставянето на обществени блага с висока европейска добавена стойност.</w:t>
      </w:r>
      <w:r>
        <w:rPr>
          <w:rFonts w:ascii="Times New Roman" w:hAnsi="Times New Roman"/>
          <w:noProof/>
          <w:sz w:val="24"/>
        </w:rPr>
        <w:t xml:space="preserve"> Тази добавена стойност произтича от факта, че програмите се съсредоточават върху високи постижения чрез конкуренция и сътрудничество в</w:t>
      </w:r>
      <w:r>
        <w:rPr>
          <w:rFonts w:ascii="Times New Roman" w:hAnsi="Times New Roman"/>
          <w:noProof/>
          <w:sz w:val="24"/>
        </w:rPr>
        <w:t xml:space="preserve"> целия Съюз. Рамковите програми подпомагат обучението и мобилността на учените, създават транснационални, междусекторни и мултидисциплинарни взаимодействия, стимулират допълнителни публични и частни инвестиции, създават необходимите научни доказателства за</w:t>
      </w:r>
      <w:r>
        <w:rPr>
          <w:rFonts w:ascii="Times New Roman" w:hAnsi="Times New Roman"/>
          <w:noProof/>
          <w:sz w:val="24"/>
        </w:rPr>
        <w:t xml:space="preserve"> политиките на ЕС и имат структуриращо въздействие върху националните системи за научни изследвания и иновации. Значителното и дълготрайно въздействие на рамковите програми, и по-специално настоящата програма, се признава от институциите на ЕС, държавите ч</w:t>
      </w:r>
      <w:r>
        <w:rPr>
          <w:rFonts w:ascii="Times New Roman" w:hAnsi="Times New Roman"/>
          <w:noProof/>
          <w:sz w:val="24"/>
        </w:rPr>
        <w:t xml:space="preserve">ленки и заинтересованите страни. </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„Хоризонт Европа“ се основава на доказателствата и извлечените поуки от междинната оценка на „Хоризонт 2020“</w:t>
      </w:r>
      <w:r>
        <w:rPr>
          <w:rFonts w:ascii="Times New Roman" w:hAnsi="Times New Roman"/>
          <w:noProof/>
          <w:sz w:val="24"/>
        </w:rPr>
        <w:t xml:space="preserve">, както и на препоръките на независимата Група на високо равнище за увеличаване на въздействието от програмите на </w:t>
      </w:r>
      <w:r>
        <w:rPr>
          <w:rFonts w:ascii="Times New Roman" w:hAnsi="Times New Roman"/>
          <w:noProof/>
          <w:sz w:val="24"/>
        </w:rPr>
        <w:t>ЕС за научни изследвания и иновации. Новата програма ще представлява не революция, а еволюция, и ще се съсредоточи върху няколко подобрения в концепцията, за да се увеличат допълнително откритостта и въздействието.</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Общите цели на „Хоризонт Европа“ произтич</w:t>
      </w:r>
      <w:r>
        <w:rPr>
          <w:rFonts w:ascii="Times New Roman" w:hAnsi="Times New Roman"/>
          <w:b/>
          <w:noProof/>
          <w:sz w:val="24"/>
        </w:rPr>
        <w:t>ат от Договора за функционирането на Европейския съюз.</w:t>
      </w:r>
      <w:r>
        <w:rPr>
          <w:rFonts w:ascii="Times New Roman" w:hAnsi="Times New Roman"/>
          <w:noProof/>
          <w:sz w:val="24"/>
        </w:rPr>
        <w:t xml:space="preserve"> Те са: укрепване на научната и технологичната база на Съюза и насърчаване на конкурентоспособността му, включително конкурентоспособността на неговата промишленост; осъществяване на стратегическите при</w:t>
      </w:r>
      <w:r>
        <w:rPr>
          <w:rFonts w:ascii="Times New Roman" w:hAnsi="Times New Roman"/>
          <w:noProof/>
          <w:sz w:val="24"/>
        </w:rPr>
        <w:t>оритети на политиката на ЕС и допринасяне за справянето с глобалните предизвикателства, включително целите за устойчиво развитие. „Хоризонт Европа“ има и специфични цели, чрез които да отговори на определени предизвикателства, пред които е изправен ЕС в об</w:t>
      </w:r>
      <w:r>
        <w:rPr>
          <w:rFonts w:ascii="Times New Roman" w:hAnsi="Times New Roman"/>
          <w:noProof/>
          <w:sz w:val="24"/>
        </w:rPr>
        <w:t xml:space="preserve">ластта на научните изследвания и иновациите. Всички цели се прилагат в рамките на цялата програма и всички отделни части от програмата ще допринесат за тяхното постигане. </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Еволюцията спрямо „Хоризонт 2020“ е отразена в усъвършенстваната структура. </w:t>
      </w:r>
      <w:r>
        <w:rPr>
          <w:rFonts w:ascii="Times New Roman" w:hAnsi="Times New Roman"/>
          <w:noProof/>
          <w:sz w:val="24"/>
        </w:rPr>
        <w:t>Структур</w:t>
      </w:r>
      <w:r>
        <w:rPr>
          <w:rFonts w:ascii="Times New Roman" w:hAnsi="Times New Roman"/>
          <w:noProof/>
          <w:sz w:val="24"/>
        </w:rPr>
        <w:t xml:space="preserve">ата ще продължи да се състои от три стълба, но е преработена за по-голяма съгласуваност както в рамките на стълбовете, така и между тях, в подкрепа на целите на програмата. </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Стълб 1 „Отворена наука“</w:t>
      </w:r>
      <w:r>
        <w:rPr>
          <w:noProof/>
        </w:rPr>
        <w:t xml:space="preserve"> </w:t>
      </w:r>
      <w:r>
        <w:rPr>
          <w:rFonts w:ascii="Times New Roman" w:hAnsi="Times New Roman"/>
          <w:noProof/>
          <w:sz w:val="24"/>
        </w:rPr>
        <w:t xml:space="preserve"> ще продължи да се съсредоточава върху високи постижения </w:t>
      </w:r>
      <w:r>
        <w:rPr>
          <w:rFonts w:ascii="Times New Roman" w:hAnsi="Times New Roman"/>
          <w:noProof/>
          <w:sz w:val="24"/>
        </w:rPr>
        <w:t xml:space="preserve">в научната област и висококачествени знания, за да може научната база на ЕС да се укрепва чрез Европейския научноизследователски съвет, действията „Мария Склодовска-Кюри“ и научноизследователските инфраструктури. Тъй като този стълб </w:t>
      </w:r>
      <w:r>
        <w:rPr>
          <w:rFonts w:ascii="Times New Roman" w:hAnsi="Times New Roman"/>
          <w:noProof/>
          <w:sz w:val="24"/>
        </w:rPr>
        <w:lastRenderedPageBreak/>
        <w:t>ще работи по възходящ п</w:t>
      </w:r>
      <w:r>
        <w:rPr>
          <w:rFonts w:ascii="Times New Roman" w:hAnsi="Times New Roman"/>
          <w:noProof/>
          <w:sz w:val="24"/>
        </w:rPr>
        <w:t xml:space="preserve">одход, т.е. при него движеща сила ще бъдат изследователите, той ще продължи да отдава важна роля на научната общност. </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Стълб 2 „Глобални предизвикателства и конкурентоспособност на промишлеността“</w:t>
      </w:r>
      <w:r>
        <w:rPr>
          <w:noProof/>
        </w:rPr>
        <w:t xml:space="preserve"> </w:t>
      </w:r>
      <w:r>
        <w:rPr>
          <w:rFonts w:ascii="Times New Roman" w:hAnsi="Times New Roman"/>
          <w:noProof/>
          <w:sz w:val="24"/>
        </w:rPr>
        <w:t xml:space="preserve">ще отговори по-добре на приоритетите на политиките на ЕС и ще подкрепя конкурентоспособността на промишлеността, като интегрира </w:t>
      </w:r>
      <w:r>
        <w:rPr>
          <w:rFonts w:ascii="Times New Roman" w:hAnsi="Times New Roman"/>
          <w:i/>
          <w:noProof/>
          <w:sz w:val="24"/>
        </w:rPr>
        <w:t>„Обществени предизвикателства“</w:t>
      </w:r>
      <w:r>
        <w:rPr>
          <w:rFonts w:ascii="Times New Roman" w:hAnsi="Times New Roman"/>
          <w:noProof/>
          <w:sz w:val="24"/>
        </w:rPr>
        <w:t xml:space="preserve"> и </w:t>
      </w:r>
      <w:r>
        <w:rPr>
          <w:rFonts w:ascii="Times New Roman" w:hAnsi="Times New Roman"/>
          <w:i/>
          <w:noProof/>
          <w:sz w:val="24"/>
        </w:rPr>
        <w:t>„Водещи позиции при базовите и промишлените технологии“</w:t>
      </w:r>
      <w:r>
        <w:rPr>
          <w:rFonts w:ascii="Times New Roman" w:hAnsi="Times New Roman"/>
          <w:noProof/>
          <w:sz w:val="24"/>
        </w:rPr>
        <w:t xml:space="preserve"> от програмата „Хоризонт 2020“ в пет клъ</w:t>
      </w:r>
      <w:r>
        <w:rPr>
          <w:rFonts w:ascii="Times New Roman" w:hAnsi="Times New Roman"/>
          <w:noProof/>
          <w:sz w:val="24"/>
        </w:rPr>
        <w:t>стера, а именно „Здравеопазване“, „Приобщаващо и сигурно общество“, „Цифрова сфера и промишленост“, „Климат, енергия и мобилност“ и „Храни и природни ресурси“. Клъстерите ще подпомагат по-добре пълния спектър от цели за устойчиво развитие и ще засилват сът</w:t>
      </w:r>
      <w:r>
        <w:rPr>
          <w:rFonts w:ascii="Times New Roman" w:hAnsi="Times New Roman"/>
          <w:noProof/>
          <w:sz w:val="24"/>
        </w:rPr>
        <w:t>рудничеството в областта на научните изследвания и иновациите в различни сектори, дисциплини и области на политиката, което ще допринесе за повишаване на гъвкавостта, целенасочеността и въздействието. Поради своята политическа насоченост този стълб ще дейс</w:t>
      </w:r>
      <w:r>
        <w:rPr>
          <w:rFonts w:ascii="Times New Roman" w:hAnsi="Times New Roman"/>
          <w:noProof/>
          <w:sz w:val="24"/>
        </w:rPr>
        <w:t>тва по низходящ подход, чрез процес на стратегическо планиране, като по този начин ще се гарантират участието на заинтересованите страни и обществеността и съгласуването с дейности на държавите членки. Той ще популяризира водещата роля на промишлеността за</w:t>
      </w:r>
      <w:r>
        <w:rPr>
          <w:rFonts w:ascii="Times New Roman" w:hAnsi="Times New Roman"/>
          <w:noProof/>
          <w:sz w:val="24"/>
        </w:rPr>
        <w:t xml:space="preserve"> постигането на всички цели на програмата и — не на последно място — за справяне с глобалните предизвикателства, включително чрез разработването на ключови базови технологии за бъдещето. </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Стълб 3 „Отворени иновации“</w:t>
      </w:r>
      <w:r>
        <w:rPr>
          <w:noProof/>
        </w:rPr>
        <w:t xml:space="preserve"> </w:t>
      </w:r>
      <w:r>
        <w:rPr>
          <w:rFonts w:ascii="Times New Roman" w:hAnsi="Times New Roman"/>
          <w:noProof/>
          <w:sz w:val="24"/>
        </w:rPr>
        <w:t>ще предлага „обслужване на едно гише“ за</w:t>
      </w:r>
      <w:r>
        <w:rPr>
          <w:rFonts w:ascii="Times New Roman" w:hAnsi="Times New Roman"/>
          <w:noProof/>
          <w:sz w:val="24"/>
        </w:rPr>
        <w:t xml:space="preserve"> новатори с висок потенциал чрез Европейския съвет по иновациите и ще засили сътрудничеството с иновационните екосистеми и участниците. Тези дейности ще се определят предимно чрез възходящ подход, като се интегрират и реорганизират дейностите по „Хоризонт </w:t>
      </w:r>
      <w:r>
        <w:rPr>
          <w:rFonts w:ascii="Times New Roman" w:hAnsi="Times New Roman"/>
          <w:noProof/>
          <w:sz w:val="24"/>
        </w:rPr>
        <w:t>2020“, като например „Иновациите в МСП“ (по-специално инструмента за МСП), „Бърз път към иновации“ и „Бъдещи и нововъзникващи технологии“. Иновациите ще продължат да бъдат подпомагани в цялата програма, а не само в този стълб, който е конкретно насочен към</w:t>
      </w:r>
      <w:r>
        <w:rPr>
          <w:rFonts w:ascii="Times New Roman" w:hAnsi="Times New Roman"/>
          <w:noProof/>
          <w:sz w:val="24"/>
        </w:rPr>
        <w:t xml:space="preserve"> тях. </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„Хоризонт Европа“ ще укрепи европейското научноизследователско пространство</w:t>
      </w:r>
      <w:r>
        <w:rPr>
          <w:noProof/>
        </w:rPr>
        <w:t xml:space="preserve"> </w:t>
      </w:r>
      <w:r>
        <w:rPr>
          <w:rFonts w:ascii="Times New Roman" w:hAnsi="Times New Roman"/>
          <w:noProof/>
          <w:sz w:val="24"/>
        </w:rPr>
        <w:t>чрез: обмен на високи постижения (разширяване на действията от „Хоризонт 2020“, които спомагат за справяне с ниските резултати в областта на научните изследвания и иновациит</w:t>
      </w:r>
      <w:r>
        <w:rPr>
          <w:rFonts w:ascii="Times New Roman" w:hAnsi="Times New Roman"/>
          <w:noProof/>
          <w:sz w:val="24"/>
        </w:rPr>
        <w:t>е, а именно чрез формиране на екипи, изграждане на връзки, катедри на ЕНП и Европейското сътрудничество в областта на науката и технологиите (COST); реформи в областта на научните изследвания и иновациите и политики, обхващащи Механизма за подкрепа в облас</w:t>
      </w:r>
      <w:r>
        <w:rPr>
          <w:rFonts w:ascii="Times New Roman" w:hAnsi="Times New Roman"/>
          <w:noProof/>
          <w:sz w:val="24"/>
        </w:rPr>
        <w:t>тта на политиките; прогнози; и мониторинг, оценка, разпространение и използване на резултатите от Рамковата програма.</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Новата програма ще има и някои нови функции и подобрения </w:t>
      </w:r>
      <w:r>
        <w:rPr>
          <w:rFonts w:ascii="Times New Roman" w:hAnsi="Times New Roman"/>
          <w:noProof/>
          <w:sz w:val="24"/>
        </w:rPr>
        <w:t>на съществуващите елементи. Програмата „Хоризонт 2020“ генерира успешно високи по</w:t>
      </w:r>
      <w:r>
        <w:rPr>
          <w:rFonts w:ascii="Times New Roman" w:hAnsi="Times New Roman"/>
          <w:noProof/>
          <w:sz w:val="24"/>
        </w:rPr>
        <w:t>стижения, въздействие и откритост, поради което благодарение на тези промени следващата я програма ще постигне още по-голямо въздействие (чрез Европейския съвет по иновации и ориентирането към мисии) и още по-голяма откритост (чрез разширяване на междунаро</w:t>
      </w:r>
      <w:r>
        <w:rPr>
          <w:rFonts w:ascii="Times New Roman" w:hAnsi="Times New Roman"/>
          <w:noProof/>
          <w:sz w:val="24"/>
        </w:rPr>
        <w:t xml:space="preserve">дното сътрудничество, засилване на политиката в подкрепа на отворената наука и нов политически подход към европейските партньорства). </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Европейският съвет по иновациите</w:t>
      </w:r>
      <w:r>
        <w:rPr>
          <w:noProof/>
        </w:rPr>
        <w:t xml:space="preserve"> </w:t>
      </w:r>
      <w:r>
        <w:rPr>
          <w:rFonts w:ascii="Times New Roman" w:hAnsi="Times New Roman"/>
          <w:noProof/>
          <w:sz w:val="24"/>
        </w:rPr>
        <w:t>ще помогне на ЕС за заеме челни позиции в областта на водещите до пробив иновации, които създават нови пазари. Той ще подкрепя високорискови проекти за иновации с потенциал за създаване на пазари, които (все още) не генерират приходи, като по този начин ще</w:t>
      </w:r>
      <w:r>
        <w:rPr>
          <w:rFonts w:ascii="Times New Roman" w:hAnsi="Times New Roman"/>
          <w:noProof/>
          <w:sz w:val="24"/>
        </w:rPr>
        <w:t xml:space="preserve"> спомага за преодоляване на пропастта, която в момента съществува между научните изследвания и фазата на масовата търговска реализация, и за разрастването на дружествата. Съобразената с нуждите подкрепа за новаторите ще се предоставя чрез два основни инстр</w:t>
      </w:r>
      <w:r>
        <w:rPr>
          <w:rFonts w:ascii="Times New Roman" w:hAnsi="Times New Roman"/>
          <w:noProof/>
          <w:sz w:val="24"/>
        </w:rPr>
        <w:t>умента за финансиране. Инструментът „Изследвач“ (за авангардни научни изследвания) ще осигурява безвъзмездни средства от ранния етап на технологията (доказване на концепции, валидиране на технологии) до ранния етап на пазара (ранно демонстриране, разработв</w:t>
      </w:r>
      <w:r>
        <w:rPr>
          <w:rFonts w:ascii="Times New Roman" w:hAnsi="Times New Roman"/>
          <w:noProof/>
          <w:sz w:val="24"/>
        </w:rPr>
        <w:t>ане на икономическа обосновка и стратегия). Инструментът „Ускорител“ ще подкрепя по-нататъшното разработване и внедряване на пазара на водещите до пробив иновации и иновациите, които създават нови пазари, до етап, в който те могат да бъдат финансирани от и</w:t>
      </w:r>
      <w:r>
        <w:rPr>
          <w:rFonts w:ascii="Times New Roman" w:hAnsi="Times New Roman"/>
          <w:noProof/>
          <w:sz w:val="24"/>
        </w:rPr>
        <w:t>нвеститорите при обичайни търговски условия (от демонстрацията, потребителските тестове, предпазарното производство и след него, включително разширяването). „Ускорител“ ще постави особен акцент върху иновациите, генерирани в рамките на „Изследвач“, макар ч</w:t>
      </w:r>
      <w:r>
        <w:rPr>
          <w:rFonts w:ascii="Times New Roman" w:hAnsi="Times New Roman"/>
          <w:noProof/>
          <w:sz w:val="24"/>
        </w:rPr>
        <w:t>е ще финансира също и проекти от други части на програмата, като Европейския научноизследователски съвет или общностите на знание и иновации. Очаква се, че благодарение на ролята на Европейския съвет по иновациите ще се появят повече иновации, които ще съз</w:t>
      </w:r>
      <w:r>
        <w:rPr>
          <w:rFonts w:ascii="Times New Roman" w:hAnsi="Times New Roman"/>
          <w:noProof/>
          <w:sz w:val="24"/>
        </w:rPr>
        <w:t>дадат новите пазари на бъдещето, в Европа ще се разраснат повече предприятия, МСП ще отбелязват по-голям растеж и ще укрепнат предприемаческият дух и желанието да се поема риск.</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„Хоризонт Европа“ ще въведе ограничен набор от особено значими мисии за научни</w:t>
      </w:r>
      <w:r>
        <w:rPr>
          <w:rFonts w:ascii="Times New Roman" w:hAnsi="Times New Roman"/>
          <w:b/>
          <w:noProof/>
          <w:sz w:val="24"/>
        </w:rPr>
        <w:t xml:space="preserve"> изследвания и иновации</w:t>
      </w:r>
      <w:r>
        <w:rPr>
          <w:noProof/>
        </w:rPr>
        <w:t xml:space="preserve"> </w:t>
      </w:r>
      <w:r>
        <w:rPr>
          <w:rFonts w:ascii="Times New Roman" w:hAnsi="Times New Roman"/>
          <w:noProof/>
          <w:sz w:val="24"/>
        </w:rPr>
        <w:t xml:space="preserve">— в рамките на стълб 2 (но евентуално може да ги насочва и към други стълбове). Мисиите ще дават приоритет на инвестициите и ще определят насоки за осъществяването на общественозначими цели, като по този начин ще постигат по-голямо </w:t>
      </w:r>
      <w:r>
        <w:rPr>
          <w:rFonts w:ascii="Times New Roman" w:hAnsi="Times New Roman"/>
          <w:noProof/>
          <w:sz w:val="24"/>
        </w:rPr>
        <w:t>въздействие и информираност, ще насърчават системен подход (тясносекторната гледна точка ще бъде заменена с поглед върху цели системи) и ще синхронизират инструментите и програмите за научни изследвания и иновации в цяла Европа. Мисиите ще ускоряват напред</w:t>
      </w:r>
      <w:r>
        <w:rPr>
          <w:rFonts w:ascii="Times New Roman" w:hAnsi="Times New Roman"/>
          <w:noProof/>
          <w:sz w:val="24"/>
        </w:rPr>
        <w:t>ъка към набелязано научно, техническо или обществено решение или като съсредоточават големи инвестиции върху конкретна цел, или като преобразуват цяла социална или промишлена система в рамките на определен срок. Те ще бъдат избрани след стартирането на про</w:t>
      </w:r>
      <w:r>
        <w:rPr>
          <w:rFonts w:ascii="Times New Roman" w:hAnsi="Times New Roman"/>
          <w:noProof/>
          <w:sz w:val="24"/>
        </w:rPr>
        <w:t>грамата, съгласно строги критерии за подбор и съвместно с държавите членки, заинтересованите страни и гражданите. Очакваните последици от този нов, основан на мисии подход, включват по-голямо междусекторно и междудисциплинарно сътрудничество, по-голямо въз</w:t>
      </w:r>
      <w:r>
        <w:rPr>
          <w:rFonts w:ascii="Times New Roman" w:hAnsi="Times New Roman"/>
          <w:noProof/>
          <w:sz w:val="24"/>
        </w:rPr>
        <w:t>действие върху глобалните предизвикателства и приоритетите на ЕС, както и намаляване на дистанцията между науката и иновациите, от една страна, и обществото, от друга.</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Засиленото международно сътрудничество</w:t>
      </w:r>
      <w:r>
        <w:rPr>
          <w:noProof/>
        </w:rPr>
        <w:t xml:space="preserve"> </w:t>
      </w:r>
      <w:r>
        <w:rPr>
          <w:rFonts w:ascii="Times New Roman" w:hAnsi="Times New Roman"/>
          <w:noProof/>
          <w:sz w:val="24"/>
        </w:rPr>
        <w:t xml:space="preserve"> е от решаващо значение за осигуряването на достъ</w:t>
      </w:r>
      <w:r>
        <w:rPr>
          <w:rFonts w:ascii="Times New Roman" w:hAnsi="Times New Roman"/>
          <w:noProof/>
          <w:sz w:val="24"/>
        </w:rPr>
        <w:t xml:space="preserve">п до талантливи учени, до знания, съоръжения и пазари по целия свят, благодарение на които да се преодоляват ефективно глобалните предизвикателства и да се изпълняват задълженията в глобален план. Рамковата програма ще засили сътрудничеството и ще разшири </w:t>
      </w:r>
      <w:r>
        <w:rPr>
          <w:rFonts w:ascii="Times New Roman" w:hAnsi="Times New Roman"/>
          <w:noProof/>
          <w:sz w:val="24"/>
        </w:rPr>
        <w:t>откритостта за асоцииране на всички държави, които разполагат с капацитет за високи постижения в областта на науката, технологиите и иновациите, така че сътрудничеството и финансирането на съвместни проекти да са възможно най-безпрепятствени. Програмата ще</w:t>
      </w:r>
      <w:r>
        <w:rPr>
          <w:rFonts w:ascii="Times New Roman" w:hAnsi="Times New Roman"/>
          <w:noProof/>
          <w:sz w:val="24"/>
        </w:rPr>
        <w:t xml:space="preserve"> продължи да финансира субекти от държави с ниски/средни доходи. Субекти от индустриализирани и бързо развиващи се икономики ще бъдат финансирани само ако разполагат с необходимите компетентности или съоръжения. Очакваните последици включват по-високи пост</w:t>
      </w:r>
      <w:r>
        <w:rPr>
          <w:rFonts w:ascii="Times New Roman" w:hAnsi="Times New Roman"/>
          <w:noProof/>
          <w:sz w:val="24"/>
        </w:rPr>
        <w:t>ижения в програмата, по-голямо влияние на ЕС при оформянето на глобални системи за научни изследвания и иновации и по-голямо въздействие.</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Отворената наука</w:t>
      </w:r>
      <w:r>
        <w:rPr>
          <w:noProof/>
        </w:rPr>
        <w:t xml:space="preserve"> </w:t>
      </w:r>
      <w:r>
        <w:rPr>
          <w:rFonts w:ascii="Times New Roman" w:hAnsi="Times New Roman"/>
          <w:noProof/>
          <w:sz w:val="24"/>
        </w:rPr>
        <w:t xml:space="preserve">ще се превърне в </w:t>
      </w:r>
      <w:r>
        <w:rPr>
          <w:rFonts w:ascii="Times New Roman" w:hAnsi="Times New Roman"/>
          <w:i/>
          <w:noProof/>
          <w:sz w:val="24"/>
        </w:rPr>
        <w:t>modus operandi</w:t>
      </w:r>
      <w:r>
        <w:rPr>
          <w:rFonts w:ascii="Times New Roman" w:hAnsi="Times New Roman"/>
          <w:noProof/>
          <w:sz w:val="24"/>
        </w:rPr>
        <w:t xml:space="preserve"> на новата програма и ще надхвърля установената в рамките на „Хоризонт</w:t>
      </w:r>
      <w:r>
        <w:rPr>
          <w:rFonts w:ascii="Times New Roman" w:hAnsi="Times New Roman"/>
          <w:noProof/>
          <w:sz w:val="24"/>
        </w:rPr>
        <w:t> 2020“ политика за свободен достъп с това, че ще изисква незабавен свободен достъп до публикациите и данните (с възможности за изключения за последните), както и до плановете за управление на научноизследователски данни. Програмата ще поощрява широкото изп</w:t>
      </w:r>
      <w:r>
        <w:rPr>
          <w:rFonts w:ascii="Times New Roman" w:hAnsi="Times New Roman"/>
          <w:noProof/>
          <w:sz w:val="24"/>
        </w:rPr>
        <w:t>олзване на данни, отговарящи на принципите FAIR (</w:t>
      </w:r>
      <w:r>
        <w:rPr>
          <w:rFonts w:ascii="Times New Roman" w:hAnsi="Times New Roman"/>
          <w:i/>
          <w:noProof/>
          <w:sz w:val="24"/>
        </w:rPr>
        <w:t>Findability, Accessibility, Interoperability, Reusability</w:t>
      </w:r>
      <w:r>
        <w:rPr>
          <w:rFonts w:ascii="Times New Roman" w:hAnsi="Times New Roman"/>
          <w:noProof/>
          <w:sz w:val="24"/>
        </w:rPr>
        <w:t>, т.е. данните да са лесни за намиране, достъпни, оперативно съвместими и многократно използваеми) и ще подкрепя устойчива и иновативна научна комуник</w:t>
      </w:r>
      <w:r>
        <w:rPr>
          <w:rFonts w:ascii="Times New Roman" w:hAnsi="Times New Roman"/>
          <w:noProof/>
          <w:sz w:val="24"/>
        </w:rPr>
        <w:t xml:space="preserve">ационна екосистема. Тя ще насърчава дейности, които усъвършенстват уменията на научните изследователи за работа в условията на отворена наука, както и системи за възнаграждение, които популяризират отворената наука. Централна роля ще играят интегритетът в </w:t>
      </w:r>
      <w:r>
        <w:rPr>
          <w:rFonts w:ascii="Times New Roman" w:hAnsi="Times New Roman"/>
          <w:noProof/>
          <w:sz w:val="24"/>
        </w:rPr>
        <w:t>научните изследвания и гражданската наука, както и разработването на ново поколение показатели за оценка на научните изследвания.</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Новият подход към европейските партньорства </w:t>
      </w:r>
      <w:r>
        <w:rPr>
          <w:rFonts w:ascii="Times New Roman" w:hAnsi="Times New Roman" w:cs="Times New Roman"/>
          <w:noProof/>
          <w:sz w:val="24"/>
          <w:szCs w:val="24"/>
        </w:rPr>
        <w:t>ще бъде по-силно ориентиран към</w:t>
      </w:r>
      <w:r>
        <w:rPr>
          <w:noProof/>
        </w:rPr>
        <w:t xml:space="preserve"> </w:t>
      </w:r>
      <w:r>
        <w:rPr>
          <w:rFonts w:ascii="Times New Roman" w:hAnsi="Times New Roman" w:cs="Times New Roman"/>
          <w:noProof/>
          <w:sz w:val="24"/>
          <w:szCs w:val="24"/>
        </w:rPr>
        <w:t>въздействието.</w:t>
      </w:r>
      <w:r>
        <w:rPr>
          <w:rFonts w:ascii="Times New Roman" w:hAnsi="Times New Roman"/>
          <w:noProof/>
          <w:sz w:val="24"/>
        </w:rPr>
        <w:t xml:space="preserve"> Необходимостта да се създадат бъдещ</w:t>
      </w:r>
      <w:r>
        <w:rPr>
          <w:rFonts w:ascii="Times New Roman" w:hAnsi="Times New Roman"/>
          <w:noProof/>
          <w:sz w:val="24"/>
        </w:rPr>
        <w:t>и европейски партньорства или да се подновят съществуващите, ще се определя в процеса на стратегическо планиране за Рамковата програма. Всички европейски партньорства ще бъдат отворени за всички видове заинтересовани страни (напр. промишлеността, държавите</w:t>
      </w:r>
      <w:r>
        <w:rPr>
          <w:rFonts w:ascii="Times New Roman" w:hAnsi="Times New Roman"/>
          <w:noProof/>
          <w:sz w:val="24"/>
        </w:rPr>
        <w:t xml:space="preserve"> членки, благотворителните фондации), ще бъдат ограничени във времето и ще имат ясни условия за постепенно преустановяване на финансирането от Рамковата програма. Те ще се основават на принципите на добавена стойност за Съюза, прозрачност, откритост, възде</w:t>
      </w:r>
      <w:r>
        <w:rPr>
          <w:rFonts w:ascii="Times New Roman" w:hAnsi="Times New Roman"/>
          <w:noProof/>
          <w:sz w:val="24"/>
        </w:rPr>
        <w:t>йствие, ефект на ливъридж, дългосрочен финансов ангажимент на всички страни, гъвкавост, съгласуваност и взаимно допълване със съюзни, местни, регионални, национални и международни инициативи. Бъдещата система на партньорствата ще осигурява оптимална съглас</w:t>
      </w:r>
      <w:r>
        <w:rPr>
          <w:rFonts w:ascii="Times New Roman" w:hAnsi="Times New Roman"/>
          <w:noProof/>
          <w:sz w:val="24"/>
        </w:rPr>
        <w:t>уваност между дейностите и партньорствата по Рамковата програма. Ще има само три вида партньорства: i) съвместно програмирани европейски партньорства — основаващи се на меморандуми за разбирателство и/или договорни споразумения; ii) съвместно финансирани е</w:t>
      </w:r>
      <w:r>
        <w:rPr>
          <w:rFonts w:ascii="Times New Roman" w:hAnsi="Times New Roman"/>
          <w:noProof/>
          <w:sz w:val="24"/>
        </w:rPr>
        <w:t>вропейски партньорства — основаващи се на едно-единствено гъвкаво действие по съфинансиране на програма; iii) институционализирани европейски партньорства (основаващи се на член 185 или член 187 от Договора за функционирането на Европейския съюз). Следвайк</w:t>
      </w:r>
      <w:r>
        <w:rPr>
          <w:rFonts w:ascii="Times New Roman" w:hAnsi="Times New Roman"/>
          <w:noProof/>
          <w:sz w:val="24"/>
        </w:rPr>
        <w:t>и подхода, основаващ се на жизнения цикъл, Рамковата програма ще определя критерии за подбор, изпълнение, мониторинг и постепенно прекратяване на всички европейски партньорства.</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Промените и подобренията в структурата на програмата ще улеснят постигането на</w:t>
      </w:r>
      <w:r>
        <w:rPr>
          <w:rFonts w:ascii="Times New Roman" w:hAnsi="Times New Roman"/>
          <w:b/>
          <w:noProof/>
          <w:sz w:val="24"/>
        </w:rPr>
        <w:t xml:space="preserve"> нейните цели</w:t>
      </w:r>
      <w:r>
        <w:rPr>
          <w:rFonts w:ascii="Times New Roman" w:hAnsi="Times New Roman"/>
          <w:noProof/>
          <w:sz w:val="24"/>
        </w:rPr>
        <w:t>, тъй като ще увеличат ефективността ѝ и ще спомогнат тя да носи още повече икономически ползи и да е икономически ефективна. Тези ефекти ще бъдат засилени от повишени полезни взаимодействия и допълване с други програми на ЕС, например чрез зн</w:t>
      </w:r>
      <w:r>
        <w:rPr>
          <w:rFonts w:ascii="Times New Roman" w:hAnsi="Times New Roman"/>
          <w:noProof/>
          <w:sz w:val="24"/>
        </w:rPr>
        <w:t>ака „Печат за високи постижения“.</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Ефикасното изпълнение е от съществено значение за постигането на всички цели.</w:t>
      </w:r>
      <w:r>
        <w:rPr>
          <w:rFonts w:ascii="Times New Roman" w:hAnsi="Times New Roman"/>
          <w:noProof/>
          <w:sz w:val="24"/>
        </w:rPr>
        <w:t xml:space="preserve"> То е и ключът към по-голямото въздействие и по-нататъшното опростяване. Въз основа на резултатите от „Хоризонт 2020“ стремежът към опростяване щ</w:t>
      </w:r>
      <w:r>
        <w:rPr>
          <w:rFonts w:ascii="Times New Roman" w:hAnsi="Times New Roman"/>
          <w:noProof/>
          <w:sz w:val="24"/>
        </w:rPr>
        <w:t>е продължи и при новата програма. За да се рационализира изпълнението и да се постига по-голямо въздействие, бяха направени няколко подобрения. Програмата ще се стреми към по-нататъшно опростяване в рамките на сегашната система за възстановяване на действи</w:t>
      </w:r>
      <w:r>
        <w:rPr>
          <w:rFonts w:ascii="Times New Roman" w:hAnsi="Times New Roman"/>
          <w:noProof/>
          <w:sz w:val="24"/>
        </w:rPr>
        <w:t>телните разходи с нейния опростен модел на финансиране. По-широко ще се използват финансиране на проектите чрез еднократни суми срещу изпълнение на дейностите, както и други опростени форми на финансиране, предвидени в новия Финансов регламент. Ще се разви</w:t>
      </w:r>
      <w:r>
        <w:rPr>
          <w:rFonts w:ascii="Times New Roman" w:hAnsi="Times New Roman"/>
          <w:noProof/>
          <w:sz w:val="24"/>
        </w:rPr>
        <w:t>ва взаимното използване на одити в рамките на програмите на ЕС и приемането на обичайните практики за определяне и анализ на разходите. За да се увеличи гъвкавостта, програмата ще подпомага пресичането на дисциплини и сектори и ще позволява разпределяне на</w:t>
      </w:r>
      <w:r>
        <w:rPr>
          <w:rFonts w:ascii="Times New Roman" w:hAnsi="Times New Roman"/>
          <w:noProof/>
          <w:sz w:val="24"/>
        </w:rPr>
        <w:t xml:space="preserve"> средства между и в рамките на стълбовете, за да се реагира своевременно на възникващи проблеми или предизвикателства. Предвиждат се допълнителни подобрения на процеса на представяне и оценка на предложенията, за да се съкрати времето за отпускане на средс</w:t>
      </w:r>
      <w:r>
        <w:rPr>
          <w:rFonts w:ascii="Times New Roman" w:hAnsi="Times New Roman"/>
          <w:noProof/>
          <w:sz w:val="24"/>
        </w:rPr>
        <w:t>тва и да се подобри обратната връзка с кандидатите. Критериите за оценка, процесът и включването на независими експерти ще акцентират върху високите постижения и въздействието на програмата. Схемите за подпомагане на иновациите ще бъдат рационализирани в р</w:t>
      </w:r>
      <w:r>
        <w:rPr>
          <w:rFonts w:ascii="Times New Roman" w:hAnsi="Times New Roman"/>
          <w:noProof/>
          <w:sz w:val="24"/>
        </w:rPr>
        <w:t>амките на Европейския съвет по иновациите, а взаимното допълване между безвъзмездните средства и финансовите инструменти може да бъде засилено чрез смесено финансиране.</w:t>
      </w:r>
    </w:p>
    <w:p w:rsidR="005E190C" w:rsidRDefault="0045144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Въздействието зависи в крайна сметка от разпространението и използването на данните и р</w:t>
      </w:r>
      <w:r>
        <w:rPr>
          <w:rFonts w:ascii="Times New Roman" w:hAnsi="Times New Roman"/>
          <w:b/>
          <w:noProof/>
          <w:sz w:val="24"/>
        </w:rPr>
        <w:t>езултатите от научните изследвания и иновациите</w:t>
      </w:r>
      <w:r>
        <w:rPr>
          <w:rFonts w:ascii="Times New Roman" w:hAnsi="Times New Roman"/>
          <w:noProof/>
          <w:sz w:val="24"/>
        </w:rPr>
        <w:t>, поради което то трябва да се проследява и за него да се съобщава. Една амбициозна комплексна стратегия ще повиши достъпността на такива данни и резултати и ще ускори тяхното възприемане, като по този начин щ</w:t>
      </w:r>
      <w:r>
        <w:rPr>
          <w:rFonts w:ascii="Times New Roman" w:hAnsi="Times New Roman"/>
          <w:noProof/>
          <w:sz w:val="24"/>
        </w:rPr>
        <w:t>е се увеличи общото въздействие на програмата. Портфейлите с утвърдени резултати ще се използват в полезно взаимодействие с други програми на ЕС, за да се осигури възприемането им на национално и регионално равнище, като по този начин се мобилизира в макси</w:t>
      </w:r>
      <w:r>
        <w:rPr>
          <w:rFonts w:ascii="Times New Roman" w:hAnsi="Times New Roman"/>
          <w:noProof/>
          <w:sz w:val="24"/>
        </w:rPr>
        <w:t>мална степен европейският потенциал за иновации. Това ще се съпътства от ефективни комуникационни и информационни кампании, които изграждат доверие и ангажират гражданите.</w:t>
      </w:r>
    </w:p>
    <w:p w:rsidR="005E190C" w:rsidRDefault="0045144E">
      <w:pPr>
        <w:jc w:val="both"/>
        <w:rPr>
          <w:rFonts w:ascii="Times New Roman" w:hAnsi="Times New Roman" w:cs="Times New Roman"/>
          <w:noProof/>
          <w:sz w:val="24"/>
          <w:szCs w:val="24"/>
        </w:rPr>
      </w:pPr>
      <w:r>
        <w:rPr>
          <w:rFonts w:ascii="Times New Roman" w:hAnsi="Times New Roman"/>
          <w:b/>
          <w:noProof/>
          <w:sz w:val="24"/>
        </w:rPr>
        <w:t>Напредъкът по отношение на целите на програмата ще се проследява посредством „пътища</w:t>
      </w:r>
      <w:r>
        <w:rPr>
          <w:rFonts w:ascii="Times New Roman" w:hAnsi="Times New Roman"/>
          <w:b/>
          <w:noProof/>
          <w:sz w:val="24"/>
        </w:rPr>
        <w:t xml:space="preserve"> на въздействието“</w:t>
      </w:r>
      <w:r>
        <w:rPr>
          <w:noProof/>
        </w:rPr>
        <w:t xml:space="preserve"> </w:t>
      </w:r>
      <w:r>
        <w:rPr>
          <w:rFonts w:ascii="Times New Roman" w:hAnsi="Times New Roman" w:cs="Times New Roman"/>
          <w:noProof/>
          <w:sz w:val="24"/>
          <w:szCs w:val="24"/>
        </w:rPr>
        <w:t>(научно, социално и икономическо).</w:t>
      </w:r>
      <w:r>
        <w:rPr>
          <w:rFonts w:ascii="Times New Roman" w:hAnsi="Times New Roman"/>
          <w:noProof/>
          <w:sz w:val="24"/>
        </w:rPr>
        <w:t xml:space="preserve"> Пътищата на въздействие ще бъдат чувствителни към фактора време, като ще се прави разграничение между краткосрочно, средносрочно и дългосрочно въздействие. Показателите за пътищата на въздействие ще съд</w:t>
      </w:r>
      <w:r>
        <w:rPr>
          <w:rFonts w:ascii="Times New Roman" w:hAnsi="Times New Roman"/>
          <w:noProof/>
          <w:sz w:val="24"/>
        </w:rPr>
        <w:t>ържат както количествена, така и качествена информация, чиято наличност ще зависи от етапа на изпълнение на програмата. Отделните части на програмата ще допринасят за тези показатели в различна степен и чрез различни механизми. Данните зад ключовите показа</w:t>
      </w:r>
      <w:r>
        <w:rPr>
          <w:rFonts w:ascii="Times New Roman" w:hAnsi="Times New Roman"/>
          <w:noProof/>
          <w:sz w:val="24"/>
        </w:rPr>
        <w:t>тели за пътищата на въздействие ще се събират по централно управляван и хармонизиран начин, с минимална отчетна тежест по отношение на бенефициерите, като се използват включително уникални идентификатори за кандидатите и като автоматично се предоставят дан</w:t>
      </w:r>
      <w:r>
        <w:rPr>
          <w:rFonts w:ascii="Times New Roman" w:hAnsi="Times New Roman"/>
          <w:noProof/>
          <w:sz w:val="24"/>
        </w:rPr>
        <w:t>ни от съществуващи външни публични и частни бази данни. Изходните и целевите стойности, както и референтните показатели ще се определят преди началото на програмата. Данните за управлението и изпълнението на програмата ще продължат да се събират във време,</w:t>
      </w:r>
      <w:r>
        <w:rPr>
          <w:rFonts w:ascii="Times New Roman" w:hAnsi="Times New Roman"/>
          <w:noProof/>
          <w:sz w:val="24"/>
        </w:rPr>
        <w:t xml:space="preserve"> близко до реалното. Всяка година ще се извършва анализ на напредъка по ключови измерения на управлението и изпълнението. Междинните и последващите оценки ще гарантират, че методиките са съгласувани и покритието е всеобхватно.</w:t>
      </w:r>
    </w:p>
    <w:sectPr w:rsidR="005E190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134" w:left="1440" w:header="601" w:footer="61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90C" w:rsidRDefault="0045144E">
      <w:pPr>
        <w:spacing w:after="0" w:line="240" w:lineRule="auto"/>
      </w:pPr>
      <w:r>
        <w:separator/>
      </w:r>
    </w:p>
  </w:endnote>
  <w:endnote w:type="continuationSeparator" w:id="0">
    <w:p w:rsidR="005E190C" w:rsidRDefault="0045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4E" w:rsidRPr="0045144E" w:rsidRDefault="0045144E" w:rsidP="004514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4E" w:rsidRPr="0045144E" w:rsidRDefault="0045144E" w:rsidP="0045144E">
    <w:pPr>
      <w:pStyle w:val="FooterCoverPage"/>
      <w:rPr>
        <w:rFonts w:ascii="Arial" w:hAnsi="Arial" w:cs="Arial"/>
        <w:b/>
        <w:sz w:val="48"/>
      </w:rPr>
    </w:pPr>
    <w:r w:rsidRPr="0045144E">
      <w:rPr>
        <w:rFonts w:ascii="Arial" w:hAnsi="Arial" w:cs="Arial"/>
        <w:b/>
        <w:sz w:val="48"/>
      </w:rPr>
      <w:t>BG</w:t>
    </w:r>
    <w:r w:rsidRPr="0045144E">
      <w:rPr>
        <w:rFonts w:ascii="Arial" w:hAnsi="Arial" w:cs="Arial"/>
        <w:b/>
        <w:sz w:val="48"/>
      </w:rPr>
      <w:tab/>
    </w:r>
    <w:r w:rsidRPr="0045144E">
      <w:rPr>
        <w:rFonts w:ascii="Arial" w:hAnsi="Arial" w:cs="Arial"/>
        <w:b/>
        <w:sz w:val="48"/>
      </w:rPr>
      <w:tab/>
    </w:r>
    <w:r w:rsidRPr="0045144E">
      <w:tab/>
    </w:r>
    <w:r w:rsidRPr="0045144E">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4E" w:rsidRPr="0045144E" w:rsidRDefault="0045144E" w:rsidP="0045144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90C" w:rsidRDefault="005E190C">
    <w:pPr>
      <w:pStyle w:val="Footer"/>
    </w:pPr>
  </w:p>
  <w:p w:rsidR="005E190C" w:rsidRDefault="005E190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560748"/>
      <w:docPartObj>
        <w:docPartGallery w:val="Page Numbers (Bottom of Page)"/>
        <w:docPartUnique/>
      </w:docPartObj>
    </w:sdtPr>
    <w:sdtEndPr>
      <w:rPr>
        <w:noProof/>
      </w:rPr>
    </w:sdtEndPr>
    <w:sdtContent>
      <w:p w:rsidR="005E190C" w:rsidRDefault="0045144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545451"/>
      <w:docPartObj>
        <w:docPartGallery w:val="Page Numbers (Bottom of Page)"/>
        <w:docPartUnique/>
      </w:docPartObj>
    </w:sdtPr>
    <w:sdtEndPr>
      <w:rPr>
        <w:noProof/>
      </w:rPr>
    </w:sdtEndPr>
    <w:sdtContent>
      <w:p w:rsidR="005E190C" w:rsidRDefault="0045144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90C" w:rsidRDefault="0045144E">
      <w:pPr>
        <w:spacing w:after="0" w:line="240" w:lineRule="auto"/>
      </w:pPr>
      <w:r>
        <w:separator/>
      </w:r>
    </w:p>
  </w:footnote>
  <w:footnote w:type="continuationSeparator" w:id="0">
    <w:p w:rsidR="005E190C" w:rsidRDefault="00451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4E" w:rsidRPr="0045144E" w:rsidRDefault="0045144E" w:rsidP="004514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4E" w:rsidRPr="0045144E" w:rsidRDefault="0045144E" w:rsidP="0045144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4E" w:rsidRPr="0045144E" w:rsidRDefault="0045144E" w:rsidP="0045144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90C" w:rsidRDefault="005E190C">
    <w:pPr>
      <w:pStyle w:val="Header"/>
    </w:pPr>
  </w:p>
  <w:p w:rsidR="005E190C" w:rsidRDefault="005E190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90C" w:rsidRDefault="005E190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90C" w:rsidRDefault="005E19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9"/>
    <w:multiLevelType w:val="singleLevel"/>
    <w:tmpl w:val="1D967AC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4E24C82"/>
    <w:multiLevelType w:val="multilevel"/>
    <w:tmpl w:val="769A8EEE"/>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3">
    <w:nsid w:val="17460AA1"/>
    <w:multiLevelType w:val="multilevel"/>
    <w:tmpl w:val="9752C51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num w:numId="1">
    <w:abstractNumId w:val="4"/>
  </w:num>
  <w:num w:numId="2">
    <w:abstractNumId w:val="2"/>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3">
    <w:abstractNumId w:val="0"/>
  </w:num>
  <w:num w:numId="4">
    <w:abstractNumId w:val="3"/>
  </w:num>
  <w:num w:numId="5">
    <w:abstractNumId w:val="1"/>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E54A3053-8023-4BD9-A221-6A70436CCEDF"/>
    <w:docVar w:name="LW_COVERPAGE_TYPE" w:val="1"/>
    <w:docVar w:name="LW_CROSSREFERENCE" w:val="{COM(2018) 435 final}_x000d__x000a_{COM(2018) 436 final}_x000a_{COM(2018) 437 final}_x000a_{SEC(2018) 291 final}_x000d__x000a_{SWD(2018) 307 final}_x000d__x000a_{SWD(2018) 309 final}"/>
    <w:docVar w:name="LW_DocType" w:val="NORMAL"/>
    <w:docVar w:name="LW_EMISSION" w:val="7.6.2018"/>
    <w:docVar w:name="LW_EMISSION_ISODATE" w:val="2018-06-07"/>
    <w:docVar w:name="LW_EMISSION_LOCATION" w:val="BRX"/>
    <w:docVar w:name="LW_EMISSION_PREFIX" w:val="\u1041?\u1088?\u1102?\u1082?\u1089?\u1077?\u1083?,"/>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6?\u1045?\u1043?\u1051?\u1040?\u1052?\u1045?\u1053?\u1058? \u1053?\u1040? \u1045?\u1042?\u1056?\u1054?\u1055?\u1045?\u1049?\u1057?\u1050?\u1048?\u1071? \u1055?\u1040?\u1056?\u1051?\u1040?\u1052?\u1045?\u1053?\u1058? \u1048? \u1053?\u1040? \u1057?\u1066?\u1042?\u1045?\u1058?\u1040? \u1079?\u1072? \u1089?\u1098?\u1079?\u1076?\u1072?\u1074?\u1072?\u1085?\u1077? \u1085?\u1072? \u1056?\u1072?\u1084?\u1082?\u1086?\u1074?\u1072?\u1090?\u1072? \u1087?\u1088?\u1086?\u1075?\u1088?\u1072?\u1084?\u1072? \u1079?\u1072? \u1085?\u1072?\u1091?\u1095?\u1085?\u1080? \u1080?\u1079?\u1089?\u1083?\u1077?\u1076?\u1074?\u1072?\u1085?\u1080?\u1103? \u1080? \u1080?\u1085?\u1086?\u1074?\u1072?\u1094?\u1080?\u1080? \u8222?\u1061?\u1086?\u1088?\u1080?\u1079?\u1086?\u1085?\u1090? \u1045?\u1074?\u1088?\u1086?\u1087?\u1072?\u8220? \u1080? \u1079?\u1072? \u1086?\u1087?\u1088?\u1077?\u1076?\u1077?\u1083?\u1103?\u1085?\u1077? \u1085?\u1072? \u1085?\u1077?\u1081?\u1085?\u1080?\u1090?\u1077? \u1087?\u1088?\u1072?\u1074?\u1080?\u1083?\u1072? \u1079?\u1072? \u1091?\u1095?\u1072?\u1089?\u1090?\u1080?\u1077? \u1080? \u1088?\u1072?\u1079?\u1087?\u1088?\u1086?\u1089?\u1090?\u1088?\u1072?\u1085?\u1077?\u1085?\u1080?\u1077? \u1085?\u1072? \u1088?\u1077?\u1079?\u1091?\u1083?\u1090?\u1072?\u1090?\u1080?\u1090?\u1077?_x000b__x000b_\u1056?\u1045?\u1064?\u1045?\u1053?\u1048?\u1045? \u1053?\u1040? \u1045?\u1042?\u1056?\u1054?\u1055?\u1045?\u1049?\u1057?\u1050?\u1048?\u1071? \u1055?\u1040?\u1056?\u1051?\u1040?\u1052?\u1045?\u1053?\u1058? \u1048? \u1053?\u1040? \u1057?\u1066?\u1042?\u1045?\u1058?\u1040? \u1079?\u1072? \u1089?\u1098?\u1079?\u1076?\u1072?\u1074?\u1072?\u1085?\u1077? \u1085?\u1072? \u1089?\u1087?\u1077?\u1094?\u1080?\u1092?\u1080?\u1095?\u1085?\u1072? \u1087?\u1088?\u1086?\u1075?\u1088?\u1072?\u1084?\u1072? \u1079?\u1072? \u1086?\u1089?\u1098?\u1097?\u1077?\u1089?\u1090?\u1074?\u1103?\u1074?\u1072?\u1085?\u1077? \u1085?\u1072? \u1056?\u1072?\u1084?\u1082?\u1086?\u1074?\u1072?\u1090?\u1072? \u1087?\u1088?\u1086?\u1075?\u1088?\u1072?\u1084?\u1072? \u1079?\u1072? \u1085?\u1072?\u1091?\u1095?\u1085?\u1080? \u1080?\u1079?\u1089?\u1083?\u1077?\u1076?\u1074?\u1072?\u1085?\u1080?\u1103? \u1080? \u1080?\u1085?\u1086?\u1074?\u1072?\u1094?\u1080?\u1080? \u8222?\u1061?\u1086?\u1088?\u1080?\u1079?\u1086?\u1085?\u1090? \u1045?\u1074?\u1088?\u1086?\u1087?\u1072?\u8220?_x000b__x000b_\u1056?\u1045?\u1043?\u1051?\u1040?\u1052?\u1045?\u1053?\u1058? \u1053?\u1040? \u1057?\u1066?\u1042?\u1045?\u1058?\u1040? \u1079?\u1072? \u1089?\u1098?\u1079?\u1076?\u1072?\u1074?\u1072?\u1085?\u1077? \u1085?\u1072? \u1055?\u1088?\u1086?\u1075?\u1088?\u1072?\u1084?\u1072? \u1079?\u1072? \u1085?\u1072?\u1091?\u1095?\u1085?\u1080? \u1080?\u1079?\u1089?\u1083?\u1077?\u1076?\u1074?\u1072?\u1085?\u1080?\u1103? \u1080? \u1086?\u1073?\u1091?\u1095?\u1077?\u1085?\u1080?\u1077? \u1085?\u1072? \u1045?\u1074?\u1088?\u1086?\u1087?\u1077?\u1081?\u1089?\u1082?\u1072?\u1090?\u1072? \u1086?\u1073?\u1097?\u1085?\u1086?\u1089?\u1090? \u1079?\u1072? \u1072?\u1090?\u1086?\u1084?\u1085?\u1072? \u1077?\u1085?\u1077?\u1088?\u1075?\u1080?\u1103? \u1079?\u1072? \u1087?\u1077?\u1088?\u1080?\u1086?\u1076?\u1072? 2021\u8212?2025 \u1075?. \u1074? \u1076?\u1086?\u1087?\u1098?\u1083?\u1085?\u1077?\u1085?\u1080?\u1077? \u1082?\u1098?\u1084? \u1056?\u1072?\u1084?\u1082?\u1086?\u1074?\u1072?\u1090?\u1072? \u1087?\u1088?\u1086?\u1075?\u1088?\u1072?\u1084?\u1072? \u1079?\u1072? \u1085?\u1072?\u1091?\u1095?\u1085?\u1080? \u1080?\u1079?\u1089?\u1083?\u1077?\u1076?\u1074?\u1072?\u1085?\u1080?\u1103? \u1080? \u1080?\u1085?\u1086?\u1074?\u1072?\u1094?\u1080?\u1080? \u8222?\u1061?\u1086?\u1088?\u1080?\u1079?\u1086?\u1085?\u1090? \u1045?\u1074?\u1088?\u1086?\u1087?\u1072?\u8220?"/>
    <w:docVar w:name="LW_PART_NBR" w:val="1"/>
    <w:docVar w:name="LW_PART_NBR_TOTAL" w:val="1"/>
    <w:docVar w:name="LW_REF.INST.NEW" w:val="SWD"/>
    <w:docVar w:name="LW_REF.INST.NEW_ADOPTED" w:val="final"/>
    <w:docVar w:name="LW_REF.INST.NEW_TEXT" w:val="(2018)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103? \u1079?\u1072?"/>
  </w:docVars>
  <w:rsids>
    <w:rsidRoot w:val="005E190C"/>
    <w:rsid w:val="0045144E"/>
    <w:rsid w:val="005E19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Bullet" w:uiPriority="0"/>
    <w:lsdException w:name="List 3" w:uiPriority="0"/>
    <w:lsdException w:name="List Bullet 5"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4"/>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numPr>
        <w:ilvl w:val="1"/>
        <w:numId w:val="4"/>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4"/>
      </w:numPr>
      <w:spacing w:before="120" w:after="120" w:line="240" w:lineRule="auto"/>
      <w:jc w:val="both"/>
      <w:outlineLvl w:val="2"/>
    </w:pPr>
    <w:rPr>
      <w:rFonts w:ascii="Times New Roman" w:eastAsia="Times New Roman" w:hAnsi="Times New Roman" w:cs="Times New Roman"/>
      <w:b/>
      <w:i/>
      <w:sz w:val="24"/>
      <w:szCs w:val="20"/>
    </w:rPr>
  </w:style>
  <w:style w:type="paragraph" w:styleId="Heading4">
    <w:name w:val="heading 4"/>
    <w:basedOn w:val="Normal"/>
    <w:next w:val="Normal"/>
    <w:link w:val="Heading4Char"/>
    <w:qFormat/>
    <w:pPr>
      <w:keepNext/>
      <w:numPr>
        <w:ilvl w:val="3"/>
        <w:numId w:val="4"/>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line="240" w:lineRule="auto"/>
      <w:jc w:val="both"/>
      <w:outlineLvl w:val="4"/>
    </w:pPr>
    <w:rPr>
      <w:rFonts w:asciiTheme="majorHAnsi" w:eastAsiaTheme="majorEastAsia" w:hAnsiTheme="majorHAnsi" w:cstheme="majorBidi"/>
      <w:color w:val="243F60" w:themeColor="accent1" w:themeShade="7F"/>
      <w:sz w:val="24"/>
      <w:szCs w:val="20"/>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line="240" w:lineRule="auto"/>
      <w:jc w:val="both"/>
      <w:outlineLvl w:val="5"/>
    </w:pPr>
    <w:rPr>
      <w:rFonts w:asciiTheme="majorHAnsi" w:eastAsiaTheme="majorEastAsia" w:hAnsiTheme="majorHAnsi" w:cstheme="majorBidi"/>
      <w:i/>
      <w:iCs/>
      <w:color w:val="243F60" w:themeColor="accent1" w:themeShade="7F"/>
      <w:sz w:val="24"/>
      <w:szCs w:val="20"/>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line="240" w:lineRule="auto"/>
      <w:jc w:val="both"/>
      <w:outlineLvl w:val="6"/>
    </w:pPr>
    <w:rPr>
      <w:rFonts w:asciiTheme="majorHAnsi" w:eastAsiaTheme="majorEastAsia" w:hAnsiTheme="majorHAnsi" w:cstheme="majorBidi"/>
      <w:i/>
      <w:iCs/>
      <w:color w:val="404040" w:themeColor="text1" w:themeTint="BF"/>
      <w:sz w:val="24"/>
      <w:szCs w:val="20"/>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b/>
      <w:i/>
      <w:sz w:val="24"/>
      <w:szCs w:val="20"/>
      <w:lang w:val="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0"/>
      <w:lang w:val="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0"/>
      <w:lang w:val="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0"/>
      <w:lang w:val="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bg-BG"/>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5"/>
      </w:numPr>
      <w:tabs>
        <w:tab w:val="clear" w:pos="360"/>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ListDash1">
    <w:name w:val="List Dash 1"/>
    <w:basedOn w:val="Text1"/>
    <w:pPr>
      <w:numPr>
        <w:numId w:val="1"/>
      </w:numPr>
    </w:pPr>
  </w:style>
  <w:style w:type="table" w:styleId="TableGrid">
    <w:name w:val="Table Grid"/>
    <w:aliases w:val="Document Table,CV1,Standard table format"/>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bg-BG"/>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spacing w:after="12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Schriftart: 9 pt,o,f"/>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18"/>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rPr>
      <w:rFonts w:ascii="Times New Roman" w:eastAsia="Times New Roman" w:hAnsi="Times New Roman" w:cs="Times New Roman"/>
      <w:sz w:val="18"/>
      <w:szCs w:val="20"/>
      <w:lang w:val="bg-BG"/>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 BVI fnr"/>
    <w:basedOn w:val="DefaultParagraphFont"/>
    <w:link w:val="CharCharChar1"/>
    <w:uiPriority w:val="99"/>
    <w:unhideWhenUsed/>
    <w:qFormat/>
    <w:rPr>
      <w:vertAlign w:val="superscript"/>
    </w:rPr>
  </w:style>
  <w:style w:type="paragraph" w:customStyle="1" w:styleId="Declassification">
    <w:name w:val="Declassification"/>
    <w:basedOn w:val="Normal"/>
    <w:next w:val="Normal"/>
    <w:pPr>
      <w:spacing w:after="0" w:line="240" w:lineRule="auto"/>
      <w:jc w:val="both"/>
    </w:pPr>
    <w:rPr>
      <w:rFonts w:ascii="Times New Roman" w:eastAsia="Times New Roman" w:hAnsi="Times New Roman" w:cs="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0"/>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both"/>
    </w:pPr>
    <w:rPr>
      <w:rFonts w:ascii="Times New Roman" w:eastAsia="Times New Roman" w:hAnsi="Times New Roman" w:cs="Times New Roman"/>
      <w:sz w:val="24"/>
      <w:szCs w:val="20"/>
    </w:rPr>
  </w:style>
  <w:style w:type="paragraph" w:customStyle="1" w:styleId="CharCharChar1">
    <w:name w:val="Char Char Char1"/>
    <w:basedOn w:val="Normal"/>
    <w:link w:val="FootnoteReference"/>
    <w:uiPriority w:val="99"/>
    <w:pPr>
      <w:spacing w:after="160" w:line="240" w:lineRule="exact"/>
      <w:jc w:val="both"/>
    </w:pPr>
    <w:rPr>
      <w:vertAlign w:val="superscript"/>
    </w:rPr>
  </w:style>
  <w:style w:type="paragraph" w:styleId="EndnoteText">
    <w:name w:val="endnote text"/>
    <w:basedOn w:val="Normal"/>
    <w:link w:val="EndnoteTextChar"/>
    <w:uiPriority w:val="99"/>
    <w:semiHidden/>
    <w:unhideWhenUsed/>
    <w:pPr>
      <w:spacing w:after="0" w:line="240" w:lineRule="auto"/>
      <w:jc w:val="both"/>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aption">
    <w:name w:val="caption"/>
    <w:aliases w:val="Caption1 Char Char Char Char Char Char Char Char Tegn Tegn Tegn Tegn Tegn,Caption1 Char Char Char Char Char Char Char Char Tegn Tegn Tegn,Caption1 Char Char Char Char Char Char Char Char Tegn Tegn, Char Char Char,Tabelko,Beschriftung Char2 Char"/>
    <w:basedOn w:val="Normal"/>
    <w:next w:val="Normal"/>
    <w:link w:val="CaptionChar"/>
    <w:autoRedefine/>
    <w:uiPriority w:val="99"/>
    <w:qFormat/>
    <w:pPr>
      <w:keepNext/>
      <w:spacing w:after="0" w:line="240" w:lineRule="auto"/>
      <w:jc w:val="both"/>
    </w:pPr>
    <w:rPr>
      <w:rFonts w:ascii="Times New Roman" w:eastAsia="Times New Roman" w:hAnsi="Times New Roman" w:cs="Times New Roman"/>
      <w:b/>
      <w:i/>
      <w:color w:val="244061" w:themeColor="accent1" w:themeShade="80"/>
      <w:sz w:val="20"/>
      <w:szCs w:val="24"/>
    </w:rPr>
  </w:style>
  <w:style w:type="character" w:customStyle="1" w:styleId="CaptionChar">
    <w:name w:val="Caption Char"/>
    <w:aliases w:val="Caption1 Char Char Char Char Char Char Char Char Tegn Tegn Tegn Tegn Tegn Char,Caption1 Char Char Char Char Char Char Char Char Tegn Tegn Tegn Char,Caption1 Char Char Char Char Char Char Char Char Tegn Tegn Char, Char Char Char Char"/>
    <w:link w:val="Caption"/>
    <w:uiPriority w:val="99"/>
    <w:rPr>
      <w:rFonts w:ascii="Times New Roman" w:eastAsia="Times New Roman" w:hAnsi="Times New Roman" w:cs="Times New Roman"/>
      <w:b/>
      <w:i/>
      <w:color w:val="244061" w:themeColor="accent1" w:themeShade="80"/>
      <w:sz w:val="20"/>
      <w:szCs w:val="24"/>
      <w:lang w:val="bg-BG" w:eastAsia="bg-BG"/>
    </w:rPr>
  </w:style>
  <w:style w:type="paragraph" w:customStyle="1" w:styleId="AppendixH1">
    <w:name w:val="Appendix H1"/>
    <w:basedOn w:val="Normal"/>
    <w:link w:val="AppendixH1Char"/>
    <w:qFormat/>
    <w:pPr>
      <w:numPr>
        <w:numId w:val="2"/>
      </w:numPr>
      <w:spacing w:after="120" w:line="240" w:lineRule="auto"/>
      <w:jc w:val="both"/>
    </w:pPr>
    <w:rPr>
      <w:rFonts w:ascii="Times New Roman" w:eastAsia="Times New Roman" w:hAnsi="Times New Roman" w:cs="Times New Roman"/>
      <w:b/>
      <w:sz w:val="24"/>
      <w:szCs w:val="24"/>
    </w:rPr>
  </w:style>
  <w:style w:type="paragraph" w:customStyle="1" w:styleId="AppendixH2">
    <w:name w:val="Appendix H2"/>
    <w:basedOn w:val="Normal"/>
    <w:link w:val="AppendixH2Char"/>
    <w:qFormat/>
    <w:pPr>
      <w:numPr>
        <w:ilvl w:val="1"/>
        <w:numId w:val="2"/>
      </w:numPr>
      <w:spacing w:after="120" w:line="240" w:lineRule="auto"/>
      <w:ind w:hanging="454"/>
      <w:jc w:val="both"/>
    </w:pPr>
    <w:rPr>
      <w:rFonts w:ascii="Times New Roman" w:eastAsia="Times New Roman" w:hAnsi="Times New Roman" w:cs="Times New Roman"/>
      <w:b/>
      <w:sz w:val="24"/>
      <w:szCs w:val="24"/>
    </w:rPr>
  </w:style>
  <w:style w:type="character" w:customStyle="1" w:styleId="AppendixH1Char">
    <w:name w:val="Appendix H1 Char"/>
    <w:basedOn w:val="DefaultParagraphFont"/>
    <w:link w:val="AppendixH1"/>
    <w:rPr>
      <w:rFonts w:ascii="Times New Roman" w:eastAsia="Times New Roman" w:hAnsi="Times New Roman" w:cs="Times New Roman"/>
      <w:b/>
      <w:sz w:val="24"/>
      <w:szCs w:val="24"/>
      <w:lang w:val="bg-BG"/>
    </w:rPr>
  </w:style>
  <w:style w:type="paragraph" w:customStyle="1" w:styleId="AppendixH3">
    <w:name w:val="Appendix H3"/>
    <w:basedOn w:val="Normal"/>
    <w:qFormat/>
    <w:pPr>
      <w:numPr>
        <w:ilvl w:val="2"/>
        <w:numId w:val="2"/>
      </w:numPr>
      <w:spacing w:after="120" w:line="240" w:lineRule="auto"/>
      <w:jc w:val="both"/>
    </w:pPr>
    <w:rPr>
      <w:rFonts w:ascii="Times New Roman" w:eastAsia="Times New Roman" w:hAnsi="Times New Roman" w:cs="Times New Roman"/>
      <w:i/>
      <w:sz w:val="24"/>
      <w:szCs w:val="24"/>
    </w:rPr>
  </w:style>
  <w:style w:type="character" w:customStyle="1" w:styleId="AppendixH2Char">
    <w:name w:val="Appendix H2 Char"/>
    <w:basedOn w:val="DefaultParagraphFont"/>
    <w:link w:val="AppendixH2"/>
    <w:rPr>
      <w:rFonts w:ascii="Times New Roman" w:eastAsia="Times New Roman" w:hAnsi="Times New Roman" w:cs="Times New Roman"/>
      <w:b/>
      <w:sz w:val="24"/>
      <w:szCs w:val="24"/>
      <w:lang w:val="bg-BG"/>
    </w:rPr>
  </w:style>
  <w:style w:type="numbering" w:customStyle="1" w:styleId="appendix">
    <w:name w:val="appendix"/>
    <w:uiPriority w:val="99"/>
    <w:pPr>
      <w:numPr>
        <w:numId w:val="6"/>
      </w:numPr>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eastAsia="Times New Roman" w:hAnsi="Times New Roman" w:cs="Times New Roman"/>
      <w:sz w:val="24"/>
      <w:szCs w:val="20"/>
      <w:lang w:val="bg-BG"/>
    </w:rPr>
  </w:style>
  <w:style w:type="character" w:styleId="PlaceholderText">
    <w:name w:val="Placeholder Text"/>
    <w:basedOn w:val="DefaultParagraphFont"/>
    <w:uiPriority w:val="99"/>
    <w:semiHidden/>
    <w:rPr>
      <w:color w:val="808080"/>
    </w:r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EBE9EA"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rPr>
  </w:style>
  <w:style w:type="paragraph" w:customStyle="1" w:styleId="footnote">
    <w:name w:val="footnote"/>
    <w:basedOn w:val="FootnoteText"/>
    <w:pPr>
      <w:ind w:left="0" w:firstLine="0"/>
    </w:pPr>
    <w:rPr>
      <w:rFonts w:asciiTheme="minorHAnsi" w:hAnsiTheme="minorHAnsi"/>
      <w:sz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BodyText">
    <w:name w:val="Body Text"/>
    <w:aliases w:val="Document,Doc,Body Text2,doc,Standard paragraph,BodyText,(Norm),Body Text 12,bt,gl,uvlaka 2,heading3,Body Text - Level 2,1body,BodText,body text,Body Txt,Body Text-10,Body Text Char2,Text Char1,Text body, Car, (Norm),Τίτλος Μελέτης,- TF,b.,Car"/>
    <w:basedOn w:val="Normal"/>
    <w:link w:val="BodyTextChar"/>
    <w:qFormat/>
    <w:pPr>
      <w:spacing w:after="120" w:line="240" w:lineRule="auto"/>
      <w:jc w:val="both"/>
    </w:pPr>
    <w:rPr>
      <w:rFonts w:ascii="Georgia" w:eastAsia="Times New Roman" w:hAnsi="Georgia" w:cs="Times New Roman"/>
      <w:sz w:val="20"/>
      <w:szCs w:val="24"/>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rPr>
      <w:rFonts w:ascii="Georgia" w:eastAsia="Times New Roman" w:hAnsi="Georgia" w:cs="Times New Roman"/>
      <w:sz w:val="20"/>
      <w:szCs w:val="24"/>
      <w:lang w:val="bg-BG"/>
    </w:rPr>
  </w:style>
  <w:style w:type="paragraph" w:styleId="Revision">
    <w:name w:val="Revision"/>
    <w:hidden/>
    <w:uiPriority w:val="99"/>
    <w:semiHidden/>
    <w:pPr>
      <w:spacing w:after="0" w:line="240" w:lineRule="auto"/>
    </w:pPr>
  </w:style>
  <w:style w:type="character" w:styleId="IntenseEmphasis">
    <w:name w:val="Intense Emphasis"/>
    <w:basedOn w:val="DefaultParagraphFont"/>
    <w:uiPriority w:val="21"/>
    <w:qFormat/>
    <w:rPr>
      <w:b/>
      <w:bCs/>
      <w:i/>
      <w:iCs/>
      <w:color w:val="4F81BD" w:themeColor="accent1"/>
    </w:rPr>
  </w:style>
  <w:style w:type="paragraph" w:styleId="Quote">
    <w:name w:val="Quote"/>
    <w:aliases w:val="Quotation (long)"/>
    <w:basedOn w:val="Normal"/>
    <w:link w:val="QuoteChar"/>
    <w:uiPriority w:val="11"/>
    <w:qFormat/>
    <w:pPr>
      <w:spacing w:after="120" w:line="240" w:lineRule="auto"/>
      <w:ind w:left="1021" w:right="1021"/>
      <w:jc w:val="both"/>
    </w:pPr>
    <w:rPr>
      <w:rFonts w:ascii="Times New Roman" w:eastAsia="SimSun" w:hAnsi="Times New Roman" w:cs="Times New Roman"/>
      <w:i/>
      <w:iCs/>
      <w:color w:val="404040"/>
      <w:sz w:val="24"/>
      <w:szCs w:val="20"/>
    </w:rPr>
  </w:style>
  <w:style w:type="character" w:customStyle="1" w:styleId="QuoteChar">
    <w:name w:val="Quote Char"/>
    <w:aliases w:val="Quotation (long) Char"/>
    <w:basedOn w:val="DefaultParagraphFont"/>
    <w:link w:val="Quote"/>
    <w:uiPriority w:val="11"/>
    <w:rPr>
      <w:rFonts w:ascii="Times New Roman" w:eastAsia="SimSun" w:hAnsi="Times New Roman" w:cs="Times New Roman"/>
      <w:i/>
      <w:iCs/>
      <w:color w:val="404040"/>
      <w:sz w:val="24"/>
      <w:szCs w:val="20"/>
      <w:lang w:val="bg-BG"/>
    </w:rPr>
  </w:style>
  <w:style w:type="paragraph" w:styleId="ListBullet5">
    <w:name w:val="List Bullet 5"/>
    <w:basedOn w:val="Normal"/>
    <w:autoRedefine/>
    <w:pPr>
      <w:numPr>
        <w:numId w:val="3"/>
      </w:numPr>
      <w:spacing w:after="240" w:line="240" w:lineRule="auto"/>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table" w:customStyle="1" w:styleId="PlainTable41">
    <w:name w:val="Plain Table 41"/>
    <w:basedOn w:val="TableNormal"/>
    <w:uiPriority w:val="44"/>
    <w:pPr>
      <w:spacing w:after="0" w:line="240" w:lineRule="auto"/>
    </w:pPr>
    <w:rPr>
      <w:rFonts w:eastAsia="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CDD" w:themeFill="background1" w:themeFillShade="F2"/>
      </w:tcPr>
    </w:tblStylePr>
    <w:tblStylePr w:type="band1Horz">
      <w:tblPr/>
      <w:tcPr>
        <w:shd w:val="clear" w:color="auto" w:fill="DFDCDD" w:themeFill="background1" w:themeFillShade="F2"/>
      </w:tcPr>
    </w:tblStylePr>
  </w:style>
  <w:style w:type="paragraph" w:styleId="TOC3">
    <w:name w:val="toc 3"/>
    <w:basedOn w:val="Normal"/>
    <w:next w:val="Normal"/>
    <w:autoRedefine/>
    <w:uiPriority w:val="39"/>
    <w:unhideWhenUsed/>
    <w:pPr>
      <w:tabs>
        <w:tab w:val="left" w:pos="1320"/>
        <w:tab w:val="right" w:leader="dot" w:pos="8608"/>
      </w:tabs>
      <w:spacing w:after="100" w:line="240" w:lineRule="auto"/>
      <w:ind w:left="720"/>
      <w:jc w:val="both"/>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Cuadrculaclara-nfasis11">
    <w:name w:val="Cuadrícula clara - Énfasis 11"/>
    <w:basedOn w:val="TableNormal"/>
    <w:uiPriority w:val="62"/>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tandardtableformat1">
    <w:name w:val="Standard table format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3">
    <w:name w:val="Standard table format3"/>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letter">
    <w:name w:val="Point 1 (letter)"/>
    <w:basedOn w:val="Normal"/>
    <w:uiPriority w:val="99"/>
    <w:pPr>
      <w:spacing w:before="120" w:after="120" w:line="240" w:lineRule="auto"/>
      <w:ind w:left="1417" w:hanging="567"/>
      <w:jc w:val="both"/>
    </w:pPr>
    <w:rPr>
      <w:rFonts w:ascii="Times New Roman" w:eastAsia="Times New Roman" w:hAnsi="Times New Roman" w:cs="Times New Roman"/>
      <w:sz w:val="24"/>
      <w:szCs w:val="24"/>
    </w:rPr>
  </w:style>
  <w:style w:type="character" w:customStyle="1" w:styleId="CommentTextChar1">
    <w:name w:val="Comment Text Char1"/>
    <w:basedOn w:val="DefaultParagraphFont"/>
    <w:uiPriority w:val="99"/>
    <w:rPr>
      <w:rFonts w:ascii="EC Square Sans Pro" w:hAnsi="EC Square Sans Pro"/>
      <w:sz w:val="20"/>
      <w:szCs w:val="20"/>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bg-BG"/>
    </w:rPr>
  </w:style>
  <w:style w:type="paragraph" w:styleId="ListNumber">
    <w:name w:val="List Number"/>
    <w:basedOn w:val="Normal"/>
    <w:uiPriority w:val="99"/>
    <w:semiHidden/>
    <w:unhideWhenUsed/>
    <w:pPr>
      <w:tabs>
        <w:tab w:val="num" w:pos="360"/>
      </w:tabs>
      <w:spacing w:after="120" w:line="240" w:lineRule="auto"/>
      <w:ind w:left="360" w:hanging="360"/>
      <w:contextualSpacing/>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Bullet" w:uiPriority="0"/>
    <w:lsdException w:name="List 3" w:uiPriority="0"/>
    <w:lsdException w:name="List Bullet 5"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4"/>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numPr>
        <w:ilvl w:val="1"/>
        <w:numId w:val="4"/>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4"/>
      </w:numPr>
      <w:spacing w:before="120" w:after="120" w:line="240" w:lineRule="auto"/>
      <w:jc w:val="both"/>
      <w:outlineLvl w:val="2"/>
    </w:pPr>
    <w:rPr>
      <w:rFonts w:ascii="Times New Roman" w:eastAsia="Times New Roman" w:hAnsi="Times New Roman" w:cs="Times New Roman"/>
      <w:b/>
      <w:i/>
      <w:sz w:val="24"/>
      <w:szCs w:val="20"/>
    </w:rPr>
  </w:style>
  <w:style w:type="paragraph" w:styleId="Heading4">
    <w:name w:val="heading 4"/>
    <w:basedOn w:val="Normal"/>
    <w:next w:val="Normal"/>
    <w:link w:val="Heading4Char"/>
    <w:qFormat/>
    <w:pPr>
      <w:keepNext/>
      <w:numPr>
        <w:ilvl w:val="3"/>
        <w:numId w:val="4"/>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line="240" w:lineRule="auto"/>
      <w:jc w:val="both"/>
      <w:outlineLvl w:val="4"/>
    </w:pPr>
    <w:rPr>
      <w:rFonts w:asciiTheme="majorHAnsi" w:eastAsiaTheme="majorEastAsia" w:hAnsiTheme="majorHAnsi" w:cstheme="majorBidi"/>
      <w:color w:val="243F60" w:themeColor="accent1" w:themeShade="7F"/>
      <w:sz w:val="24"/>
      <w:szCs w:val="20"/>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line="240" w:lineRule="auto"/>
      <w:jc w:val="both"/>
      <w:outlineLvl w:val="5"/>
    </w:pPr>
    <w:rPr>
      <w:rFonts w:asciiTheme="majorHAnsi" w:eastAsiaTheme="majorEastAsia" w:hAnsiTheme="majorHAnsi" w:cstheme="majorBidi"/>
      <w:i/>
      <w:iCs/>
      <w:color w:val="243F60" w:themeColor="accent1" w:themeShade="7F"/>
      <w:sz w:val="24"/>
      <w:szCs w:val="20"/>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line="240" w:lineRule="auto"/>
      <w:jc w:val="both"/>
      <w:outlineLvl w:val="6"/>
    </w:pPr>
    <w:rPr>
      <w:rFonts w:asciiTheme="majorHAnsi" w:eastAsiaTheme="majorEastAsia" w:hAnsiTheme="majorHAnsi" w:cstheme="majorBidi"/>
      <w:i/>
      <w:iCs/>
      <w:color w:val="404040" w:themeColor="text1" w:themeTint="BF"/>
      <w:sz w:val="24"/>
      <w:szCs w:val="20"/>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b/>
      <w:i/>
      <w:sz w:val="24"/>
      <w:szCs w:val="20"/>
      <w:lang w:val="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0"/>
      <w:lang w:val="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0"/>
      <w:lang w:val="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0"/>
      <w:lang w:val="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bg-BG"/>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5"/>
      </w:numPr>
      <w:tabs>
        <w:tab w:val="clear" w:pos="360"/>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ListDash1">
    <w:name w:val="List Dash 1"/>
    <w:basedOn w:val="Text1"/>
    <w:pPr>
      <w:numPr>
        <w:numId w:val="1"/>
      </w:numPr>
    </w:pPr>
  </w:style>
  <w:style w:type="table" w:styleId="TableGrid">
    <w:name w:val="Table Grid"/>
    <w:aliases w:val="Document Table,CV1,Standard table format"/>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bg-BG"/>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spacing w:after="12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Schriftart: 9 pt,o,f"/>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18"/>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rPr>
      <w:rFonts w:ascii="Times New Roman" w:eastAsia="Times New Roman" w:hAnsi="Times New Roman" w:cs="Times New Roman"/>
      <w:sz w:val="18"/>
      <w:szCs w:val="20"/>
      <w:lang w:val="bg-BG"/>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 BVI fnr"/>
    <w:basedOn w:val="DefaultParagraphFont"/>
    <w:link w:val="CharCharChar1"/>
    <w:uiPriority w:val="99"/>
    <w:unhideWhenUsed/>
    <w:qFormat/>
    <w:rPr>
      <w:vertAlign w:val="superscript"/>
    </w:rPr>
  </w:style>
  <w:style w:type="paragraph" w:customStyle="1" w:styleId="Declassification">
    <w:name w:val="Declassification"/>
    <w:basedOn w:val="Normal"/>
    <w:next w:val="Normal"/>
    <w:pPr>
      <w:spacing w:after="0" w:line="240" w:lineRule="auto"/>
      <w:jc w:val="both"/>
    </w:pPr>
    <w:rPr>
      <w:rFonts w:ascii="Times New Roman" w:eastAsia="Times New Roman" w:hAnsi="Times New Roman" w:cs="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0"/>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both"/>
    </w:pPr>
    <w:rPr>
      <w:rFonts w:ascii="Times New Roman" w:eastAsia="Times New Roman" w:hAnsi="Times New Roman" w:cs="Times New Roman"/>
      <w:sz w:val="24"/>
      <w:szCs w:val="20"/>
    </w:rPr>
  </w:style>
  <w:style w:type="paragraph" w:customStyle="1" w:styleId="CharCharChar1">
    <w:name w:val="Char Char Char1"/>
    <w:basedOn w:val="Normal"/>
    <w:link w:val="FootnoteReference"/>
    <w:uiPriority w:val="99"/>
    <w:pPr>
      <w:spacing w:after="160" w:line="240" w:lineRule="exact"/>
      <w:jc w:val="both"/>
    </w:pPr>
    <w:rPr>
      <w:vertAlign w:val="superscript"/>
    </w:rPr>
  </w:style>
  <w:style w:type="paragraph" w:styleId="EndnoteText">
    <w:name w:val="endnote text"/>
    <w:basedOn w:val="Normal"/>
    <w:link w:val="EndnoteTextChar"/>
    <w:uiPriority w:val="99"/>
    <w:semiHidden/>
    <w:unhideWhenUsed/>
    <w:pPr>
      <w:spacing w:after="0" w:line="240" w:lineRule="auto"/>
      <w:jc w:val="both"/>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aption">
    <w:name w:val="caption"/>
    <w:aliases w:val="Caption1 Char Char Char Char Char Char Char Char Tegn Tegn Tegn Tegn Tegn,Caption1 Char Char Char Char Char Char Char Char Tegn Tegn Tegn,Caption1 Char Char Char Char Char Char Char Char Tegn Tegn, Char Char Char,Tabelko,Beschriftung Char2 Char"/>
    <w:basedOn w:val="Normal"/>
    <w:next w:val="Normal"/>
    <w:link w:val="CaptionChar"/>
    <w:autoRedefine/>
    <w:uiPriority w:val="99"/>
    <w:qFormat/>
    <w:pPr>
      <w:keepNext/>
      <w:spacing w:after="0" w:line="240" w:lineRule="auto"/>
      <w:jc w:val="both"/>
    </w:pPr>
    <w:rPr>
      <w:rFonts w:ascii="Times New Roman" w:eastAsia="Times New Roman" w:hAnsi="Times New Roman" w:cs="Times New Roman"/>
      <w:b/>
      <w:i/>
      <w:color w:val="244061" w:themeColor="accent1" w:themeShade="80"/>
      <w:sz w:val="20"/>
      <w:szCs w:val="24"/>
    </w:rPr>
  </w:style>
  <w:style w:type="character" w:customStyle="1" w:styleId="CaptionChar">
    <w:name w:val="Caption Char"/>
    <w:aliases w:val="Caption1 Char Char Char Char Char Char Char Char Tegn Tegn Tegn Tegn Tegn Char,Caption1 Char Char Char Char Char Char Char Char Tegn Tegn Tegn Char,Caption1 Char Char Char Char Char Char Char Char Tegn Tegn Char, Char Char Char Char"/>
    <w:link w:val="Caption"/>
    <w:uiPriority w:val="99"/>
    <w:rPr>
      <w:rFonts w:ascii="Times New Roman" w:eastAsia="Times New Roman" w:hAnsi="Times New Roman" w:cs="Times New Roman"/>
      <w:b/>
      <w:i/>
      <w:color w:val="244061" w:themeColor="accent1" w:themeShade="80"/>
      <w:sz w:val="20"/>
      <w:szCs w:val="24"/>
      <w:lang w:val="bg-BG" w:eastAsia="bg-BG"/>
    </w:rPr>
  </w:style>
  <w:style w:type="paragraph" w:customStyle="1" w:styleId="AppendixH1">
    <w:name w:val="Appendix H1"/>
    <w:basedOn w:val="Normal"/>
    <w:link w:val="AppendixH1Char"/>
    <w:qFormat/>
    <w:pPr>
      <w:numPr>
        <w:numId w:val="2"/>
      </w:numPr>
      <w:spacing w:after="120" w:line="240" w:lineRule="auto"/>
      <w:jc w:val="both"/>
    </w:pPr>
    <w:rPr>
      <w:rFonts w:ascii="Times New Roman" w:eastAsia="Times New Roman" w:hAnsi="Times New Roman" w:cs="Times New Roman"/>
      <w:b/>
      <w:sz w:val="24"/>
      <w:szCs w:val="24"/>
    </w:rPr>
  </w:style>
  <w:style w:type="paragraph" w:customStyle="1" w:styleId="AppendixH2">
    <w:name w:val="Appendix H2"/>
    <w:basedOn w:val="Normal"/>
    <w:link w:val="AppendixH2Char"/>
    <w:qFormat/>
    <w:pPr>
      <w:numPr>
        <w:ilvl w:val="1"/>
        <w:numId w:val="2"/>
      </w:numPr>
      <w:spacing w:after="120" w:line="240" w:lineRule="auto"/>
      <w:ind w:hanging="454"/>
      <w:jc w:val="both"/>
    </w:pPr>
    <w:rPr>
      <w:rFonts w:ascii="Times New Roman" w:eastAsia="Times New Roman" w:hAnsi="Times New Roman" w:cs="Times New Roman"/>
      <w:b/>
      <w:sz w:val="24"/>
      <w:szCs w:val="24"/>
    </w:rPr>
  </w:style>
  <w:style w:type="character" w:customStyle="1" w:styleId="AppendixH1Char">
    <w:name w:val="Appendix H1 Char"/>
    <w:basedOn w:val="DefaultParagraphFont"/>
    <w:link w:val="AppendixH1"/>
    <w:rPr>
      <w:rFonts w:ascii="Times New Roman" w:eastAsia="Times New Roman" w:hAnsi="Times New Roman" w:cs="Times New Roman"/>
      <w:b/>
      <w:sz w:val="24"/>
      <w:szCs w:val="24"/>
      <w:lang w:val="bg-BG"/>
    </w:rPr>
  </w:style>
  <w:style w:type="paragraph" w:customStyle="1" w:styleId="AppendixH3">
    <w:name w:val="Appendix H3"/>
    <w:basedOn w:val="Normal"/>
    <w:qFormat/>
    <w:pPr>
      <w:numPr>
        <w:ilvl w:val="2"/>
        <w:numId w:val="2"/>
      </w:numPr>
      <w:spacing w:after="120" w:line="240" w:lineRule="auto"/>
      <w:jc w:val="both"/>
    </w:pPr>
    <w:rPr>
      <w:rFonts w:ascii="Times New Roman" w:eastAsia="Times New Roman" w:hAnsi="Times New Roman" w:cs="Times New Roman"/>
      <w:i/>
      <w:sz w:val="24"/>
      <w:szCs w:val="24"/>
    </w:rPr>
  </w:style>
  <w:style w:type="character" w:customStyle="1" w:styleId="AppendixH2Char">
    <w:name w:val="Appendix H2 Char"/>
    <w:basedOn w:val="DefaultParagraphFont"/>
    <w:link w:val="AppendixH2"/>
    <w:rPr>
      <w:rFonts w:ascii="Times New Roman" w:eastAsia="Times New Roman" w:hAnsi="Times New Roman" w:cs="Times New Roman"/>
      <w:b/>
      <w:sz w:val="24"/>
      <w:szCs w:val="24"/>
      <w:lang w:val="bg-BG"/>
    </w:rPr>
  </w:style>
  <w:style w:type="numbering" w:customStyle="1" w:styleId="appendix">
    <w:name w:val="appendix"/>
    <w:uiPriority w:val="99"/>
    <w:pPr>
      <w:numPr>
        <w:numId w:val="6"/>
      </w:numPr>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eastAsia="Times New Roman" w:hAnsi="Times New Roman" w:cs="Times New Roman"/>
      <w:sz w:val="24"/>
      <w:szCs w:val="20"/>
      <w:lang w:val="bg-BG"/>
    </w:rPr>
  </w:style>
  <w:style w:type="character" w:styleId="PlaceholderText">
    <w:name w:val="Placeholder Text"/>
    <w:basedOn w:val="DefaultParagraphFont"/>
    <w:uiPriority w:val="99"/>
    <w:semiHidden/>
    <w:rPr>
      <w:color w:val="808080"/>
    </w:r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EBE9EA"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rPr>
  </w:style>
  <w:style w:type="paragraph" w:customStyle="1" w:styleId="footnote">
    <w:name w:val="footnote"/>
    <w:basedOn w:val="FootnoteText"/>
    <w:pPr>
      <w:ind w:left="0" w:firstLine="0"/>
    </w:pPr>
    <w:rPr>
      <w:rFonts w:asciiTheme="minorHAnsi" w:hAnsiTheme="minorHAnsi"/>
      <w:sz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BodyText">
    <w:name w:val="Body Text"/>
    <w:aliases w:val="Document,Doc,Body Text2,doc,Standard paragraph,BodyText,(Norm),Body Text 12,bt,gl,uvlaka 2,heading3,Body Text - Level 2,1body,BodText,body text,Body Txt,Body Text-10,Body Text Char2,Text Char1,Text body, Car, (Norm),Τίτλος Μελέτης,- TF,b.,Car"/>
    <w:basedOn w:val="Normal"/>
    <w:link w:val="BodyTextChar"/>
    <w:qFormat/>
    <w:pPr>
      <w:spacing w:after="120" w:line="240" w:lineRule="auto"/>
      <w:jc w:val="both"/>
    </w:pPr>
    <w:rPr>
      <w:rFonts w:ascii="Georgia" w:eastAsia="Times New Roman" w:hAnsi="Georgia" w:cs="Times New Roman"/>
      <w:sz w:val="20"/>
      <w:szCs w:val="24"/>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rPr>
      <w:rFonts w:ascii="Georgia" w:eastAsia="Times New Roman" w:hAnsi="Georgia" w:cs="Times New Roman"/>
      <w:sz w:val="20"/>
      <w:szCs w:val="24"/>
      <w:lang w:val="bg-BG"/>
    </w:rPr>
  </w:style>
  <w:style w:type="paragraph" w:styleId="Revision">
    <w:name w:val="Revision"/>
    <w:hidden/>
    <w:uiPriority w:val="99"/>
    <w:semiHidden/>
    <w:pPr>
      <w:spacing w:after="0" w:line="240" w:lineRule="auto"/>
    </w:pPr>
  </w:style>
  <w:style w:type="character" w:styleId="IntenseEmphasis">
    <w:name w:val="Intense Emphasis"/>
    <w:basedOn w:val="DefaultParagraphFont"/>
    <w:uiPriority w:val="21"/>
    <w:qFormat/>
    <w:rPr>
      <w:b/>
      <w:bCs/>
      <w:i/>
      <w:iCs/>
      <w:color w:val="4F81BD" w:themeColor="accent1"/>
    </w:rPr>
  </w:style>
  <w:style w:type="paragraph" w:styleId="Quote">
    <w:name w:val="Quote"/>
    <w:aliases w:val="Quotation (long)"/>
    <w:basedOn w:val="Normal"/>
    <w:link w:val="QuoteChar"/>
    <w:uiPriority w:val="11"/>
    <w:qFormat/>
    <w:pPr>
      <w:spacing w:after="120" w:line="240" w:lineRule="auto"/>
      <w:ind w:left="1021" w:right="1021"/>
      <w:jc w:val="both"/>
    </w:pPr>
    <w:rPr>
      <w:rFonts w:ascii="Times New Roman" w:eastAsia="SimSun" w:hAnsi="Times New Roman" w:cs="Times New Roman"/>
      <w:i/>
      <w:iCs/>
      <w:color w:val="404040"/>
      <w:sz w:val="24"/>
      <w:szCs w:val="20"/>
    </w:rPr>
  </w:style>
  <w:style w:type="character" w:customStyle="1" w:styleId="QuoteChar">
    <w:name w:val="Quote Char"/>
    <w:aliases w:val="Quotation (long) Char"/>
    <w:basedOn w:val="DefaultParagraphFont"/>
    <w:link w:val="Quote"/>
    <w:uiPriority w:val="11"/>
    <w:rPr>
      <w:rFonts w:ascii="Times New Roman" w:eastAsia="SimSun" w:hAnsi="Times New Roman" w:cs="Times New Roman"/>
      <w:i/>
      <w:iCs/>
      <w:color w:val="404040"/>
      <w:sz w:val="24"/>
      <w:szCs w:val="20"/>
      <w:lang w:val="bg-BG"/>
    </w:rPr>
  </w:style>
  <w:style w:type="paragraph" w:styleId="ListBullet5">
    <w:name w:val="List Bullet 5"/>
    <w:basedOn w:val="Normal"/>
    <w:autoRedefine/>
    <w:pPr>
      <w:numPr>
        <w:numId w:val="3"/>
      </w:numPr>
      <w:spacing w:after="240" w:line="240" w:lineRule="auto"/>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table" w:customStyle="1" w:styleId="PlainTable41">
    <w:name w:val="Plain Table 41"/>
    <w:basedOn w:val="TableNormal"/>
    <w:uiPriority w:val="44"/>
    <w:pPr>
      <w:spacing w:after="0" w:line="240" w:lineRule="auto"/>
    </w:pPr>
    <w:rPr>
      <w:rFonts w:eastAsia="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CDD" w:themeFill="background1" w:themeFillShade="F2"/>
      </w:tcPr>
    </w:tblStylePr>
    <w:tblStylePr w:type="band1Horz">
      <w:tblPr/>
      <w:tcPr>
        <w:shd w:val="clear" w:color="auto" w:fill="DFDCDD" w:themeFill="background1" w:themeFillShade="F2"/>
      </w:tcPr>
    </w:tblStylePr>
  </w:style>
  <w:style w:type="paragraph" w:styleId="TOC3">
    <w:name w:val="toc 3"/>
    <w:basedOn w:val="Normal"/>
    <w:next w:val="Normal"/>
    <w:autoRedefine/>
    <w:uiPriority w:val="39"/>
    <w:unhideWhenUsed/>
    <w:pPr>
      <w:tabs>
        <w:tab w:val="left" w:pos="1320"/>
        <w:tab w:val="right" w:leader="dot" w:pos="8608"/>
      </w:tabs>
      <w:spacing w:after="100" w:line="240" w:lineRule="auto"/>
      <w:ind w:left="720"/>
      <w:jc w:val="both"/>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Cuadrculaclara-nfasis11">
    <w:name w:val="Cuadrícula clara - Énfasis 11"/>
    <w:basedOn w:val="TableNormal"/>
    <w:uiPriority w:val="62"/>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tandardtableformat1">
    <w:name w:val="Standard table format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3">
    <w:name w:val="Standard table format3"/>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letter">
    <w:name w:val="Point 1 (letter)"/>
    <w:basedOn w:val="Normal"/>
    <w:uiPriority w:val="99"/>
    <w:pPr>
      <w:spacing w:before="120" w:after="120" w:line="240" w:lineRule="auto"/>
      <w:ind w:left="1417" w:hanging="567"/>
      <w:jc w:val="both"/>
    </w:pPr>
    <w:rPr>
      <w:rFonts w:ascii="Times New Roman" w:eastAsia="Times New Roman" w:hAnsi="Times New Roman" w:cs="Times New Roman"/>
      <w:sz w:val="24"/>
      <w:szCs w:val="24"/>
    </w:rPr>
  </w:style>
  <w:style w:type="character" w:customStyle="1" w:styleId="CommentTextChar1">
    <w:name w:val="Comment Text Char1"/>
    <w:basedOn w:val="DefaultParagraphFont"/>
    <w:uiPriority w:val="99"/>
    <w:rPr>
      <w:rFonts w:ascii="EC Square Sans Pro" w:hAnsi="EC Square Sans Pro"/>
      <w:sz w:val="20"/>
      <w:szCs w:val="20"/>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bg-BG"/>
    </w:rPr>
  </w:style>
  <w:style w:type="paragraph" w:styleId="ListNumber">
    <w:name w:val="List Number"/>
    <w:basedOn w:val="Normal"/>
    <w:uiPriority w:val="99"/>
    <w:semiHidden/>
    <w:unhideWhenUsed/>
    <w:pPr>
      <w:tabs>
        <w:tab w:val="num" w:pos="360"/>
      </w:tabs>
      <w:spacing w:after="120" w:line="240" w:lineRule="auto"/>
      <w:ind w:left="360" w:hanging="360"/>
      <w:contextualSpacing/>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71e45aad-9437-414b-9e22-3472f48ca47e" xsi:nil="true"/>
    <EC_Collab_DocumentLanguage xmlns="71e45aad-9437-414b-9e22-3472f48ca47e">EN</EC_Collab_DocumentLanguage>
    <EC_Collab_Status xmlns="71e45aad-9437-414b-9e22-3472f48ca47e">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9A7079FB77C1C4E988EE1C6A31CAA1E" ma:contentTypeVersion="0" ma:contentTypeDescription="Create a new document in this library." ma:contentTypeScope="" ma:versionID="41d124adcdb0b98f02ce4f58fdd0652b">
  <xsd:schema xmlns:xsd="http://www.w3.org/2001/XMLSchema" xmlns:xs="http://www.w3.org/2001/XMLSchema" xmlns:p="http://schemas.microsoft.com/office/2006/metadata/properties" xmlns:ns2="http://schemas.microsoft.com/sharepoint/v3/fields" xmlns:ns3="71e45aad-9437-414b-9e22-3472f48ca47e" targetNamespace="http://schemas.microsoft.com/office/2006/metadata/properties" ma:root="true" ma:fieldsID="8b0ab2dc82d06ab1381631565f8c7b7f" ns2:_="" ns3:_="">
    <xsd:import namespace="http://schemas.microsoft.com/sharepoint/v3/fields"/>
    <xsd:import namespace="71e45aad-9437-414b-9e22-3472f48ca47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1e45aad-9437-414b-9e22-3472f48ca47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CC7A3-B9EA-4D85-9E9C-1862AAFEF540}">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1e45aad-9437-414b-9e22-3472f48ca47e"/>
    <ds:schemaRef ds:uri="http://schemas.microsoft.com/sharepoint/v3/field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5BAA868-0615-4773-8589-88A82BE66220}">
  <ds:schemaRefs>
    <ds:schemaRef ds:uri="http://schemas.microsoft.com/sharepoint/v3/contenttype/forms"/>
  </ds:schemaRefs>
</ds:datastoreItem>
</file>

<file path=customXml/itemProps3.xml><?xml version="1.0" encoding="utf-8"?>
<ds:datastoreItem xmlns:ds="http://schemas.openxmlformats.org/officeDocument/2006/customXml" ds:itemID="{34E703C5-F9F0-431B-8B2D-9B48E9CC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1e45aad-9437-414b-9e22-3472f48ca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2387</Words>
  <Characters>14981</Characters>
  <Application>Microsoft Office Word</Application>
  <DocSecurity>0</DocSecurity>
  <Lines>234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37</cp:revision>
  <cp:lastPrinted>2018-05-29T13:44:00Z</cp:lastPrinted>
  <dcterms:created xsi:type="dcterms:W3CDTF">2018-05-04T08:32:00Z</dcterms:created>
  <dcterms:modified xsi:type="dcterms:W3CDTF">2018-06-11T12:51:00Z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ontentTypeId">
    <vt:lpwstr>0x010100258AA79CEB83498886A3A0868112325000B9A7079FB77C1C4E988EE1C6A31CAA1E</vt:lpwstr>
  </property>
</Properties>
</file>