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9167A5DC-8E44-41B9-A877-B73BE7BC1ED5"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2"/>
          <w:cols w:space="720"/>
          <w:docGrid w:linePitch="360"/>
        </w:sectPr>
      </w:pPr>
    </w:p>
    <w:p>
      <w:pPr>
        <w:rPr>
          <w:noProof/>
        </w:rPr>
      </w:pPr>
      <w:bookmarkStart w:id="1" w:name="_GoBack"/>
      <w:bookmarkEnd w:id="1"/>
      <w:r>
        <w:rPr>
          <w:noProof/>
        </w:rPr>
        <w:lastRenderedPageBreak/>
        <w:t>Като взе предвид:</w:t>
      </w:r>
    </w:p>
    <w:p>
      <w:pPr>
        <w:pStyle w:val="Tiret0"/>
        <w:tabs>
          <w:tab w:val="clear" w:pos="850"/>
          <w:tab w:val="num" w:pos="1004"/>
        </w:tabs>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tabs>
          <w:tab w:val="clear" w:pos="850"/>
          <w:tab w:val="num" w:pos="927"/>
        </w:tabs>
        <w:rPr>
          <w:rFonts w:cs="Arial"/>
          <w:noProof/>
          <w:szCs w:val="18"/>
        </w:rPr>
      </w:pPr>
      <w:r>
        <w:rPr>
          <w:noProof/>
        </w:rPr>
        <w:t>Регламент (ЕС, Евратом) № 966/2012 на Европейския парламент и на Съвета от 25 октомври 2012 г. относно финансовите правила, приложими за общия бюджет на Съюза</w:t>
      </w:r>
      <w:r>
        <w:rPr>
          <w:rStyle w:val="FootnoteReference"/>
          <w:noProof/>
        </w:rPr>
        <w:footnoteReference w:id="1"/>
      </w:r>
      <w:r>
        <w:rPr>
          <w:noProof/>
        </w:rPr>
        <w:t>, и по-специално член 41 от него,</w:t>
      </w:r>
    </w:p>
    <w:p>
      <w:pPr>
        <w:pStyle w:val="Tiret0"/>
        <w:tabs>
          <w:tab w:val="clear" w:pos="850"/>
          <w:tab w:val="num" w:pos="927"/>
        </w:tabs>
        <w:rPr>
          <w:noProof/>
        </w:rPr>
      </w:pPr>
      <w:r>
        <w:rPr>
          <w:noProof/>
        </w:rPr>
        <w:t>общия бюджет на Европейския съюз за 2018 финансова година, приет на 30 ноември 2017 г.</w:t>
      </w:r>
      <w:r>
        <w:rPr>
          <w:rStyle w:val="FootnoteReference"/>
          <w:noProof/>
        </w:rPr>
        <w:footnoteReference w:id="2"/>
      </w:r>
      <w:r>
        <w:rPr>
          <w:noProof/>
        </w:rPr>
        <w:t>,</w:t>
      </w:r>
    </w:p>
    <w:p>
      <w:pPr>
        <w:pStyle w:val="Tiret0"/>
        <w:tabs>
          <w:tab w:val="clear" w:pos="850"/>
          <w:tab w:val="num" w:pos="927"/>
        </w:tabs>
        <w:rPr>
          <w:noProof/>
        </w:rPr>
      </w:pPr>
      <w:r>
        <w:rPr>
          <w:noProof/>
        </w:rPr>
        <w:t>проект на коригиращ бюджет № 1/2018</w:t>
      </w:r>
      <w:r>
        <w:rPr>
          <w:rStyle w:val="FootnoteReference"/>
          <w:noProof/>
        </w:rPr>
        <w:footnoteReference w:id="3"/>
      </w:r>
      <w:r>
        <w:rPr>
          <w:noProof/>
        </w:rPr>
        <w:t>, приет на 22 февруари 2018 г.,</w:t>
      </w:r>
    </w:p>
    <w:p>
      <w:pPr>
        <w:pStyle w:val="Tiret0"/>
        <w:tabs>
          <w:tab w:val="clear" w:pos="850"/>
          <w:tab w:val="num" w:pos="927"/>
        </w:tabs>
        <w:rPr>
          <w:noProof/>
        </w:rPr>
      </w:pPr>
      <w:r>
        <w:rPr>
          <w:noProof/>
        </w:rPr>
        <w:t>проект на коригиращ бюджет № 2/2018</w:t>
      </w:r>
      <w:r>
        <w:rPr>
          <w:rStyle w:val="FootnoteReference"/>
          <w:noProof/>
        </w:rPr>
        <w:footnoteReference w:id="4"/>
      </w:r>
      <w:r>
        <w:rPr>
          <w:noProof/>
        </w:rPr>
        <w:t>, приет на 13 април 2018 г..</w:t>
      </w:r>
    </w:p>
    <w:p>
      <w:pPr>
        <w:pStyle w:val="Tiret0"/>
        <w:numPr>
          <w:ilvl w:val="0"/>
          <w:numId w:val="0"/>
        </w:numPr>
        <w:spacing w:after="600"/>
        <w:rPr>
          <w:noProof/>
        </w:rPr>
      </w:pPr>
      <w:r>
        <w:rPr>
          <w:noProof/>
        </w:rPr>
        <w:t>С настоящото Европейската комисия представя на Европейския парламент и на Съвета проект на коригиращ бюджет № 3 към общия бюджет за 2018 г.</w:t>
      </w:r>
    </w:p>
    <w:p>
      <w:pPr>
        <w:spacing w:after="240"/>
        <w:jc w:val="both"/>
        <w:rPr>
          <w:b/>
          <w:noProof/>
          <w:u w:val="single"/>
        </w:rPr>
      </w:pPr>
      <w:r>
        <w:rPr>
          <w:b/>
          <w:noProof/>
          <w:u w:val="single"/>
        </w:rPr>
        <w:t>ПРОМЕНИ В ПРИХОДНАТА И РАЗХОДНАТА ЧАСТ НА БЮДЖЕТА ПО РАЗДЕЛИ</w:t>
      </w:r>
    </w:p>
    <w:p>
      <w:pPr>
        <w:jc w:val="both"/>
        <w:rPr>
          <w:noProof/>
        </w:rPr>
      </w:pPr>
      <w:r>
        <w:rPr>
          <w:noProof/>
        </w:rPr>
        <w:t>Промените в приходната и разходната част на бюджета по раздели са достъпни в EUR-Lex (</w:t>
      </w:r>
      <w:hyperlink r:id="rId16">
        <w:r>
          <w:rPr>
            <w:rStyle w:val="Hyperlink"/>
            <w:noProof/>
          </w:rPr>
          <w:t>http://eur-lex.europa.eu/budget/www/index-bg.htm</w:t>
        </w:r>
      </w:hyperlink>
      <w:r>
        <w:rPr>
          <w:noProof/>
        </w:rPr>
        <w:t>). За информация като бюджетно приложение се прилага версия на английски език на промените в тези части.</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pgNumType w:start="2"/>
          <w:cols w:space="720"/>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СЪДЪРЖАНИЕ</w:t>
      </w:r>
    </w:p>
    <w:sdt>
      <w:sdtPr>
        <w:rPr>
          <w:b w:val="0"/>
          <w:noProof/>
          <w:sz w:val="24"/>
        </w:rPr>
        <w:id w:val="2029912794"/>
        <w:docPartObj>
          <w:docPartGallery w:val="Table of Contents"/>
          <w:docPartUnique/>
        </w:docPartObj>
      </w:sdtPr>
      <w:sdtEndPr>
        <w:rPr>
          <w:bCs/>
        </w:rPr>
      </w:sdtEndPr>
      <w:sdtContent>
        <w:p>
          <w:pPr>
            <w:pStyle w:val="TOCHeading"/>
            <w:spacing w:before="0" w:after="0"/>
            <w:jc w:val="left"/>
            <w:rPr>
              <w:noProof/>
            </w:rPr>
          </w:pPr>
        </w:p>
        <w:p>
          <w:pPr>
            <w:pStyle w:val="TOC1"/>
            <w:tabs>
              <w:tab w:val="left" w:pos="440"/>
              <w:tab w:val="right" w:leader="dot" w:pos="9061"/>
            </w:tabs>
            <w:rPr>
              <w:rFonts w:asciiTheme="minorHAnsi" w:eastAsiaTheme="minorEastAsia" w:hAnsiTheme="minorHAnsi" w:cstheme="minorBidi"/>
              <w:b w:val="0"/>
              <w:bCs w:val="0"/>
              <w:caps w:val="0"/>
              <w:noProof/>
              <w:sz w:val="22"/>
              <w:szCs w:val="22"/>
              <w:lang w:val="en-GB" w:eastAsia="en-GB" w:bidi="ar-SA"/>
            </w:rPr>
          </w:pPr>
          <w:r>
            <w:rPr>
              <w:rFonts w:asciiTheme="minorHAnsi" w:eastAsiaTheme="minorEastAsia" w:hAnsiTheme="minorHAnsi" w:cstheme="minorBidi"/>
              <w:noProof/>
              <w:sz w:val="22"/>
              <w:szCs w:val="22"/>
            </w:rPr>
            <w:fldChar w:fldCharType="begin"/>
          </w:r>
          <w:r>
            <w:rPr>
              <w:rFonts w:asciiTheme="minorHAnsi" w:eastAsiaTheme="minorEastAsia" w:hAnsiTheme="minorHAnsi" w:cstheme="minorBidi"/>
              <w:noProof/>
              <w:sz w:val="22"/>
              <w:szCs w:val="22"/>
            </w:rPr>
            <w:instrText xml:space="preserve"> TOC \o "1-3" \h \z \u </w:instrText>
          </w:r>
          <w:r>
            <w:rPr>
              <w:rFonts w:asciiTheme="minorHAnsi" w:eastAsiaTheme="minorEastAsia" w:hAnsiTheme="minorHAnsi" w:cstheme="minorBidi"/>
              <w:noProof/>
              <w:sz w:val="22"/>
              <w:szCs w:val="22"/>
            </w:rPr>
            <w:fldChar w:fldCharType="separate"/>
          </w:r>
          <w:hyperlink w:anchor="_Toc516236977"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_Toc516236977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4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516236978" w:history="1">
            <w:r>
              <w:rPr>
                <w:rStyle w:val="Hyperlink"/>
                <w:noProof/>
              </w:rPr>
              <w:t>2.</w:t>
            </w:r>
            <w:r>
              <w:rPr>
                <w:rFonts w:asciiTheme="minorHAnsi" w:eastAsiaTheme="minorEastAsia" w:hAnsiTheme="minorHAnsi" w:cstheme="minorBidi"/>
                <w:b w:val="0"/>
                <w:bCs w:val="0"/>
                <w:caps w:val="0"/>
                <w:noProof/>
                <w:sz w:val="22"/>
                <w:szCs w:val="22"/>
                <w:lang w:val="en-GB" w:eastAsia="en-GB" w:bidi="ar-SA"/>
              </w:rPr>
              <w:tab/>
            </w:r>
            <w:r>
              <w:rPr>
                <w:rStyle w:val="Hyperlink"/>
                <w:noProof/>
              </w:rPr>
              <w:t>Поискани бюджетни кредити в бюджета за 2018 г.</w:t>
            </w:r>
            <w:r>
              <w:rPr>
                <w:noProof/>
                <w:webHidden/>
              </w:rPr>
              <w:tab/>
            </w:r>
            <w:r>
              <w:rPr>
                <w:noProof/>
                <w:webHidden/>
              </w:rPr>
              <w:fldChar w:fldCharType="begin"/>
            </w:r>
            <w:r>
              <w:rPr>
                <w:noProof/>
                <w:webHidden/>
              </w:rPr>
              <w:instrText xml:space="preserve"> PAGEREF _Toc516236978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4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516236979" w:history="1">
            <w:r>
              <w:rPr>
                <w:rStyle w:val="Hyperlink"/>
                <w:noProof/>
              </w:rPr>
              <w:t>3.</w:t>
            </w:r>
            <w:r>
              <w:rPr>
                <w:rFonts w:asciiTheme="minorHAnsi" w:eastAsiaTheme="minorEastAsia" w:hAnsiTheme="minorHAnsi" w:cstheme="minorBidi"/>
                <w:b w:val="0"/>
                <w:bCs w:val="0"/>
                <w:caps w:val="0"/>
                <w:noProof/>
                <w:sz w:val="22"/>
                <w:szCs w:val="22"/>
                <w:lang w:val="en-GB" w:eastAsia="en-GB" w:bidi="ar-SA"/>
              </w:rPr>
              <w:tab/>
            </w:r>
            <w:r>
              <w:rPr>
                <w:rStyle w:val="Hyperlink"/>
                <w:noProof/>
              </w:rPr>
              <w:t>Обобщаваща таблица по функции от МФР</w:t>
            </w:r>
            <w:r>
              <w:rPr>
                <w:noProof/>
                <w:webHidden/>
              </w:rPr>
              <w:tab/>
            </w:r>
            <w:r>
              <w:rPr>
                <w:noProof/>
                <w:webHidden/>
              </w:rPr>
              <w:fldChar w:fldCharType="begin"/>
            </w:r>
            <w:r>
              <w:rPr>
                <w:noProof/>
                <w:webHidden/>
              </w:rPr>
              <w:instrText xml:space="preserve"> PAGEREF _Toc516236979 \h </w:instrText>
            </w:r>
            <w:r>
              <w:rPr>
                <w:noProof/>
                <w:webHidden/>
              </w:rPr>
            </w:r>
            <w:r>
              <w:rPr>
                <w:noProof/>
                <w:webHidden/>
              </w:rPr>
              <w:fldChar w:fldCharType="separate"/>
            </w:r>
            <w:r>
              <w:rPr>
                <w:noProof/>
                <w:webHidden/>
              </w:rPr>
              <w:t>6</w:t>
            </w:r>
            <w:r>
              <w:rPr>
                <w:noProof/>
                <w:webHidden/>
              </w:rPr>
              <w:fldChar w:fldCharType="end"/>
            </w:r>
          </w:hyperlink>
        </w:p>
        <w:p>
          <w:pPr>
            <w:rPr>
              <w:rFonts w:asciiTheme="minorHAnsi" w:eastAsiaTheme="minorEastAsia" w:hAnsiTheme="minorHAnsi" w:cstheme="minorBidi"/>
              <w:noProof/>
              <w:sz w:val="22"/>
              <w:szCs w:val="22"/>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pgNumType w:start="3"/>
              <w:cols w:space="720"/>
            </w:sectPr>
          </w:pPr>
          <w:r>
            <w:rPr>
              <w:rFonts w:asciiTheme="minorHAnsi" w:eastAsiaTheme="minorEastAsia" w:hAnsiTheme="minorHAnsi" w:cstheme="minorBidi"/>
              <w:noProof/>
              <w:sz w:val="22"/>
              <w:szCs w:val="22"/>
            </w:rPr>
            <w:fldChar w:fldCharType="end"/>
          </w:r>
        </w:p>
      </w:sdtContent>
    </w:sdt>
    <w:p>
      <w:pPr>
        <w:pStyle w:val="ManualHeading1"/>
        <w:spacing w:before="360" w:after="200"/>
      </w:pPr>
      <w:bookmarkStart w:id="8" w:name="_Toc385506031"/>
      <w:bookmarkStart w:id="9" w:name="_Toc430865946"/>
      <w:bookmarkStart w:id="10" w:name="_Toc430867524"/>
      <w:bookmarkStart w:id="11" w:name="_Toc511657639"/>
      <w:bookmarkStart w:id="12" w:name="_Toc516236977"/>
      <w:bookmarkStart w:id="13" w:name="_Toc351469332"/>
      <w:bookmarkStart w:id="14" w:name="_Toc361649879"/>
      <w:r>
        <w:lastRenderedPageBreak/>
        <w:t>1.</w:t>
      </w:r>
      <w:r>
        <w:tab/>
        <w:t>Въведение</w:t>
      </w:r>
      <w:bookmarkEnd w:id="8"/>
      <w:bookmarkEnd w:id="9"/>
      <w:bookmarkEnd w:id="10"/>
      <w:bookmarkEnd w:id="11"/>
      <w:bookmarkEnd w:id="12"/>
    </w:p>
    <w:p>
      <w:pPr>
        <w:spacing w:before="120" w:after="120"/>
        <w:jc w:val="both"/>
        <w:rPr>
          <w:noProof/>
        </w:rPr>
      </w:pPr>
      <w:r>
        <w:rPr>
          <w:noProof/>
        </w:rPr>
        <w:t>Решението на Комисията относно Механизма за бежанците в Турция беше изменено на 14 март 2018 г.</w:t>
      </w:r>
      <w:r>
        <w:rPr>
          <w:rStyle w:val="FootnoteReference"/>
          <w:noProof/>
        </w:rPr>
        <w:footnoteReference w:id="5"/>
      </w:r>
      <w:r>
        <w:rPr>
          <w:noProof/>
        </w:rPr>
        <w:t>, за да се отпуснат допълнителни 3 милиарда евро („втори транш“) за Механизма за периода 2018—2019 г. Това изменение следва успешното изпълнение на първия транш от Механизма с финансиране в рамките на бюджетите за 2016 и 2017 г., както бе потвърдено във втория годишен доклад за Механизма</w:t>
      </w:r>
      <w:r>
        <w:rPr>
          <w:rStyle w:val="FootnoteReference"/>
          <w:noProof/>
        </w:rPr>
        <w:footnoteReference w:id="6"/>
      </w:r>
      <w:r>
        <w:rPr>
          <w:noProof/>
        </w:rPr>
        <w:t>. В изявлението на ЕС и Турция от 18 март 2016 г. се потвърждава, че ЕС ще мобилизира допълнително финансиране за Механизма до края на 2018 г., с което общият бюджет за Механизма ще достигне 6 милиарда евро.</w:t>
      </w:r>
    </w:p>
    <w:p>
      <w:pPr>
        <w:spacing w:before="120" w:after="120"/>
        <w:jc w:val="both"/>
        <w:rPr>
          <w:noProof/>
          <w:spacing w:val="6"/>
        </w:rPr>
      </w:pPr>
      <w:r>
        <w:rPr>
          <w:noProof/>
          <w:spacing w:val="6"/>
        </w:rPr>
        <w:t>С настоящия проект на коригиращ бюджет се предлага да се добавят 500 милиона евро бюджетни кредити за поети задължения като вноска на ЕС към втория транш в бюджета на ЕС</w:t>
      </w:r>
      <w:bookmarkStart w:id="15" w:name="_Toc460335328"/>
      <w:bookmarkStart w:id="16" w:name="_Toc430865948"/>
      <w:bookmarkStart w:id="17" w:name="_Toc430867526"/>
      <w:bookmarkStart w:id="18" w:name="_Toc430865947"/>
      <w:bookmarkStart w:id="19" w:name="_Toc430867525"/>
      <w:r>
        <w:rPr>
          <w:noProof/>
          <w:spacing w:val="6"/>
        </w:rPr>
        <w:t xml:space="preserve"> през 2018 г., в допълнение към сумата от 50 милиона евро, финансирана от съществуващия бюджетен пакет за хуманитарна помощ през 2018 г.</w:t>
      </w:r>
    </w:p>
    <w:p>
      <w:pPr>
        <w:spacing w:before="120" w:after="120"/>
        <w:jc w:val="both"/>
        <w:rPr>
          <w:noProof/>
        </w:rPr>
      </w:pPr>
      <w:r>
        <w:rPr>
          <w:noProof/>
        </w:rPr>
        <w:t xml:space="preserve">Тъй като неразпределеният марж по функция 4 </w:t>
      </w:r>
      <w:r>
        <w:rPr>
          <w:i/>
          <w:noProof/>
        </w:rPr>
        <w:t>„Глобална Европа“</w:t>
      </w:r>
      <w:r>
        <w:rPr>
          <w:noProof/>
        </w:rPr>
        <w:t xml:space="preserve"> не е достатъчен, за да покрие това увеличение (256,2 милиона евро), се предлага да се използва общият марж за поетите задължения в съответствие с член 14 от Регламента за многогодишната финансова рамка (МФР)</w:t>
      </w:r>
      <w:r>
        <w:rPr>
          <w:rStyle w:val="FootnoteReference"/>
          <w:noProof/>
        </w:rPr>
        <w:footnoteReference w:id="7"/>
      </w:r>
      <w:r>
        <w:rPr>
          <w:noProof/>
        </w:rPr>
        <w:t xml:space="preserve"> с цел финансиране на оставащата сума (243,8 милиона евро).</w:t>
      </w:r>
    </w:p>
    <w:p>
      <w:pPr>
        <w:spacing w:before="120" w:after="120"/>
        <w:jc w:val="both"/>
        <w:rPr>
          <w:noProof/>
        </w:rPr>
      </w:pPr>
      <w:r>
        <w:rPr>
          <w:noProof/>
        </w:rPr>
        <w:t>Останалата част от вноската от бюджета на ЕС за Механизма ще бъде предложена в рамките на проектобюджета за 2019 г.</w:t>
      </w:r>
    </w:p>
    <w:p>
      <w:pPr>
        <w:pStyle w:val="ManualHeading1"/>
        <w:spacing w:before="360" w:after="200"/>
      </w:pPr>
      <w:bookmarkStart w:id="20" w:name="_Toc484781561"/>
      <w:bookmarkStart w:id="21" w:name="_Toc511657640"/>
      <w:bookmarkStart w:id="22" w:name="_Toc516236978"/>
      <w:r>
        <w:t>2.</w:t>
      </w:r>
      <w:r>
        <w:tab/>
        <w:t xml:space="preserve">Поискани бюджетни кредити в бюджета за </w:t>
      </w:r>
      <w:bookmarkEnd w:id="20"/>
      <w:r>
        <w:t>2018 г.</w:t>
      </w:r>
      <w:bookmarkEnd w:id="21"/>
      <w:bookmarkEnd w:id="22"/>
    </w:p>
    <w:p>
      <w:pPr>
        <w:spacing w:before="120" w:after="240"/>
        <w:jc w:val="both"/>
        <w:rPr>
          <w:noProof/>
          <w:spacing w:val="2"/>
        </w:rPr>
      </w:pPr>
      <w:r>
        <w:rPr>
          <w:noProof/>
          <w:spacing w:val="2"/>
        </w:rPr>
        <w:t xml:space="preserve">Предлага се да се добавят 500 милиона евро в бюджетни кредити за поети задължения към Инструмента за предприсъединителна помощ по бюджетен ред 22 02 03 02 Турция — </w:t>
      </w:r>
      <w:r>
        <w:rPr>
          <w:i/>
          <w:noProof/>
          <w:spacing w:val="2"/>
        </w:rPr>
        <w:t>Подкрепа за икономическото, социалното и териториалното развитие, както и за постепенното привеждане в съответствие с достиженията на правото на ЕС</w:t>
      </w:r>
      <w:r>
        <w:rPr>
          <w:noProof/>
          <w:spacing w:val="2"/>
        </w:rPr>
        <w:t>.</w:t>
      </w:r>
      <w:r>
        <w:rPr>
          <w:noProof/>
          <w:spacing w:val="2"/>
          <w:sz w:val="22"/>
        </w:rPr>
        <w:t xml:space="preserve"> </w:t>
      </w:r>
      <w:r>
        <w:rPr>
          <w:noProof/>
          <w:spacing w:val="2"/>
        </w:rPr>
        <w:t>Това финансиране е необходимо, за да се осигури безпрепятствено продължаване на успешните интервенции чрез Механизма, финансирани по първия транш, по-специално за да може да продължи плащането на възнагражденията на над 5 000 учители, които до този момент са предоставили образование на над 300 000 деца бежанци в Турция.</w:t>
      </w:r>
    </w:p>
    <w:p>
      <w:pPr>
        <w:spacing w:before="120" w:after="240"/>
        <w:jc w:val="both"/>
        <w:rPr>
          <w:noProof/>
          <w:lang w:val="en-GB"/>
        </w:rPr>
      </w:pPr>
      <w:r>
        <w:rPr>
          <w:noProof/>
        </w:rPr>
        <w:t>Бюджетните кредити за плащания, налични в гласувания бюджет, се прогнозира да бъдат достатъчни за покриване на сумата от 180 милиона евро за авансови плащания, които се очаква да бъдат направени през тази година. Поради това на този етап не е поискано увеличение на бюджетните кредити за плащания. Въпреки това Комисията може да представи коригиращ бюджет по-късно през годината, в случай че изпълнението на бюджета покаже необходимост от увеличение.</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trPr>
          <w:jc w:val="center"/>
        </w:trPr>
        <w:tc>
          <w:tcPr>
            <w:tcW w:w="9781"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2"/>
                <w:szCs w:val="22"/>
              </w:rPr>
            </w:pPr>
            <w:r>
              <w:rPr>
                <w:i/>
                <w:noProof/>
                <w:sz w:val="22"/>
              </w:rPr>
              <w:lastRenderedPageBreak/>
              <w:t>Суми в евро</w:t>
            </w:r>
          </w:p>
        </w:tc>
      </w:tr>
      <w:tr>
        <w:trPr>
          <w:jc w:val="center"/>
        </w:trPr>
        <w:tc>
          <w:tcPr>
            <w:tcW w:w="1276"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Бюджетен ред</w:t>
            </w:r>
          </w:p>
        </w:tc>
        <w:tc>
          <w:tcPr>
            <w:tcW w:w="5103"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Наименование</w:t>
            </w:r>
          </w:p>
        </w:tc>
        <w:tc>
          <w:tcPr>
            <w:tcW w:w="1701" w:type="dxa"/>
            <w:tcBorders>
              <w:top w:val="single" w:sz="4" w:space="0" w:color="auto"/>
            </w:tcBorders>
            <w:shd w:val="clear" w:color="auto" w:fill="D9D9D9"/>
          </w:tcPr>
          <w:p>
            <w:pPr>
              <w:widowControl w:val="0"/>
              <w:spacing w:before="15" w:after="15"/>
              <w:jc w:val="center"/>
              <w:rPr>
                <w:b/>
                <w:noProof/>
                <w:sz w:val="22"/>
                <w:szCs w:val="22"/>
              </w:rPr>
            </w:pPr>
            <w:r>
              <w:rPr>
                <w:b/>
                <w:noProof/>
                <w:sz w:val="22"/>
              </w:rPr>
              <w:t>Бюджетни кредити за поети задължения</w:t>
            </w:r>
          </w:p>
        </w:tc>
        <w:tc>
          <w:tcPr>
            <w:tcW w:w="1701" w:type="dxa"/>
            <w:tcBorders>
              <w:top w:val="single" w:sz="4" w:space="0" w:color="auto"/>
            </w:tcBorders>
            <w:shd w:val="clear" w:color="auto" w:fill="D9D9D9"/>
            <w:vAlign w:val="center"/>
          </w:tcPr>
          <w:p>
            <w:pPr>
              <w:widowControl w:val="0"/>
              <w:spacing w:before="15" w:after="15"/>
              <w:jc w:val="center"/>
              <w:rPr>
                <w:b/>
                <w:noProof/>
                <w:sz w:val="22"/>
                <w:szCs w:val="22"/>
              </w:rPr>
            </w:pPr>
            <w:r>
              <w:rPr>
                <w:b/>
                <w:noProof/>
                <w:sz w:val="22"/>
              </w:rPr>
              <w:t>Бюджетни кредити за плащания</w:t>
            </w:r>
          </w:p>
        </w:tc>
      </w:tr>
      <w:tr>
        <w:trPr>
          <w:jc w:val="center"/>
        </w:trPr>
        <w:tc>
          <w:tcPr>
            <w:tcW w:w="1276" w:type="dxa"/>
          </w:tcPr>
          <w:p>
            <w:pPr>
              <w:widowControl w:val="0"/>
              <w:spacing w:before="15" w:after="15"/>
              <w:ind w:right="-113"/>
              <w:jc w:val="both"/>
              <w:rPr>
                <w:noProof/>
                <w:sz w:val="22"/>
                <w:szCs w:val="22"/>
              </w:rPr>
            </w:pPr>
            <w:r>
              <w:rPr>
                <w:noProof/>
              </w:rPr>
              <w:t>22 02 03 02</w:t>
            </w:r>
          </w:p>
        </w:tc>
        <w:tc>
          <w:tcPr>
            <w:tcW w:w="5103" w:type="dxa"/>
          </w:tcPr>
          <w:p>
            <w:pPr>
              <w:widowControl w:val="0"/>
              <w:spacing w:before="15" w:after="15"/>
              <w:jc w:val="both"/>
              <w:rPr>
                <w:noProof/>
                <w:sz w:val="22"/>
                <w:szCs w:val="22"/>
              </w:rPr>
            </w:pPr>
            <w:r>
              <w:rPr>
                <w:noProof/>
              </w:rPr>
              <w:t>Инструмент за предприсъединителна помощ — Турция — Подкрепа за икономическото, социалното и териториалното развитие, както и за постепенното привеждане в съответствие с достиженията на правото на ЕС</w:t>
            </w:r>
          </w:p>
        </w:tc>
        <w:tc>
          <w:tcPr>
            <w:tcW w:w="1701" w:type="dxa"/>
          </w:tcPr>
          <w:p>
            <w:pPr>
              <w:widowControl w:val="0"/>
              <w:spacing w:before="15" w:after="15"/>
              <w:jc w:val="right"/>
              <w:rPr>
                <w:noProof/>
                <w:sz w:val="22"/>
                <w:szCs w:val="22"/>
              </w:rPr>
            </w:pPr>
            <w:r>
              <w:rPr>
                <w:noProof/>
                <w:sz w:val="22"/>
              </w:rPr>
              <w:t>500 000 000</w:t>
            </w:r>
          </w:p>
        </w:tc>
        <w:tc>
          <w:tcPr>
            <w:tcW w:w="1701" w:type="dxa"/>
          </w:tcPr>
          <w:p>
            <w:pPr>
              <w:widowControl w:val="0"/>
              <w:spacing w:before="15" w:after="15"/>
              <w:jc w:val="right"/>
              <w:rPr>
                <w:noProof/>
                <w:sz w:val="22"/>
                <w:szCs w:val="22"/>
              </w:rPr>
            </w:pPr>
            <w:r>
              <w:rPr>
                <w:noProof/>
                <w:sz w:val="22"/>
              </w:rPr>
              <w:t>0</w:t>
            </w:r>
          </w:p>
        </w:tc>
      </w:tr>
      <w:tr>
        <w:trPr>
          <w:jc w:val="center"/>
        </w:trPr>
        <w:tc>
          <w:tcPr>
            <w:tcW w:w="6379" w:type="dxa"/>
            <w:gridSpan w:val="2"/>
            <w:shd w:val="clear" w:color="auto" w:fill="D9D9D9"/>
          </w:tcPr>
          <w:p>
            <w:pPr>
              <w:widowControl w:val="0"/>
              <w:tabs>
                <w:tab w:val="left" w:pos="975"/>
              </w:tabs>
              <w:spacing w:before="15" w:after="15"/>
              <w:jc w:val="both"/>
              <w:rPr>
                <w:b/>
                <w:noProof/>
                <w:sz w:val="22"/>
                <w:szCs w:val="22"/>
              </w:rPr>
            </w:pPr>
            <w:r>
              <w:rPr>
                <w:b/>
                <w:noProof/>
                <w:sz w:val="22"/>
              </w:rPr>
              <w:t>Общо</w:t>
            </w:r>
            <w:r>
              <w:rPr>
                <w:noProof/>
              </w:rPr>
              <w:tab/>
            </w:r>
          </w:p>
        </w:tc>
        <w:tc>
          <w:tcPr>
            <w:tcW w:w="1701" w:type="dxa"/>
            <w:shd w:val="clear" w:color="auto" w:fill="D9D9D9"/>
          </w:tcPr>
          <w:p>
            <w:pPr>
              <w:widowControl w:val="0"/>
              <w:spacing w:before="15" w:after="15"/>
              <w:jc w:val="right"/>
              <w:rPr>
                <w:b/>
                <w:noProof/>
                <w:sz w:val="22"/>
                <w:szCs w:val="22"/>
              </w:rPr>
            </w:pPr>
            <w:r>
              <w:rPr>
                <w:b/>
                <w:noProof/>
                <w:sz w:val="22"/>
              </w:rPr>
              <w:t>500 000 000</w:t>
            </w:r>
          </w:p>
        </w:tc>
        <w:tc>
          <w:tcPr>
            <w:tcW w:w="1701" w:type="dxa"/>
            <w:shd w:val="clear" w:color="auto" w:fill="D9D9D9"/>
          </w:tcPr>
          <w:p>
            <w:pPr>
              <w:widowControl w:val="0"/>
              <w:spacing w:before="15" w:after="15"/>
              <w:jc w:val="right"/>
              <w:rPr>
                <w:b/>
                <w:noProof/>
                <w:sz w:val="22"/>
                <w:szCs w:val="22"/>
              </w:rPr>
            </w:pPr>
            <w:r>
              <w:rPr>
                <w:b/>
                <w:noProof/>
                <w:sz w:val="22"/>
              </w:rPr>
              <w:t>0</w:t>
            </w:r>
          </w:p>
        </w:tc>
      </w:tr>
    </w:tbl>
    <w:p>
      <w:pPr>
        <w:pStyle w:val="ManualHeading1"/>
        <w:pageBreakBefore/>
      </w:pPr>
      <w:bookmarkStart w:id="23" w:name="_Toc511657641"/>
      <w:bookmarkStart w:id="24" w:name="_Toc516236979"/>
      <w:bookmarkEnd w:id="15"/>
      <w:bookmarkEnd w:id="16"/>
      <w:bookmarkEnd w:id="17"/>
      <w:r>
        <w:lastRenderedPageBreak/>
        <w:t>3.</w:t>
      </w:r>
      <w:r>
        <w:tab/>
        <w:t>Обобщаваща таблица по функции от МФР</w:t>
      </w:r>
      <w:bookmarkEnd w:id="23"/>
      <w:bookmarkEnd w:id="24"/>
    </w:p>
    <w:tbl>
      <w:tblPr>
        <w:tblW w:w="10932" w:type="dxa"/>
        <w:jc w:val="center"/>
        <w:tblInd w:w="93" w:type="dxa"/>
        <w:tblLook w:val="04A0" w:firstRow="1" w:lastRow="0" w:firstColumn="1" w:lastColumn="0" w:noHBand="0" w:noVBand="1"/>
      </w:tblPr>
      <w:tblGrid>
        <w:gridCol w:w="358"/>
        <w:gridCol w:w="2777"/>
        <w:gridCol w:w="1367"/>
        <w:gridCol w:w="1585"/>
        <w:gridCol w:w="1054"/>
        <w:gridCol w:w="1055"/>
        <w:gridCol w:w="1368"/>
        <w:gridCol w:w="1368"/>
      </w:tblGrid>
      <w:tr>
        <w:trPr>
          <w:trHeight w:val="210"/>
          <w:jc w:val="center"/>
        </w:trPr>
        <w:tc>
          <w:tcPr>
            <w:tcW w:w="3134"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bookmarkEnd w:id="2"/>
          <w:bookmarkEnd w:id="3"/>
          <w:bookmarkEnd w:id="4"/>
          <w:bookmarkEnd w:id="5"/>
          <w:bookmarkEnd w:id="6"/>
          <w:bookmarkEnd w:id="7"/>
          <w:bookmarkEnd w:id="13"/>
          <w:bookmarkEnd w:id="14"/>
          <w:bookmarkEnd w:id="18"/>
          <w:bookmarkEnd w:id="19"/>
          <w:p>
            <w:pPr>
              <w:jc w:val="center"/>
              <w:rPr>
                <w:b/>
                <w:bCs/>
                <w:noProof/>
                <w:color w:val="000000"/>
                <w:sz w:val="14"/>
                <w:szCs w:val="14"/>
              </w:rPr>
            </w:pPr>
            <w:r>
              <w:rPr>
                <w:b/>
                <w:noProof/>
                <w:color w:val="000000"/>
                <w:sz w:val="14"/>
              </w:rPr>
              <w:t>Функция</w:t>
            </w:r>
          </w:p>
        </w:tc>
        <w:tc>
          <w:tcPr>
            <w:tcW w:w="2953"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Бюджет за 2018 г.</w:t>
            </w:r>
          </w:p>
        </w:tc>
        <w:tc>
          <w:tcPr>
            <w:tcW w:w="2109"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Проект на коригиращ бюджет 3/2018</w:t>
            </w:r>
          </w:p>
        </w:tc>
        <w:tc>
          <w:tcPr>
            <w:tcW w:w="2736"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Бюджет за 2018 г.</w:t>
            </w:r>
          </w:p>
        </w:tc>
      </w:tr>
      <w:tr>
        <w:trPr>
          <w:trHeight w:val="210"/>
          <w:jc w:val="center"/>
        </w:trPr>
        <w:tc>
          <w:tcPr>
            <w:tcW w:w="3134"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953"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(вкл. ПКБ 1—2/2018)</w:t>
            </w:r>
          </w:p>
        </w:tc>
        <w:tc>
          <w:tcPr>
            <w:tcW w:w="2109"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36"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(вкл. ПКБ 1—3/2018)</w:t>
            </w:r>
          </w:p>
        </w:tc>
      </w:tr>
      <w:tr>
        <w:trPr>
          <w:trHeight w:val="210"/>
          <w:jc w:val="center"/>
        </w:trPr>
        <w:tc>
          <w:tcPr>
            <w:tcW w:w="3134"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68"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БКПЗ</w:t>
            </w:r>
          </w:p>
        </w:tc>
        <w:tc>
          <w:tcPr>
            <w:tcW w:w="1585"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w:t>
            </w:r>
          </w:p>
        </w:tc>
        <w:tc>
          <w:tcPr>
            <w:tcW w:w="1054"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БКПЗ</w:t>
            </w:r>
          </w:p>
        </w:tc>
        <w:tc>
          <w:tcPr>
            <w:tcW w:w="1055"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w:t>
            </w:r>
          </w:p>
        </w:tc>
        <w:tc>
          <w:tcPr>
            <w:tcW w:w="1368"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БКПЗ</w:t>
            </w:r>
          </w:p>
        </w:tc>
        <w:tc>
          <w:tcPr>
            <w:tcW w:w="1368"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БКП</w:t>
            </w:r>
          </w:p>
        </w:tc>
      </w:tr>
      <w:tr>
        <w:trPr>
          <w:trHeight w:val="225"/>
          <w:jc w:val="center"/>
        </w:trPr>
        <w:tc>
          <w:tcPr>
            <w:tcW w:w="356"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1.</w:t>
            </w:r>
          </w:p>
        </w:tc>
        <w:tc>
          <w:tcPr>
            <w:tcW w:w="2778"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Интелигентен и приобщаващ растеж</w:t>
            </w:r>
          </w:p>
        </w:tc>
        <w:tc>
          <w:tcPr>
            <w:tcW w:w="1368"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77 533 697 652</w:t>
            </w:r>
          </w:p>
        </w:tc>
        <w:tc>
          <w:tcPr>
            <w:tcW w:w="158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66 624 486 101</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05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77 533 697 652</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66 624 486 101</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в общия марж за поетите задължения</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1 113 697 652</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1 113 697 652</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 xml:space="preserve">Таван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76 420 000 000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76 420 000 000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8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6"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1а</w:t>
            </w:r>
          </w:p>
        </w:tc>
        <w:tc>
          <w:tcPr>
            <w:tcW w:w="2778"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Конкурентоспособност за растеж и заетост</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22 001 452 724</w:t>
            </w:r>
          </w:p>
        </w:tc>
        <w:tc>
          <w:tcPr>
            <w:tcW w:w="158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20 097 167 844</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22 001 452 724</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20 097 167 844</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в общия марж за поетите задължения</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762 452 724</w:t>
            </w:r>
          </w:p>
        </w:tc>
        <w:tc>
          <w:tcPr>
            <w:tcW w:w="158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762 452 724</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21 239 000 000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21 239 000 000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8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6"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 xml:space="preserve">1б </w:t>
            </w:r>
          </w:p>
        </w:tc>
        <w:tc>
          <w:tcPr>
            <w:tcW w:w="2778"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Икономическо, социално и териториално сближаване</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55 532 244 928</w:t>
            </w:r>
          </w:p>
        </w:tc>
        <w:tc>
          <w:tcPr>
            <w:tcW w:w="158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46 527 318 257</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55 532 244 928</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46 527 318 257</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в общия марж за поетите задължения</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351 244 928</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351 244 928</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55 181 000 000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55 181 000 000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8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2.</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Устойчив растеж: природни ресурси</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59 285 323 122</w:t>
            </w:r>
          </w:p>
        </w:tc>
        <w:tc>
          <w:tcPr>
            <w:tcW w:w="158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56 083 793 633</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59 285 323 122</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56 083 793 633</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60 267 000 000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60 267 000 000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981 676 878</w:t>
            </w:r>
          </w:p>
        </w:tc>
        <w:tc>
          <w:tcPr>
            <w:tcW w:w="158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981 676 878</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4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От които: Европейски фонд за гарантиране на земеделието (ЕФГЗ) — Разходи, свързани с пазара, и преки плащания</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43 234 516 899</w:t>
            </w:r>
          </w:p>
        </w:tc>
        <w:tc>
          <w:tcPr>
            <w:tcW w:w="158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43 188 677 466</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43 234 516 899</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43 188 677 466</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Подтаван</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44 163 000 000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44 163 000 000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 за ЕФГЗ</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927 833 101</w:t>
            </w:r>
          </w:p>
        </w:tc>
        <w:tc>
          <w:tcPr>
            <w:tcW w:w="158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927 833 101</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3.</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Сигурност и гражданство</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3 493 241 199</w:t>
            </w:r>
          </w:p>
        </w:tc>
        <w:tc>
          <w:tcPr>
            <w:tcW w:w="158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2 980 707 175</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3 493 241 199</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2 980 707 175</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по Инструмента за гъвкавост</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837 241 199</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837 241 199</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2 656 000 000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2 656 000 000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58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4.</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Глобална Европа</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9 568 842 411</w:t>
            </w:r>
          </w:p>
        </w:tc>
        <w:tc>
          <w:tcPr>
            <w:tcW w:w="158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8 906 075 154</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500 000 000</w:t>
            </w:r>
          </w:p>
        </w:tc>
        <w:tc>
          <w:tcPr>
            <w:tcW w:w="105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10 068 842 411</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8 906 075 154</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в общия марж за поетите задължения</w:t>
            </w:r>
          </w:p>
        </w:tc>
        <w:tc>
          <w:tcPr>
            <w:tcW w:w="1368"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243 842 411</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9 825 000 000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9 825 000 000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256 157 589</w:t>
            </w:r>
          </w:p>
        </w:tc>
        <w:tc>
          <w:tcPr>
            <w:tcW w:w="1585"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56"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5.</w:t>
            </w:r>
          </w:p>
        </w:tc>
        <w:tc>
          <w:tcPr>
            <w:tcW w:w="2778"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Администрация</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9 665 513 627</w:t>
            </w:r>
          </w:p>
        </w:tc>
        <w:tc>
          <w:tcPr>
            <w:tcW w:w="158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9 666 318 627</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9 665 513 627</w:t>
            </w:r>
          </w:p>
        </w:tc>
        <w:tc>
          <w:tcPr>
            <w:tcW w:w="136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9 666 318 627</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Таван</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10 346 000 000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10 346 000 000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компенсирани от маржа за непредвидени обстоятелства</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362 486 373</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362 486 373</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60"/>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От които: Административни разходи на институциите</w:t>
            </w:r>
          </w:p>
        </w:tc>
        <w:tc>
          <w:tcPr>
            <w:tcW w:w="1368"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7 579 920 627</w:t>
            </w:r>
          </w:p>
        </w:tc>
        <w:tc>
          <w:tcPr>
            <w:tcW w:w="1585"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7 580 725 627</w:t>
            </w:r>
          </w:p>
        </w:tc>
        <w:tc>
          <w:tcPr>
            <w:tcW w:w="1054"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055"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8"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7 579 920 627</w:t>
            </w:r>
          </w:p>
        </w:tc>
        <w:tc>
          <w:tcPr>
            <w:tcW w:w="1368"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7 580 725 627</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Подтаван</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8 360 000 000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8 360 000 000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От които компенсирани от маржа за непредвидени обстоятелства</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58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36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Марж</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462 079 373</w:t>
            </w:r>
          </w:p>
        </w:tc>
        <w:tc>
          <w:tcPr>
            <w:tcW w:w="158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05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462 079 373</w:t>
            </w:r>
          </w:p>
        </w:tc>
        <w:tc>
          <w:tcPr>
            <w:tcW w:w="136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3134"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Общо</w:t>
            </w:r>
          </w:p>
        </w:tc>
        <w:tc>
          <w:tcPr>
            <w:tcW w:w="1368"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159 546 618 011</w:t>
            </w:r>
          </w:p>
        </w:tc>
        <w:tc>
          <w:tcPr>
            <w:tcW w:w="1585"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144 261 380 690</w:t>
            </w:r>
          </w:p>
        </w:tc>
        <w:tc>
          <w:tcPr>
            <w:tcW w:w="1054"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500 000 000</w:t>
            </w:r>
          </w:p>
        </w:tc>
        <w:tc>
          <w:tcPr>
            <w:tcW w:w="1055"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w:t>
            </w:r>
          </w:p>
        </w:tc>
        <w:tc>
          <w:tcPr>
            <w:tcW w:w="1368"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160 046 618 011</w:t>
            </w:r>
          </w:p>
        </w:tc>
        <w:tc>
          <w:tcPr>
            <w:tcW w:w="1368"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144 261 380 690</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От които по Инструмента за гъвкавост</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837 241 199</w:t>
            </w:r>
          </w:p>
        </w:tc>
        <w:tc>
          <w:tcPr>
            <w:tcW w:w="158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678 340 197</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05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837 241 199</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678 340 197</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От които в общия марж за поетите задължения</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1 113 697 652</w:t>
            </w:r>
          </w:p>
        </w:tc>
        <w:tc>
          <w:tcPr>
            <w:tcW w:w="158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05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1 357 540 063</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Таван</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159 514 000 000</w:t>
            </w:r>
          </w:p>
        </w:tc>
        <w:tc>
          <w:tcPr>
            <w:tcW w:w="158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154 565 000 000</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05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159 514 000 000</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154 565 000 000</w:t>
            </w:r>
          </w:p>
        </w:tc>
      </w:tr>
      <w:tr>
        <w:trPr>
          <w:trHeight w:val="225"/>
          <w:jc w:val="center"/>
        </w:trPr>
        <w:tc>
          <w:tcPr>
            <w:tcW w:w="3134"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От които компенсирани от маржа за непредвидени обстоятелства</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- 318 000 000</w:t>
            </w:r>
          </w:p>
        </w:tc>
        <w:tc>
          <w:tcPr>
            <w:tcW w:w="158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05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- 318 000 000</w:t>
            </w:r>
          </w:p>
        </w:tc>
        <w:tc>
          <w:tcPr>
            <w:tcW w:w="136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3134"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Марж</w:t>
            </w:r>
          </w:p>
        </w:tc>
        <w:tc>
          <w:tcPr>
            <w:tcW w:w="1368"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1 600 320 840</w:t>
            </w:r>
          </w:p>
        </w:tc>
        <w:tc>
          <w:tcPr>
            <w:tcW w:w="1585"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10 981 959 507</w:t>
            </w:r>
          </w:p>
        </w:tc>
        <w:tc>
          <w:tcPr>
            <w:tcW w:w="1054"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055"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8"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1 344 163 251</w:t>
            </w:r>
          </w:p>
        </w:tc>
        <w:tc>
          <w:tcPr>
            <w:tcW w:w="1368"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10 981 959 507</w:t>
            </w:r>
          </w:p>
        </w:tc>
      </w:tr>
      <w:tr>
        <w:trPr>
          <w:trHeight w:val="225"/>
          <w:jc w:val="center"/>
        </w:trPr>
        <w:tc>
          <w:tcPr>
            <w:tcW w:w="356"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noProof/>
                <w:color w:val="000000"/>
                <w:sz w:val="14"/>
              </w:rPr>
              <w:t> </w:t>
            </w:r>
          </w:p>
        </w:tc>
        <w:tc>
          <w:tcPr>
            <w:tcW w:w="2778"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Други специални инструменти</w:t>
            </w:r>
          </w:p>
        </w:tc>
        <w:tc>
          <w:tcPr>
            <w:tcW w:w="1368"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664 548 105</w:t>
            </w:r>
          </w:p>
        </w:tc>
        <w:tc>
          <w:tcPr>
            <w:tcW w:w="1585"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517 246 105</w:t>
            </w:r>
          </w:p>
        </w:tc>
        <w:tc>
          <w:tcPr>
            <w:tcW w:w="1054"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055"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8"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664 548 105</w:t>
            </w:r>
          </w:p>
        </w:tc>
        <w:tc>
          <w:tcPr>
            <w:tcW w:w="1368"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517 246 105</w:t>
            </w:r>
          </w:p>
        </w:tc>
      </w:tr>
      <w:tr>
        <w:trPr>
          <w:trHeight w:val="225"/>
          <w:jc w:val="center"/>
        </w:trPr>
        <w:tc>
          <w:tcPr>
            <w:tcW w:w="3134"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Общо всичко</w:t>
            </w:r>
          </w:p>
        </w:tc>
        <w:tc>
          <w:tcPr>
            <w:tcW w:w="1368"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160 211 166 116</w:t>
            </w:r>
          </w:p>
        </w:tc>
        <w:tc>
          <w:tcPr>
            <w:tcW w:w="1585"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144 778 626 795</w:t>
            </w:r>
          </w:p>
        </w:tc>
        <w:tc>
          <w:tcPr>
            <w:tcW w:w="1054"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500 000 000</w:t>
            </w:r>
          </w:p>
        </w:tc>
        <w:tc>
          <w:tcPr>
            <w:tcW w:w="1055"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xml:space="preserve">   </w:t>
            </w:r>
          </w:p>
        </w:tc>
        <w:tc>
          <w:tcPr>
            <w:tcW w:w="1368"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160 711 166 116</w:t>
            </w:r>
          </w:p>
        </w:tc>
        <w:tc>
          <w:tcPr>
            <w:tcW w:w="1368"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144 778 626 795</w:t>
            </w:r>
          </w:p>
        </w:tc>
      </w:tr>
    </w:tbl>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78719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2910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6186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pt-PT"/>
        </w:rPr>
      </w:pPr>
      <w:r>
        <w:rPr>
          <w:rStyle w:val="FootnoteReference"/>
        </w:rPr>
        <w:footnoteRef/>
      </w:r>
      <w:r>
        <w:rPr>
          <w:sz w:val="19"/>
        </w:rPr>
        <w:t>.</w:t>
      </w:r>
      <w:r>
        <w:tab/>
      </w:r>
      <w:r>
        <w:rPr>
          <w:sz w:val="18"/>
        </w:rPr>
        <w:t>ОВ L 298, 26.10.2012 г., стр. 1.</w:t>
      </w:r>
    </w:p>
  </w:footnote>
  <w:footnote w:id="2">
    <w:p>
      <w:pPr>
        <w:pStyle w:val="FootnoteText"/>
        <w:rPr>
          <w:lang w:val="pt-PT"/>
        </w:rPr>
      </w:pPr>
      <w:r>
        <w:rPr>
          <w:rStyle w:val="FootnoteReference"/>
        </w:rPr>
        <w:footnoteRef/>
      </w:r>
      <w:r>
        <w:t>.</w:t>
      </w:r>
      <w:r>
        <w:tab/>
      </w:r>
      <w:r>
        <w:rPr>
          <w:sz w:val="18"/>
        </w:rPr>
        <w:t>ОВ L 57, 28.2.2018 г., стр. 1.</w:t>
      </w:r>
    </w:p>
  </w:footnote>
  <w:footnote w:id="3">
    <w:p>
      <w:pPr>
        <w:pStyle w:val="FootnoteText"/>
        <w:rPr>
          <w:lang w:val="pt-PT"/>
        </w:rPr>
      </w:pPr>
      <w:r>
        <w:rPr>
          <w:rStyle w:val="FootnoteReference"/>
        </w:rPr>
        <w:footnoteRef/>
      </w:r>
      <w:r>
        <w:t xml:space="preserve"> </w:t>
      </w:r>
      <w:r>
        <w:tab/>
      </w:r>
      <w:r>
        <w:rPr>
          <w:sz w:val="18"/>
        </w:rPr>
        <w:t>COM(2018) 155</w:t>
      </w:r>
    </w:p>
  </w:footnote>
  <w:footnote w:id="4">
    <w:p>
      <w:pPr>
        <w:pStyle w:val="FootnoteText"/>
      </w:pPr>
      <w:r>
        <w:rPr>
          <w:rStyle w:val="FootnoteReference"/>
        </w:rPr>
        <w:footnoteRef/>
      </w:r>
      <w:r>
        <w:t xml:space="preserve"> </w:t>
      </w:r>
      <w:r>
        <w:tab/>
      </w:r>
      <w:r>
        <w:rPr>
          <w:sz w:val="18"/>
        </w:rPr>
        <w:t>COM(2018) 227</w:t>
      </w:r>
    </w:p>
  </w:footnote>
  <w:footnote w:id="5">
    <w:p>
      <w:pPr>
        <w:pStyle w:val="FootnoteText"/>
      </w:pPr>
      <w:r>
        <w:rPr>
          <w:rStyle w:val="FootnoteReference"/>
        </w:rPr>
        <w:footnoteRef/>
      </w:r>
      <w:r>
        <w:t xml:space="preserve"> </w:t>
      </w:r>
      <w:r>
        <w:tab/>
        <w:t>C(2018) 1500 final, 14.3.2018 г.</w:t>
      </w:r>
    </w:p>
  </w:footnote>
  <w:footnote w:id="6">
    <w:p>
      <w:pPr>
        <w:pStyle w:val="FootnoteText"/>
      </w:pPr>
      <w:r>
        <w:rPr>
          <w:rStyle w:val="FootnoteReference"/>
        </w:rPr>
        <w:footnoteRef/>
      </w:r>
      <w:r>
        <w:t xml:space="preserve"> </w:t>
      </w:r>
      <w:r>
        <w:tab/>
        <w:t>COM(2018) 91 final, 14.3.2018 г.</w:t>
      </w:r>
    </w:p>
  </w:footnote>
  <w:footnote w:id="7">
    <w:p>
      <w:pPr>
        <w:pStyle w:val="FootnoteText"/>
      </w:pPr>
      <w:r>
        <w:rPr>
          <w:rStyle w:val="FootnoteReference"/>
        </w:rPr>
        <w:footnoteRef/>
      </w:r>
      <w:r>
        <w:t xml:space="preserve"> </w:t>
      </w:r>
      <w:r>
        <w:tab/>
        <w:t>Регламент (ЕС, Евратом) № 1311/2013 на Съвета от 2 декември 2013 г. за определяне на многогодишната финансова рамка за годините 2014—2020 (ОВ L 347, 20.12.2013 г., стр.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52C4F"/>
    <w:multiLevelType w:val="singleLevel"/>
    <w:tmpl w:val="CEFC5A24"/>
    <w:lvl w:ilvl="0">
      <w:start w:val="1"/>
      <w:numFmt w:val="bullet"/>
      <w:lvlRestart w:val="0"/>
      <w:pStyle w:val="Tiret0"/>
      <w:lvlText w:val="–"/>
      <w:lvlJc w:val="left"/>
      <w:pPr>
        <w:tabs>
          <w:tab w:val="num" w:pos="850"/>
        </w:tabs>
        <w:ind w:left="850" w:hanging="85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LIPKOVA Lenka (BUDG)">
    <w15:presenceInfo w15:providerId="None" w15:userId="FILIPKOVA Lenka (BU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167A5DC-8E44-41B9-A877-B73BE7BC1ED5"/>
    <w:docVar w:name="LW_COVERPAGE_TYPE" w:val="1"/>
    <w:docVar w:name="LW_CROSSREFERENCE" w:val="&lt;UNUSED&gt;"/>
    <w:docVar w:name="LW_DocType" w:val="NORMAL"/>
    <w:docVar w:name="LW_EMISSION" w:val="23.5.2018"/>
    <w:docVar w:name="LW_EMISSION_ISODATE" w:val="2018-05-23"/>
    <w:docVar w:name="LW_EMISSION_LOCATION" w:val="BRX"/>
    <w:docVar w:name="LW_EMISSION_PREFIX" w:val="Брюксел, "/>
    <w:docVar w:name="LW_EMISSION_SUFFIX" w:val="\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6?\u1072?\u1079?\u1096?\u1080?\u1088?\u1103?\u1074?\u1072?\u1085?\u1077? \u1085?\u1072? \u1052?\u1077?\u1093?\u1072?\u1085?\u1080?\u1079?\u1084?\u1072? \u1079?\u1072? \u1073?\u1077?\u1078?\u1072?\u1085?\u1094?\u1080?\u1090?\u1077? \u1074? \u1058?\u1091?\u1088?\u1094?\u1080?\u1103? "/>
    <w:docVar w:name="LW_TYPE.DOC.CP" w:val="\u1055?\u1056?\u1054?\u1045?\u1050?\u1058? \u1053?\u1040? \u1050?\u1054?\u1056?\u1048?\u1043?\u1048?\u1056?\u1040?\u1065? \u1041?\u1070?\u1044?\u1046?\u1045?\u1058? \u8470? 3_x000b_\u1050?\u1066?\u1052? \u1054?\u1041?\u1065?\u1048?\u1071? \u1041?\u1070?\u1044?\u1046?\u1045?\u1058? \u1047?\u1040? 2018 \u107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pPr>
      <w:ind w:left="720" w:hanging="720"/>
      <w:jc w:val="both"/>
    </w:pP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bg-BG"/>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Normal"/>
    <w:pPr>
      <w:keepNext/>
      <w:tabs>
        <w:tab w:val="left" w:pos="850"/>
      </w:tabs>
      <w:spacing w:before="240" w:after="120"/>
      <w:ind w:left="851" w:hanging="851"/>
      <w:jc w:val="both"/>
      <w:outlineLvl w:val="0"/>
    </w:pPr>
    <w:rPr>
      <w:b/>
      <w:smallCaps/>
      <w:noProof/>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bg-BG"/>
    </w:rPr>
  </w:style>
  <w:style w:type="paragraph" w:styleId="TOCHeading">
    <w:name w:val="TOC Heading"/>
    <w:basedOn w:val="Normal"/>
    <w:next w:val="Normal"/>
    <w:uiPriority w:val="39"/>
    <w:qFormat/>
    <w:pPr>
      <w:spacing w:before="120" w:after="240"/>
      <w:jc w:val="center"/>
    </w:pPr>
    <w:rPr>
      <w:b/>
      <w:sz w:val="28"/>
    </w:rPr>
  </w:style>
  <w:style w:type="character" w:styleId="Hyperlink">
    <w:name w:val="Hyperlink"/>
    <w:uiPriority w:val="99"/>
    <w:rPr>
      <w:color w:val="0000FF"/>
      <w:u w:val="single"/>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pPr>
      <w:ind w:left="720" w:hanging="720"/>
      <w:jc w:val="both"/>
    </w:pP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lang w:eastAsia="bg-BG"/>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Normal"/>
    <w:pPr>
      <w:keepNext/>
      <w:tabs>
        <w:tab w:val="left" w:pos="850"/>
      </w:tabs>
      <w:spacing w:before="240" w:after="120"/>
      <w:ind w:left="851" w:hanging="851"/>
      <w:jc w:val="both"/>
      <w:outlineLvl w:val="0"/>
    </w:pPr>
    <w:rPr>
      <w:b/>
      <w:smallCaps/>
      <w:noProof/>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bg-BG"/>
    </w:rPr>
  </w:style>
  <w:style w:type="paragraph" w:styleId="TOCHeading">
    <w:name w:val="TOC Heading"/>
    <w:basedOn w:val="Normal"/>
    <w:next w:val="Normal"/>
    <w:uiPriority w:val="39"/>
    <w:qFormat/>
    <w:pPr>
      <w:spacing w:before="120" w:after="240"/>
      <w:jc w:val="center"/>
    </w:pPr>
    <w:rPr>
      <w:b/>
      <w:sz w:val="28"/>
    </w:rPr>
  </w:style>
  <w:style w:type="character" w:styleId="Hyperlink">
    <w:name w:val="Hyperlink"/>
    <w:uiPriority w:val="99"/>
    <w:rPr>
      <w:color w:val="0000FF"/>
      <w:u w:val="single"/>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8941">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
    <w:div w:id="124953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bg.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D47D3-1DDE-43DE-B5F3-20119045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1366</Words>
  <Characters>6095</Characters>
  <Application>Microsoft Office Word</Application>
  <DocSecurity>0</DocSecurity>
  <Lines>468</Lines>
  <Paragraphs>266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2018-05-04T08:13:00Z</cp:lastPrinted>
  <dcterms:created xsi:type="dcterms:W3CDTF">2018-05-07T10:35:00Z</dcterms:created>
  <dcterms:modified xsi:type="dcterms:W3CDTF">2018-06-11T17:05:00Z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