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3431D848-C930-4476-B2D9-D16F91CF1F98"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rPr>
          <w:noProof/>
        </w:rPr>
      </w:pPr>
      <w:bookmarkStart w:id="1" w:name="_GoBack"/>
      <w:bookmarkEnd w:id="1"/>
      <w:r>
        <w:rPr>
          <w:noProof/>
        </w:rPr>
        <w:lastRenderedPageBreak/>
        <w:t>Vu:</w:t>
      </w:r>
    </w:p>
    <w:p>
      <w:pPr>
        <w:pStyle w:val="Tiret0"/>
        <w:tabs>
          <w:tab w:val="clear" w:pos="850"/>
          <w:tab w:val="num" w:pos="1004"/>
        </w:tabs>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1"/>
      </w:r>
      <w:r>
        <w:rPr>
          <w:noProof/>
        </w:rPr>
        <w:t>, et notamment son article 41,</w:t>
      </w:r>
    </w:p>
    <w:p>
      <w:pPr>
        <w:pStyle w:val="Tiret0"/>
        <w:tabs>
          <w:tab w:val="clear" w:pos="850"/>
          <w:tab w:val="num" w:pos="927"/>
        </w:tabs>
        <w:rPr>
          <w:noProof/>
        </w:rPr>
      </w:pPr>
      <w:r>
        <w:rPr>
          <w:noProof/>
        </w:rPr>
        <w:t>le budget général de l’Union européenne pour l’exercice 2018, adopté le 30 novembre 2017</w:t>
      </w:r>
      <w:r>
        <w:rPr>
          <w:rStyle w:val="FootnoteReference"/>
          <w:noProof/>
        </w:rPr>
        <w:footnoteReference w:id="2"/>
      </w:r>
      <w:r>
        <w:rPr>
          <w:noProof/>
        </w:rPr>
        <w:t>,</w:t>
      </w:r>
    </w:p>
    <w:p>
      <w:pPr>
        <w:pStyle w:val="Tiret0"/>
        <w:tabs>
          <w:tab w:val="clear" w:pos="850"/>
          <w:tab w:val="num" w:pos="927"/>
        </w:tabs>
        <w:rPr>
          <w:noProof/>
        </w:rPr>
      </w:pPr>
      <w:r>
        <w:rPr>
          <w:noProof/>
        </w:rPr>
        <w:t>le projet de budget rectificatif nº 1/2018</w:t>
      </w:r>
      <w:r>
        <w:rPr>
          <w:rStyle w:val="FootnoteReference"/>
          <w:noProof/>
        </w:rPr>
        <w:footnoteReference w:id="3"/>
      </w:r>
      <w:r>
        <w:rPr>
          <w:noProof/>
        </w:rPr>
        <w:t>, adopté le 22 février 2018,</w:t>
      </w:r>
    </w:p>
    <w:p>
      <w:pPr>
        <w:pStyle w:val="Tiret0"/>
        <w:tabs>
          <w:tab w:val="clear" w:pos="850"/>
          <w:tab w:val="num" w:pos="927"/>
        </w:tabs>
        <w:rPr>
          <w:noProof/>
        </w:rPr>
      </w:pPr>
      <w:r>
        <w:rPr>
          <w:noProof/>
        </w:rPr>
        <w:t>le projet de budget rectificatif nº 2/2018</w:t>
      </w:r>
      <w:r>
        <w:rPr>
          <w:rStyle w:val="FootnoteReference"/>
          <w:noProof/>
        </w:rPr>
        <w:footnoteReference w:id="4"/>
      </w:r>
      <w:r>
        <w:rPr>
          <w:noProof/>
        </w:rPr>
        <w:t>, adopté le 13 avril 2018,</w:t>
      </w:r>
    </w:p>
    <w:p>
      <w:pPr>
        <w:pStyle w:val="Tiret0"/>
        <w:numPr>
          <w:ilvl w:val="0"/>
          <w:numId w:val="0"/>
        </w:numPr>
        <w:spacing w:after="600"/>
        <w:rPr>
          <w:noProof/>
        </w:rPr>
      </w:pPr>
      <w:r>
        <w:rPr>
          <w:noProof/>
        </w:rPr>
        <w:t>la Commission européenne présente ci-après au Parlement européen et au Conseil le projet de budget rectificatif nº 3 au budget général 2018.</w:t>
      </w:r>
    </w:p>
    <w:p>
      <w:pPr>
        <w:spacing w:after="240"/>
        <w:jc w:val="both"/>
        <w:rPr>
          <w:b/>
          <w:noProof/>
          <w:u w:val="single"/>
        </w:rPr>
      </w:pPr>
      <w:r>
        <w:rPr>
          <w:b/>
          <w:noProof/>
          <w:u w:val="single"/>
        </w:rPr>
        <w:t>MODIFICATIONS À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rPr>
          <w:t>http://eur-lex.europa.eu/budget/www/index-fr.htm</w:t>
        </w:r>
      </w:hyperlink>
      <w:r>
        <w:rPr>
          <w:noProof/>
        </w:rPr>
        <w:t>). Une version en anglais de ces modifications est jointe à titre indicatif comme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44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16216861"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_Toc516216861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6216862" w:history="1">
            <w:r>
              <w:rPr>
                <w:rStyle w:val="Hyperlink"/>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Crédits demandés dans le budget 2018</w:t>
            </w:r>
            <w:r>
              <w:rPr>
                <w:noProof/>
                <w:webHidden/>
              </w:rPr>
              <w:tab/>
            </w:r>
            <w:r>
              <w:rPr>
                <w:noProof/>
                <w:webHidden/>
              </w:rPr>
              <w:fldChar w:fldCharType="begin"/>
            </w:r>
            <w:r>
              <w:rPr>
                <w:noProof/>
                <w:webHidden/>
              </w:rPr>
              <w:instrText xml:space="preserve"> PAGEREF _Toc516216862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6216863"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_Toc516216863 \h </w:instrText>
            </w:r>
            <w:r>
              <w:rPr>
                <w:noProof/>
                <w:webHidden/>
              </w:rPr>
            </w:r>
            <w:r>
              <w:rPr>
                <w:noProof/>
                <w:webHidden/>
              </w:rPr>
              <w:fldChar w:fldCharType="separate"/>
            </w:r>
            <w:r>
              <w:rPr>
                <w:noProof/>
                <w:webHidden/>
              </w:rPr>
              <w:t>6</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11657639"/>
      <w:bookmarkStart w:id="12" w:name="_Toc516216861"/>
      <w:bookmarkStart w:id="13" w:name="_Toc351469332"/>
      <w:bookmarkStart w:id="14" w:name="_Toc361649879"/>
      <w:r>
        <w:lastRenderedPageBreak/>
        <w:t>1.</w:t>
      </w:r>
      <w:r>
        <w:tab/>
        <w:t>Introduction</w:t>
      </w:r>
      <w:bookmarkEnd w:id="8"/>
      <w:bookmarkEnd w:id="9"/>
      <w:bookmarkEnd w:id="10"/>
      <w:bookmarkEnd w:id="11"/>
      <w:bookmarkEnd w:id="12"/>
    </w:p>
    <w:p>
      <w:pPr>
        <w:spacing w:before="120" w:after="120"/>
        <w:jc w:val="both"/>
        <w:rPr>
          <w:noProof/>
        </w:rPr>
      </w:pPr>
      <w:r>
        <w:rPr>
          <w:noProof/>
        </w:rPr>
        <w:t>La décision de la Commission relative à la facilité en faveur des réfugiés en Turquie a été modifiée le 14 mars 2018</w:t>
      </w:r>
      <w:r>
        <w:rPr>
          <w:rStyle w:val="FootnoteReference"/>
          <w:noProof/>
        </w:rPr>
        <w:footnoteReference w:id="5"/>
      </w:r>
      <w:r>
        <w:rPr>
          <w:noProof/>
        </w:rPr>
        <w:t xml:space="preserve"> afin d’allouer un montant supplémentaire de 3 milliards d’EUR (une «deuxième tranche») à la facilité pour la période 2018-2019. Cette modification fait suite à la mise en œuvre réussie de la première tranche de la facilité financée dans le cadre des budgets 2016 et 2017, comme l’a confirmé le 2</w:t>
      </w:r>
      <w:r>
        <w:rPr>
          <w:noProof/>
          <w:vertAlign w:val="superscript"/>
        </w:rPr>
        <w:t>e</w:t>
      </w:r>
      <w:r>
        <w:rPr>
          <w:noProof/>
        </w:rPr>
        <w:t> rapport annuel sur la facilité</w:t>
      </w:r>
      <w:r>
        <w:rPr>
          <w:rStyle w:val="FootnoteReference"/>
          <w:noProof/>
        </w:rPr>
        <w:footnoteReference w:id="6"/>
      </w:r>
      <w:r>
        <w:rPr>
          <w:noProof/>
        </w:rPr>
        <w:t>. Dans la déclaration UE-Turquie du 18 mars 2016, il est confirmé que l’UE mobiliserait d’ici la fin de 2018 un financement supplémentaire pour la facilité, portant le budget total de celle-ci à 6 milliards d’EUR.</w:t>
      </w:r>
    </w:p>
    <w:p>
      <w:pPr>
        <w:spacing w:before="120" w:after="120"/>
        <w:jc w:val="both"/>
        <w:rPr>
          <w:noProof/>
        </w:rPr>
      </w:pPr>
      <w:r>
        <w:rPr>
          <w:noProof/>
        </w:rPr>
        <w:t>Le présent projet de budget rectificatif propose d’ajouter 500 millions d’EUR en crédits d’engagement au budget de l’UE</w:t>
      </w:r>
      <w:bookmarkStart w:id="15" w:name="_Toc460335328"/>
      <w:bookmarkStart w:id="16" w:name="_Toc430865948"/>
      <w:bookmarkStart w:id="17" w:name="_Toc430867526"/>
      <w:bookmarkStart w:id="18" w:name="_Toc430865947"/>
      <w:bookmarkStart w:id="19" w:name="_Toc430867525"/>
      <w:r>
        <w:rPr>
          <w:noProof/>
        </w:rPr>
        <w:t xml:space="preserve"> en 2018 en tant que contribution de l’Union à la deuxième tranche, en plus des 50 millions d’EUR financés sur l’enveloppe budgétaire existante de l’aide humanitaire.</w:t>
      </w:r>
    </w:p>
    <w:p>
      <w:pPr>
        <w:spacing w:before="120" w:after="120"/>
        <w:jc w:val="both"/>
        <w:rPr>
          <w:noProof/>
        </w:rPr>
      </w:pPr>
      <w:r>
        <w:rPr>
          <w:noProof/>
        </w:rPr>
        <w:t xml:space="preserve">Étant donné que la marge non allouée disponible au titre de la rubrique 4 </w:t>
      </w:r>
      <w:r>
        <w:rPr>
          <w:i/>
          <w:noProof/>
        </w:rPr>
        <w:t>L’Europe dans le monde</w:t>
      </w:r>
      <w:r>
        <w:rPr>
          <w:noProof/>
        </w:rPr>
        <w:t xml:space="preserve"> (256,2 millions d’EUR) n’est pas suffisante pour couvrir ce renforcement, il est proposé de recourir à la marge globale pour les engagements conformément à l’article 14 du règlement fixant le cadre financier pluriannuel (CFP)</w:t>
      </w:r>
      <w:r>
        <w:rPr>
          <w:rStyle w:val="FootnoteReference"/>
          <w:noProof/>
        </w:rPr>
        <w:footnoteReference w:id="7"/>
      </w:r>
      <w:r>
        <w:rPr>
          <w:noProof/>
        </w:rPr>
        <w:t xml:space="preserve"> pour financer le solde (243,8 millions d’EUR).</w:t>
      </w:r>
    </w:p>
    <w:p>
      <w:pPr>
        <w:spacing w:before="120" w:after="120"/>
        <w:jc w:val="both"/>
        <w:rPr>
          <w:noProof/>
        </w:rPr>
      </w:pPr>
      <w:r>
        <w:rPr>
          <w:noProof/>
        </w:rPr>
        <w:t>Le reste de la contribution du budget de l’UE à la facilité sera proposé dans le cadre du projet de budget 2019.</w:t>
      </w:r>
    </w:p>
    <w:p>
      <w:pPr>
        <w:pStyle w:val="ManualHeading1"/>
      </w:pPr>
      <w:bookmarkStart w:id="20" w:name="_Toc484781561"/>
      <w:bookmarkStart w:id="21" w:name="_Toc511657640"/>
      <w:bookmarkStart w:id="22" w:name="_Toc516216862"/>
      <w:r>
        <w:t>2.</w:t>
      </w:r>
      <w:r>
        <w:tab/>
        <w:t xml:space="preserve">Crédits demandés dans le budget </w:t>
      </w:r>
      <w:bookmarkEnd w:id="20"/>
      <w:r>
        <w:t>2018</w:t>
      </w:r>
      <w:bookmarkEnd w:id="21"/>
      <w:bookmarkEnd w:id="22"/>
    </w:p>
    <w:p>
      <w:pPr>
        <w:spacing w:before="120" w:after="120"/>
        <w:jc w:val="both"/>
        <w:rPr>
          <w:noProof/>
        </w:rPr>
      </w:pPr>
      <w:r>
        <w:rPr>
          <w:noProof/>
        </w:rPr>
        <w:t xml:space="preserve">Il est proposé d’ajouter 500 millions d’EUR en crédits d’engagement en faveur de l’instrument d’aide de préadhésion sur la ligne 22 02 03 02 - Turquie - </w:t>
      </w:r>
      <w:r>
        <w:rPr>
          <w:i/>
          <w:noProof/>
        </w:rPr>
        <w:t>Soutenir le développement économique, social et territorial et l’alignement progressif connexe sur l’acquis de l’Union</w:t>
      </w:r>
      <w:r>
        <w:rPr>
          <w:noProof/>
        </w:rPr>
        <w:t>.</w:t>
      </w:r>
      <w:r>
        <w:rPr>
          <w:noProof/>
          <w:sz w:val="22"/>
        </w:rPr>
        <w:t xml:space="preserve"> </w:t>
      </w:r>
      <w:r>
        <w:rPr>
          <w:noProof/>
        </w:rPr>
        <w:t>Ce financement est nécessaire pour garantir un suivi continu des interventions de la facilité financées au titre de la première tranche qui ont été couronnées de succès, notamment pour être en mesure de continuer à payer les salaires de plus de 5 000 enseignants qui, jusqu’à présent, ont permis à plus de 300 000 enfants réfugiés en Turquie de recevoir un enseignement.</w:t>
      </w:r>
    </w:p>
    <w:p>
      <w:pPr>
        <w:spacing w:before="120" w:after="120"/>
        <w:jc w:val="both"/>
        <w:rPr>
          <w:noProof/>
        </w:rPr>
      </w:pPr>
      <w:r>
        <w:rPr>
          <w:noProof/>
        </w:rPr>
        <w:t>Il est estimé que les crédits de paiement disponibles dans le budget voté sont suffisants pour couvrir les 180 millions d’EUR d’avances qui devraient être versés dans le courant de cette année. Aucun renforcement des crédits de paiement n’est donc demandé à ce stade. Toutefois, la Commission est susceptible de présenter un budget rectificatif plus tard dans l’année si un renforcement s’avère nécessaire à la suite de l’exécution du budget.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rPr>
          <w:jc w:val="center"/>
        </w:trP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rPr>
              <w:t>Montants en EUR</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Ligne budgétaire</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Intitulé</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Crédits de paiement</w:t>
            </w:r>
          </w:p>
        </w:tc>
      </w:tr>
      <w:tr>
        <w:trPr>
          <w:jc w:val="center"/>
        </w:trPr>
        <w:tc>
          <w:tcPr>
            <w:tcW w:w="1276" w:type="dxa"/>
          </w:tcPr>
          <w:p>
            <w:pPr>
              <w:widowControl w:val="0"/>
              <w:spacing w:before="15" w:after="15"/>
              <w:ind w:right="-113"/>
              <w:jc w:val="both"/>
              <w:rPr>
                <w:noProof/>
                <w:sz w:val="22"/>
                <w:szCs w:val="22"/>
              </w:rPr>
            </w:pPr>
            <w:r>
              <w:rPr>
                <w:noProof/>
              </w:rPr>
              <w:t>22 02 03 02</w:t>
            </w:r>
          </w:p>
        </w:tc>
        <w:tc>
          <w:tcPr>
            <w:tcW w:w="5103" w:type="dxa"/>
          </w:tcPr>
          <w:p>
            <w:pPr>
              <w:widowControl w:val="0"/>
              <w:spacing w:before="15" w:after="15"/>
              <w:jc w:val="both"/>
              <w:rPr>
                <w:noProof/>
                <w:sz w:val="22"/>
                <w:szCs w:val="22"/>
              </w:rPr>
            </w:pPr>
            <w:r>
              <w:rPr>
                <w:noProof/>
              </w:rPr>
              <w:t xml:space="preserve">Instrument d’aide de préadhésion – Turquie – Soutenir le développement économique, social et </w:t>
            </w:r>
            <w:r>
              <w:rPr>
                <w:noProof/>
              </w:rPr>
              <w:lastRenderedPageBreak/>
              <w:t>territorial et l’alignement progressif connexe sur l’acquis de l’Union</w:t>
            </w:r>
          </w:p>
        </w:tc>
        <w:tc>
          <w:tcPr>
            <w:tcW w:w="1701" w:type="dxa"/>
          </w:tcPr>
          <w:p>
            <w:pPr>
              <w:widowControl w:val="0"/>
              <w:spacing w:before="15" w:after="15"/>
              <w:jc w:val="right"/>
              <w:rPr>
                <w:noProof/>
                <w:sz w:val="22"/>
                <w:szCs w:val="22"/>
              </w:rPr>
            </w:pPr>
            <w:r>
              <w:rPr>
                <w:noProof/>
                <w:sz w:val="22"/>
              </w:rPr>
              <w:lastRenderedPageBreak/>
              <w:t>500 000 000</w:t>
            </w:r>
          </w:p>
        </w:tc>
        <w:tc>
          <w:tcPr>
            <w:tcW w:w="1701" w:type="dxa"/>
          </w:tcPr>
          <w:p>
            <w:pPr>
              <w:widowControl w:val="0"/>
              <w:spacing w:before="15" w:after="15"/>
              <w:jc w:val="right"/>
              <w:rPr>
                <w:noProof/>
                <w:sz w:val="22"/>
                <w:szCs w:val="22"/>
              </w:rPr>
            </w:pPr>
            <w:r>
              <w:rPr>
                <w:noProof/>
                <w:sz w:val="22"/>
              </w:rPr>
              <w:t>0</w:t>
            </w:r>
          </w:p>
        </w:tc>
      </w:tr>
      <w:tr>
        <w:trPr>
          <w:jc w:val="center"/>
        </w:trPr>
        <w:tc>
          <w:tcPr>
            <w:tcW w:w="6379" w:type="dxa"/>
            <w:gridSpan w:val="2"/>
            <w:shd w:val="clear" w:color="auto" w:fill="D9D9D9"/>
          </w:tcPr>
          <w:p>
            <w:pPr>
              <w:widowControl w:val="0"/>
              <w:tabs>
                <w:tab w:val="left" w:pos="975"/>
              </w:tabs>
              <w:spacing w:before="15" w:after="15"/>
              <w:jc w:val="both"/>
              <w:rPr>
                <w:b/>
                <w:noProof/>
                <w:sz w:val="22"/>
                <w:szCs w:val="22"/>
              </w:rPr>
            </w:pPr>
            <w:r>
              <w:rPr>
                <w:b/>
                <w:noProof/>
                <w:sz w:val="22"/>
              </w:rPr>
              <w:lastRenderedPageBreak/>
              <w:t>Total</w:t>
            </w:r>
            <w:r>
              <w:rPr>
                <w:noProof/>
              </w:rPr>
              <w:tab/>
            </w:r>
          </w:p>
        </w:tc>
        <w:tc>
          <w:tcPr>
            <w:tcW w:w="1701" w:type="dxa"/>
            <w:shd w:val="clear" w:color="auto" w:fill="D9D9D9"/>
          </w:tcPr>
          <w:p>
            <w:pPr>
              <w:widowControl w:val="0"/>
              <w:spacing w:before="15" w:after="15"/>
              <w:jc w:val="right"/>
              <w:rPr>
                <w:b/>
                <w:noProof/>
                <w:sz w:val="22"/>
                <w:szCs w:val="22"/>
              </w:rPr>
            </w:pPr>
            <w:r>
              <w:rPr>
                <w:b/>
                <w:noProof/>
                <w:sz w:val="22"/>
              </w:rPr>
              <w:t>500 000 000</w:t>
            </w:r>
          </w:p>
        </w:tc>
        <w:tc>
          <w:tcPr>
            <w:tcW w:w="1701" w:type="dxa"/>
            <w:shd w:val="clear" w:color="auto" w:fill="D9D9D9"/>
          </w:tcPr>
          <w:p>
            <w:pPr>
              <w:widowControl w:val="0"/>
              <w:spacing w:before="15" w:after="15"/>
              <w:jc w:val="right"/>
              <w:rPr>
                <w:b/>
                <w:noProof/>
                <w:sz w:val="22"/>
                <w:szCs w:val="22"/>
              </w:rPr>
            </w:pPr>
            <w:r>
              <w:rPr>
                <w:b/>
                <w:noProof/>
                <w:sz w:val="22"/>
              </w:rPr>
              <w:t>0</w:t>
            </w:r>
          </w:p>
        </w:tc>
      </w:tr>
    </w:tbl>
    <w:p>
      <w:pPr>
        <w:pStyle w:val="ManualHeading1"/>
        <w:pageBreakBefore/>
      </w:pPr>
      <w:bookmarkStart w:id="23" w:name="_Toc511657641"/>
      <w:bookmarkStart w:id="24" w:name="_Toc516216863"/>
      <w:bookmarkEnd w:id="15"/>
      <w:bookmarkEnd w:id="16"/>
      <w:bookmarkEnd w:id="17"/>
      <w:r>
        <w:lastRenderedPageBreak/>
        <w:t>3.</w:t>
      </w:r>
      <w:r>
        <w:tab/>
        <w:t>Tableau récapitulatif par rubrique du CFP</w:t>
      </w:r>
      <w:bookmarkEnd w:id="23"/>
      <w:bookmarkEnd w:id="24"/>
    </w:p>
    <w:tbl>
      <w:tblPr>
        <w:tblW w:w="10932" w:type="dxa"/>
        <w:jc w:val="center"/>
        <w:tblInd w:w="93" w:type="dxa"/>
        <w:tblLook w:val="04A0" w:firstRow="1" w:lastRow="0" w:firstColumn="1" w:lastColumn="0" w:noHBand="0" w:noVBand="1"/>
      </w:tblPr>
      <w:tblGrid>
        <w:gridCol w:w="356"/>
        <w:gridCol w:w="2778"/>
        <w:gridCol w:w="1368"/>
        <w:gridCol w:w="1585"/>
        <w:gridCol w:w="1054"/>
        <w:gridCol w:w="1055"/>
        <w:gridCol w:w="1368"/>
        <w:gridCol w:w="1368"/>
      </w:tblGrid>
      <w:tr>
        <w:trPr>
          <w:trHeight w:val="210"/>
          <w:jc w:val="center"/>
        </w:trPr>
        <w:tc>
          <w:tcPr>
            <w:tcW w:w="3134"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8"/>
          <w:bookmarkEnd w:id="19"/>
          <w:p>
            <w:pPr>
              <w:jc w:val="center"/>
              <w:rPr>
                <w:b/>
                <w:bCs/>
                <w:noProof/>
                <w:color w:val="000000"/>
                <w:sz w:val="14"/>
                <w:szCs w:val="14"/>
              </w:rPr>
            </w:pPr>
            <w:r>
              <w:rPr>
                <w:b/>
                <w:noProof/>
                <w:color w:val="000000"/>
                <w:sz w:val="14"/>
              </w:rPr>
              <w:t>Rubrique</w:t>
            </w:r>
          </w:p>
        </w:tc>
        <w:tc>
          <w:tcPr>
            <w:tcW w:w="2953"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c>
          <w:tcPr>
            <w:tcW w:w="210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rectificatif nº 3/2018</w:t>
            </w:r>
          </w:p>
        </w:tc>
        <w:tc>
          <w:tcPr>
            <w:tcW w:w="2736"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r>
      <w:tr>
        <w:trPr>
          <w:trHeight w:val="210"/>
          <w:jc w:val="center"/>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953"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PBR 1-2/2018)</w:t>
            </w:r>
          </w:p>
        </w:tc>
        <w:tc>
          <w:tcPr>
            <w:tcW w:w="2109"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36"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PBR 1-3/2018)</w:t>
            </w:r>
          </w:p>
        </w:tc>
      </w:tr>
      <w:tr>
        <w:trPr>
          <w:trHeight w:val="210"/>
          <w:jc w:val="center"/>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8"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58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05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05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6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778"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351 244 928</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 du FEAGA</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9 568 842 411</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500 000 000</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256 157 589</w:t>
            </w:r>
          </w:p>
        </w:tc>
        <w:tc>
          <w:tcPr>
            <w:tcW w:w="1585"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585"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c>
          <w:tcPr>
            <w:tcW w:w="1054"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159 546 618 011</w:t>
            </w:r>
          </w:p>
        </w:tc>
        <w:tc>
          <w:tcPr>
            <w:tcW w:w="1585"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c>
          <w:tcPr>
            <w:tcW w:w="105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500 000 000</w:t>
            </w:r>
          </w:p>
        </w:tc>
        <w:tc>
          <w:tcPr>
            <w:tcW w:w="1055"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160 046 618 011</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1 113 697 652</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1 357 540 063</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134"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1 600 320 840</w:t>
            </w:r>
          </w:p>
        </w:tc>
        <w:tc>
          <w:tcPr>
            <w:tcW w:w="158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05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1 344 163 251</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r>
      <w:tr>
        <w:trPr>
          <w:trHeight w:val="225"/>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Autres instruments spéciaux</w:t>
            </w:r>
          </w:p>
        </w:tc>
        <w:tc>
          <w:tcPr>
            <w:tcW w:w="136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58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c>
          <w:tcPr>
            <w:tcW w:w="105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36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r>
      <w:tr>
        <w:trPr>
          <w:trHeight w:val="225"/>
          <w:jc w:val="center"/>
        </w:trPr>
        <w:tc>
          <w:tcPr>
            <w:tcW w:w="3134"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160 211 166 116</w:t>
            </w:r>
          </w:p>
        </w:tc>
        <w:tc>
          <w:tcPr>
            <w:tcW w:w="158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500 000 000</w:t>
            </w:r>
          </w:p>
        </w:tc>
        <w:tc>
          <w:tcPr>
            <w:tcW w:w="105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160 711 166 116</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871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2910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05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pt-PT"/>
        </w:rPr>
      </w:pPr>
      <w:r>
        <w:rPr>
          <w:rStyle w:val="FootnoteReference"/>
        </w:rPr>
        <w:footnoteRef/>
      </w:r>
      <w:r>
        <w:rPr>
          <w:sz w:val="19"/>
          <w:lang w:val="pt-PT"/>
        </w:rPr>
        <w:t>.</w:t>
      </w:r>
      <w:r>
        <w:rPr>
          <w:lang w:val="pt-PT"/>
        </w:rPr>
        <w:tab/>
      </w:r>
      <w:r>
        <w:rPr>
          <w:sz w:val="18"/>
          <w:lang w:val="pt-PT"/>
        </w:rPr>
        <w:t>JO L 298 du 26.10.2012, p. 1.</w:t>
      </w:r>
    </w:p>
  </w:footnote>
  <w:footnote w:id="2">
    <w:p>
      <w:pPr>
        <w:pStyle w:val="FootnoteText"/>
        <w:rPr>
          <w:lang w:val="pt-PT"/>
        </w:rPr>
      </w:pPr>
      <w:r>
        <w:rPr>
          <w:rStyle w:val="FootnoteReference"/>
        </w:rPr>
        <w:footnoteRef/>
      </w:r>
      <w:r>
        <w:rPr>
          <w:lang w:val="pt-PT"/>
        </w:rPr>
        <w:t>.</w:t>
      </w:r>
      <w:r>
        <w:rPr>
          <w:lang w:val="pt-PT"/>
        </w:rPr>
        <w:tab/>
      </w:r>
      <w:r>
        <w:rPr>
          <w:sz w:val="18"/>
          <w:lang w:val="pt-PT"/>
        </w:rPr>
        <w:t>JO L 57 du 28.2.2018, p. 1.</w:t>
      </w:r>
    </w:p>
  </w:footnote>
  <w:footnote w:id="3">
    <w:p>
      <w:pPr>
        <w:pStyle w:val="FootnoteText"/>
        <w:rPr>
          <w:lang w:val="pt-PT"/>
        </w:rPr>
      </w:pPr>
      <w:r>
        <w:rPr>
          <w:rStyle w:val="FootnoteReference"/>
        </w:rPr>
        <w:footnoteRef/>
      </w:r>
      <w:r>
        <w:rPr>
          <w:lang w:val="pt-PT"/>
        </w:rPr>
        <w:t xml:space="preserve"> </w:t>
      </w:r>
      <w:r>
        <w:rPr>
          <w:lang w:val="pt-PT"/>
        </w:rPr>
        <w:tab/>
      </w:r>
      <w:r>
        <w:rPr>
          <w:sz w:val="18"/>
          <w:lang w:val="pt-PT"/>
        </w:rPr>
        <w:t>COM(2018) 155.</w:t>
      </w:r>
    </w:p>
  </w:footnote>
  <w:footnote w:id="4">
    <w:p>
      <w:pPr>
        <w:pStyle w:val="FootnoteText"/>
        <w:rPr>
          <w:lang w:val="pt-PT"/>
        </w:rPr>
      </w:pPr>
      <w:r>
        <w:rPr>
          <w:rStyle w:val="FootnoteReference"/>
        </w:rPr>
        <w:footnoteRef/>
      </w:r>
      <w:r>
        <w:rPr>
          <w:lang w:val="pt-PT"/>
        </w:rPr>
        <w:t xml:space="preserve"> </w:t>
      </w:r>
      <w:r>
        <w:rPr>
          <w:lang w:val="pt-PT"/>
        </w:rPr>
        <w:tab/>
      </w:r>
      <w:r>
        <w:rPr>
          <w:sz w:val="18"/>
          <w:lang w:val="pt-PT"/>
        </w:rPr>
        <w:t>COM(2018) 227.</w:t>
      </w:r>
    </w:p>
  </w:footnote>
  <w:footnote w:id="5">
    <w:p>
      <w:pPr>
        <w:pStyle w:val="FootnoteText"/>
        <w:rPr>
          <w:lang w:val="pt-PT"/>
        </w:rPr>
      </w:pPr>
      <w:r>
        <w:rPr>
          <w:rStyle w:val="FootnoteReference"/>
        </w:rPr>
        <w:footnoteRef/>
      </w:r>
      <w:r>
        <w:rPr>
          <w:lang w:val="pt-PT"/>
        </w:rPr>
        <w:t xml:space="preserve"> </w:t>
      </w:r>
      <w:r>
        <w:rPr>
          <w:lang w:val="pt-PT"/>
        </w:rPr>
        <w:tab/>
        <w:t>C(2018) 1500 final du 14.3.2018.</w:t>
      </w:r>
    </w:p>
  </w:footnote>
  <w:footnote w:id="6">
    <w:p>
      <w:pPr>
        <w:pStyle w:val="FootnoteText"/>
        <w:rPr>
          <w:lang w:val="pt-PT"/>
        </w:rPr>
      </w:pPr>
      <w:r>
        <w:rPr>
          <w:rStyle w:val="FootnoteReference"/>
        </w:rPr>
        <w:footnoteRef/>
      </w:r>
      <w:r>
        <w:rPr>
          <w:lang w:val="pt-PT"/>
        </w:rPr>
        <w:t xml:space="preserve"> </w:t>
      </w:r>
      <w:r>
        <w:rPr>
          <w:lang w:val="pt-PT"/>
        </w:rPr>
        <w:tab/>
        <w:t>COM(2018) 91 final du 14.3.2018.</w:t>
      </w:r>
    </w:p>
  </w:footnote>
  <w:footnote w:id="7">
    <w:p>
      <w:pPr>
        <w:pStyle w:val="FootnoteText"/>
      </w:pPr>
      <w:r>
        <w:rPr>
          <w:rStyle w:val="FootnoteReference"/>
        </w:rPr>
        <w:footnoteRef/>
      </w:r>
      <w:r>
        <w:t xml:space="preserve"> </w:t>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C4F"/>
    <w:multiLevelType w:val="singleLevel"/>
    <w:tmpl w:val="CEFC5A24"/>
    <w:lvl w:ilvl="0">
      <w:start w:val="1"/>
      <w:numFmt w:val="bullet"/>
      <w:lvlRestart w:val="0"/>
      <w:pStyle w:val="Tiret0"/>
      <w:lvlText w:val="–"/>
      <w:lvlJc w:val="left"/>
      <w:pPr>
        <w:tabs>
          <w:tab w:val="num" w:pos="850"/>
        </w:tabs>
        <w:ind w:left="850" w:hanging="85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431D848-C930-4476-B2D9-D16F91CF1F98"/>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xelles, le "/>
    <w:docVar w:name="LW_EMISSION_SUFFIX" w:val="&lt;EMPTY&gt;"/>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olongation de la facilité en faveur des réfugiés en Turquie"/>
    <w:docVar w:name="LW_TYPE.DOC.CP" w:val="PROJET DE BUDGET RECTIFICATIF N°3_x000b_AU BUDGET GÉNÉRAL 201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fr-FR"/>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Normal"/>
    <w:pPr>
      <w:keepNext/>
      <w:tabs>
        <w:tab w:val="left" w:pos="850"/>
      </w:tabs>
      <w:spacing w:before="240" w:after="120"/>
      <w:ind w:left="851" w:hanging="851"/>
      <w:jc w:val="both"/>
      <w:outlineLvl w:val="0"/>
    </w:pPr>
    <w:rPr>
      <w:b/>
      <w:smallCaps/>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styleId="TOCHeading">
    <w:name w:val="TOC Heading"/>
    <w:basedOn w:val="Normal"/>
    <w:next w:val="Normal"/>
    <w:uiPriority w:val="39"/>
    <w:qFormat/>
    <w:pPr>
      <w:spacing w:before="120" w:after="240"/>
      <w:jc w:val="center"/>
    </w:pPr>
    <w:rPr>
      <w:b/>
      <w:sz w:val="28"/>
    </w:rPr>
  </w:style>
  <w:style w:type="character" w:styleId="Hyperlink">
    <w:name w:val="Hyperlink"/>
    <w:uiPriority w:val="99"/>
    <w:rPr>
      <w:color w:val="0000FF"/>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fr-FR"/>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Normal"/>
    <w:pPr>
      <w:keepNext/>
      <w:tabs>
        <w:tab w:val="left" w:pos="850"/>
      </w:tabs>
      <w:spacing w:before="240" w:after="120"/>
      <w:ind w:left="851" w:hanging="851"/>
      <w:jc w:val="both"/>
      <w:outlineLvl w:val="0"/>
    </w:pPr>
    <w:rPr>
      <w:b/>
      <w:smallCaps/>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styleId="TOCHeading">
    <w:name w:val="TOC Heading"/>
    <w:basedOn w:val="Normal"/>
    <w:next w:val="Normal"/>
    <w:uiPriority w:val="39"/>
    <w:qFormat/>
    <w:pPr>
      <w:spacing w:before="120" w:after="240"/>
      <w:jc w:val="center"/>
    </w:pPr>
    <w:rPr>
      <w:b/>
      <w:sz w:val="28"/>
    </w:rPr>
  </w:style>
  <w:style w:type="character" w:styleId="Hyperlink">
    <w:name w:val="Hyperlink"/>
    <w:uiPriority w:val="99"/>
    <w:rPr>
      <w:color w:val="0000FF"/>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941">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
    <w:div w:id="12495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2F38-3202-4CA0-B31A-842BF6E5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1387</Words>
  <Characters>6257</Characters>
  <Application>Microsoft Office Word</Application>
  <DocSecurity>0</DocSecurity>
  <Lines>446</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2018-05-04T08:13:00Z</cp:lastPrinted>
  <dcterms:created xsi:type="dcterms:W3CDTF">2018-05-07T10:35:00Z</dcterms:created>
  <dcterms:modified xsi:type="dcterms:W3CDTF">2018-06-11T17:04:00Z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