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D19F47C5-C178-416A-BFF7-0EA5D46D84AB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spacing w:before="0"/>
        <w:jc w:val="center"/>
        <w:rPr>
          <w:b/>
          <w:strike/>
          <w:noProof/>
        </w:rPr>
      </w:pPr>
      <w:r>
        <w:rPr>
          <w:b/>
          <w:noProof/>
        </w:rPr>
        <w:t>Дейности по програмата</w:t>
      </w:r>
    </w:p>
    <w:p>
      <w:pPr>
        <w:rPr>
          <w:noProof/>
        </w:rPr>
      </w:pPr>
      <w:r>
        <w:rPr>
          <w:noProof/>
        </w:rPr>
        <w:t>Конкретните цели на програмата, посочени в член 2, параграф 2, ще се осъществяват по-специално чрез подпомагане на следните дейности:</w:t>
      </w:r>
    </w:p>
    <w:p>
      <w:pPr>
        <w:pStyle w:val="Point1"/>
        <w:rPr>
          <w:noProof/>
          <w:szCs w:val="24"/>
        </w:rPr>
      </w:pPr>
      <w:r>
        <w:rPr>
          <w:noProof/>
        </w:rPr>
        <w:t>а)</w:t>
      </w:r>
      <w:r>
        <w:rPr>
          <w:noProof/>
        </w:rPr>
        <w:tab/>
        <w:t>повишаване на осведомеността, разпространение на информация с цел подобряване на познаването на политиките и правата в обхванатите от програмата области;</w:t>
      </w:r>
    </w:p>
    <w:p>
      <w:pPr>
        <w:pStyle w:val="Point1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взаимно обучение чрез обмен на добри практики между заинтересованите страни с цел подобряване на познаването и взаимното разбиране и на гражданското и демократичното участие;</w:t>
      </w:r>
    </w:p>
    <w:p>
      <w:pPr>
        <w:pStyle w:val="Point1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 xml:space="preserve"> аналитични и мониторингови дейности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за подобряване на разбирането на ситуацията в държавите членки и на равнището на ЕС в обхванатите от програмата области, както и за подобряване на прилагането на правото и политиките на ЕС;</w:t>
      </w:r>
    </w:p>
    <w:p>
      <w:pPr>
        <w:pStyle w:val="Point1"/>
        <w:rPr>
          <w:noProof/>
          <w:szCs w:val="24"/>
        </w:rPr>
      </w:pPr>
      <w:r>
        <w:rPr>
          <w:noProof/>
        </w:rPr>
        <w:t>г)</w:t>
      </w:r>
      <w:r>
        <w:rPr>
          <w:noProof/>
        </w:rPr>
        <w:tab/>
        <w:t>обучение на съответните заинтересовани страни с цел подобряване на познанията им относно политиките и правата в обхванатите области;</w:t>
      </w:r>
    </w:p>
    <w:p>
      <w:pPr>
        <w:pStyle w:val="Point1"/>
        <w:rPr>
          <w:noProof/>
          <w:szCs w:val="24"/>
        </w:rPr>
      </w:pPr>
      <w:r>
        <w:rPr>
          <w:noProof/>
        </w:rPr>
        <w:t>д)</w:t>
      </w:r>
      <w:r>
        <w:rPr>
          <w:noProof/>
        </w:rPr>
        <w:tab/>
        <w:t>разработване и поддръжка на инструменти за информационни и комуникационни технологии (ИКТ);</w:t>
      </w:r>
    </w:p>
    <w:p>
      <w:pPr>
        <w:pStyle w:val="Point1"/>
        <w:rPr>
          <w:noProof/>
          <w:szCs w:val="24"/>
        </w:rPr>
      </w:pPr>
      <w:r>
        <w:rPr>
          <w:noProof/>
        </w:rPr>
        <w:t>е)</w:t>
      </w:r>
      <w:r>
        <w:rPr>
          <w:noProof/>
        </w:rPr>
        <w:tab/>
        <w:t>повишаване на осведомеността на гражданите относно европейската култура и история и паметта за миналото, както и засилване на чувството им за принадлежност към Съюза;</w:t>
      </w:r>
    </w:p>
    <w:p>
      <w:pPr>
        <w:pStyle w:val="Point1"/>
        <w:rPr>
          <w:noProof/>
          <w:szCs w:val="24"/>
        </w:rPr>
      </w:pPr>
      <w:r>
        <w:rPr>
          <w:noProof/>
        </w:rPr>
        <w:t>ж)</w:t>
      </w:r>
      <w:r>
        <w:rPr>
          <w:noProof/>
        </w:rPr>
        <w:tab/>
        <w:t>обединяване на европейски граждани от различни националности и култури, като им се дава възможност да участват в дейности по побратимяване на градове;</w:t>
      </w:r>
    </w:p>
    <w:p>
      <w:pPr>
        <w:pStyle w:val="Point1"/>
        <w:rPr>
          <w:noProof/>
          <w:szCs w:val="24"/>
        </w:rPr>
      </w:pPr>
      <w:r>
        <w:rPr>
          <w:noProof/>
        </w:rPr>
        <w:t>з)</w:t>
      </w:r>
      <w:r>
        <w:rPr>
          <w:noProof/>
        </w:rPr>
        <w:tab/>
        <w:t>насърчаване и улесняване на активното участие в изграждането на по-демократичен Съюз, както и осведоменост за правата и ценностите чрез подкрепа за организациите на гражданското общество.</w:t>
      </w:r>
    </w:p>
    <w:p>
      <w:pPr>
        <w:pStyle w:val="Point1"/>
        <w:rPr>
          <w:noProof/>
          <w:szCs w:val="24"/>
        </w:rPr>
      </w:pPr>
      <w:r>
        <w:rPr>
          <w:noProof/>
        </w:rPr>
        <w:t>и)</w:t>
      </w:r>
      <w:r>
        <w:rPr>
          <w:noProof/>
        </w:rPr>
        <w:tab/>
        <w:t xml:space="preserve">финансиране на техническата и организационната подкрепа за изпълнение на Регламент [(ЕС) № 211/2011], като по този начин се подкрепя упражняването от страна на гражданите на правото да предлагат и подкрепят европейски граждански инициативи; </w:t>
      </w:r>
    </w:p>
    <w:p>
      <w:pPr>
        <w:pStyle w:val="Point1"/>
        <w:rPr>
          <w:noProof/>
        </w:rPr>
      </w:pPr>
      <w:r>
        <w:rPr>
          <w:noProof/>
        </w:rPr>
        <w:t>й)</w:t>
      </w:r>
      <w:r>
        <w:rPr>
          <w:noProof/>
        </w:rPr>
        <w:tab/>
        <w:t xml:space="preserve">развитие на капацитета на европейските мрежи за насърчаване и доразвиване на законодателните актове на Съюза, целите на политиката и стратегиите, както и за подкрепа на организациите на гражданското общество, осъществяващи дейности в областите, обхванати от програмата; </w:t>
      </w:r>
    </w:p>
    <w:p>
      <w:pPr>
        <w:pStyle w:val="Point1"/>
        <w:rPr>
          <w:noProof/>
          <w:szCs w:val="24"/>
        </w:rPr>
      </w:pPr>
      <w:r>
        <w:rPr>
          <w:noProof/>
        </w:rPr>
        <w:t>к)</w:t>
      </w:r>
      <w:r>
        <w:rPr>
          <w:noProof/>
        </w:rPr>
        <w:tab/>
        <w:t>подобряване на знанията за програмата и на разпространението и прехвърлимостта на резултатите от нея, както и насърчаване на работата с граждани на място, включително чрез създаване и подкрепа на служби за програмата/национална контактна мрежа.</w:t>
      </w:r>
    </w:p>
    <w:p>
      <w:pPr>
        <w:pStyle w:val="Point1letter"/>
        <w:numPr>
          <w:ilvl w:val="3"/>
          <w:numId w:val="2"/>
        </w:numPr>
        <w:spacing w:before="0"/>
        <w:jc w:val="left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bookmarkStart w:id="1" w:name="DQCNUMB_1"/>
      <w:bookmarkEnd w:id="1"/>
    </w:p>
    <w:p>
      <w:pPr>
        <w:pStyle w:val="Annexetitre"/>
        <w:rPr>
          <w:noProof/>
        </w:rPr>
      </w:pPr>
      <w:r>
        <w:rPr>
          <w:noProof/>
        </w:rPr>
        <w:t>ПРИЛОЖЕНИЕ II</w:t>
      </w:r>
    </w:p>
    <w:p>
      <w:pPr>
        <w:jc w:val="center"/>
        <w:rPr>
          <w:b/>
          <w:noProof/>
        </w:rPr>
      </w:pPr>
      <w:r>
        <w:rPr>
          <w:b/>
          <w:noProof/>
        </w:rPr>
        <w:t>Показатели</w:t>
      </w:r>
    </w:p>
    <w:p>
      <w:pPr>
        <w:rPr>
          <w:noProof/>
        </w:rPr>
      </w:pPr>
      <w:r>
        <w:rPr>
          <w:noProof/>
        </w:rPr>
        <w:t>Програмата ще подлежи на мониторинг въз основа на набор от показатели, предназначени за измерване на това до каква степен са били постигнати общите и специфичните цели на програмата и с цел намаляване на административната тежест и разходите. За целта ще бъдат събирани данни по отношение на следния набор от ключови показатели.</w:t>
      </w:r>
    </w:p>
    <w:p>
      <w:pPr>
        <w:rPr>
          <w:noProof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на хората, до които е достигнато чрез:</w:t>
            </w:r>
          </w:p>
          <w:p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i) дейности по обучение;</w:t>
            </w:r>
          </w:p>
          <w:p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ii) дейности за взаимно обучение и обмен на добри практики;</w:t>
            </w:r>
          </w:p>
          <w:p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iii) дейности за повишаване на осведомеността, информация и разпространение.</w:t>
            </w:r>
          </w:p>
        </w:tc>
      </w:tr>
      <w:t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на организациите, до които е достигнато чрез дейности за подкрепа и изграждане на капацитет;</w:t>
            </w:r>
          </w:p>
        </w:tc>
      </w:tr>
      <w:t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на транснационалните мрежи и инициативи, насочени към европейската памет и наследство в резултат на намесата на програмата.</w:t>
            </w:r>
          </w:p>
        </w:tc>
      </w:tr>
    </w:tbl>
    <w:p>
      <w:pPr>
        <w:jc w:val="center"/>
        <w:rPr>
          <w:b/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Тези дейности включват например събирането на данни и статистическа информация; разработването на общи методи и — по целесъобразност — показатели или ориентири за сравнение; проучвания, изследвания, анализи и допитвания; оценки; оценка на въздействието; изготвянето и публикуването на насоки, доклади и образователни материали.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A166F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70CE5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74C1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548DB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4984E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A380F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0424C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06CA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1 17:33:58"/>
    <w:docVar w:name="DQCNUMB_1" w:val="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87?\u1088?\u1077?\u1076?\u1083?\u1086?\u1078?\u1077?\u1085?\u1080?\u1077?\u1090?\u1086? \u1079?\u1072?"/>
    <w:docVar w:name="LW_ACCOMPAGNANT.CP" w:val="\u1082?\u1098?\u1084? \u1087?\u1088?\u1077?\u1076?\u1083?\u1086?\u1078?\u1077?\u1085?\u1080?\u1077?\u1090?\u1086? \u1079?\u1072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D19F47C5-C178-416A-BFF7-0EA5D46D84AB"/>
    <w:docVar w:name="LW_COVERPAGE_TYPE" w:val="1"/>
    <w:docVar w:name="LW_CROSSREFERENCE" w:val="{SEC(2018) 274 final}_x000b_{SWD(2018) 290 final}_x000b_{SWD(2018) 291 final}"/>
    <w:docVar w:name="LW_DocType" w:val="ANNEX"/>
    <w:docVar w:name="LW_EMISSION" w:val="30.5.2018"/>
    <w:docVar w:name="LW_EMISSION_ISODATE" w:val="2018-05-30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7?\u1088?\u1086?\u1075?\u1088?\u1072?\u1084?\u1072? \u8222?\u1055?\u1088?\u1072?\u1074?\u1072? \u1080? \u1094?\u1077?\u1085?\u1085?\u1086?\u1089?\u1090?\u1080?\u8220?_x000b_"/>
    <w:docVar w:name="LW_OBJETACTEPRINCIPAL.CP" w:val="\u1079?\u1072? \u1089?\u1098?\u1079?\u1076?\u1072?\u1074?\u1072?\u1085?\u1077? \u1085?\u1072? \u1087?\u1088?\u1086?\u1075?\u1088?\u1072?\u1084?\u1072? \u8222?\u1055?\u1088?\u1072?\u1074?\u1072? \u1080? \u1094?\u1077?\u1085?\u1085?\u1086?\u1089?\u1090?\u1080?\u8220?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8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  <w:docVar w:name="LW_TYPEACTEPRINCIPAL.CP" w:val="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7291-83EE-4319-B041-3CADCD7F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436</Words>
  <Characters>2608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SMITHAM Emma (JUST)</dc:creator>
  <cp:lastModifiedBy>DIGIT/A3</cp:lastModifiedBy>
  <cp:revision>8</cp:revision>
  <cp:lastPrinted>2018-04-27T09:25:00Z</cp:lastPrinted>
  <dcterms:created xsi:type="dcterms:W3CDTF">2018-06-05T12:50:00Z</dcterms:created>
  <dcterms:modified xsi:type="dcterms:W3CDTF">2018-06-11T15:33:00Z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