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598" w:rsidRDefault="00F8547B" w:rsidP="00F8547B">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069AB0C-D08C-42BC-B96C-64FFDD7E572E" style="width:450.6pt;height:430.55pt">
            <v:imagedata r:id="rId8" o:title=""/>
          </v:shape>
        </w:pict>
      </w:r>
    </w:p>
    <w:bookmarkEnd w:id="0"/>
    <w:p w:rsidR="007D3598" w:rsidRDefault="007D3598">
      <w:pPr>
        <w:rPr>
          <w:noProof/>
        </w:rPr>
        <w:sectPr w:rsidR="007D3598" w:rsidSect="00F8547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fmt="lowerRoman" w:start="3"/>
          <w:cols w:space="720"/>
          <w:docGrid w:linePitch="360"/>
        </w:sectPr>
      </w:pPr>
    </w:p>
    <w:p w:rsidR="007D3598" w:rsidRDefault="00F8547B">
      <w:pPr>
        <w:keepNext/>
        <w:jc w:val="center"/>
        <w:rPr>
          <w:b/>
          <w:noProof/>
          <w:sz w:val="28"/>
          <w:szCs w:val="28"/>
        </w:rPr>
      </w:pPr>
      <w:bookmarkStart w:id="1" w:name="_GoBack"/>
      <w:bookmarkEnd w:id="1"/>
      <w:r>
        <w:rPr>
          <w:b/>
          <w:noProof/>
          <w:sz w:val="28"/>
          <w:szCs w:val="28"/>
        </w:rPr>
        <w:lastRenderedPageBreak/>
        <w:t>Table of contents</w:t>
      </w:r>
    </w:p>
    <w:p w:rsidR="007D3598" w:rsidRDefault="007D3598">
      <w:pPr>
        <w:keepNext/>
        <w:jc w:val="center"/>
        <w:rPr>
          <w:b/>
          <w:noProof/>
          <w:sz w:val="28"/>
          <w:szCs w:val="28"/>
        </w:rPr>
      </w:pPr>
    </w:p>
    <w:p w:rsidR="007D3598" w:rsidRDefault="007D3598">
      <w:pPr>
        <w:jc w:val="both"/>
        <w:rPr>
          <w:noProof/>
        </w:rPr>
      </w:pPr>
      <w:bookmarkStart w:id="2" w:name="_Toc506483897"/>
      <w:bookmarkStart w:id="3" w:name="_Toc506483896"/>
      <w:bookmarkEnd w:id="2"/>
      <w:bookmarkEnd w:id="3"/>
    </w:p>
    <w:bookmarkStart w:id="4" w:name="_Toc506393736"/>
    <w:bookmarkStart w:id="5" w:name="_Toc506475194"/>
    <w:bookmarkStart w:id="6" w:name="_Toc506478812"/>
    <w:bookmarkStart w:id="7" w:name="_Toc506479764"/>
    <w:bookmarkStart w:id="8" w:name="_Toc506483898"/>
    <w:p w:rsidR="007D3598" w:rsidRDefault="00F8547B">
      <w:pPr>
        <w:pStyle w:val="TOC1"/>
        <w:tabs>
          <w:tab w:val="right" w:leader="dot" w:pos="9628"/>
        </w:tabs>
        <w:rPr>
          <w:rFonts w:asciiTheme="minorHAnsi" w:eastAsiaTheme="minorEastAsia" w:hAnsiTheme="minorHAnsi" w:cstheme="minorBidi"/>
          <w:bCs w:val="0"/>
          <w:smallCaps w:val="0"/>
          <w:noProof/>
          <w:color w:val="auto"/>
          <w:sz w:val="22"/>
          <w:szCs w:val="22"/>
          <w:lang w:eastAsia="en-GB"/>
        </w:rPr>
      </w:pPr>
      <w:r>
        <w:rPr>
          <w:b/>
          <w:noProof/>
          <w:color w:val="auto"/>
          <w:sz w:val="24"/>
        </w:rPr>
        <w:fldChar w:fldCharType="begin"/>
      </w:r>
      <w:r>
        <w:rPr>
          <w:noProof/>
          <w:color w:val="auto"/>
          <w:sz w:val="24"/>
          <w:szCs w:val="24"/>
        </w:rPr>
        <w:instrText xml:space="preserve"> TOC \o "1-2" \u </w:instrText>
      </w:r>
      <w:r>
        <w:rPr>
          <w:b/>
          <w:noProof/>
          <w:color w:val="auto"/>
          <w:sz w:val="24"/>
        </w:rPr>
        <w:fldChar w:fldCharType="separate"/>
      </w:r>
      <w:r>
        <w:rPr>
          <w:noProof/>
          <w:color w:val="auto"/>
        </w:rPr>
        <w:t>Abbreviations</w:t>
      </w:r>
      <w:r>
        <w:rPr>
          <w:noProof/>
          <w:color w:val="auto"/>
        </w:rPr>
        <w:tab/>
      </w:r>
      <w:r>
        <w:rPr>
          <w:noProof/>
          <w:color w:val="auto"/>
        </w:rPr>
        <w:fldChar w:fldCharType="begin"/>
      </w:r>
      <w:r>
        <w:rPr>
          <w:noProof/>
          <w:color w:val="auto"/>
        </w:rPr>
        <w:instrText xml:space="preserve"> PAGEREF _Toc515270130 \h </w:instrText>
      </w:r>
      <w:r>
        <w:rPr>
          <w:noProof/>
          <w:color w:val="auto"/>
        </w:rPr>
      </w:r>
      <w:r>
        <w:rPr>
          <w:noProof/>
          <w:color w:val="auto"/>
        </w:rPr>
        <w:fldChar w:fldCharType="separate"/>
      </w:r>
      <w:r>
        <w:rPr>
          <w:noProof/>
          <w:color w:val="auto"/>
        </w:rPr>
        <w:t>iv</w:t>
      </w:r>
      <w:r>
        <w:rPr>
          <w:noProof/>
          <w:color w:val="auto"/>
        </w:rPr>
        <w:fldChar w:fldCharType="end"/>
      </w:r>
    </w:p>
    <w:p w:rsidR="007D3598" w:rsidRDefault="00F8547B">
      <w:pPr>
        <w:pStyle w:val="TOC1"/>
        <w:tabs>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Executive summary</w:t>
      </w:r>
      <w:r>
        <w:rPr>
          <w:noProof/>
          <w:color w:val="auto"/>
        </w:rPr>
        <w:tab/>
      </w:r>
      <w:r>
        <w:rPr>
          <w:noProof/>
          <w:color w:val="auto"/>
        </w:rPr>
        <w:fldChar w:fldCharType="begin"/>
      </w:r>
      <w:r>
        <w:rPr>
          <w:noProof/>
          <w:color w:val="auto"/>
        </w:rPr>
        <w:instrText xml:space="preserve"> PAGEREF _Toc515270131 \h </w:instrText>
      </w:r>
      <w:r>
        <w:rPr>
          <w:noProof/>
          <w:color w:val="auto"/>
        </w:rPr>
      </w:r>
      <w:r>
        <w:rPr>
          <w:noProof/>
          <w:color w:val="auto"/>
        </w:rPr>
        <w:fldChar w:fldCharType="separate"/>
      </w:r>
      <w:r>
        <w:rPr>
          <w:noProof/>
          <w:color w:val="auto"/>
        </w:rPr>
        <w:t>1</w:t>
      </w:r>
      <w:r>
        <w:rPr>
          <w:noProof/>
          <w:color w:val="auto"/>
        </w:rPr>
        <w:fldChar w:fldCharType="end"/>
      </w:r>
    </w:p>
    <w:p w:rsidR="007D3598" w:rsidRDefault="00F8547B">
      <w:pPr>
        <w:pStyle w:val="TOC1"/>
        <w:tabs>
          <w:tab w:val="left" w:pos="480"/>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1.</w:t>
      </w:r>
      <w:r>
        <w:rPr>
          <w:rFonts w:asciiTheme="minorHAnsi" w:eastAsiaTheme="minorEastAsia" w:hAnsiTheme="minorHAnsi" w:cstheme="minorBidi"/>
          <w:bCs w:val="0"/>
          <w:smallCaps w:val="0"/>
          <w:noProof/>
          <w:color w:val="auto"/>
          <w:sz w:val="22"/>
          <w:szCs w:val="22"/>
          <w:lang w:eastAsia="en-GB"/>
        </w:rPr>
        <w:tab/>
      </w:r>
      <w:r>
        <w:rPr>
          <w:noProof/>
          <w:color w:val="auto"/>
        </w:rPr>
        <w:t>Introduction</w:t>
      </w:r>
      <w:r>
        <w:rPr>
          <w:noProof/>
          <w:color w:val="auto"/>
        </w:rPr>
        <w:tab/>
      </w:r>
      <w:r>
        <w:rPr>
          <w:noProof/>
          <w:color w:val="auto"/>
        </w:rPr>
        <w:fldChar w:fldCharType="begin"/>
      </w:r>
      <w:r>
        <w:rPr>
          <w:noProof/>
          <w:color w:val="auto"/>
        </w:rPr>
        <w:instrText xml:space="preserve"> PAGEREF _Toc515270132 \h </w:instrText>
      </w:r>
      <w:r>
        <w:rPr>
          <w:noProof/>
          <w:color w:val="auto"/>
        </w:rPr>
      </w:r>
      <w:r>
        <w:rPr>
          <w:noProof/>
          <w:color w:val="auto"/>
        </w:rPr>
        <w:fldChar w:fldCharType="separate"/>
      </w:r>
      <w:r>
        <w:rPr>
          <w:noProof/>
          <w:color w:val="auto"/>
        </w:rPr>
        <w:t>3</w:t>
      </w:r>
      <w:r>
        <w:rPr>
          <w:noProof/>
          <w:color w:val="auto"/>
        </w:rPr>
        <w:fldChar w:fldCharType="end"/>
      </w:r>
    </w:p>
    <w:p w:rsidR="007D3598" w:rsidRDefault="00F8547B">
      <w:pPr>
        <w:pStyle w:val="TOC1"/>
        <w:tabs>
          <w:tab w:val="left" w:pos="480"/>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2.</w:t>
      </w:r>
      <w:r>
        <w:rPr>
          <w:rFonts w:asciiTheme="minorHAnsi" w:eastAsiaTheme="minorEastAsia" w:hAnsiTheme="minorHAnsi" w:cstheme="minorBidi"/>
          <w:bCs w:val="0"/>
          <w:smallCaps w:val="0"/>
          <w:noProof/>
          <w:color w:val="auto"/>
          <w:sz w:val="22"/>
          <w:szCs w:val="22"/>
          <w:lang w:eastAsia="en-GB"/>
        </w:rPr>
        <w:tab/>
      </w:r>
      <w:r>
        <w:rPr>
          <w:noProof/>
          <w:color w:val="auto"/>
        </w:rPr>
        <w:t>Background to the intervention</w:t>
      </w:r>
      <w:r>
        <w:rPr>
          <w:noProof/>
          <w:color w:val="auto"/>
        </w:rPr>
        <w:tab/>
      </w:r>
      <w:r>
        <w:rPr>
          <w:noProof/>
          <w:color w:val="auto"/>
        </w:rPr>
        <w:fldChar w:fldCharType="begin"/>
      </w:r>
      <w:r>
        <w:rPr>
          <w:noProof/>
          <w:color w:val="auto"/>
        </w:rPr>
        <w:instrText xml:space="preserve"> PAGEREF _Toc515270133 \h </w:instrText>
      </w:r>
      <w:r>
        <w:rPr>
          <w:noProof/>
          <w:color w:val="auto"/>
        </w:rPr>
      </w:r>
      <w:r>
        <w:rPr>
          <w:noProof/>
          <w:color w:val="auto"/>
        </w:rPr>
        <w:fldChar w:fldCharType="separate"/>
      </w:r>
      <w:r>
        <w:rPr>
          <w:noProof/>
          <w:color w:val="auto"/>
        </w:rPr>
        <w:t>4</w:t>
      </w:r>
      <w:r>
        <w:rPr>
          <w:noProof/>
          <w:color w:val="auto"/>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2.1</w:t>
      </w:r>
      <w:r>
        <w:rPr>
          <w:rFonts w:asciiTheme="minorHAnsi" w:eastAsiaTheme="minorEastAsia" w:hAnsiTheme="minorHAnsi" w:cstheme="minorBidi"/>
          <w:iCs w:val="0"/>
          <w:noProof/>
          <w:sz w:val="22"/>
          <w:szCs w:val="22"/>
          <w:lang w:eastAsia="en-GB"/>
        </w:rPr>
        <w:tab/>
      </w:r>
      <w:r>
        <w:rPr>
          <w:noProof/>
        </w:rPr>
        <w:t>Baseline</w:t>
      </w:r>
      <w:r>
        <w:rPr>
          <w:noProof/>
        </w:rPr>
        <w:tab/>
      </w:r>
      <w:r>
        <w:rPr>
          <w:noProof/>
        </w:rPr>
        <w:fldChar w:fldCharType="begin"/>
      </w:r>
      <w:r>
        <w:rPr>
          <w:noProof/>
        </w:rPr>
        <w:instrText xml:space="preserve"> PAGEREF _Toc515270134 \h </w:instrText>
      </w:r>
      <w:r>
        <w:rPr>
          <w:noProof/>
        </w:rPr>
      </w:r>
      <w:r>
        <w:rPr>
          <w:noProof/>
        </w:rPr>
        <w:fldChar w:fldCharType="separate"/>
      </w:r>
      <w:r>
        <w:rPr>
          <w:noProof/>
        </w:rPr>
        <w:t>4</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2.2</w:t>
      </w:r>
      <w:r>
        <w:rPr>
          <w:rFonts w:asciiTheme="minorHAnsi" w:eastAsiaTheme="minorEastAsia" w:hAnsiTheme="minorHAnsi" w:cstheme="minorBidi"/>
          <w:iCs w:val="0"/>
          <w:noProof/>
          <w:sz w:val="22"/>
          <w:szCs w:val="22"/>
          <w:lang w:eastAsia="en-GB"/>
        </w:rPr>
        <w:tab/>
      </w:r>
      <w:r>
        <w:rPr>
          <w:noProof/>
        </w:rPr>
        <w:t>Description of ISF-BV and its objectives</w:t>
      </w:r>
      <w:r>
        <w:rPr>
          <w:noProof/>
        </w:rPr>
        <w:tab/>
      </w:r>
      <w:r>
        <w:rPr>
          <w:noProof/>
        </w:rPr>
        <w:fldChar w:fldCharType="begin"/>
      </w:r>
      <w:r>
        <w:rPr>
          <w:noProof/>
        </w:rPr>
        <w:instrText xml:space="preserve"> PAGEREF _Toc515270135 \h </w:instrText>
      </w:r>
      <w:r>
        <w:rPr>
          <w:noProof/>
        </w:rPr>
      </w:r>
      <w:r>
        <w:rPr>
          <w:noProof/>
        </w:rPr>
        <w:fldChar w:fldCharType="separate"/>
      </w:r>
      <w:r>
        <w:rPr>
          <w:noProof/>
        </w:rPr>
        <w:t>10</w:t>
      </w:r>
      <w:r>
        <w:rPr>
          <w:noProof/>
        </w:rPr>
        <w:fldChar w:fldCharType="end"/>
      </w:r>
    </w:p>
    <w:p w:rsidR="007D3598" w:rsidRDefault="00F8547B">
      <w:pPr>
        <w:pStyle w:val="TOC1"/>
        <w:tabs>
          <w:tab w:val="left" w:pos="480"/>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3.</w:t>
      </w:r>
      <w:r>
        <w:rPr>
          <w:rFonts w:asciiTheme="minorHAnsi" w:eastAsiaTheme="minorEastAsia" w:hAnsiTheme="minorHAnsi" w:cstheme="minorBidi"/>
          <w:bCs w:val="0"/>
          <w:smallCaps w:val="0"/>
          <w:noProof/>
          <w:color w:val="auto"/>
          <w:sz w:val="22"/>
          <w:szCs w:val="22"/>
          <w:lang w:eastAsia="en-GB"/>
        </w:rPr>
        <w:tab/>
      </w:r>
      <w:r>
        <w:rPr>
          <w:noProof/>
          <w:color w:val="auto"/>
        </w:rPr>
        <w:t>Implementation / State of Play</w:t>
      </w:r>
      <w:r>
        <w:rPr>
          <w:noProof/>
          <w:color w:val="auto"/>
        </w:rPr>
        <w:tab/>
      </w:r>
      <w:r>
        <w:rPr>
          <w:noProof/>
          <w:color w:val="auto"/>
        </w:rPr>
        <w:fldChar w:fldCharType="begin"/>
      </w:r>
      <w:r>
        <w:rPr>
          <w:noProof/>
          <w:color w:val="auto"/>
        </w:rPr>
        <w:instrText xml:space="preserve"> PAGEREF _Toc515270136 \h </w:instrText>
      </w:r>
      <w:r>
        <w:rPr>
          <w:noProof/>
          <w:color w:val="auto"/>
        </w:rPr>
      </w:r>
      <w:r>
        <w:rPr>
          <w:noProof/>
          <w:color w:val="auto"/>
        </w:rPr>
        <w:fldChar w:fldCharType="separate"/>
      </w:r>
      <w:r>
        <w:rPr>
          <w:noProof/>
          <w:color w:val="auto"/>
        </w:rPr>
        <w:t>15</w:t>
      </w:r>
      <w:r>
        <w:rPr>
          <w:noProof/>
          <w:color w:val="auto"/>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3.1</w:t>
      </w:r>
      <w:r>
        <w:rPr>
          <w:rFonts w:asciiTheme="minorHAnsi" w:eastAsiaTheme="minorEastAsia" w:hAnsiTheme="minorHAnsi" w:cstheme="minorBidi"/>
          <w:iCs w:val="0"/>
          <w:noProof/>
          <w:sz w:val="22"/>
          <w:szCs w:val="22"/>
          <w:lang w:eastAsia="en-GB"/>
        </w:rPr>
        <w:tab/>
      </w:r>
      <w:r>
        <w:rPr>
          <w:noProof/>
        </w:rPr>
        <w:t>Description of the implementation process</w:t>
      </w:r>
      <w:r>
        <w:rPr>
          <w:noProof/>
        </w:rPr>
        <w:tab/>
      </w:r>
      <w:r>
        <w:rPr>
          <w:noProof/>
        </w:rPr>
        <w:fldChar w:fldCharType="begin"/>
      </w:r>
      <w:r>
        <w:rPr>
          <w:noProof/>
        </w:rPr>
        <w:instrText xml:space="preserve"> PAGEREF _Toc515270137 \h </w:instrText>
      </w:r>
      <w:r>
        <w:rPr>
          <w:noProof/>
        </w:rPr>
      </w:r>
      <w:r>
        <w:rPr>
          <w:noProof/>
        </w:rPr>
        <w:fldChar w:fldCharType="separate"/>
      </w:r>
      <w:r>
        <w:rPr>
          <w:noProof/>
        </w:rPr>
        <w:t>15</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3.2</w:t>
      </w:r>
      <w:r>
        <w:rPr>
          <w:rFonts w:asciiTheme="minorHAnsi" w:eastAsiaTheme="minorEastAsia" w:hAnsiTheme="minorHAnsi" w:cstheme="minorBidi"/>
          <w:iCs w:val="0"/>
          <w:noProof/>
          <w:sz w:val="22"/>
          <w:szCs w:val="22"/>
          <w:lang w:eastAsia="en-GB"/>
        </w:rPr>
        <w:tab/>
      </w:r>
      <w:r>
        <w:rPr>
          <w:noProof/>
        </w:rPr>
        <w:t>Description of the implementation status</w:t>
      </w:r>
      <w:r>
        <w:rPr>
          <w:noProof/>
        </w:rPr>
        <w:tab/>
      </w:r>
      <w:r>
        <w:rPr>
          <w:noProof/>
        </w:rPr>
        <w:fldChar w:fldCharType="begin"/>
      </w:r>
      <w:r>
        <w:rPr>
          <w:noProof/>
        </w:rPr>
        <w:instrText xml:space="preserve"> PAG</w:instrText>
      </w:r>
      <w:r>
        <w:rPr>
          <w:noProof/>
        </w:rPr>
        <w:instrText xml:space="preserve">EREF _Toc515270138 \h </w:instrText>
      </w:r>
      <w:r>
        <w:rPr>
          <w:noProof/>
        </w:rPr>
      </w:r>
      <w:r>
        <w:rPr>
          <w:noProof/>
        </w:rPr>
        <w:fldChar w:fldCharType="separate"/>
      </w:r>
      <w:r>
        <w:rPr>
          <w:noProof/>
        </w:rPr>
        <w:t>16</w:t>
      </w:r>
      <w:r>
        <w:rPr>
          <w:noProof/>
        </w:rPr>
        <w:fldChar w:fldCharType="end"/>
      </w:r>
    </w:p>
    <w:p w:rsidR="007D3598" w:rsidRDefault="00F8547B">
      <w:pPr>
        <w:pStyle w:val="TOC1"/>
        <w:tabs>
          <w:tab w:val="left" w:pos="480"/>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4.</w:t>
      </w:r>
      <w:r>
        <w:rPr>
          <w:rFonts w:asciiTheme="minorHAnsi" w:eastAsiaTheme="minorEastAsia" w:hAnsiTheme="minorHAnsi" w:cstheme="minorBidi"/>
          <w:bCs w:val="0"/>
          <w:smallCaps w:val="0"/>
          <w:noProof/>
          <w:color w:val="auto"/>
          <w:sz w:val="22"/>
          <w:szCs w:val="22"/>
          <w:lang w:eastAsia="en-GB"/>
        </w:rPr>
        <w:tab/>
      </w:r>
      <w:r>
        <w:rPr>
          <w:noProof/>
          <w:color w:val="auto"/>
        </w:rPr>
        <w:t>Method</w:t>
      </w:r>
      <w:r>
        <w:rPr>
          <w:noProof/>
          <w:color w:val="auto"/>
        </w:rPr>
        <w:tab/>
      </w:r>
      <w:r>
        <w:rPr>
          <w:noProof/>
          <w:color w:val="auto"/>
        </w:rPr>
        <w:fldChar w:fldCharType="begin"/>
      </w:r>
      <w:r>
        <w:rPr>
          <w:noProof/>
          <w:color w:val="auto"/>
        </w:rPr>
        <w:instrText xml:space="preserve"> PAGEREF _Toc515270139 \h </w:instrText>
      </w:r>
      <w:r>
        <w:rPr>
          <w:noProof/>
          <w:color w:val="auto"/>
        </w:rPr>
      </w:r>
      <w:r>
        <w:rPr>
          <w:noProof/>
          <w:color w:val="auto"/>
        </w:rPr>
        <w:fldChar w:fldCharType="separate"/>
      </w:r>
      <w:r>
        <w:rPr>
          <w:noProof/>
          <w:color w:val="auto"/>
        </w:rPr>
        <w:t>27</w:t>
      </w:r>
      <w:r>
        <w:rPr>
          <w:noProof/>
          <w:color w:val="auto"/>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4.1</w:t>
      </w:r>
      <w:r>
        <w:rPr>
          <w:rFonts w:asciiTheme="minorHAnsi" w:eastAsiaTheme="minorEastAsia" w:hAnsiTheme="minorHAnsi" w:cstheme="minorBidi"/>
          <w:iCs w:val="0"/>
          <w:noProof/>
          <w:sz w:val="22"/>
          <w:szCs w:val="22"/>
          <w:lang w:eastAsia="en-GB"/>
        </w:rPr>
        <w:tab/>
      </w:r>
      <w:r>
        <w:rPr>
          <w:noProof/>
        </w:rPr>
        <w:t>Short description of methodology</w:t>
      </w:r>
      <w:r>
        <w:rPr>
          <w:noProof/>
        </w:rPr>
        <w:tab/>
      </w:r>
      <w:r>
        <w:rPr>
          <w:noProof/>
        </w:rPr>
        <w:fldChar w:fldCharType="begin"/>
      </w:r>
      <w:r>
        <w:rPr>
          <w:noProof/>
        </w:rPr>
        <w:instrText xml:space="preserve"> PAGEREF _Toc515270140 \h </w:instrText>
      </w:r>
      <w:r>
        <w:rPr>
          <w:noProof/>
        </w:rPr>
      </w:r>
      <w:r>
        <w:rPr>
          <w:noProof/>
        </w:rPr>
        <w:fldChar w:fldCharType="separate"/>
      </w:r>
      <w:r>
        <w:rPr>
          <w:noProof/>
        </w:rPr>
        <w:t>27</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4.2</w:t>
      </w:r>
      <w:r>
        <w:rPr>
          <w:rFonts w:asciiTheme="minorHAnsi" w:eastAsiaTheme="minorEastAsia" w:hAnsiTheme="minorHAnsi" w:cstheme="minorBidi"/>
          <w:iCs w:val="0"/>
          <w:noProof/>
          <w:sz w:val="22"/>
          <w:szCs w:val="22"/>
          <w:lang w:eastAsia="en-GB"/>
        </w:rPr>
        <w:tab/>
      </w:r>
      <w:r>
        <w:rPr>
          <w:noProof/>
        </w:rPr>
        <w:t>Evaluation questions</w:t>
      </w:r>
      <w:r>
        <w:rPr>
          <w:noProof/>
        </w:rPr>
        <w:tab/>
      </w:r>
      <w:r>
        <w:rPr>
          <w:noProof/>
        </w:rPr>
        <w:fldChar w:fldCharType="begin"/>
      </w:r>
      <w:r>
        <w:rPr>
          <w:noProof/>
        </w:rPr>
        <w:instrText xml:space="preserve"> PAGEREF _Toc515270141 \h </w:instrText>
      </w:r>
      <w:r>
        <w:rPr>
          <w:noProof/>
        </w:rPr>
      </w:r>
      <w:r>
        <w:rPr>
          <w:noProof/>
        </w:rPr>
        <w:fldChar w:fldCharType="separate"/>
      </w:r>
      <w:r>
        <w:rPr>
          <w:noProof/>
        </w:rPr>
        <w:t>28</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4.3</w:t>
      </w:r>
      <w:r>
        <w:rPr>
          <w:rFonts w:asciiTheme="minorHAnsi" w:eastAsiaTheme="minorEastAsia" w:hAnsiTheme="minorHAnsi" w:cstheme="minorBidi"/>
          <w:iCs w:val="0"/>
          <w:noProof/>
          <w:sz w:val="22"/>
          <w:szCs w:val="22"/>
          <w:lang w:eastAsia="en-GB"/>
        </w:rPr>
        <w:tab/>
      </w:r>
      <w:r>
        <w:rPr>
          <w:noProof/>
        </w:rPr>
        <w:t>Limitations and robustness of fin</w:t>
      </w:r>
      <w:r>
        <w:rPr>
          <w:noProof/>
        </w:rPr>
        <w:t>dings</w:t>
      </w:r>
      <w:r>
        <w:rPr>
          <w:noProof/>
        </w:rPr>
        <w:tab/>
      </w:r>
      <w:r>
        <w:rPr>
          <w:noProof/>
        </w:rPr>
        <w:fldChar w:fldCharType="begin"/>
      </w:r>
      <w:r>
        <w:rPr>
          <w:noProof/>
        </w:rPr>
        <w:instrText xml:space="preserve"> PAGEREF _Toc515270142 \h </w:instrText>
      </w:r>
      <w:r>
        <w:rPr>
          <w:noProof/>
        </w:rPr>
      </w:r>
      <w:r>
        <w:rPr>
          <w:noProof/>
        </w:rPr>
        <w:fldChar w:fldCharType="separate"/>
      </w:r>
      <w:r>
        <w:rPr>
          <w:noProof/>
        </w:rPr>
        <w:t>28</w:t>
      </w:r>
      <w:r>
        <w:rPr>
          <w:noProof/>
        </w:rPr>
        <w:fldChar w:fldCharType="end"/>
      </w:r>
    </w:p>
    <w:p w:rsidR="007D3598" w:rsidRDefault="00F8547B">
      <w:pPr>
        <w:pStyle w:val="TOC1"/>
        <w:tabs>
          <w:tab w:val="left" w:pos="480"/>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5.</w:t>
      </w:r>
      <w:r>
        <w:rPr>
          <w:rFonts w:asciiTheme="minorHAnsi" w:eastAsiaTheme="minorEastAsia" w:hAnsiTheme="minorHAnsi" w:cstheme="minorBidi"/>
          <w:bCs w:val="0"/>
          <w:smallCaps w:val="0"/>
          <w:noProof/>
          <w:color w:val="auto"/>
          <w:sz w:val="22"/>
          <w:szCs w:val="22"/>
          <w:lang w:eastAsia="en-GB"/>
        </w:rPr>
        <w:tab/>
      </w:r>
      <w:r>
        <w:rPr>
          <w:noProof/>
          <w:color w:val="auto"/>
        </w:rPr>
        <w:t>Analysis and answers to the evaluation questions</w:t>
      </w:r>
      <w:r>
        <w:rPr>
          <w:noProof/>
          <w:color w:val="auto"/>
        </w:rPr>
        <w:tab/>
      </w:r>
      <w:r>
        <w:rPr>
          <w:noProof/>
          <w:color w:val="auto"/>
        </w:rPr>
        <w:fldChar w:fldCharType="begin"/>
      </w:r>
      <w:r>
        <w:rPr>
          <w:noProof/>
          <w:color w:val="auto"/>
        </w:rPr>
        <w:instrText xml:space="preserve"> PAGEREF _Toc515270143 \h </w:instrText>
      </w:r>
      <w:r>
        <w:rPr>
          <w:noProof/>
          <w:color w:val="auto"/>
        </w:rPr>
      </w:r>
      <w:r>
        <w:rPr>
          <w:noProof/>
          <w:color w:val="auto"/>
        </w:rPr>
        <w:fldChar w:fldCharType="separate"/>
      </w:r>
      <w:r>
        <w:rPr>
          <w:noProof/>
          <w:color w:val="auto"/>
        </w:rPr>
        <w:t>30</w:t>
      </w:r>
      <w:r>
        <w:rPr>
          <w:noProof/>
          <w:color w:val="auto"/>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5.1</w:t>
      </w:r>
      <w:r>
        <w:rPr>
          <w:rFonts w:asciiTheme="minorHAnsi" w:eastAsiaTheme="minorEastAsia" w:hAnsiTheme="minorHAnsi" w:cstheme="minorBidi"/>
          <w:iCs w:val="0"/>
          <w:noProof/>
          <w:sz w:val="22"/>
          <w:szCs w:val="22"/>
          <w:lang w:eastAsia="en-GB"/>
        </w:rPr>
        <w:tab/>
      </w:r>
      <w:r>
        <w:rPr>
          <w:noProof/>
        </w:rPr>
        <w:t>How effective has ISF-BV been so far?</w:t>
      </w:r>
      <w:r>
        <w:rPr>
          <w:noProof/>
        </w:rPr>
        <w:tab/>
      </w:r>
      <w:r>
        <w:rPr>
          <w:noProof/>
        </w:rPr>
        <w:fldChar w:fldCharType="begin"/>
      </w:r>
      <w:r>
        <w:rPr>
          <w:noProof/>
        </w:rPr>
        <w:instrText xml:space="preserve"> PAGEREF _Toc515270144 \h </w:instrText>
      </w:r>
      <w:r>
        <w:rPr>
          <w:noProof/>
        </w:rPr>
      </w:r>
      <w:r>
        <w:rPr>
          <w:noProof/>
        </w:rPr>
        <w:fldChar w:fldCharType="separate"/>
      </w:r>
      <w:r>
        <w:rPr>
          <w:noProof/>
        </w:rPr>
        <w:t>30</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5.2</w:t>
      </w:r>
      <w:r>
        <w:rPr>
          <w:rFonts w:asciiTheme="minorHAnsi" w:eastAsiaTheme="minorEastAsia" w:hAnsiTheme="minorHAnsi" w:cstheme="minorBidi"/>
          <w:iCs w:val="0"/>
          <w:noProof/>
          <w:sz w:val="22"/>
          <w:szCs w:val="22"/>
          <w:lang w:eastAsia="en-GB"/>
        </w:rPr>
        <w:tab/>
      </w:r>
      <w:r>
        <w:rPr>
          <w:noProof/>
        </w:rPr>
        <w:t>How efficient has ISF-BV been so far?</w:t>
      </w:r>
      <w:r>
        <w:rPr>
          <w:noProof/>
        </w:rPr>
        <w:tab/>
      </w:r>
      <w:r>
        <w:rPr>
          <w:noProof/>
        </w:rPr>
        <w:fldChar w:fldCharType="begin"/>
      </w:r>
      <w:r>
        <w:rPr>
          <w:noProof/>
        </w:rPr>
        <w:instrText xml:space="preserve"> PAGEREF _Toc515270145 \h </w:instrText>
      </w:r>
      <w:r>
        <w:rPr>
          <w:noProof/>
        </w:rPr>
      </w:r>
      <w:r>
        <w:rPr>
          <w:noProof/>
        </w:rPr>
        <w:fldChar w:fldCharType="separate"/>
      </w:r>
      <w:r>
        <w:rPr>
          <w:noProof/>
        </w:rPr>
        <w:t>37</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5.3</w:t>
      </w:r>
      <w:r>
        <w:rPr>
          <w:rFonts w:asciiTheme="minorHAnsi" w:eastAsiaTheme="minorEastAsia" w:hAnsiTheme="minorHAnsi" w:cstheme="minorBidi"/>
          <w:iCs w:val="0"/>
          <w:noProof/>
          <w:sz w:val="22"/>
          <w:szCs w:val="22"/>
          <w:lang w:eastAsia="en-GB"/>
        </w:rPr>
        <w:tab/>
      </w:r>
      <w:r>
        <w:rPr>
          <w:noProof/>
        </w:rPr>
        <w:t>How much simplification and reductions of administrative burden has ISF-BV brought so far?</w:t>
      </w:r>
      <w:r>
        <w:rPr>
          <w:noProof/>
        </w:rPr>
        <w:tab/>
      </w:r>
      <w:r>
        <w:rPr>
          <w:noProof/>
        </w:rPr>
        <w:fldChar w:fldCharType="begin"/>
      </w:r>
      <w:r>
        <w:rPr>
          <w:noProof/>
        </w:rPr>
        <w:instrText xml:space="preserve"> PAGEREF _Toc515270146 \h </w:instrText>
      </w:r>
      <w:r>
        <w:rPr>
          <w:noProof/>
        </w:rPr>
      </w:r>
      <w:r>
        <w:rPr>
          <w:noProof/>
        </w:rPr>
        <w:fldChar w:fldCharType="separate"/>
      </w:r>
      <w:r>
        <w:rPr>
          <w:noProof/>
        </w:rPr>
        <w:t>40</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5.4</w:t>
      </w:r>
      <w:r>
        <w:rPr>
          <w:rFonts w:asciiTheme="minorHAnsi" w:eastAsiaTheme="minorEastAsia" w:hAnsiTheme="minorHAnsi" w:cstheme="minorBidi"/>
          <w:iCs w:val="0"/>
          <w:noProof/>
          <w:sz w:val="22"/>
          <w:szCs w:val="22"/>
          <w:lang w:eastAsia="en-GB"/>
        </w:rPr>
        <w:tab/>
      </w:r>
      <w:r>
        <w:rPr>
          <w:noProof/>
        </w:rPr>
        <w:t>How relevant has ISF-BV been so far?</w:t>
      </w:r>
      <w:r>
        <w:rPr>
          <w:noProof/>
        </w:rPr>
        <w:tab/>
      </w:r>
      <w:r>
        <w:rPr>
          <w:noProof/>
        </w:rPr>
        <w:fldChar w:fldCharType="begin"/>
      </w:r>
      <w:r>
        <w:rPr>
          <w:noProof/>
        </w:rPr>
        <w:instrText xml:space="preserve"> PAGER</w:instrText>
      </w:r>
      <w:r>
        <w:rPr>
          <w:noProof/>
        </w:rPr>
        <w:instrText xml:space="preserve">EF _Toc515270147 \h </w:instrText>
      </w:r>
      <w:r>
        <w:rPr>
          <w:noProof/>
        </w:rPr>
      </w:r>
      <w:r>
        <w:rPr>
          <w:noProof/>
        </w:rPr>
        <w:fldChar w:fldCharType="separate"/>
      </w:r>
      <w:r>
        <w:rPr>
          <w:noProof/>
        </w:rPr>
        <w:t>44</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5.5</w:t>
      </w:r>
      <w:r>
        <w:rPr>
          <w:rFonts w:asciiTheme="minorHAnsi" w:eastAsiaTheme="minorEastAsia" w:hAnsiTheme="minorHAnsi" w:cstheme="minorBidi"/>
          <w:iCs w:val="0"/>
          <w:noProof/>
          <w:sz w:val="22"/>
          <w:szCs w:val="22"/>
          <w:lang w:eastAsia="en-GB"/>
        </w:rPr>
        <w:tab/>
      </w:r>
      <w:r>
        <w:rPr>
          <w:noProof/>
        </w:rPr>
        <w:t>How coherent and complementary has ISF-BV been so far?</w:t>
      </w:r>
      <w:r>
        <w:rPr>
          <w:noProof/>
        </w:rPr>
        <w:tab/>
      </w:r>
      <w:r>
        <w:rPr>
          <w:noProof/>
        </w:rPr>
        <w:fldChar w:fldCharType="begin"/>
      </w:r>
      <w:r>
        <w:rPr>
          <w:noProof/>
        </w:rPr>
        <w:instrText xml:space="preserve"> PAGEREF _Toc515270148 \h </w:instrText>
      </w:r>
      <w:r>
        <w:rPr>
          <w:noProof/>
        </w:rPr>
      </w:r>
      <w:r>
        <w:rPr>
          <w:noProof/>
        </w:rPr>
        <w:fldChar w:fldCharType="separate"/>
      </w:r>
      <w:r>
        <w:rPr>
          <w:noProof/>
        </w:rPr>
        <w:t>49</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5.6</w:t>
      </w:r>
      <w:r>
        <w:rPr>
          <w:rFonts w:asciiTheme="minorHAnsi" w:eastAsiaTheme="minorEastAsia" w:hAnsiTheme="minorHAnsi" w:cstheme="minorBidi"/>
          <w:iCs w:val="0"/>
          <w:noProof/>
          <w:sz w:val="22"/>
          <w:szCs w:val="22"/>
          <w:lang w:eastAsia="en-GB"/>
        </w:rPr>
        <w:tab/>
      </w:r>
      <w:r>
        <w:rPr>
          <w:noProof/>
        </w:rPr>
        <w:t xml:space="preserve">What </w:t>
      </w:r>
      <w:r>
        <w:rPr>
          <w:noProof/>
        </w:rPr>
        <w:t>is the EU added value of ISF-BV so far?</w:t>
      </w:r>
      <w:r>
        <w:rPr>
          <w:noProof/>
        </w:rPr>
        <w:tab/>
      </w:r>
      <w:r>
        <w:rPr>
          <w:noProof/>
        </w:rPr>
        <w:fldChar w:fldCharType="begin"/>
      </w:r>
      <w:r>
        <w:rPr>
          <w:noProof/>
        </w:rPr>
        <w:instrText xml:space="preserve"> PAGEREF _Toc515270149 \h </w:instrText>
      </w:r>
      <w:r>
        <w:rPr>
          <w:noProof/>
        </w:rPr>
      </w:r>
      <w:r>
        <w:rPr>
          <w:noProof/>
        </w:rPr>
        <w:fldChar w:fldCharType="separate"/>
      </w:r>
      <w:r>
        <w:rPr>
          <w:noProof/>
        </w:rPr>
        <w:t>54</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5.7</w:t>
      </w:r>
      <w:r>
        <w:rPr>
          <w:rFonts w:asciiTheme="minorHAnsi" w:eastAsiaTheme="minorEastAsia" w:hAnsiTheme="minorHAnsi" w:cstheme="minorBidi"/>
          <w:iCs w:val="0"/>
          <w:noProof/>
          <w:sz w:val="22"/>
          <w:szCs w:val="22"/>
          <w:lang w:eastAsia="en-GB"/>
        </w:rPr>
        <w:tab/>
      </w:r>
      <w:r>
        <w:rPr>
          <w:noProof/>
        </w:rPr>
        <w:t>How sustainable are the actions implemented under ISF-BV so far?</w:t>
      </w:r>
      <w:r>
        <w:rPr>
          <w:noProof/>
        </w:rPr>
        <w:tab/>
      </w:r>
      <w:r>
        <w:rPr>
          <w:noProof/>
        </w:rPr>
        <w:fldChar w:fldCharType="begin"/>
      </w:r>
      <w:r>
        <w:rPr>
          <w:noProof/>
        </w:rPr>
        <w:instrText xml:space="preserve"> PAGEREF _Toc515270150 \h </w:instrText>
      </w:r>
      <w:r>
        <w:rPr>
          <w:noProof/>
        </w:rPr>
      </w:r>
      <w:r>
        <w:rPr>
          <w:noProof/>
        </w:rPr>
        <w:fldChar w:fldCharType="separate"/>
      </w:r>
      <w:r>
        <w:rPr>
          <w:noProof/>
        </w:rPr>
        <w:t>57</w:t>
      </w:r>
      <w:r>
        <w:rPr>
          <w:noProof/>
        </w:rPr>
        <w:fldChar w:fldCharType="end"/>
      </w:r>
    </w:p>
    <w:p w:rsidR="007D3598" w:rsidRDefault="00F8547B">
      <w:pPr>
        <w:pStyle w:val="TOC1"/>
        <w:tabs>
          <w:tab w:val="left" w:pos="480"/>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6.</w:t>
      </w:r>
      <w:r>
        <w:rPr>
          <w:rFonts w:asciiTheme="minorHAnsi" w:eastAsiaTheme="minorEastAsia" w:hAnsiTheme="minorHAnsi" w:cstheme="minorBidi"/>
          <w:bCs w:val="0"/>
          <w:smallCaps w:val="0"/>
          <w:noProof/>
          <w:color w:val="auto"/>
          <w:sz w:val="22"/>
          <w:szCs w:val="22"/>
          <w:lang w:eastAsia="en-GB"/>
        </w:rPr>
        <w:tab/>
      </w:r>
      <w:r>
        <w:rPr>
          <w:noProof/>
          <w:color w:val="auto"/>
        </w:rPr>
        <w:t>Conclusions and issues for further consideration</w:t>
      </w:r>
      <w:r>
        <w:rPr>
          <w:noProof/>
          <w:color w:val="auto"/>
        </w:rPr>
        <w:tab/>
      </w:r>
      <w:r>
        <w:rPr>
          <w:noProof/>
          <w:color w:val="auto"/>
        </w:rPr>
        <w:fldChar w:fldCharType="begin"/>
      </w:r>
      <w:r>
        <w:rPr>
          <w:noProof/>
          <w:color w:val="auto"/>
        </w:rPr>
        <w:instrText xml:space="preserve"> PAGEREF _Toc515270151 \h </w:instrText>
      </w:r>
      <w:r>
        <w:rPr>
          <w:noProof/>
          <w:color w:val="auto"/>
        </w:rPr>
      </w:r>
      <w:r>
        <w:rPr>
          <w:noProof/>
          <w:color w:val="auto"/>
        </w:rPr>
        <w:fldChar w:fldCharType="separate"/>
      </w:r>
      <w:r>
        <w:rPr>
          <w:noProof/>
          <w:color w:val="auto"/>
        </w:rPr>
        <w:t>59</w:t>
      </w:r>
      <w:r>
        <w:rPr>
          <w:noProof/>
          <w:color w:val="auto"/>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6.1</w:t>
      </w:r>
      <w:r>
        <w:rPr>
          <w:rFonts w:asciiTheme="minorHAnsi" w:eastAsiaTheme="minorEastAsia" w:hAnsiTheme="minorHAnsi" w:cstheme="minorBidi"/>
          <w:iCs w:val="0"/>
          <w:noProof/>
          <w:sz w:val="22"/>
          <w:szCs w:val="22"/>
          <w:lang w:eastAsia="en-GB"/>
        </w:rPr>
        <w:tab/>
      </w:r>
      <w:r>
        <w:rPr>
          <w:noProof/>
        </w:rPr>
        <w:t>Effectiveness</w:t>
      </w:r>
      <w:r>
        <w:rPr>
          <w:noProof/>
        </w:rPr>
        <w:tab/>
      </w:r>
      <w:r>
        <w:rPr>
          <w:noProof/>
        </w:rPr>
        <w:fldChar w:fldCharType="begin"/>
      </w:r>
      <w:r>
        <w:rPr>
          <w:noProof/>
        </w:rPr>
        <w:instrText xml:space="preserve"> PAGEREF _Toc515270152 \h</w:instrText>
      </w:r>
      <w:r>
        <w:rPr>
          <w:noProof/>
        </w:rPr>
        <w:instrText xml:space="preserve"> </w:instrText>
      </w:r>
      <w:r>
        <w:rPr>
          <w:noProof/>
        </w:rPr>
      </w:r>
      <w:r>
        <w:rPr>
          <w:noProof/>
        </w:rPr>
        <w:fldChar w:fldCharType="separate"/>
      </w:r>
      <w:r>
        <w:rPr>
          <w:noProof/>
        </w:rPr>
        <w:t>59</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6.2</w:t>
      </w:r>
      <w:r>
        <w:rPr>
          <w:rFonts w:asciiTheme="minorHAnsi" w:eastAsiaTheme="minorEastAsia" w:hAnsiTheme="minorHAnsi" w:cstheme="minorBidi"/>
          <w:iCs w:val="0"/>
          <w:noProof/>
          <w:sz w:val="22"/>
          <w:szCs w:val="22"/>
          <w:lang w:eastAsia="en-GB"/>
        </w:rPr>
        <w:tab/>
      </w:r>
      <w:r>
        <w:rPr>
          <w:noProof/>
        </w:rPr>
        <w:t>Efficiency</w:t>
      </w:r>
      <w:r>
        <w:rPr>
          <w:noProof/>
        </w:rPr>
        <w:tab/>
      </w:r>
      <w:r>
        <w:rPr>
          <w:noProof/>
        </w:rPr>
        <w:fldChar w:fldCharType="begin"/>
      </w:r>
      <w:r>
        <w:rPr>
          <w:noProof/>
        </w:rPr>
        <w:instrText xml:space="preserve"> PAGEREF _Toc515270153 \h </w:instrText>
      </w:r>
      <w:r>
        <w:rPr>
          <w:noProof/>
        </w:rPr>
      </w:r>
      <w:r>
        <w:rPr>
          <w:noProof/>
        </w:rPr>
        <w:fldChar w:fldCharType="separate"/>
      </w:r>
      <w:r>
        <w:rPr>
          <w:noProof/>
        </w:rPr>
        <w:t>61</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6.3</w:t>
      </w:r>
      <w:r>
        <w:rPr>
          <w:rFonts w:asciiTheme="minorHAnsi" w:eastAsiaTheme="minorEastAsia" w:hAnsiTheme="minorHAnsi" w:cstheme="minorBidi"/>
          <w:iCs w:val="0"/>
          <w:noProof/>
          <w:sz w:val="22"/>
          <w:szCs w:val="22"/>
          <w:lang w:eastAsia="en-GB"/>
        </w:rPr>
        <w:tab/>
      </w:r>
      <w:r>
        <w:rPr>
          <w:noProof/>
        </w:rPr>
        <w:t xml:space="preserve">Simplification of management procedures and reduction of </w:t>
      </w:r>
      <w:r>
        <w:rPr>
          <w:noProof/>
        </w:rPr>
        <w:t>administrative burden</w:t>
      </w:r>
      <w:r>
        <w:rPr>
          <w:noProof/>
        </w:rPr>
        <w:tab/>
      </w:r>
      <w:r>
        <w:rPr>
          <w:noProof/>
        </w:rPr>
        <w:fldChar w:fldCharType="begin"/>
      </w:r>
      <w:r>
        <w:rPr>
          <w:noProof/>
        </w:rPr>
        <w:instrText xml:space="preserve"> PAGEREF _Toc515270154 \h </w:instrText>
      </w:r>
      <w:r>
        <w:rPr>
          <w:noProof/>
        </w:rPr>
      </w:r>
      <w:r>
        <w:rPr>
          <w:noProof/>
        </w:rPr>
        <w:fldChar w:fldCharType="separate"/>
      </w:r>
      <w:r>
        <w:rPr>
          <w:noProof/>
        </w:rPr>
        <w:t>61</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6.4</w:t>
      </w:r>
      <w:r>
        <w:rPr>
          <w:rFonts w:asciiTheme="minorHAnsi" w:eastAsiaTheme="minorEastAsia" w:hAnsiTheme="minorHAnsi" w:cstheme="minorBidi"/>
          <w:iCs w:val="0"/>
          <w:noProof/>
          <w:sz w:val="22"/>
          <w:szCs w:val="22"/>
          <w:lang w:eastAsia="en-GB"/>
        </w:rPr>
        <w:tab/>
      </w:r>
      <w:r>
        <w:rPr>
          <w:noProof/>
        </w:rPr>
        <w:t>Relevance</w:t>
      </w:r>
      <w:r>
        <w:rPr>
          <w:noProof/>
        </w:rPr>
        <w:tab/>
      </w:r>
      <w:r>
        <w:rPr>
          <w:noProof/>
        </w:rPr>
        <w:fldChar w:fldCharType="begin"/>
      </w:r>
      <w:r>
        <w:rPr>
          <w:noProof/>
        </w:rPr>
        <w:instrText xml:space="preserve"> PAGEREF _Toc515270155 \h </w:instrText>
      </w:r>
      <w:r>
        <w:rPr>
          <w:noProof/>
        </w:rPr>
      </w:r>
      <w:r>
        <w:rPr>
          <w:noProof/>
        </w:rPr>
        <w:fldChar w:fldCharType="separate"/>
      </w:r>
      <w:r>
        <w:rPr>
          <w:noProof/>
        </w:rPr>
        <w:t>62</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6.5</w:t>
      </w:r>
      <w:r>
        <w:rPr>
          <w:rFonts w:asciiTheme="minorHAnsi" w:eastAsiaTheme="minorEastAsia" w:hAnsiTheme="minorHAnsi" w:cstheme="minorBidi"/>
          <w:iCs w:val="0"/>
          <w:noProof/>
          <w:sz w:val="22"/>
          <w:szCs w:val="22"/>
          <w:lang w:eastAsia="en-GB"/>
        </w:rPr>
        <w:tab/>
      </w:r>
      <w:r>
        <w:rPr>
          <w:noProof/>
        </w:rPr>
        <w:t>Coherence and complemen</w:t>
      </w:r>
      <w:r>
        <w:rPr>
          <w:noProof/>
        </w:rPr>
        <w:t>tarity</w:t>
      </w:r>
      <w:r>
        <w:rPr>
          <w:noProof/>
        </w:rPr>
        <w:tab/>
      </w:r>
      <w:r>
        <w:rPr>
          <w:noProof/>
        </w:rPr>
        <w:fldChar w:fldCharType="begin"/>
      </w:r>
      <w:r>
        <w:rPr>
          <w:noProof/>
        </w:rPr>
        <w:instrText xml:space="preserve"> PAGEREF _Toc515270156 \h </w:instrText>
      </w:r>
      <w:r>
        <w:rPr>
          <w:noProof/>
        </w:rPr>
      </w:r>
      <w:r>
        <w:rPr>
          <w:noProof/>
        </w:rPr>
        <w:fldChar w:fldCharType="separate"/>
      </w:r>
      <w:r>
        <w:rPr>
          <w:noProof/>
        </w:rPr>
        <w:t>62</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6.6</w:t>
      </w:r>
      <w:r>
        <w:rPr>
          <w:rFonts w:asciiTheme="minorHAnsi" w:eastAsiaTheme="minorEastAsia" w:hAnsiTheme="minorHAnsi" w:cstheme="minorBidi"/>
          <w:iCs w:val="0"/>
          <w:noProof/>
          <w:sz w:val="22"/>
          <w:szCs w:val="22"/>
          <w:lang w:eastAsia="en-GB"/>
        </w:rPr>
        <w:tab/>
      </w:r>
      <w:r>
        <w:rPr>
          <w:noProof/>
        </w:rPr>
        <w:t>EU Added Value</w:t>
      </w:r>
      <w:r>
        <w:rPr>
          <w:noProof/>
        </w:rPr>
        <w:tab/>
      </w:r>
      <w:r>
        <w:rPr>
          <w:noProof/>
        </w:rPr>
        <w:fldChar w:fldCharType="begin"/>
      </w:r>
      <w:r>
        <w:rPr>
          <w:noProof/>
        </w:rPr>
        <w:instrText xml:space="preserve"> PAGEREF _Toc515270157 \h </w:instrText>
      </w:r>
      <w:r>
        <w:rPr>
          <w:noProof/>
        </w:rPr>
      </w:r>
      <w:r>
        <w:rPr>
          <w:noProof/>
        </w:rPr>
        <w:fldChar w:fldCharType="separate"/>
      </w:r>
      <w:r>
        <w:rPr>
          <w:noProof/>
        </w:rPr>
        <w:t>63</w:t>
      </w:r>
      <w:r>
        <w:rPr>
          <w:noProof/>
        </w:rPr>
        <w:fldChar w:fldCharType="end"/>
      </w:r>
    </w:p>
    <w:p w:rsidR="007D3598" w:rsidRDefault="00F8547B">
      <w:pPr>
        <w:pStyle w:val="TOC2"/>
        <w:tabs>
          <w:tab w:val="left" w:pos="720"/>
          <w:tab w:val="right" w:leader="dot" w:pos="9628"/>
        </w:tabs>
        <w:rPr>
          <w:rFonts w:asciiTheme="minorHAnsi" w:eastAsiaTheme="minorEastAsia" w:hAnsiTheme="minorHAnsi" w:cstheme="minorBidi"/>
          <w:iCs w:val="0"/>
          <w:noProof/>
          <w:sz w:val="22"/>
          <w:szCs w:val="22"/>
          <w:lang w:eastAsia="en-GB"/>
        </w:rPr>
      </w:pPr>
      <w:r>
        <w:rPr>
          <w:noProof/>
        </w:rPr>
        <w:t>6.7</w:t>
      </w:r>
      <w:r>
        <w:rPr>
          <w:rFonts w:asciiTheme="minorHAnsi" w:eastAsiaTheme="minorEastAsia" w:hAnsiTheme="minorHAnsi" w:cstheme="minorBidi"/>
          <w:iCs w:val="0"/>
          <w:noProof/>
          <w:sz w:val="22"/>
          <w:szCs w:val="22"/>
          <w:lang w:eastAsia="en-GB"/>
        </w:rPr>
        <w:tab/>
      </w:r>
      <w:r>
        <w:rPr>
          <w:noProof/>
        </w:rPr>
        <w:t>Sustainability</w:t>
      </w:r>
      <w:r>
        <w:rPr>
          <w:noProof/>
        </w:rPr>
        <w:tab/>
      </w:r>
      <w:r>
        <w:rPr>
          <w:noProof/>
        </w:rPr>
        <w:fldChar w:fldCharType="begin"/>
      </w:r>
      <w:r>
        <w:rPr>
          <w:noProof/>
        </w:rPr>
        <w:instrText xml:space="preserve"> PAGEREF _Toc51527</w:instrText>
      </w:r>
      <w:r>
        <w:rPr>
          <w:noProof/>
        </w:rPr>
        <w:instrText xml:space="preserve">0158 \h </w:instrText>
      </w:r>
      <w:r>
        <w:rPr>
          <w:noProof/>
        </w:rPr>
      </w:r>
      <w:r>
        <w:rPr>
          <w:noProof/>
        </w:rPr>
        <w:fldChar w:fldCharType="separate"/>
      </w:r>
      <w:r>
        <w:rPr>
          <w:noProof/>
        </w:rPr>
        <w:t>64</w:t>
      </w:r>
      <w:r>
        <w:rPr>
          <w:noProof/>
        </w:rPr>
        <w:fldChar w:fldCharType="end"/>
      </w:r>
    </w:p>
    <w:p w:rsidR="007D3598" w:rsidRDefault="00F8547B">
      <w:pPr>
        <w:pStyle w:val="TOC1"/>
        <w:tabs>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Annex 1: Procedural information</w:t>
      </w:r>
      <w:r>
        <w:rPr>
          <w:noProof/>
          <w:color w:val="auto"/>
        </w:rPr>
        <w:tab/>
      </w:r>
      <w:r>
        <w:rPr>
          <w:noProof/>
          <w:color w:val="auto"/>
        </w:rPr>
        <w:fldChar w:fldCharType="begin"/>
      </w:r>
      <w:r>
        <w:rPr>
          <w:noProof/>
          <w:color w:val="auto"/>
        </w:rPr>
        <w:instrText xml:space="preserve"> PAGEREF _Toc515270159 \h </w:instrText>
      </w:r>
      <w:r>
        <w:rPr>
          <w:noProof/>
          <w:color w:val="auto"/>
        </w:rPr>
      </w:r>
      <w:r>
        <w:rPr>
          <w:noProof/>
          <w:color w:val="auto"/>
        </w:rPr>
        <w:fldChar w:fldCharType="separate"/>
      </w:r>
      <w:r>
        <w:rPr>
          <w:noProof/>
          <w:color w:val="auto"/>
        </w:rPr>
        <w:t>65</w:t>
      </w:r>
      <w:r>
        <w:rPr>
          <w:noProof/>
          <w:color w:val="auto"/>
        </w:rPr>
        <w:fldChar w:fldCharType="end"/>
      </w:r>
    </w:p>
    <w:p w:rsidR="007D3598" w:rsidRDefault="00F8547B">
      <w:pPr>
        <w:pStyle w:val="TOC1"/>
        <w:tabs>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Annex 2: Stakeholder consultation</w:t>
      </w:r>
      <w:r>
        <w:rPr>
          <w:noProof/>
          <w:color w:val="auto"/>
        </w:rPr>
        <w:tab/>
      </w:r>
      <w:r>
        <w:rPr>
          <w:noProof/>
          <w:color w:val="auto"/>
        </w:rPr>
        <w:fldChar w:fldCharType="begin"/>
      </w:r>
      <w:r>
        <w:rPr>
          <w:noProof/>
          <w:color w:val="auto"/>
        </w:rPr>
        <w:instrText xml:space="preserve"> PAGEREF _Toc515270160 \h </w:instrText>
      </w:r>
      <w:r>
        <w:rPr>
          <w:noProof/>
          <w:color w:val="auto"/>
        </w:rPr>
      </w:r>
      <w:r>
        <w:rPr>
          <w:noProof/>
          <w:color w:val="auto"/>
        </w:rPr>
        <w:fldChar w:fldCharType="separate"/>
      </w:r>
      <w:r>
        <w:rPr>
          <w:noProof/>
          <w:color w:val="auto"/>
        </w:rPr>
        <w:t>66</w:t>
      </w:r>
      <w:r>
        <w:rPr>
          <w:noProof/>
          <w:color w:val="auto"/>
        </w:rPr>
        <w:fldChar w:fldCharType="end"/>
      </w:r>
    </w:p>
    <w:p w:rsidR="007D3598" w:rsidRDefault="00F8547B">
      <w:pPr>
        <w:pStyle w:val="TOC1"/>
        <w:tabs>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Annex 3: Cost/benefit analysis</w:t>
      </w:r>
      <w:r>
        <w:rPr>
          <w:noProof/>
          <w:color w:val="auto"/>
        </w:rPr>
        <w:tab/>
      </w:r>
      <w:r>
        <w:rPr>
          <w:noProof/>
          <w:color w:val="auto"/>
        </w:rPr>
        <w:fldChar w:fldCharType="begin"/>
      </w:r>
      <w:r>
        <w:rPr>
          <w:noProof/>
          <w:color w:val="auto"/>
        </w:rPr>
        <w:instrText xml:space="preserve"> PAGEREF _Toc515270161 \h </w:instrText>
      </w:r>
      <w:r>
        <w:rPr>
          <w:noProof/>
          <w:color w:val="auto"/>
        </w:rPr>
      </w:r>
      <w:r>
        <w:rPr>
          <w:noProof/>
          <w:color w:val="auto"/>
        </w:rPr>
        <w:fldChar w:fldCharType="separate"/>
      </w:r>
      <w:r>
        <w:rPr>
          <w:noProof/>
          <w:color w:val="auto"/>
        </w:rPr>
        <w:t>71</w:t>
      </w:r>
      <w:r>
        <w:rPr>
          <w:noProof/>
          <w:color w:val="auto"/>
        </w:rPr>
        <w:fldChar w:fldCharType="end"/>
      </w:r>
    </w:p>
    <w:p w:rsidR="007D3598" w:rsidRDefault="00F8547B">
      <w:pPr>
        <w:pStyle w:val="TOC1"/>
        <w:tabs>
          <w:tab w:val="right" w:leader="dot" w:pos="9628"/>
        </w:tabs>
        <w:rPr>
          <w:rFonts w:asciiTheme="minorHAnsi" w:eastAsiaTheme="minorEastAsia" w:hAnsiTheme="minorHAnsi" w:cstheme="minorBidi"/>
          <w:bCs w:val="0"/>
          <w:smallCaps w:val="0"/>
          <w:noProof/>
          <w:color w:val="auto"/>
          <w:sz w:val="22"/>
          <w:szCs w:val="22"/>
          <w:lang w:eastAsia="en-GB"/>
        </w:rPr>
      </w:pPr>
      <w:r>
        <w:rPr>
          <w:noProof/>
          <w:color w:val="auto"/>
        </w:rPr>
        <w:t>Annex 4: Evaluation questions</w:t>
      </w:r>
      <w:r>
        <w:rPr>
          <w:noProof/>
          <w:color w:val="auto"/>
        </w:rPr>
        <w:tab/>
      </w:r>
      <w:r>
        <w:rPr>
          <w:noProof/>
          <w:color w:val="auto"/>
        </w:rPr>
        <w:fldChar w:fldCharType="begin"/>
      </w:r>
      <w:r>
        <w:rPr>
          <w:noProof/>
          <w:color w:val="auto"/>
        </w:rPr>
        <w:instrText xml:space="preserve"> PAGEREF _Toc515270162 \h </w:instrText>
      </w:r>
      <w:r>
        <w:rPr>
          <w:noProof/>
          <w:color w:val="auto"/>
        </w:rPr>
      </w:r>
      <w:r>
        <w:rPr>
          <w:noProof/>
          <w:color w:val="auto"/>
        </w:rPr>
        <w:fldChar w:fldCharType="separate"/>
      </w:r>
      <w:r>
        <w:rPr>
          <w:noProof/>
          <w:color w:val="auto"/>
        </w:rPr>
        <w:t>74</w:t>
      </w:r>
      <w:r>
        <w:rPr>
          <w:noProof/>
          <w:color w:val="auto"/>
        </w:rPr>
        <w:fldChar w:fldCharType="end"/>
      </w:r>
    </w:p>
    <w:p w:rsidR="007D3598" w:rsidRDefault="00F8547B">
      <w:pPr>
        <w:rPr>
          <w:b/>
          <w:smallCaps/>
          <w:noProof/>
          <w:color w:val="00B050"/>
          <w:sz w:val="32"/>
          <w:szCs w:val="32"/>
        </w:rPr>
      </w:pPr>
      <w:r>
        <w:rPr>
          <w:noProof/>
          <w:szCs w:val="24"/>
        </w:rPr>
        <w:fldChar w:fldCharType="end"/>
      </w:r>
      <w:r>
        <w:rPr>
          <w:noProof/>
        </w:rPr>
        <w:br w:type="page"/>
      </w:r>
    </w:p>
    <w:p w:rsidR="007D3598" w:rsidRDefault="00F8547B">
      <w:pPr>
        <w:pStyle w:val="HH1"/>
        <w:numPr>
          <w:ilvl w:val="0"/>
          <w:numId w:val="0"/>
        </w:numPr>
        <w:spacing w:before="0" w:after="0"/>
        <w:ind w:left="360" w:hanging="360"/>
        <w:contextualSpacing w:val="0"/>
        <w:rPr>
          <w:noProof/>
        </w:rPr>
        <w:sectPr w:rsidR="007D3598">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9" w:footer="709" w:gutter="0"/>
          <w:pgNumType w:fmt="lowerRoman" w:start="3"/>
          <w:cols w:space="720"/>
          <w:docGrid w:linePitch="360"/>
        </w:sectPr>
      </w:pPr>
      <w:bookmarkStart w:id="9" w:name="_Toc515270130"/>
      <w:bookmarkStart w:id="10" w:name="_Toc506531955"/>
      <w:r>
        <w:rPr>
          <w:noProof/>
        </w:rPr>
        <w:lastRenderedPageBreak/>
        <w:t>Abbreviations</w:t>
      </w:r>
      <w:bookmarkEnd w:id="9"/>
    </w:p>
    <w:p w:rsidR="007D3598" w:rsidRDefault="007D3598">
      <w:pPr>
        <w:contextualSpacing/>
        <w:rPr>
          <w:noProof/>
          <w:sz w:val="18"/>
          <w:szCs w:val="18"/>
        </w:rPr>
        <w:sectPr w:rsidR="007D3598">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17" w:right="1134" w:bottom="1134" w:left="1134" w:header="709" w:footer="709" w:gutter="0"/>
          <w:pgNumType w:start="1"/>
          <w:cols w:sep="1" w:space="284"/>
          <w:docGrid w:linePitch="360"/>
        </w:sectPr>
      </w:pP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909"/>
        <w:gridCol w:w="2096"/>
      </w:tblGrid>
      <w:tr w:rsidR="007D3598">
        <w:tc>
          <w:tcPr>
            <w:tcW w:w="909" w:type="dxa"/>
            <w:tcMar>
              <w:top w:w="28" w:type="dxa"/>
              <w:left w:w="28" w:type="dxa"/>
              <w:bottom w:w="113" w:type="dxa"/>
              <w:right w:w="28" w:type="dxa"/>
            </w:tcMar>
          </w:tcPr>
          <w:bookmarkEnd w:id="4"/>
          <w:bookmarkEnd w:id="5"/>
          <w:bookmarkEnd w:id="6"/>
          <w:bookmarkEnd w:id="7"/>
          <w:bookmarkEnd w:id="8"/>
          <w:bookmarkEnd w:id="10"/>
          <w:p w:rsidR="007D3598" w:rsidRDefault="00F8547B">
            <w:pPr>
              <w:contextualSpacing/>
              <w:rPr>
                <w:noProof/>
                <w:color w:val="000000"/>
                <w:sz w:val="18"/>
                <w:szCs w:val="18"/>
                <w:lang w:eastAsia="it-IT"/>
              </w:rPr>
            </w:pPr>
            <w:r>
              <w:rPr>
                <w:noProof/>
                <w:color w:val="000000"/>
                <w:sz w:val="18"/>
                <w:szCs w:val="18"/>
                <w:lang w:eastAsia="it-IT"/>
              </w:rPr>
              <w:lastRenderedPageBreak/>
              <w:t>AMIF</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Asylum Migration and Integration Fund</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BCPs</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Border crossing points </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CIPS</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Specific programme Prevention, Preparedness and Consequence Management of Terrorism and Other Security-related Risks</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CONNECT</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Communications Networks, Content &amp; Technology</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HOME</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Directorate-General for </w:t>
            </w:r>
            <w:r>
              <w:rPr>
                <w:noProof/>
                <w:color w:val="000000"/>
                <w:sz w:val="18"/>
                <w:szCs w:val="18"/>
                <w:lang w:eastAsia="it-IT"/>
              </w:rPr>
              <w:t>Migration and Home Affairs</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MOVE</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Mobility and Transport</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NEAR</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Neighbourhood and Enlargement Negotiations</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TAXUD</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DG Taxation and Customs Union</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EBCGA</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European Border and Coast Guard Agency (</w:t>
            </w:r>
            <w:r>
              <w:rPr>
                <w:b/>
                <w:noProof/>
                <w:color w:val="000000"/>
                <w:sz w:val="18"/>
                <w:szCs w:val="18"/>
                <w:lang w:eastAsia="it-IT"/>
              </w:rPr>
              <w:t>Frontex</w:t>
            </w:r>
            <w:r>
              <w:rPr>
                <w:noProof/>
                <w:color w:val="000000"/>
                <w:sz w:val="18"/>
                <w:szCs w:val="18"/>
                <w:lang w:eastAsia="it-IT"/>
              </w:rPr>
              <w:t>)</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EBF</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External Borders Fund</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EES</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Entry/Exit System </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EIF</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European Fund for the Integration of Third-Country Nationals</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lastRenderedPageBreak/>
              <w:t>EMAS</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Emergency assistance</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ERF</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European Refugee Fund</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EU</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European Union</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eu-LISA</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European Agency for the operational management of Large-Scale IT Systems in the area of </w:t>
            </w:r>
            <w:r>
              <w:rPr>
                <w:noProof/>
                <w:color w:val="000000"/>
                <w:sz w:val="18"/>
                <w:szCs w:val="18"/>
                <w:lang w:eastAsia="it-IT"/>
              </w:rPr>
              <w:t>freedom, security and justice</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Eurostat</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Statistical office of the European Union</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FTD</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Facilitated Transit Document</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FTE</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Full-time Equivalent</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FRTD</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Facilitated Rail Transit Document</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IBM</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Integrated border management </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ISEC</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Specific programme prevention of </w:t>
            </w:r>
            <w:r>
              <w:rPr>
                <w:noProof/>
                <w:color w:val="000000"/>
                <w:sz w:val="18"/>
                <w:szCs w:val="18"/>
                <w:lang w:eastAsia="it-IT"/>
              </w:rPr>
              <w:t>and fight against organised crime</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ISF</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Internal Security Fund</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ISF-BV</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ISF Borders and Visa</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ISF-P</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ISF Police</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ISS</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Internal security strategy</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MFF</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Multiannual financial </w:t>
            </w:r>
            <w:r>
              <w:rPr>
                <w:noProof/>
                <w:color w:val="000000"/>
                <w:sz w:val="18"/>
                <w:szCs w:val="18"/>
                <w:lang w:eastAsia="it-IT"/>
              </w:rPr>
              <w:lastRenderedPageBreak/>
              <w:t>framework</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IOM</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International Organisation for Migration</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Member States</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Member State(s) </w:t>
            </w:r>
            <w:r>
              <w:rPr>
                <w:noProof/>
                <w:color w:val="000000"/>
                <w:sz w:val="18"/>
                <w:szCs w:val="18"/>
                <w:lang w:eastAsia="it-IT"/>
              </w:rPr>
              <w:t>participating in ISF-BV incl. SAC</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PNR</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Passenger name record</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RF</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European Return Fund</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RTP</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Registered traveller programme</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SAC</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Schengen associated countries</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SOLID</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General programme solidarity and management of migration flows</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SFC2014</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 xml:space="preserve">Shared Fund </w:t>
            </w:r>
            <w:r>
              <w:rPr>
                <w:noProof/>
                <w:color w:val="000000"/>
                <w:sz w:val="18"/>
                <w:szCs w:val="18"/>
                <w:lang w:eastAsia="it-IT"/>
              </w:rPr>
              <w:t>Management Common System of the Commission</w:t>
            </w:r>
          </w:p>
        </w:tc>
      </w:tr>
      <w:tr w:rsidR="007D3598">
        <w:tc>
          <w:tcPr>
            <w:tcW w:w="909"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SSL</w:t>
            </w:r>
          </w:p>
        </w:tc>
        <w:tc>
          <w:tcPr>
            <w:tcW w:w="2096"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Security and safeguarding liberties programme</w:t>
            </w:r>
          </w:p>
        </w:tc>
      </w:tr>
    </w:tbl>
    <w:p w:rsidR="007D3598" w:rsidRDefault="007D3598">
      <w:pPr>
        <w:contextualSpacing/>
        <w:rPr>
          <w:noProof/>
          <w:color w:val="000000"/>
          <w:sz w:val="18"/>
          <w:szCs w:val="18"/>
          <w:lang w:eastAsia="it-IT"/>
        </w:rPr>
        <w:sectPr w:rsidR="007D3598">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17" w:right="1134" w:bottom="1134" w:left="1134" w:header="709" w:footer="709" w:gutter="0"/>
          <w:pgNumType w:start="1"/>
          <w:cols w:num="3" w:sep="1" w:space="142"/>
          <w:docGrid w:linePitch="360"/>
        </w:sectPr>
      </w:pPr>
    </w:p>
    <w:p w:rsidR="007D3598" w:rsidRDefault="007D3598">
      <w:pPr>
        <w:contextualSpacing/>
        <w:rPr>
          <w:noProof/>
          <w:color w:val="000000"/>
          <w:sz w:val="18"/>
          <w:szCs w:val="18"/>
          <w:lang w:eastAsia="it-IT"/>
        </w:rPr>
        <w:sectPr w:rsidR="007D3598">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417" w:right="1134" w:bottom="1134" w:left="1134" w:header="709" w:footer="709" w:gutter="0"/>
          <w:pgNumType w:start="1"/>
          <w:cols w:sep="1" w:space="284"/>
          <w:docGrid w:linePitch="360"/>
        </w:sectPr>
      </w:pPr>
    </w:p>
    <w:tbl>
      <w:tblPr>
        <w:tblStyle w:val="TableGrid"/>
        <w:tblW w:w="0" w:type="auto"/>
        <w:tblBorders>
          <w:top w:val="dashSmallGap"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tblGrid>
      <w:tr w:rsidR="007D3598">
        <w:trPr>
          <w:trHeight w:val="172"/>
        </w:trPr>
        <w:tc>
          <w:tcPr>
            <w:tcW w:w="2252" w:type="dxa"/>
            <w:tcMar>
              <w:top w:w="28" w:type="dxa"/>
              <w:left w:w="28" w:type="dxa"/>
              <w:bottom w:w="57" w:type="dxa"/>
              <w:right w:w="28" w:type="dxa"/>
            </w:tcMar>
          </w:tcPr>
          <w:p w:rsidR="007D3598" w:rsidRDefault="00F8547B">
            <w:pPr>
              <w:contextualSpacing/>
              <w:rPr>
                <w:b/>
                <w:noProof/>
                <w:sz w:val="18"/>
                <w:szCs w:val="18"/>
              </w:rPr>
            </w:pPr>
            <w:r>
              <w:rPr>
                <w:b/>
                <w:noProof/>
                <w:sz w:val="18"/>
                <w:szCs w:val="18"/>
              </w:rPr>
              <w:lastRenderedPageBreak/>
              <w:t>List of countries</w:t>
            </w:r>
          </w:p>
        </w:tc>
      </w:tr>
    </w:tbl>
    <w:p w:rsidR="007D3598" w:rsidRDefault="007D3598">
      <w:pPr>
        <w:contextualSpacing/>
        <w:rPr>
          <w:noProof/>
          <w:color w:val="000000"/>
          <w:sz w:val="18"/>
          <w:lang w:eastAsia="it-IT"/>
        </w:rPr>
        <w:sectPr w:rsidR="007D3598">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417" w:right="1134" w:bottom="1134" w:left="1134" w:header="709" w:footer="709" w:gutter="0"/>
          <w:pgNumType w:fmt="lowerRoman" w:start="4"/>
          <w:cols w:sep="1" w:space="284"/>
          <w:docGrid w:linePitch="360"/>
        </w:sectPr>
      </w:pPr>
    </w:p>
    <w:tbl>
      <w:tblPr>
        <w:tblStyle w:val="TableGrid"/>
        <w:tblW w:w="0" w:type="auto"/>
        <w:tblBorders>
          <w:top w:val="dashSmallGap" w:sz="4"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720"/>
        <w:gridCol w:w="1532"/>
      </w:tblGrid>
      <w:tr w:rsidR="007D3598">
        <w:tc>
          <w:tcPr>
            <w:tcW w:w="720" w:type="dxa"/>
            <w:tcMar>
              <w:top w:w="28" w:type="dxa"/>
              <w:left w:w="28" w:type="dxa"/>
              <w:bottom w:w="113" w:type="dxa"/>
              <w:right w:w="28" w:type="dxa"/>
            </w:tcMar>
          </w:tcPr>
          <w:p w:rsidR="007D3598" w:rsidRDefault="00F8547B">
            <w:pPr>
              <w:contextualSpacing/>
              <w:rPr>
                <w:noProof/>
                <w:sz w:val="18"/>
                <w:szCs w:val="18"/>
              </w:rPr>
            </w:pPr>
            <w:bookmarkStart w:id="11" w:name="_Toc506393737"/>
            <w:bookmarkStart w:id="12" w:name="_Toc506475195"/>
            <w:bookmarkStart w:id="13" w:name="_Toc506478813"/>
            <w:bookmarkStart w:id="14" w:name="_Toc506479765"/>
            <w:bookmarkStart w:id="15" w:name="_Toc506483903"/>
            <w:bookmarkStart w:id="16" w:name="_Toc506529828"/>
            <w:bookmarkStart w:id="17" w:name="_Toc506531956"/>
            <w:bookmarkStart w:id="18" w:name="_Toc504475644"/>
            <w:r>
              <w:rPr>
                <w:noProof/>
                <w:color w:val="000000"/>
                <w:sz w:val="18"/>
                <w:szCs w:val="18"/>
                <w:lang w:eastAsia="it-IT"/>
              </w:rPr>
              <w:lastRenderedPageBreak/>
              <w:t>AT</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Austria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BE</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Belgium</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BG</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Bulgaria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CH</w:t>
            </w:r>
          </w:p>
        </w:tc>
        <w:tc>
          <w:tcPr>
            <w:tcW w:w="1532" w:type="dxa"/>
            <w:tcMar>
              <w:top w:w="28" w:type="dxa"/>
              <w:left w:w="28" w:type="dxa"/>
              <w:bottom w:w="113" w:type="dxa"/>
              <w:right w:w="28" w:type="dxa"/>
            </w:tcMar>
          </w:tcPr>
          <w:p w:rsidR="007D3598" w:rsidRDefault="00F8547B">
            <w:pPr>
              <w:contextualSpacing/>
              <w:rPr>
                <w:noProof/>
                <w:sz w:val="18"/>
                <w:szCs w:val="18"/>
              </w:rPr>
            </w:pPr>
            <w:r>
              <w:rPr>
                <w:noProof/>
                <w:sz w:val="18"/>
                <w:szCs w:val="18"/>
              </w:rPr>
              <w:t>Switzerland</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CY</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Cyprus</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CZ</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Czech Republic</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DE</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Germany</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DK</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Denmark</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lastRenderedPageBreak/>
              <w:t>EE</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Estonia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EL</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Greece</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ES</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Spain</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FI</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Finland</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FR</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France</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HR</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Croatia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HU</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Hungary</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IS</w:t>
            </w:r>
          </w:p>
        </w:tc>
        <w:tc>
          <w:tcPr>
            <w:tcW w:w="1532"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Iceland</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lastRenderedPageBreak/>
              <w:t>IT</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Italy</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LI</w:t>
            </w:r>
          </w:p>
        </w:tc>
        <w:tc>
          <w:tcPr>
            <w:tcW w:w="1532" w:type="dxa"/>
            <w:tcMar>
              <w:top w:w="28" w:type="dxa"/>
              <w:left w:w="28" w:type="dxa"/>
              <w:bottom w:w="113" w:type="dxa"/>
              <w:right w:w="28" w:type="dxa"/>
            </w:tcMar>
          </w:tcPr>
          <w:p w:rsidR="007D3598" w:rsidRDefault="00F8547B">
            <w:pPr>
              <w:contextualSpacing/>
              <w:rPr>
                <w:noProof/>
                <w:sz w:val="18"/>
                <w:szCs w:val="18"/>
              </w:rPr>
            </w:pPr>
            <w:r>
              <w:rPr>
                <w:noProof/>
                <w:sz w:val="18"/>
                <w:szCs w:val="18"/>
              </w:rPr>
              <w:t>Liechtenstein</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LT</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Lithuania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LU</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Luxembourg</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LV</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Latvia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MT</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Malta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NL</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Netherlands</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NO</w:t>
            </w:r>
          </w:p>
        </w:tc>
        <w:tc>
          <w:tcPr>
            <w:tcW w:w="1532" w:type="dxa"/>
            <w:tcMar>
              <w:top w:w="28" w:type="dxa"/>
              <w:left w:w="28" w:type="dxa"/>
              <w:bottom w:w="113" w:type="dxa"/>
              <w:right w:w="28" w:type="dxa"/>
            </w:tcMar>
          </w:tcPr>
          <w:p w:rsidR="007D3598" w:rsidRDefault="00F8547B">
            <w:pPr>
              <w:contextualSpacing/>
              <w:rPr>
                <w:noProof/>
                <w:sz w:val="18"/>
                <w:szCs w:val="18"/>
              </w:rPr>
            </w:pPr>
            <w:r>
              <w:rPr>
                <w:noProof/>
                <w:sz w:val="18"/>
                <w:szCs w:val="18"/>
              </w:rPr>
              <w:t>Norway</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lastRenderedPageBreak/>
              <w:t>PL</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Poland</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PT</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Portugal</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RO</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Romania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SE</w:t>
            </w:r>
          </w:p>
        </w:tc>
        <w:tc>
          <w:tcPr>
            <w:tcW w:w="1532" w:type="dxa"/>
            <w:tcMar>
              <w:top w:w="28" w:type="dxa"/>
              <w:left w:w="28" w:type="dxa"/>
              <w:bottom w:w="113" w:type="dxa"/>
              <w:right w:w="28" w:type="dxa"/>
            </w:tcMar>
          </w:tcPr>
          <w:p w:rsidR="007D3598" w:rsidRDefault="00F8547B">
            <w:pPr>
              <w:contextualSpacing/>
              <w:rPr>
                <w:noProof/>
                <w:sz w:val="18"/>
                <w:szCs w:val="18"/>
              </w:rPr>
            </w:pPr>
            <w:r>
              <w:rPr>
                <w:noProof/>
                <w:color w:val="000000"/>
                <w:sz w:val="18"/>
                <w:szCs w:val="18"/>
                <w:lang w:eastAsia="it-IT"/>
              </w:rPr>
              <w:t>Sweden</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SI</w:t>
            </w:r>
          </w:p>
        </w:tc>
        <w:tc>
          <w:tcPr>
            <w:tcW w:w="1532"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Slovenia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SK</w:t>
            </w:r>
          </w:p>
        </w:tc>
        <w:tc>
          <w:tcPr>
            <w:tcW w:w="1532"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Slovakia</w:t>
            </w:r>
          </w:p>
        </w:tc>
      </w:tr>
      <w:tr w:rsidR="007D3598">
        <w:tc>
          <w:tcPr>
            <w:tcW w:w="720" w:type="dxa"/>
            <w:tcMar>
              <w:top w:w="28" w:type="dxa"/>
              <w:left w:w="28" w:type="dxa"/>
              <w:bottom w:w="113" w:type="dxa"/>
              <w:right w:w="28" w:type="dxa"/>
            </w:tcMar>
          </w:tcPr>
          <w:p w:rsidR="007D3598" w:rsidRDefault="00F8547B">
            <w:pPr>
              <w:contextualSpacing/>
              <w:rPr>
                <w:noProof/>
                <w:sz w:val="18"/>
                <w:szCs w:val="18"/>
              </w:rPr>
            </w:pPr>
            <w:r>
              <w:rPr>
                <w:noProof/>
                <w:sz w:val="18"/>
                <w:szCs w:val="18"/>
              </w:rPr>
              <w:t>UK</w:t>
            </w:r>
          </w:p>
        </w:tc>
        <w:tc>
          <w:tcPr>
            <w:tcW w:w="1532" w:type="dxa"/>
            <w:tcMar>
              <w:top w:w="28" w:type="dxa"/>
              <w:left w:w="28" w:type="dxa"/>
              <w:bottom w:w="113" w:type="dxa"/>
              <w:right w:w="28" w:type="dxa"/>
            </w:tcMar>
          </w:tcPr>
          <w:p w:rsidR="007D3598" w:rsidRDefault="00F8547B">
            <w:pPr>
              <w:contextualSpacing/>
              <w:rPr>
                <w:noProof/>
                <w:color w:val="000000"/>
                <w:sz w:val="18"/>
                <w:szCs w:val="18"/>
                <w:lang w:eastAsia="it-IT"/>
              </w:rPr>
            </w:pPr>
            <w:r>
              <w:rPr>
                <w:noProof/>
                <w:color w:val="000000"/>
                <w:sz w:val="18"/>
                <w:szCs w:val="18"/>
                <w:lang w:eastAsia="it-IT"/>
              </w:rPr>
              <w:t>United Kingdom</w:t>
            </w:r>
          </w:p>
        </w:tc>
      </w:tr>
    </w:tbl>
    <w:p w:rsidR="007D3598" w:rsidRDefault="007D3598">
      <w:pPr>
        <w:rPr>
          <w:b/>
          <w:smallCaps/>
          <w:noProof/>
          <w:color w:val="365F91" w:themeColor="accent1" w:themeShade="BF"/>
          <w:sz w:val="32"/>
          <w:szCs w:val="32"/>
        </w:rPr>
        <w:sectPr w:rsidR="007D3598">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17" w:right="1134" w:bottom="1134" w:left="1134" w:header="709" w:footer="709" w:gutter="0"/>
          <w:pgNumType w:fmt="lowerRoman" w:start="4"/>
          <w:cols w:num="4" w:sep="1" w:space="284"/>
          <w:docGrid w:linePitch="360"/>
        </w:sectPr>
      </w:pPr>
    </w:p>
    <w:p w:rsidR="007D3598" w:rsidRDefault="007D3598">
      <w:pPr>
        <w:rPr>
          <w:b/>
          <w:smallCaps/>
          <w:noProof/>
          <w:color w:val="365F91" w:themeColor="accent1" w:themeShade="BF"/>
          <w:sz w:val="32"/>
          <w:szCs w:val="32"/>
        </w:rPr>
        <w:sectPr w:rsidR="007D3598">
          <w:headerReference w:type="even" r:id="rId51"/>
          <w:headerReference w:type="default" r:id="rId52"/>
          <w:footerReference w:type="even" r:id="rId53"/>
          <w:footerReference w:type="default" r:id="rId54"/>
          <w:headerReference w:type="first" r:id="rId55"/>
          <w:footerReference w:type="first" r:id="rId56"/>
          <w:type w:val="continuous"/>
          <w:pgSz w:w="11906" w:h="16838"/>
          <w:pgMar w:top="1417" w:right="1134" w:bottom="1134" w:left="1134" w:header="709" w:footer="709" w:gutter="0"/>
          <w:pgNumType w:fmt="lowerRoman" w:start="4"/>
          <w:cols w:sep="1" w:space="284"/>
          <w:docGrid w:linePitch="360"/>
        </w:sectPr>
      </w:pPr>
    </w:p>
    <w:p w:rsidR="007D3598" w:rsidRDefault="00F8547B">
      <w:pPr>
        <w:pStyle w:val="HH1"/>
        <w:numPr>
          <w:ilvl w:val="0"/>
          <w:numId w:val="0"/>
        </w:numPr>
        <w:spacing w:before="0" w:after="0"/>
        <w:ind w:left="360" w:hanging="360"/>
        <w:contextualSpacing w:val="0"/>
        <w:rPr>
          <w:noProof/>
        </w:rPr>
      </w:pPr>
      <w:bookmarkStart w:id="19" w:name="_Toc507083594"/>
      <w:bookmarkStart w:id="20" w:name="_Toc508279315"/>
      <w:bookmarkStart w:id="21" w:name="_Toc508369299"/>
      <w:bookmarkStart w:id="22" w:name="_Toc508375510"/>
      <w:bookmarkStart w:id="23" w:name="_Toc508715361"/>
      <w:bookmarkStart w:id="24" w:name="_Toc508975867"/>
      <w:bookmarkStart w:id="25" w:name="_Toc515270131"/>
      <w:r>
        <w:rPr>
          <w:noProof/>
        </w:rPr>
        <w:lastRenderedPageBreak/>
        <w:t>Executive summary</w:t>
      </w:r>
      <w:bookmarkEnd w:id="11"/>
      <w:bookmarkEnd w:id="12"/>
      <w:bookmarkEnd w:id="13"/>
      <w:bookmarkEnd w:id="14"/>
      <w:bookmarkEnd w:id="15"/>
      <w:bookmarkEnd w:id="16"/>
      <w:bookmarkEnd w:id="17"/>
      <w:bookmarkEnd w:id="19"/>
      <w:bookmarkEnd w:id="20"/>
      <w:bookmarkEnd w:id="21"/>
      <w:bookmarkEnd w:id="22"/>
      <w:bookmarkEnd w:id="23"/>
      <w:bookmarkEnd w:id="24"/>
      <w:bookmarkEnd w:id="25"/>
    </w:p>
    <w:p w:rsidR="007D3598" w:rsidRDefault="007D3598">
      <w:pPr>
        <w:jc w:val="both"/>
        <w:rPr>
          <w:noProof/>
          <w:szCs w:val="24"/>
        </w:rPr>
      </w:pPr>
      <w:bookmarkStart w:id="26" w:name="_Toc506393738"/>
      <w:bookmarkStart w:id="27" w:name="_Toc506475196"/>
      <w:bookmarkStart w:id="28" w:name="_Toc506478814"/>
      <w:bookmarkStart w:id="29" w:name="_Toc506479766"/>
      <w:bookmarkStart w:id="30" w:name="_Toc506483904"/>
    </w:p>
    <w:p w:rsidR="007D3598" w:rsidRDefault="00F8547B">
      <w:pPr>
        <w:jc w:val="both"/>
        <w:rPr>
          <w:noProof/>
          <w:szCs w:val="24"/>
        </w:rPr>
      </w:pPr>
      <w:r>
        <w:rPr>
          <w:noProof/>
          <w:szCs w:val="24"/>
        </w:rPr>
        <w:t xml:space="preserve">This Commission staff working document (SWD) </w:t>
      </w:r>
      <w:r>
        <w:rPr>
          <w:noProof/>
          <w:szCs w:val="24"/>
        </w:rPr>
        <w:t>examines the impact of the Internal Security Fund — Borders and Visa (ISF-BV) covering the period between 1 January 2014 and 30 June 2017</w:t>
      </w:r>
      <w:r>
        <w:rPr>
          <w:rStyle w:val="FootnoteReference"/>
          <w:noProof/>
        </w:rPr>
        <w:footnoteReference w:id="1"/>
      </w:r>
      <w:r>
        <w:rPr>
          <w:noProof/>
          <w:szCs w:val="24"/>
        </w:rPr>
        <w:t xml:space="preserve"> against eight evaluation criteria: (i) effectiveness, (ii) efficiency, (iii) simplification and reduction of administrative burden, (iv) relevance, (v) coherence, (vi) complementarity, (vii) EU added value and (viii) sustainability. For the programming pe</w:t>
      </w:r>
      <w:r>
        <w:rPr>
          <w:noProof/>
          <w:szCs w:val="24"/>
        </w:rPr>
        <w:t>riod 2014-2020, EUR 2.609</w:t>
      </w:r>
      <w:r>
        <w:rPr>
          <w:noProof/>
        </w:rPr>
        <w:t xml:space="preserve"> billion</w:t>
      </w:r>
      <w:r>
        <w:rPr>
          <w:noProof/>
          <w:szCs w:val="24"/>
        </w:rPr>
        <w:t xml:space="preserve"> was allocated for the management of the EU’s external borders and visa policy. The Fund aimed to establish financial solidarity between Member States by supporting those countries that would experience a heavy burden in im</w:t>
      </w:r>
      <w:r>
        <w:rPr>
          <w:noProof/>
          <w:szCs w:val="24"/>
        </w:rPr>
        <w:t>plementing the common standards for control of the EU’s external borders.</w:t>
      </w:r>
    </w:p>
    <w:p w:rsidR="007D3598" w:rsidRDefault="007D3598">
      <w:pPr>
        <w:jc w:val="both"/>
        <w:rPr>
          <w:noProof/>
          <w:szCs w:val="24"/>
        </w:rPr>
      </w:pPr>
    </w:p>
    <w:p w:rsidR="007D3598" w:rsidRDefault="00F8547B">
      <w:pPr>
        <w:jc w:val="both"/>
        <w:rPr>
          <w:noProof/>
          <w:szCs w:val="24"/>
        </w:rPr>
      </w:pPr>
      <w:r>
        <w:rPr>
          <w:noProof/>
          <w:szCs w:val="24"/>
        </w:rPr>
        <w:t xml:space="preserve">The assessment focuses on the performance of the ISF-BV’s financial support for the management of the EU’s external borders, including at the level of the various individual policy </w:t>
      </w:r>
      <w:r>
        <w:rPr>
          <w:noProof/>
          <w:szCs w:val="24"/>
        </w:rPr>
        <w:t>themes which are major constituents of the concerned EU policy such as organising controls and managing the flows of people at the EU’s external borders.</w:t>
      </w:r>
    </w:p>
    <w:p w:rsidR="007D3598" w:rsidRDefault="007D3598">
      <w:pPr>
        <w:jc w:val="both"/>
        <w:rPr>
          <w:noProof/>
          <w:szCs w:val="24"/>
        </w:rPr>
      </w:pPr>
    </w:p>
    <w:p w:rsidR="007D3598" w:rsidRDefault="00F8547B">
      <w:pPr>
        <w:jc w:val="both"/>
        <w:rPr>
          <w:noProof/>
          <w:szCs w:val="24"/>
        </w:rPr>
      </w:pPr>
      <w:r>
        <w:rPr>
          <w:noProof/>
          <w:szCs w:val="24"/>
        </w:rPr>
        <w:t>During the implementation period under review, migration conditions changed to another paradigm as Eu</w:t>
      </w:r>
      <w:r>
        <w:rPr>
          <w:noProof/>
          <w:szCs w:val="24"/>
        </w:rPr>
        <w:t>rope experienced a sudden and unexpected increase in migratory pressure on its southern and south-eastern external borders. Therefore, as the migration and security conditions underpinning the design of the funding instrument in 2011 changed drastically, n</w:t>
      </w:r>
      <w:r>
        <w:rPr>
          <w:noProof/>
          <w:szCs w:val="24"/>
        </w:rPr>
        <w:t>ew needs and funding priorities arose in order to further protect the EU’s external borders, an area where the absence of internal border controls was significant.</w:t>
      </w:r>
    </w:p>
    <w:p w:rsidR="007D3598" w:rsidRDefault="007D3598">
      <w:pPr>
        <w:jc w:val="both"/>
        <w:rPr>
          <w:noProof/>
          <w:szCs w:val="24"/>
        </w:rPr>
      </w:pPr>
    </w:p>
    <w:p w:rsidR="007D3598" w:rsidRDefault="00F8547B">
      <w:pPr>
        <w:jc w:val="both"/>
        <w:rPr>
          <w:noProof/>
          <w:szCs w:val="24"/>
        </w:rPr>
      </w:pPr>
      <w:r>
        <w:rPr>
          <w:noProof/>
          <w:szCs w:val="24"/>
        </w:rPr>
        <w:t xml:space="preserve">The evaluation concludes that ISF-BV support is essential for carrying out the investments </w:t>
      </w:r>
      <w:r>
        <w:rPr>
          <w:noProof/>
          <w:szCs w:val="24"/>
        </w:rPr>
        <w:t xml:space="preserve">required to improve the EU’s external border management systems. The ISF-BV is contributing crucially to the application of the Schengen </w:t>
      </w:r>
      <w:r>
        <w:rPr>
          <w:i/>
          <w:noProof/>
          <w:szCs w:val="24"/>
        </w:rPr>
        <w:t>acquis</w:t>
      </w:r>
      <w:r>
        <w:rPr>
          <w:rStyle w:val="FootnoteReference"/>
          <w:i/>
          <w:noProof/>
          <w:szCs w:val="24"/>
        </w:rPr>
        <w:footnoteReference w:id="2"/>
      </w:r>
      <w:r>
        <w:rPr>
          <w:i/>
          <w:noProof/>
          <w:szCs w:val="24"/>
        </w:rPr>
        <w:t xml:space="preserve"> </w:t>
      </w:r>
      <w:r>
        <w:rPr>
          <w:noProof/>
          <w:szCs w:val="24"/>
        </w:rPr>
        <w:t>considering the increase of migration flows since 2011, especially in 2014 and 2015. The Fund is tackling fragm</w:t>
      </w:r>
      <w:r>
        <w:rPr>
          <w:noProof/>
          <w:szCs w:val="24"/>
        </w:rPr>
        <w:t>entation by supporting the development and improvement at the national level of large IT systems, such as the Visa Information System and the second generation Schengen Information System (SIS II), as well as contributing to their coherent and effective us</w:t>
      </w:r>
      <w:r>
        <w:rPr>
          <w:noProof/>
          <w:szCs w:val="24"/>
        </w:rPr>
        <w:t>e throughout all Member States. The ISF-BV is also encouraging a better use of resources by increasing the capacity of Member States to undertake border surveillance and by developing consular cooperation between Member States.</w:t>
      </w:r>
    </w:p>
    <w:p w:rsidR="007D3598" w:rsidRDefault="007D3598">
      <w:pPr>
        <w:jc w:val="both"/>
        <w:rPr>
          <w:noProof/>
          <w:szCs w:val="24"/>
        </w:rPr>
      </w:pPr>
    </w:p>
    <w:p w:rsidR="007D3598" w:rsidRDefault="00F8547B">
      <w:pPr>
        <w:jc w:val="both"/>
        <w:rPr>
          <w:noProof/>
          <w:szCs w:val="24"/>
        </w:rPr>
      </w:pPr>
      <w:r>
        <w:rPr>
          <w:noProof/>
          <w:szCs w:val="24"/>
        </w:rPr>
        <w:t>The evaluation gave evidenc</w:t>
      </w:r>
      <w:r>
        <w:rPr>
          <w:noProof/>
          <w:szCs w:val="24"/>
        </w:rPr>
        <w:t>e that, in the challenging migration and security context described above, the funding instrument is, overall, flexible enough to respond to the changing needs resulting from the migration crisis by shifting resources to the affected Member States, also th</w:t>
      </w:r>
      <w:r>
        <w:rPr>
          <w:noProof/>
          <w:szCs w:val="24"/>
        </w:rPr>
        <w:t>rough emergency assistance (EMAS).</w:t>
      </w:r>
    </w:p>
    <w:p w:rsidR="007D3598" w:rsidRDefault="007D3598">
      <w:pPr>
        <w:jc w:val="both"/>
        <w:rPr>
          <w:noProof/>
          <w:szCs w:val="24"/>
        </w:rPr>
      </w:pPr>
    </w:p>
    <w:p w:rsidR="007D3598" w:rsidRDefault="00F8547B">
      <w:pPr>
        <w:jc w:val="both"/>
        <w:rPr>
          <w:noProof/>
          <w:szCs w:val="24"/>
        </w:rPr>
      </w:pPr>
      <w:r>
        <w:rPr>
          <w:noProof/>
          <w:szCs w:val="24"/>
        </w:rPr>
        <w:t>Lastly, the evaluation has found that the ISF-BV is prompting or contributing to the set-up of comprehensive management and control systems, through (i) good coordination with the European Commission, (ii) applying strin</w:t>
      </w:r>
      <w:r>
        <w:rPr>
          <w:noProof/>
          <w:szCs w:val="24"/>
        </w:rPr>
        <w:t xml:space="preserve">gent procurement procedures, and (iii) </w:t>
      </w:r>
      <w:r>
        <w:rPr>
          <w:i/>
          <w:noProof/>
          <w:szCs w:val="24"/>
        </w:rPr>
        <w:t>ex post</w:t>
      </w:r>
      <w:r>
        <w:rPr>
          <w:noProof/>
          <w:szCs w:val="24"/>
        </w:rPr>
        <w:t xml:space="preserve"> audits of projects and monitoring arrangements. Therefore, the ISF-BV is promoting the reasonable use of EU financing in the field of border management.</w:t>
      </w:r>
    </w:p>
    <w:p w:rsidR="007D3598" w:rsidRDefault="007D3598">
      <w:pPr>
        <w:rPr>
          <w:noProof/>
        </w:rPr>
      </w:pPr>
    </w:p>
    <w:p w:rsidR="007D3598" w:rsidRDefault="00F8547B">
      <w:pPr>
        <w:keepNext/>
        <w:jc w:val="both"/>
        <w:rPr>
          <w:noProof/>
          <w:szCs w:val="24"/>
        </w:rPr>
      </w:pPr>
      <w:r>
        <w:rPr>
          <w:noProof/>
          <w:szCs w:val="24"/>
        </w:rPr>
        <w:t>Based on the interim evaluation, the following conclusi</w:t>
      </w:r>
      <w:r>
        <w:rPr>
          <w:noProof/>
          <w:szCs w:val="24"/>
        </w:rPr>
        <w:t>ons have been drawn.</w:t>
      </w:r>
    </w:p>
    <w:p w:rsidR="007D3598" w:rsidRDefault="007D3598">
      <w:pPr>
        <w:keepNext/>
        <w:jc w:val="both"/>
        <w:rPr>
          <w:noProof/>
          <w:szCs w:val="24"/>
        </w:rPr>
      </w:pPr>
    </w:p>
    <w:p w:rsidR="007D3598" w:rsidRDefault="00F8547B">
      <w:pPr>
        <w:pStyle w:val="ListParagraph"/>
        <w:numPr>
          <w:ilvl w:val="0"/>
          <w:numId w:val="73"/>
        </w:numPr>
        <w:jc w:val="both"/>
        <w:rPr>
          <w:noProof/>
          <w:szCs w:val="24"/>
        </w:rPr>
      </w:pPr>
      <w:r>
        <w:rPr>
          <w:rFonts w:cs="EC Square Sans Pro"/>
          <w:noProof/>
          <w:color w:val="000000"/>
          <w:szCs w:val="24"/>
        </w:rPr>
        <w:t>ISF-BV’s effectiveness has been impacted by the migration and security crisis, which put enormous pressure on the EU’s external borders and caused some Member States to reintroduce temporary internal border control measures. Regarding the common visa polic</w:t>
      </w:r>
      <w:r>
        <w:rPr>
          <w:rFonts w:cs="EC Square Sans Pro"/>
          <w:noProof/>
          <w:color w:val="000000"/>
          <w:szCs w:val="24"/>
        </w:rPr>
        <w:t>y, the Fund has helped to implement it through better consular coverage, harmonisation of procedures, facilitating legitimate travel, organising information exchanges and training courses and supporting the development of common IT systems. The Fund has al</w:t>
      </w:r>
      <w:r>
        <w:rPr>
          <w:rFonts w:cs="EC Square Sans Pro"/>
          <w:noProof/>
          <w:color w:val="000000"/>
          <w:szCs w:val="24"/>
        </w:rPr>
        <w:t xml:space="preserve">so contributed to the development of integrated border management policy, which increased solidarity among Member States by co-financing equipment used in Frontex joint operations. It has also contributed to the development of the EU’s </w:t>
      </w:r>
      <w:r>
        <w:rPr>
          <w:rFonts w:cs="EC Square Sans Pro"/>
          <w:i/>
          <w:noProof/>
          <w:color w:val="000000"/>
          <w:szCs w:val="24"/>
        </w:rPr>
        <w:t>acquis</w:t>
      </w:r>
      <w:r>
        <w:rPr>
          <w:rFonts w:cs="EC Square Sans Pro"/>
          <w:noProof/>
          <w:color w:val="000000"/>
          <w:szCs w:val="24"/>
        </w:rPr>
        <w:t xml:space="preserve"> on border man</w:t>
      </w:r>
      <w:r>
        <w:rPr>
          <w:rFonts w:cs="EC Square Sans Pro"/>
          <w:noProof/>
          <w:color w:val="000000"/>
          <w:szCs w:val="24"/>
        </w:rPr>
        <w:t xml:space="preserve">agement, the </w:t>
      </w:r>
      <w:r>
        <w:rPr>
          <w:rStyle w:val="st1"/>
          <w:noProof/>
          <w:lang w:val="x-none"/>
        </w:rPr>
        <w:t>European Border Surveillance system</w:t>
      </w:r>
      <w:r>
        <w:rPr>
          <w:noProof/>
          <w:szCs w:val="24"/>
        </w:rPr>
        <w:t xml:space="preserve"> (</w:t>
      </w:r>
      <w:r>
        <w:rPr>
          <w:rFonts w:cs="EC Square Sans Pro"/>
          <w:noProof/>
          <w:color w:val="000000"/>
          <w:szCs w:val="24"/>
        </w:rPr>
        <w:t>EUROSUR), and border management IT systems. However, consular cooperation and cooperation with third countries attracted less attention from Member States than expected.</w:t>
      </w:r>
    </w:p>
    <w:p w:rsidR="007D3598" w:rsidRDefault="007D3598">
      <w:pPr>
        <w:pStyle w:val="ListParagraph"/>
        <w:jc w:val="both"/>
        <w:rPr>
          <w:noProof/>
          <w:szCs w:val="24"/>
        </w:rPr>
      </w:pPr>
    </w:p>
    <w:p w:rsidR="007D3598" w:rsidRDefault="00F8547B">
      <w:pPr>
        <w:pStyle w:val="ListParagraph"/>
        <w:numPr>
          <w:ilvl w:val="0"/>
          <w:numId w:val="73"/>
        </w:numPr>
        <w:jc w:val="both"/>
        <w:rPr>
          <w:rFonts w:cs="EC Square Sans Pro"/>
          <w:noProof/>
          <w:color w:val="000000"/>
          <w:szCs w:val="24"/>
        </w:rPr>
      </w:pPr>
      <w:r>
        <w:rPr>
          <w:rFonts w:cs="EC Square Sans Pro"/>
          <w:noProof/>
          <w:color w:val="000000"/>
          <w:szCs w:val="24"/>
        </w:rPr>
        <w:t>The results of ISF-BV so far have b</w:t>
      </w:r>
      <w:r>
        <w:rPr>
          <w:rFonts w:cs="EC Square Sans Pro"/>
          <w:noProof/>
          <w:color w:val="000000"/>
          <w:szCs w:val="24"/>
        </w:rPr>
        <w:t>een achieved at a reasonable cost in terms of both human and financial resources, but the administrative burden appears to be the main factor undermining efficiency. Even if national programmes have been very slow to begin, the Fund’s overall implementatio</w:t>
      </w:r>
      <w:r>
        <w:rPr>
          <w:rFonts w:cs="EC Square Sans Pro"/>
          <w:noProof/>
          <w:color w:val="000000"/>
          <w:szCs w:val="24"/>
        </w:rPr>
        <w:t>n appears to be on track, as EMAS bridged the funding gap and catered to immediate needs. This was facilitated by the flexible approach applied to EMAS management.</w:t>
      </w:r>
    </w:p>
    <w:p w:rsidR="007D3598" w:rsidRDefault="007D3598">
      <w:pPr>
        <w:pStyle w:val="ListParagraph"/>
        <w:rPr>
          <w:rFonts w:cs="EC Square Sans Pro"/>
          <w:noProof/>
          <w:color w:val="000000"/>
          <w:szCs w:val="24"/>
        </w:rPr>
      </w:pPr>
    </w:p>
    <w:p w:rsidR="007D3598" w:rsidRDefault="00F8547B">
      <w:pPr>
        <w:pStyle w:val="ListParagraph"/>
        <w:numPr>
          <w:ilvl w:val="0"/>
          <w:numId w:val="73"/>
        </w:numPr>
        <w:jc w:val="both"/>
        <w:rPr>
          <w:noProof/>
          <w:szCs w:val="24"/>
        </w:rPr>
      </w:pPr>
      <w:r>
        <w:rPr>
          <w:rFonts w:cs="EC Square Sans Pro"/>
          <w:noProof/>
          <w:color w:val="000000"/>
          <w:szCs w:val="24"/>
        </w:rPr>
        <w:t>The management and control measures have been considered to be appropriate and efficient, w</w:t>
      </w:r>
      <w:r>
        <w:rPr>
          <w:rFonts w:cs="EC Square Sans Pro"/>
          <w:noProof/>
          <w:color w:val="000000"/>
          <w:szCs w:val="24"/>
        </w:rPr>
        <w:t>ith stringent mechanisms to ensure fraud and irregularities are prevented.</w:t>
      </w:r>
    </w:p>
    <w:p w:rsidR="007D3598" w:rsidRDefault="007D3598">
      <w:pPr>
        <w:pStyle w:val="ListParagraph"/>
        <w:rPr>
          <w:noProof/>
          <w:szCs w:val="24"/>
        </w:rPr>
      </w:pPr>
    </w:p>
    <w:p w:rsidR="007D3598" w:rsidRDefault="00F8547B">
      <w:pPr>
        <w:pStyle w:val="ListParagraph"/>
        <w:keepNext/>
        <w:numPr>
          <w:ilvl w:val="0"/>
          <w:numId w:val="73"/>
        </w:numPr>
        <w:jc w:val="both"/>
        <w:rPr>
          <w:noProof/>
          <w:szCs w:val="24"/>
        </w:rPr>
      </w:pPr>
      <w:r>
        <w:rPr>
          <w:rFonts w:cs="EC Square Sans Pro"/>
          <w:noProof/>
          <w:color w:val="000000"/>
          <w:szCs w:val="24"/>
        </w:rPr>
        <w:t>There is little evidence, at this stage, that the administrative burden has been significantly reduced, though ISF-BV has led to simplification relative to the past. Several new ad</w:t>
      </w:r>
      <w:r>
        <w:rPr>
          <w:rFonts w:cs="EC Square Sans Pro"/>
          <w:noProof/>
          <w:color w:val="000000"/>
          <w:szCs w:val="24"/>
        </w:rPr>
        <w:t>ministrative and managerial procedures were introduced, taking into account the lessons learnt from the previous funds, including the adoption of the Better Regulation guidelines and toolbox and the collection of indicators in order to ensure a more approp</w:t>
      </w:r>
      <w:r>
        <w:rPr>
          <w:rFonts w:cs="EC Square Sans Pro"/>
          <w:noProof/>
          <w:color w:val="000000"/>
          <w:szCs w:val="24"/>
        </w:rPr>
        <w:t>raiate measure of performance.</w:t>
      </w:r>
    </w:p>
    <w:p w:rsidR="007D3598" w:rsidRDefault="007D3598">
      <w:pPr>
        <w:pStyle w:val="ListParagraph"/>
        <w:rPr>
          <w:noProof/>
          <w:szCs w:val="24"/>
        </w:rPr>
      </w:pPr>
    </w:p>
    <w:p w:rsidR="007D3598" w:rsidRDefault="00F8547B">
      <w:pPr>
        <w:pStyle w:val="ListParagraph"/>
        <w:numPr>
          <w:ilvl w:val="0"/>
          <w:numId w:val="73"/>
        </w:numPr>
        <w:jc w:val="both"/>
        <w:rPr>
          <w:noProof/>
          <w:szCs w:val="24"/>
        </w:rPr>
      </w:pPr>
      <w:r>
        <w:rPr>
          <w:rFonts w:cs="EC Square Sans Pro"/>
          <w:noProof/>
          <w:color w:val="000000"/>
          <w:szCs w:val="24"/>
        </w:rPr>
        <w:t xml:space="preserve">ISF-BV is relevant and its original rationale and objectives remain largely valid even though the migration crisis has brought much more focus on how the EU’s external borders are managed. Member States are calling for more </w:t>
      </w:r>
      <w:r>
        <w:rPr>
          <w:rFonts w:cs="EC Square Sans Pro"/>
          <w:noProof/>
          <w:color w:val="000000"/>
          <w:szCs w:val="24"/>
        </w:rPr>
        <w:t>flexibility measures.</w:t>
      </w:r>
    </w:p>
    <w:p w:rsidR="007D3598" w:rsidRDefault="007D3598">
      <w:pPr>
        <w:pStyle w:val="ListParagraph"/>
        <w:rPr>
          <w:noProof/>
          <w:szCs w:val="24"/>
        </w:rPr>
      </w:pPr>
    </w:p>
    <w:p w:rsidR="007D3598" w:rsidRDefault="00F8547B">
      <w:pPr>
        <w:pStyle w:val="ListParagraph"/>
        <w:numPr>
          <w:ilvl w:val="0"/>
          <w:numId w:val="73"/>
        </w:numPr>
        <w:jc w:val="both"/>
        <w:rPr>
          <w:noProof/>
          <w:szCs w:val="24"/>
        </w:rPr>
      </w:pPr>
      <w:r>
        <w:rPr>
          <w:noProof/>
          <w:szCs w:val="24"/>
        </w:rPr>
        <w:t>The Fund has been found to be coherent with and complementary to other national and EU interventions.</w:t>
      </w:r>
    </w:p>
    <w:p w:rsidR="007D3598" w:rsidRDefault="007D3598">
      <w:pPr>
        <w:pStyle w:val="ListParagraph"/>
        <w:rPr>
          <w:noProof/>
          <w:szCs w:val="24"/>
        </w:rPr>
      </w:pPr>
    </w:p>
    <w:p w:rsidR="007D3598" w:rsidRDefault="00F8547B">
      <w:pPr>
        <w:pStyle w:val="ListParagraph"/>
        <w:numPr>
          <w:ilvl w:val="0"/>
          <w:numId w:val="73"/>
        </w:numPr>
        <w:jc w:val="both"/>
        <w:rPr>
          <w:noProof/>
        </w:rPr>
      </w:pPr>
      <w:r>
        <w:rPr>
          <w:noProof/>
        </w:rPr>
        <w:t>The Fund’s EU added value has been illustrated both from a policy and financial perspective.</w:t>
      </w:r>
    </w:p>
    <w:p w:rsidR="007D3598" w:rsidRDefault="007D3598">
      <w:pPr>
        <w:pStyle w:val="ListParagraph"/>
        <w:rPr>
          <w:noProof/>
        </w:rPr>
      </w:pPr>
    </w:p>
    <w:p w:rsidR="007D3598" w:rsidRDefault="00F8547B">
      <w:pPr>
        <w:pStyle w:val="ListParagraph"/>
        <w:numPr>
          <w:ilvl w:val="0"/>
          <w:numId w:val="73"/>
        </w:numPr>
        <w:jc w:val="both"/>
        <w:rPr>
          <w:rFonts w:cs="EC Square Sans Pro"/>
          <w:noProof/>
          <w:color w:val="000000"/>
          <w:szCs w:val="24"/>
        </w:rPr>
      </w:pPr>
      <w:r>
        <w:rPr>
          <w:noProof/>
          <w:szCs w:val="24"/>
          <w:lang w:eastAsia="nl-BE"/>
        </w:rPr>
        <w:t xml:space="preserve">Many </w:t>
      </w:r>
      <w:r>
        <w:rPr>
          <w:noProof/>
          <w:szCs w:val="24"/>
        </w:rPr>
        <w:t>ISF-BV actions are long-term ac</w:t>
      </w:r>
      <w:r>
        <w:rPr>
          <w:noProof/>
          <w:szCs w:val="24"/>
        </w:rPr>
        <w:t>tions by their nature, since they are generally designed to remain operational beyond the Fund’s support, while the sustainability of other actions relies on other sources of national or EU funding. Training activities and other cooperation mechanisms have</w:t>
      </w:r>
      <w:r>
        <w:rPr>
          <w:noProof/>
          <w:szCs w:val="24"/>
        </w:rPr>
        <w:t xml:space="preserve"> also contributed to the increased sustainability of actions.</w:t>
      </w:r>
    </w:p>
    <w:p w:rsidR="007D3598" w:rsidRDefault="007D3598">
      <w:pPr>
        <w:pStyle w:val="ListParagraph"/>
        <w:rPr>
          <w:rFonts w:cs="EC Square Sans Pro"/>
          <w:noProof/>
          <w:color w:val="000000"/>
          <w:szCs w:val="24"/>
        </w:rPr>
      </w:pPr>
    </w:p>
    <w:p w:rsidR="007D3598" w:rsidRDefault="007D3598">
      <w:pPr>
        <w:keepNext/>
        <w:jc w:val="both"/>
        <w:rPr>
          <w:noProof/>
          <w:szCs w:val="24"/>
        </w:rPr>
      </w:pPr>
    </w:p>
    <w:p w:rsidR="007D3598" w:rsidRDefault="00F8547B">
      <w:pPr>
        <w:rPr>
          <w:b/>
          <w:smallCaps/>
          <w:noProof/>
          <w:color w:val="365F91" w:themeColor="accent1" w:themeShade="BF"/>
          <w:sz w:val="32"/>
          <w:szCs w:val="32"/>
        </w:rPr>
      </w:pPr>
      <w:bookmarkStart w:id="31" w:name="_Toc506529829"/>
      <w:bookmarkStart w:id="32" w:name="_Toc506531957"/>
      <w:bookmarkStart w:id="33" w:name="_Toc507083595"/>
      <w:r>
        <w:rPr>
          <w:noProof/>
        </w:rPr>
        <w:br w:type="page"/>
      </w:r>
    </w:p>
    <w:p w:rsidR="007D3598" w:rsidRDefault="00F8547B">
      <w:pPr>
        <w:pStyle w:val="HH1"/>
        <w:spacing w:before="0" w:after="0"/>
        <w:contextualSpacing w:val="0"/>
        <w:rPr>
          <w:noProof/>
        </w:rPr>
      </w:pPr>
      <w:bookmarkStart w:id="34" w:name="_Toc508279316"/>
      <w:bookmarkStart w:id="35" w:name="_Toc508369300"/>
      <w:bookmarkStart w:id="36" w:name="_Toc508375511"/>
      <w:bookmarkStart w:id="37" w:name="_Toc508715362"/>
      <w:bookmarkStart w:id="38" w:name="_Toc508975868"/>
      <w:bookmarkStart w:id="39" w:name="_Toc515270132"/>
      <w:r>
        <w:rPr>
          <w:noProof/>
        </w:rPr>
        <w:t>Introduction</w:t>
      </w:r>
      <w:bookmarkEnd w:id="18"/>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7D3598" w:rsidRDefault="007D3598">
      <w:pPr>
        <w:rPr>
          <w:noProof/>
        </w:rPr>
      </w:pPr>
    </w:p>
    <w:p w:rsidR="007D3598" w:rsidRDefault="007D3598">
      <w:pPr>
        <w:pStyle w:val="EYBodytextnoparaspace"/>
        <w:spacing w:before="0" w:after="0" w:line="240" w:lineRule="auto"/>
        <w:jc w:val="both"/>
        <w:rPr>
          <w:rFonts w:ascii="Times New Roman" w:hAnsi="Times New Roman"/>
          <w:noProof/>
          <w:lang w:val="en-GB"/>
        </w:rPr>
      </w:pPr>
    </w:p>
    <w:p w:rsidR="007D3598" w:rsidRDefault="00F8547B">
      <w:pPr>
        <w:pStyle w:val="EYBodytextnoparaspace"/>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This Commission SWD presents the interim evaluation of the Internal Security Fund — Borders and Visa (ISF-BV) in line with Article 57 of Regulation (EU) No 514/2014 of the </w:t>
      </w:r>
      <w:r>
        <w:rPr>
          <w:rFonts w:ascii="Times New Roman" w:hAnsi="Times New Roman"/>
          <w:noProof/>
          <w:sz w:val="24"/>
          <w:szCs w:val="24"/>
          <w:lang w:val="en-GB"/>
        </w:rPr>
        <w:t>European Parliament and of the Council, the Commission Delegated Regulation (EU) 2017/207 and the Better Regulation Guidelines</w:t>
      </w:r>
      <w:r>
        <w:rPr>
          <w:rStyle w:val="FootnoteReference"/>
          <w:noProof/>
        </w:rPr>
        <w:footnoteReference w:id="3"/>
      </w:r>
      <w:r>
        <w:rPr>
          <w:rFonts w:ascii="Times New Roman" w:hAnsi="Times New Roman"/>
          <w:noProof/>
          <w:sz w:val="24"/>
          <w:szCs w:val="24"/>
          <w:lang w:val="en-GB"/>
        </w:rPr>
        <w:t>.</w:t>
      </w:r>
    </w:p>
    <w:p w:rsidR="007D3598" w:rsidRDefault="007D3598">
      <w:pPr>
        <w:pStyle w:val="EYBodytextnoparaspace"/>
        <w:spacing w:before="0" w:after="0" w:line="240" w:lineRule="auto"/>
        <w:jc w:val="both"/>
        <w:rPr>
          <w:rFonts w:ascii="Times New Roman" w:hAnsi="Times New Roman"/>
          <w:noProof/>
          <w:sz w:val="24"/>
          <w:szCs w:val="24"/>
          <w:lang w:val="en-GB"/>
        </w:rPr>
      </w:pPr>
    </w:p>
    <w:p w:rsidR="007D3598" w:rsidRDefault="00F8547B">
      <w:pPr>
        <w:pStyle w:val="EYBodytextnoparaspace"/>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Member States submitted to the Commission interim evaluation reports on the implementation of actions and progress towards </w:t>
      </w:r>
      <w:r>
        <w:rPr>
          <w:rFonts w:ascii="Times New Roman" w:hAnsi="Times New Roman"/>
          <w:noProof/>
          <w:sz w:val="24"/>
          <w:szCs w:val="24"/>
          <w:lang w:val="en-GB"/>
        </w:rPr>
        <w:t>achieving the objectives of their national programmes by 31 December 2017. On the basis of these reports, the Commission must submit an interim evaluation report on the implementation of Regulation (EU) No 513/2014, Regulation (EU) No 514/2014 and Regulati</w:t>
      </w:r>
      <w:r>
        <w:rPr>
          <w:rFonts w:ascii="Times New Roman" w:hAnsi="Times New Roman"/>
          <w:noProof/>
          <w:sz w:val="24"/>
          <w:szCs w:val="24"/>
          <w:lang w:val="en-GB"/>
        </w:rPr>
        <w:t>on (EU) No 515/2014 to the European Parliament, to the Council, to the European Economic and Social Committee and to the Committee of the Regions by 30 June 2018.</w:t>
      </w:r>
    </w:p>
    <w:p w:rsidR="007D3598" w:rsidRDefault="007D3598">
      <w:pPr>
        <w:pStyle w:val="EYBodytextnoparaspace"/>
        <w:spacing w:before="0" w:after="0" w:line="240" w:lineRule="auto"/>
        <w:jc w:val="both"/>
        <w:rPr>
          <w:rFonts w:ascii="Times New Roman" w:hAnsi="Times New Roman"/>
          <w:noProof/>
          <w:sz w:val="24"/>
          <w:szCs w:val="24"/>
          <w:lang w:val="en-GB"/>
        </w:rPr>
      </w:pPr>
    </w:p>
    <w:p w:rsidR="007D3598" w:rsidRDefault="00F8547B">
      <w:pPr>
        <w:pStyle w:val="EYBodytextnoparaspace"/>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rPr>
        <w:t>The purpose of the interim evaluation of the ISF-BV is to:</w:t>
      </w:r>
    </w:p>
    <w:p w:rsidR="007D3598" w:rsidRDefault="007D3598">
      <w:pPr>
        <w:pStyle w:val="EYBodytextnoparaspace"/>
        <w:spacing w:before="0" w:after="0" w:line="240" w:lineRule="auto"/>
        <w:jc w:val="both"/>
        <w:rPr>
          <w:rFonts w:ascii="Times New Roman" w:hAnsi="Times New Roman"/>
          <w:noProof/>
          <w:sz w:val="24"/>
          <w:szCs w:val="24"/>
          <w:lang w:val="en-GB"/>
        </w:rPr>
      </w:pPr>
    </w:p>
    <w:p w:rsidR="007D3598" w:rsidRDefault="00F8547B">
      <w:pPr>
        <w:pStyle w:val="EYBodytextnoparaspace"/>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rPr>
        <w:t>1) ensure transparency and accou</w:t>
      </w:r>
      <w:r>
        <w:rPr>
          <w:rFonts w:ascii="Times New Roman" w:hAnsi="Times New Roman"/>
          <w:noProof/>
          <w:sz w:val="24"/>
          <w:szCs w:val="24"/>
          <w:lang w:val="en-GB"/>
        </w:rPr>
        <w:t>ntability in the ISF’s implementation, the general objective of which is to ensure a high level of security within ‘an area of freedom, security and justice’; and</w:t>
      </w:r>
    </w:p>
    <w:p w:rsidR="007D3598" w:rsidRDefault="007D3598">
      <w:pPr>
        <w:pStyle w:val="EYBodytextnoparaspace"/>
        <w:spacing w:before="0" w:after="0" w:line="240" w:lineRule="auto"/>
        <w:jc w:val="both"/>
        <w:rPr>
          <w:rFonts w:ascii="Times New Roman" w:hAnsi="Times New Roman"/>
          <w:noProof/>
          <w:sz w:val="24"/>
          <w:szCs w:val="24"/>
          <w:lang w:val="en-GB"/>
        </w:rPr>
      </w:pPr>
    </w:p>
    <w:p w:rsidR="007D3598" w:rsidRDefault="00F8547B">
      <w:pPr>
        <w:pStyle w:val="EYBodytextnoparaspace"/>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rPr>
        <w:t>2) help make the future implementation of EU instruments in the fields covered by ISF more r</w:t>
      </w:r>
      <w:r>
        <w:rPr>
          <w:rFonts w:ascii="Times New Roman" w:hAnsi="Times New Roman"/>
          <w:noProof/>
          <w:sz w:val="24"/>
          <w:szCs w:val="24"/>
          <w:lang w:val="en-GB"/>
        </w:rPr>
        <w:t>elevant, effective, efficient, and sustainable and enable them to provide EU added value and simplification measures as well as reduce administrative burden.</w:t>
      </w:r>
    </w:p>
    <w:p w:rsidR="007D3598" w:rsidRDefault="007D3598">
      <w:pPr>
        <w:pStyle w:val="EYBodytextnoparaspace"/>
        <w:spacing w:before="0" w:after="0" w:line="240" w:lineRule="auto"/>
        <w:jc w:val="both"/>
        <w:rPr>
          <w:rFonts w:ascii="Times New Roman" w:hAnsi="Times New Roman"/>
          <w:noProof/>
          <w:sz w:val="24"/>
          <w:szCs w:val="24"/>
          <w:lang w:val="en-GB"/>
        </w:rPr>
      </w:pPr>
    </w:p>
    <w:p w:rsidR="007D3598" w:rsidRDefault="00F8547B">
      <w:pPr>
        <w:pStyle w:val="EYBodytextnoparaspace"/>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rPr>
        <w:t>This evaluation looks at the progress made in implementing the programme, and assessed whether co</w:t>
      </w:r>
      <w:r>
        <w:rPr>
          <w:rFonts w:ascii="Times New Roman" w:hAnsi="Times New Roman"/>
          <w:noProof/>
          <w:sz w:val="24"/>
          <w:szCs w:val="24"/>
          <w:lang w:val="en-GB"/>
        </w:rPr>
        <w:t>rrective actions are needed to make sure that the programme delivers as planned. It also contributed to the preparation of the next generation of funding instruments (the successors of ISF-BV), under the post-2020 multiannual financial framework (MFF).</w:t>
      </w:r>
    </w:p>
    <w:p w:rsidR="007D3598" w:rsidRDefault="007D3598">
      <w:pPr>
        <w:pStyle w:val="EYBodytextnoparaspace"/>
        <w:spacing w:before="0" w:after="0" w:line="240" w:lineRule="auto"/>
        <w:jc w:val="both"/>
        <w:rPr>
          <w:rFonts w:ascii="Times New Roman" w:hAnsi="Times New Roman"/>
          <w:noProof/>
          <w:sz w:val="24"/>
          <w:szCs w:val="24"/>
          <w:lang w:val="en-GB"/>
        </w:rPr>
      </w:pPr>
    </w:p>
    <w:p w:rsidR="007D3598" w:rsidRDefault="00F8547B">
      <w:pPr>
        <w:pStyle w:val="EYBodytextnoparaspace"/>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rPr>
        <w:t>Th</w:t>
      </w:r>
      <w:r>
        <w:rPr>
          <w:rFonts w:ascii="Times New Roman" w:hAnsi="Times New Roman"/>
          <w:noProof/>
          <w:sz w:val="24"/>
          <w:szCs w:val="24"/>
          <w:lang w:val="en-GB"/>
        </w:rPr>
        <w:t>is evaluation covers all EU Member States, except Ireland and the United Kingdom that do not participate in ISF-BV. In addition, the evaluation covers Switzerland, Iceland, Liechtenstein and Norway, who are associated with the programme due to the fact tha</w:t>
      </w:r>
      <w:r>
        <w:rPr>
          <w:rFonts w:ascii="Times New Roman" w:hAnsi="Times New Roman"/>
          <w:noProof/>
          <w:sz w:val="24"/>
          <w:szCs w:val="24"/>
          <w:lang w:val="en-GB"/>
        </w:rPr>
        <w:t xml:space="preserve">t they fully implement the Schengen </w:t>
      </w:r>
      <w:r>
        <w:rPr>
          <w:rFonts w:ascii="Times New Roman" w:hAnsi="Times New Roman"/>
          <w:i/>
          <w:noProof/>
          <w:sz w:val="24"/>
          <w:szCs w:val="24"/>
          <w:lang w:val="en-GB"/>
        </w:rPr>
        <w:t>acquis</w:t>
      </w:r>
      <w:r>
        <w:rPr>
          <w:rStyle w:val="FootnoteReference"/>
          <w:rFonts w:ascii="Times New Roman" w:hAnsi="Times New Roman"/>
          <w:noProof/>
          <w:sz w:val="24"/>
          <w:szCs w:val="24"/>
          <w:lang w:val="en-GB"/>
        </w:rPr>
        <w:footnoteReference w:id="4"/>
      </w:r>
      <w:r>
        <w:rPr>
          <w:rFonts w:ascii="Times New Roman" w:hAnsi="Times New Roman"/>
          <w:noProof/>
          <w:sz w:val="24"/>
          <w:szCs w:val="24"/>
          <w:lang w:val="en-GB"/>
        </w:rPr>
        <w:t>. The evaluation covers the period from 1 January 2014 until 30 June 2017 and covers the national programmes of the participating countries, including specific actions and technical assistance as well as Union act</w:t>
      </w:r>
      <w:r>
        <w:rPr>
          <w:rFonts w:ascii="Times New Roman" w:hAnsi="Times New Roman"/>
          <w:noProof/>
          <w:sz w:val="24"/>
          <w:szCs w:val="24"/>
          <w:lang w:val="en-GB"/>
        </w:rPr>
        <w:t>ions and emergency assistance.</w:t>
      </w:r>
    </w:p>
    <w:p w:rsidR="007D3598" w:rsidRDefault="007D3598">
      <w:pPr>
        <w:pStyle w:val="EYBodytextnoparaspace"/>
        <w:spacing w:before="0" w:after="0" w:line="240" w:lineRule="auto"/>
        <w:jc w:val="both"/>
        <w:rPr>
          <w:rFonts w:ascii="Times New Roman" w:hAnsi="Times New Roman"/>
          <w:noProof/>
          <w:lang w:val="en-GB"/>
        </w:rPr>
      </w:pPr>
    </w:p>
    <w:p w:rsidR="007D3598" w:rsidRDefault="00F8547B">
      <w:pPr>
        <w:rPr>
          <w:b/>
          <w:smallCaps/>
          <w:noProof/>
          <w:color w:val="365F91" w:themeColor="accent1" w:themeShade="BF"/>
          <w:sz w:val="32"/>
          <w:szCs w:val="32"/>
        </w:rPr>
      </w:pPr>
      <w:bookmarkStart w:id="40" w:name="_Toc504502883"/>
      <w:bookmarkStart w:id="41" w:name="_Toc504503031"/>
      <w:bookmarkStart w:id="42" w:name="_Toc504503123"/>
      <w:bookmarkStart w:id="43" w:name="_Toc504503373"/>
      <w:bookmarkStart w:id="44" w:name="_Toc504504028"/>
      <w:bookmarkStart w:id="45" w:name="_Toc504553468"/>
      <w:bookmarkStart w:id="46" w:name="_Toc505869895"/>
      <w:bookmarkStart w:id="47" w:name="_Toc505870159"/>
      <w:bookmarkStart w:id="48" w:name="_Toc505872767"/>
      <w:bookmarkStart w:id="49" w:name="_Toc505872874"/>
      <w:bookmarkStart w:id="50" w:name="_Toc504475547"/>
      <w:bookmarkStart w:id="51" w:name="_Toc504475646"/>
      <w:bookmarkStart w:id="52" w:name="_Toc504476771"/>
      <w:bookmarkStart w:id="53" w:name="_Toc504502700"/>
      <w:bookmarkStart w:id="54" w:name="_Toc504502792"/>
      <w:bookmarkStart w:id="55" w:name="_Toc504502884"/>
      <w:bookmarkStart w:id="56" w:name="_Toc504503032"/>
      <w:bookmarkStart w:id="57" w:name="_Toc504503124"/>
      <w:bookmarkStart w:id="58" w:name="_Toc504503374"/>
      <w:bookmarkStart w:id="59" w:name="_Toc504504029"/>
      <w:bookmarkStart w:id="60" w:name="_Toc504553469"/>
      <w:bookmarkStart w:id="61" w:name="_Toc505869896"/>
      <w:bookmarkStart w:id="62" w:name="_Toc505870160"/>
      <w:bookmarkStart w:id="63" w:name="_Toc505872768"/>
      <w:bookmarkStart w:id="64" w:name="_Toc505872875"/>
      <w:bookmarkStart w:id="65" w:name="_Toc504475548"/>
      <w:bookmarkStart w:id="66" w:name="_Toc504475647"/>
      <w:bookmarkStart w:id="67" w:name="_Toc504476772"/>
      <w:bookmarkStart w:id="68" w:name="_Toc504502701"/>
      <w:bookmarkStart w:id="69" w:name="_Toc504502793"/>
      <w:bookmarkStart w:id="70" w:name="_Toc504502885"/>
      <w:bookmarkStart w:id="71" w:name="_Toc504503033"/>
      <w:bookmarkStart w:id="72" w:name="_Toc504503125"/>
      <w:bookmarkStart w:id="73" w:name="_Toc504503375"/>
      <w:bookmarkStart w:id="74" w:name="_Toc504504030"/>
      <w:bookmarkStart w:id="75" w:name="_Toc504553470"/>
      <w:bookmarkStart w:id="76" w:name="_Toc505869897"/>
      <w:bookmarkStart w:id="77" w:name="_Toc505870161"/>
      <w:bookmarkStart w:id="78" w:name="_Toc505872769"/>
      <w:bookmarkStart w:id="79" w:name="_Toc505872876"/>
      <w:bookmarkStart w:id="80" w:name="_Toc504475549"/>
      <w:bookmarkStart w:id="81" w:name="_Toc504475648"/>
      <w:bookmarkStart w:id="82" w:name="_Toc504476773"/>
      <w:bookmarkStart w:id="83" w:name="_Toc504502702"/>
      <w:bookmarkStart w:id="84" w:name="_Toc504502794"/>
      <w:bookmarkStart w:id="85" w:name="_Toc504502886"/>
      <w:bookmarkStart w:id="86" w:name="_Toc504503034"/>
      <w:bookmarkStart w:id="87" w:name="_Toc504503126"/>
      <w:bookmarkStart w:id="88" w:name="_Toc504503376"/>
      <w:bookmarkStart w:id="89" w:name="_Toc504504031"/>
      <w:bookmarkStart w:id="90" w:name="_Toc504553471"/>
      <w:bookmarkStart w:id="91" w:name="_Toc505869898"/>
      <w:bookmarkStart w:id="92" w:name="_Toc505870162"/>
      <w:bookmarkStart w:id="93" w:name="_Toc505872770"/>
      <w:bookmarkStart w:id="94" w:name="_Toc505872877"/>
      <w:bookmarkStart w:id="95" w:name="_Toc506393739"/>
      <w:bookmarkStart w:id="96" w:name="_Toc506475197"/>
      <w:bookmarkStart w:id="97" w:name="_Toc506478815"/>
      <w:bookmarkStart w:id="98" w:name="_Toc506479767"/>
      <w:bookmarkStart w:id="99" w:name="_Toc506483905"/>
      <w:bookmarkStart w:id="100" w:name="_Toc506529830"/>
      <w:bookmarkStart w:id="101" w:name="_Toc50653195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noProof/>
        </w:rPr>
        <w:br w:type="page"/>
      </w:r>
    </w:p>
    <w:p w:rsidR="007D3598" w:rsidRDefault="00F8547B">
      <w:pPr>
        <w:pStyle w:val="HH1"/>
        <w:spacing w:before="0" w:after="0"/>
        <w:contextualSpacing w:val="0"/>
        <w:rPr>
          <w:noProof/>
        </w:rPr>
      </w:pPr>
      <w:bookmarkStart w:id="102" w:name="_Toc508279317"/>
      <w:bookmarkStart w:id="103" w:name="_Toc508369301"/>
      <w:bookmarkStart w:id="104" w:name="_Toc508375512"/>
      <w:bookmarkStart w:id="105" w:name="_Toc508715363"/>
      <w:bookmarkStart w:id="106" w:name="_Toc508975869"/>
      <w:bookmarkStart w:id="107" w:name="_Toc515270133"/>
      <w:bookmarkStart w:id="108" w:name="_Toc507083598"/>
      <w:bookmarkStart w:id="109" w:name="_Toc507083596"/>
      <w:r>
        <w:rPr>
          <w:noProof/>
        </w:rPr>
        <w:t>Background to the intervention</w:t>
      </w:r>
      <w:bookmarkStart w:id="110" w:name="_Toc505872772"/>
      <w:bookmarkStart w:id="111" w:name="_Toc505872879"/>
      <w:bookmarkEnd w:id="102"/>
      <w:bookmarkEnd w:id="103"/>
      <w:bookmarkEnd w:id="104"/>
      <w:bookmarkEnd w:id="105"/>
      <w:bookmarkEnd w:id="106"/>
      <w:bookmarkEnd w:id="107"/>
      <w:bookmarkEnd w:id="110"/>
      <w:bookmarkEnd w:id="111"/>
    </w:p>
    <w:p w:rsidR="007D3598" w:rsidRDefault="007D3598">
      <w:pPr>
        <w:autoSpaceDE w:val="0"/>
        <w:autoSpaceDN w:val="0"/>
        <w:adjustRightInd w:val="0"/>
        <w:jc w:val="both"/>
        <w:rPr>
          <w:noProof/>
          <w:szCs w:val="24"/>
          <w:lang w:eastAsia="en-GB"/>
        </w:rPr>
      </w:pPr>
    </w:p>
    <w:p w:rsidR="007D3598" w:rsidRDefault="00F8547B">
      <w:pPr>
        <w:pStyle w:val="HH2"/>
        <w:spacing w:before="0" w:after="0"/>
        <w:contextualSpacing w:val="0"/>
        <w:rPr>
          <w:noProof/>
        </w:rPr>
      </w:pPr>
      <w:bookmarkStart w:id="112" w:name="_Toc504504033"/>
      <w:bookmarkStart w:id="113" w:name="_Toc504553473"/>
      <w:bookmarkStart w:id="114" w:name="_Toc504504034"/>
      <w:bookmarkStart w:id="115" w:name="_Toc504553474"/>
      <w:bookmarkStart w:id="116" w:name="_Toc505872773"/>
      <w:bookmarkStart w:id="117" w:name="_Toc505872880"/>
      <w:bookmarkStart w:id="118" w:name="_Toc504504035"/>
      <w:bookmarkStart w:id="119" w:name="_Toc504553475"/>
      <w:bookmarkStart w:id="120" w:name="_Toc505872774"/>
      <w:bookmarkStart w:id="121" w:name="_Toc505872881"/>
      <w:bookmarkStart w:id="122" w:name="_Toc506389084"/>
      <w:bookmarkStart w:id="123" w:name="_Toc506393636"/>
      <w:bookmarkStart w:id="124" w:name="_Toc506393688"/>
      <w:bookmarkStart w:id="125" w:name="_Toc506393740"/>
      <w:bookmarkStart w:id="126" w:name="_Toc506395174"/>
      <w:bookmarkStart w:id="127" w:name="_Toc506459518"/>
      <w:bookmarkStart w:id="128" w:name="_Toc506466796"/>
      <w:bookmarkStart w:id="129" w:name="_Toc506468199"/>
      <w:bookmarkStart w:id="130" w:name="_Toc506468825"/>
      <w:bookmarkStart w:id="131" w:name="_Toc506472158"/>
      <w:bookmarkStart w:id="132" w:name="_Toc506474708"/>
      <w:bookmarkStart w:id="133" w:name="_Toc506474103"/>
      <w:bookmarkStart w:id="134" w:name="_Toc506475198"/>
      <w:bookmarkStart w:id="135" w:name="_Toc506476267"/>
      <w:bookmarkStart w:id="136" w:name="_Toc506475384"/>
      <w:bookmarkStart w:id="137" w:name="_Toc506477296"/>
      <w:bookmarkStart w:id="138" w:name="_Toc506477401"/>
      <w:bookmarkStart w:id="139" w:name="_Toc506478270"/>
      <w:bookmarkStart w:id="140" w:name="_Toc506478575"/>
      <w:bookmarkStart w:id="141" w:name="_Toc506478816"/>
      <w:bookmarkStart w:id="142" w:name="_Toc506479768"/>
      <w:bookmarkStart w:id="143" w:name="_Toc506483583"/>
      <w:bookmarkStart w:id="144" w:name="_Toc506483805"/>
      <w:bookmarkStart w:id="145" w:name="_Toc506483906"/>
      <w:bookmarkStart w:id="146" w:name="_Toc506529744"/>
      <w:bookmarkStart w:id="147" w:name="_Toc506529831"/>
      <w:bookmarkStart w:id="148" w:name="_Toc506530077"/>
      <w:bookmarkStart w:id="149" w:name="_Toc506389085"/>
      <w:bookmarkStart w:id="150" w:name="_Toc506393637"/>
      <w:bookmarkStart w:id="151" w:name="_Toc506393689"/>
      <w:bookmarkStart w:id="152" w:name="_Toc506393741"/>
      <w:bookmarkStart w:id="153" w:name="_Toc506395175"/>
      <w:bookmarkStart w:id="154" w:name="_Toc506459519"/>
      <w:bookmarkStart w:id="155" w:name="_Toc506466797"/>
      <w:bookmarkStart w:id="156" w:name="_Toc506468200"/>
      <w:bookmarkStart w:id="157" w:name="_Toc506468826"/>
      <w:bookmarkStart w:id="158" w:name="_Toc506472159"/>
      <w:bookmarkStart w:id="159" w:name="_Toc506474709"/>
      <w:bookmarkStart w:id="160" w:name="_Toc506474104"/>
      <w:bookmarkStart w:id="161" w:name="_Toc506475199"/>
      <w:bookmarkStart w:id="162" w:name="_Toc506476268"/>
      <w:bookmarkStart w:id="163" w:name="_Toc506475385"/>
      <w:bookmarkStart w:id="164" w:name="_Toc506477297"/>
      <w:bookmarkStart w:id="165" w:name="_Toc506477402"/>
      <w:bookmarkStart w:id="166" w:name="_Toc506478271"/>
      <w:bookmarkStart w:id="167" w:name="_Toc506478576"/>
      <w:bookmarkStart w:id="168" w:name="_Toc506478817"/>
      <w:bookmarkStart w:id="169" w:name="_Toc506479769"/>
      <w:bookmarkStart w:id="170" w:name="_Toc506483584"/>
      <w:bookmarkStart w:id="171" w:name="_Toc506483806"/>
      <w:bookmarkStart w:id="172" w:name="_Toc506483907"/>
      <w:bookmarkStart w:id="173" w:name="_Toc506529745"/>
      <w:bookmarkStart w:id="174" w:name="_Toc506529832"/>
      <w:bookmarkStart w:id="175" w:name="_Toc506530078"/>
      <w:bookmarkStart w:id="176" w:name="_Toc508279318"/>
      <w:bookmarkStart w:id="177" w:name="_Toc508715364"/>
      <w:bookmarkStart w:id="178" w:name="_Toc508975870"/>
      <w:bookmarkStart w:id="179" w:name="_Toc508369302"/>
      <w:bookmarkStart w:id="180" w:name="_Toc508375513"/>
      <w:bookmarkStart w:id="181" w:name="_Toc515270134"/>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noProof/>
          <w:szCs w:val="24"/>
        </w:rPr>
        <w:t>Baseline</w:t>
      </w:r>
      <w:bookmarkEnd w:id="108"/>
      <w:bookmarkEnd w:id="176"/>
      <w:bookmarkEnd w:id="177"/>
      <w:bookmarkEnd w:id="178"/>
      <w:bookmarkEnd w:id="179"/>
      <w:bookmarkEnd w:id="180"/>
      <w:bookmarkEnd w:id="181"/>
    </w:p>
    <w:p w:rsidR="007D3598" w:rsidRDefault="007D3598">
      <w:pPr>
        <w:rPr>
          <w:noProof/>
          <w:highlight w:val="yellow"/>
        </w:rPr>
      </w:pPr>
    </w:p>
    <w:p w:rsidR="007D3598" w:rsidRDefault="00F8547B">
      <w:pPr>
        <w:jc w:val="both"/>
        <w:rPr>
          <w:i/>
          <w:noProof/>
          <w:szCs w:val="24"/>
        </w:rPr>
      </w:pPr>
      <w:r>
        <w:rPr>
          <w:i/>
          <w:noProof/>
          <w:szCs w:val="24"/>
        </w:rPr>
        <w:t>Policy context</w:t>
      </w:r>
    </w:p>
    <w:p w:rsidR="007D3598" w:rsidRDefault="007D3598">
      <w:pPr>
        <w:jc w:val="both"/>
        <w:rPr>
          <w:noProof/>
          <w:szCs w:val="24"/>
        </w:rPr>
      </w:pPr>
    </w:p>
    <w:p w:rsidR="007D3598" w:rsidRDefault="00F8547B">
      <w:pPr>
        <w:jc w:val="both"/>
        <w:rPr>
          <w:noProof/>
          <w:szCs w:val="24"/>
        </w:rPr>
      </w:pPr>
      <w:r>
        <w:rPr>
          <w:noProof/>
          <w:szCs w:val="24"/>
        </w:rPr>
        <w:t xml:space="preserve">One of the EU’s overarching objectives is to offer its citizens ‘an area of freedom, security and justice with respect for fundamental rights and the different </w:t>
      </w:r>
      <w:r>
        <w:rPr>
          <w:noProof/>
          <w:szCs w:val="24"/>
        </w:rPr>
        <w:t>legal systems and traditions of the Member States’ (Art. 67 TFEU). It has been on top of the EU policy agenda since the Tampere Council Conclusions in 1999</w:t>
      </w:r>
      <w:r>
        <w:rPr>
          <w:rStyle w:val="FootnoteReference"/>
          <w:noProof/>
        </w:rPr>
        <w:footnoteReference w:id="5"/>
      </w:r>
      <w:r>
        <w:rPr>
          <w:noProof/>
          <w:szCs w:val="24"/>
        </w:rPr>
        <w:t>. To achieve this goal, the Member States have to make a common effort to invest in the protection a</w:t>
      </w:r>
      <w:r>
        <w:rPr>
          <w:noProof/>
          <w:szCs w:val="24"/>
        </w:rPr>
        <w:t>nd security of their common external borders.</w:t>
      </w:r>
    </w:p>
    <w:p w:rsidR="007D3598" w:rsidRDefault="007D3598">
      <w:pPr>
        <w:jc w:val="both"/>
        <w:rPr>
          <w:noProof/>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b/>
          <w:noProof/>
          <w:sz w:val="24"/>
          <w:szCs w:val="24"/>
        </w:rPr>
        <w:t>The Schengen area</w:t>
      </w:r>
      <w:r>
        <w:rPr>
          <w:rFonts w:ascii="Times New Roman" w:hAnsi="Times New Roman"/>
          <w:noProof/>
          <w:sz w:val="24"/>
          <w:szCs w:val="24"/>
        </w:rPr>
        <w:t xml:space="preserve"> is one of the EU’s greatest achievements. It is an area without internal borders where the people are ensured of the right to free movement without being subjected to border checks. Schengen </w:t>
      </w:r>
      <w:r>
        <w:rPr>
          <w:rFonts w:ascii="Times New Roman" w:hAnsi="Times New Roman"/>
          <w:noProof/>
          <w:sz w:val="24"/>
          <w:szCs w:val="24"/>
        </w:rPr>
        <w:t>states have improved and tightened controls at their common external borders on the basis of common rules to ensure the security of those living or travelling in the Schengen area and to prevent illegal entry, while facilitating legitimate travel. The Sche</w:t>
      </w:r>
      <w:r>
        <w:rPr>
          <w:rFonts w:ascii="Times New Roman" w:hAnsi="Times New Roman"/>
          <w:noProof/>
          <w:sz w:val="24"/>
          <w:szCs w:val="24"/>
        </w:rPr>
        <w:t xml:space="preserve">ngen </w:t>
      </w:r>
      <w:r>
        <w:rPr>
          <w:rFonts w:ascii="Times New Roman" w:hAnsi="Times New Roman"/>
          <w:i/>
          <w:noProof/>
          <w:sz w:val="24"/>
          <w:szCs w:val="24"/>
        </w:rPr>
        <w:t>acquis</w:t>
      </w:r>
      <w:r>
        <w:rPr>
          <w:rFonts w:ascii="Times New Roman" w:hAnsi="Times New Roman"/>
          <w:noProof/>
          <w:sz w:val="24"/>
          <w:szCs w:val="24"/>
        </w:rPr>
        <w:t xml:space="preserve"> provides for common rules and procedures to be applied by signatory states with regard to short-term visas and border controls. Therefore, all signatory states needed to contribute to ensuring a </w:t>
      </w:r>
      <w:r>
        <w:rPr>
          <w:rFonts w:ascii="Times New Roman" w:hAnsi="Times New Roman"/>
          <w:iCs/>
          <w:noProof/>
          <w:sz w:val="24"/>
          <w:szCs w:val="24"/>
        </w:rPr>
        <w:t xml:space="preserve">high and uniform level of control on individuals </w:t>
      </w:r>
      <w:r>
        <w:rPr>
          <w:rFonts w:ascii="Times New Roman" w:hAnsi="Times New Roman"/>
          <w:iCs/>
          <w:noProof/>
          <w:sz w:val="24"/>
          <w:szCs w:val="24"/>
        </w:rPr>
        <w:t>and surveillance of the EU external borders</w:t>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The consolidation and functioning of the Schengen area requires an overall border policy architecture at the EU level supporting the components of the common integrated border management (IBM) strategy. The IBM</w:t>
      </w:r>
      <w:r>
        <w:rPr>
          <w:rFonts w:ascii="Times New Roman" w:hAnsi="Times New Roman"/>
          <w:noProof/>
          <w:sz w:val="24"/>
          <w:szCs w:val="24"/>
        </w:rPr>
        <w:t xml:space="preserve"> concept encompasses three dimensions</w:t>
      </w:r>
      <w:r>
        <w:rPr>
          <w:rStyle w:val="FootnoteReference"/>
          <w:rFonts w:ascii="Times New Roman" w:hAnsi="Times New Roman"/>
          <w:noProof/>
          <w:sz w:val="24"/>
          <w:szCs w:val="24"/>
        </w:rPr>
        <w:footnoteReference w:id="6"/>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ListParagraph"/>
        <w:numPr>
          <w:ilvl w:val="0"/>
          <w:numId w:val="69"/>
        </w:numPr>
        <w:jc w:val="both"/>
        <w:rPr>
          <w:noProof/>
          <w:szCs w:val="24"/>
        </w:rPr>
      </w:pPr>
      <w:r>
        <w:rPr>
          <w:noProof/>
          <w:szCs w:val="24"/>
        </w:rPr>
        <w:t>a common corpus of legislation, in particular the Schengen Borders Code as well as the Regulation on local border traffic;</w:t>
      </w:r>
    </w:p>
    <w:p w:rsidR="007D3598" w:rsidRDefault="00F8547B">
      <w:pPr>
        <w:pStyle w:val="ListParagraph"/>
        <w:numPr>
          <w:ilvl w:val="0"/>
          <w:numId w:val="69"/>
        </w:numPr>
        <w:jc w:val="both"/>
        <w:rPr>
          <w:noProof/>
          <w:szCs w:val="24"/>
        </w:rPr>
      </w:pPr>
      <w:r>
        <w:rPr>
          <w:noProof/>
          <w:szCs w:val="24"/>
        </w:rPr>
        <w:t>operational cooperation between Member States, including cooperation as coordinated by Front</w:t>
      </w:r>
      <w:r>
        <w:rPr>
          <w:noProof/>
          <w:szCs w:val="24"/>
        </w:rPr>
        <w:t>ex;</w:t>
      </w:r>
    </w:p>
    <w:p w:rsidR="007D3598" w:rsidRDefault="00F8547B">
      <w:pPr>
        <w:pStyle w:val="ListParagraph"/>
        <w:numPr>
          <w:ilvl w:val="0"/>
          <w:numId w:val="69"/>
        </w:numPr>
        <w:jc w:val="both"/>
        <w:rPr>
          <w:noProof/>
          <w:szCs w:val="24"/>
        </w:rPr>
      </w:pPr>
      <w:r>
        <w:rPr>
          <w:noProof/>
          <w:szCs w:val="24"/>
        </w:rPr>
        <w:t>solidarity between Member States and the EU through the establishment of an External Borders Fund.</w:t>
      </w:r>
    </w:p>
    <w:p w:rsidR="007D3598" w:rsidRDefault="007D3598">
      <w:pPr>
        <w:jc w:val="both"/>
        <w:rPr>
          <w:noProof/>
          <w:szCs w:val="24"/>
        </w:rPr>
      </w:pPr>
    </w:p>
    <w:p w:rsidR="007D3598" w:rsidRDefault="00F8547B">
      <w:pPr>
        <w:autoSpaceDE w:val="0"/>
        <w:autoSpaceDN w:val="0"/>
        <w:adjustRightInd w:val="0"/>
        <w:jc w:val="both"/>
        <w:rPr>
          <w:noProof/>
          <w:szCs w:val="24"/>
        </w:rPr>
      </w:pPr>
      <w:r>
        <w:rPr>
          <w:noProof/>
          <w:szCs w:val="24"/>
        </w:rPr>
        <w:t>However, the burden borne to implement the common standards for control of the EU’s external borders varied significantly from Member States to Member S</w:t>
      </w:r>
      <w:r>
        <w:rPr>
          <w:noProof/>
          <w:szCs w:val="24"/>
        </w:rPr>
        <w:t>tates. These variations were explained through the differences between Member States in terms of (i) the geography of their external borders, (ii) the number of border crossing points (BCPs), (iii) the level of migratory pressure, (iv) the risks and threat</w:t>
      </w:r>
      <w:r>
        <w:rPr>
          <w:noProof/>
          <w:szCs w:val="24"/>
        </w:rPr>
        <w:t>s encountered and (v) the number of Schengen visa applications received.</w:t>
      </w:r>
    </w:p>
    <w:p w:rsidR="007D3598" w:rsidRDefault="007D3598">
      <w:pPr>
        <w:autoSpaceDE w:val="0"/>
        <w:autoSpaceDN w:val="0"/>
        <w:adjustRightInd w:val="0"/>
        <w:jc w:val="both"/>
        <w:rPr>
          <w:noProof/>
          <w:szCs w:val="24"/>
        </w:rPr>
      </w:pPr>
    </w:p>
    <w:p w:rsidR="007D3598" w:rsidRDefault="00F8547B">
      <w:pPr>
        <w:autoSpaceDE w:val="0"/>
        <w:autoSpaceDN w:val="0"/>
        <w:adjustRightInd w:val="0"/>
        <w:jc w:val="both"/>
        <w:rPr>
          <w:noProof/>
          <w:szCs w:val="24"/>
          <w:lang w:eastAsia="en-GB"/>
        </w:rPr>
      </w:pPr>
      <w:r>
        <w:rPr>
          <w:noProof/>
          <w:szCs w:val="24"/>
        </w:rPr>
        <w:t>The Council identified the External Borders Fund (</w:t>
      </w:r>
      <w:r>
        <w:rPr>
          <w:b/>
          <w:noProof/>
          <w:szCs w:val="24"/>
        </w:rPr>
        <w:t>EBF</w:t>
      </w:r>
      <w:r>
        <w:rPr>
          <w:noProof/>
          <w:szCs w:val="24"/>
        </w:rPr>
        <w:t xml:space="preserve">), the first funding instrument that deals with borders, as one of the three dimensions of IBM. The EBF’s </w:t>
      </w:r>
      <w:r>
        <w:rPr>
          <w:noProof/>
          <w:szCs w:val="24"/>
          <w:lang w:eastAsia="en-GB"/>
        </w:rPr>
        <w:t>general objectives were</w:t>
      </w:r>
      <w:r>
        <w:rPr>
          <w:noProof/>
          <w:szCs w:val="24"/>
          <w:lang w:eastAsia="en-GB"/>
        </w:rPr>
        <w:t xml:space="preserve"> to increase the efficiency of control and management of flows of people at the external borders, as well as unify the implementation of the EU legislation on the crossing of external borders and improve the management of activities organised by consular s</w:t>
      </w:r>
      <w:r>
        <w:rPr>
          <w:noProof/>
          <w:szCs w:val="24"/>
          <w:lang w:eastAsia="en-GB"/>
        </w:rPr>
        <w:t>ervices. The EBF was implemented under shared management arrangements, by means of annual national programmes. It also funded Community and specific actions, which were managed at the initiative of the European Commission (direct management) and implemente</w:t>
      </w:r>
      <w:r>
        <w:rPr>
          <w:noProof/>
          <w:szCs w:val="24"/>
          <w:lang w:eastAsia="en-GB"/>
        </w:rPr>
        <w:t>d by the Member States.</w:t>
      </w:r>
    </w:p>
    <w:p w:rsidR="007D3598" w:rsidRDefault="007D3598">
      <w:pPr>
        <w:autoSpaceDE w:val="0"/>
        <w:autoSpaceDN w:val="0"/>
        <w:adjustRightInd w:val="0"/>
        <w:jc w:val="both"/>
        <w:rPr>
          <w:noProof/>
          <w:szCs w:val="24"/>
          <w:lang w:eastAsia="en-GB"/>
        </w:rPr>
      </w:pPr>
    </w:p>
    <w:p w:rsidR="007D3598" w:rsidRDefault="00F8547B">
      <w:pPr>
        <w:jc w:val="both"/>
        <w:rPr>
          <w:noProof/>
          <w:szCs w:val="24"/>
        </w:rPr>
      </w:pPr>
      <w:r>
        <w:rPr>
          <w:noProof/>
          <w:szCs w:val="24"/>
        </w:rPr>
        <w:t>The EBF was one of the four</w:t>
      </w:r>
      <w:r>
        <w:rPr>
          <w:rStyle w:val="FootnoteReference"/>
          <w:noProof/>
          <w:szCs w:val="24"/>
        </w:rPr>
        <w:footnoteReference w:id="7"/>
      </w:r>
      <w:r>
        <w:rPr>
          <w:noProof/>
          <w:szCs w:val="24"/>
        </w:rPr>
        <w:t xml:space="preserve"> EU funding instruments established in 2007 as part of the framework programme on Solidarity and Management of Migration Flows</w:t>
      </w:r>
      <w:r>
        <w:rPr>
          <w:rStyle w:val="FootnoteReference"/>
          <w:noProof/>
          <w:szCs w:val="24"/>
        </w:rPr>
        <w:footnoteReference w:id="8"/>
      </w:r>
      <w:r>
        <w:rPr>
          <w:noProof/>
          <w:szCs w:val="24"/>
        </w:rPr>
        <w:t xml:space="preserve"> (SOLID). It was also part of a wider policy package which also included the</w:t>
      </w:r>
      <w:r>
        <w:rPr>
          <w:noProof/>
          <w:szCs w:val="24"/>
        </w:rPr>
        <w:t xml:space="preserve"> Frontex Agency</w:t>
      </w:r>
      <w:r>
        <w:rPr>
          <w:rStyle w:val="FootnoteReference"/>
          <w:noProof/>
          <w:szCs w:val="24"/>
        </w:rPr>
        <w:footnoteReference w:id="9"/>
      </w:r>
      <w:r>
        <w:rPr>
          <w:noProof/>
          <w:szCs w:val="24"/>
        </w:rPr>
        <w:t>, the Schengen Borders Code</w:t>
      </w:r>
      <w:r>
        <w:rPr>
          <w:rStyle w:val="FootnoteReference"/>
          <w:noProof/>
          <w:szCs w:val="24"/>
        </w:rPr>
        <w:footnoteReference w:id="10"/>
      </w:r>
      <w:r>
        <w:rPr>
          <w:noProof/>
          <w:szCs w:val="24"/>
        </w:rPr>
        <w:t xml:space="preserve"> and the Schengen Evaluation Mechanism</w:t>
      </w:r>
      <w:r>
        <w:rPr>
          <w:rStyle w:val="FootnoteReference"/>
          <w:noProof/>
          <w:szCs w:val="24"/>
        </w:rPr>
        <w:footnoteReference w:id="11"/>
      </w:r>
      <w:r>
        <w:rPr>
          <w:noProof/>
          <w:szCs w:val="24"/>
        </w:rPr>
        <w:t>. The EBF, backed by funding of EUR 1.82 billion, intended to fully support the following five priorities</w:t>
      </w:r>
      <w:r>
        <w:rPr>
          <w:rStyle w:val="FootnoteReference"/>
          <w:noProof/>
          <w:szCs w:val="24"/>
        </w:rPr>
        <w:footnoteReference w:id="12"/>
      </w:r>
      <w:r>
        <w:rPr>
          <w:noProof/>
          <w:szCs w:val="24"/>
        </w:rPr>
        <w:t>:</w:t>
      </w:r>
    </w:p>
    <w:p w:rsidR="007D3598" w:rsidRDefault="00F8547B">
      <w:pPr>
        <w:pStyle w:val="ListParagraph"/>
        <w:numPr>
          <w:ilvl w:val="0"/>
          <w:numId w:val="59"/>
        </w:numPr>
        <w:autoSpaceDE w:val="0"/>
        <w:autoSpaceDN w:val="0"/>
        <w:adjustRightInd w:val="0"/>
        <w:contextualSpacing w:val="0"/>
        <w:jc w:val="both"/>
        <w:rPr>
          <w:noProof/>
          <w:szCs w:val="24"/>
        </w:rPr>
      </w:pPr>
      <w:r>
        <w:rPr>
          <w:noProof/>
          <w:szCs w:val="24"/>
          <w:lang w:eastAsia="en-GB"/>
        </w:rPr>
        <w:t>creating a common integrated border management system to carry ou</w:t>
      </w:r>
      <w:r>
        <w:rPr>
          <w:noProof/>
          <w:szCs w:val="24"/>
          <w:lang w:eastAsia="en-GB"/>
        </w:rPr>
        <w:t>t checks on people and for the surveillance of the external borders;</w:t>
      </w:r>
    </w:p>
    <w:p w:rsidR="007D3598" w:rsidRDefault="00F8547B">
      <w:pPr>
        <w:pStyle w:val="ListParagraph"/>
        <w:numPr>
          <w:ilvl w:val="0"/>
          <w:numId w:val="59"/>
        </w:numPr>
        <w:autoSpaceDE w:val="0"/>
        <w:autoSpaceDN w:val="0"/>
        <w:adjustRightInd w:val="0"/>
        <w:contextualSpacing w:val="0"/>
        <w:jc w:val="both"/>
        <w:rPr>
          <w:noProof/>
          <w:szCs w:val="24"/>
        </w:rPr>
      </w:pPr>
      <w:r>
        <w:rPr>
          <w:noProof/>
          <w:szCs w:val="24"/>
          <w:lang w:eastAsia="en-GB"/>
        </w:rPr>
        <w:t xml:space="preserve">further developing and implementing the national components of a European Surveillance System for the EU’s external borders and a permanent European Patrol Network for the southern </w:t>
      </w:r>
      <w:r>
        <w:rPr>
          <w:noProof/>
          <w:szCs w:val="24"/>
          <w:lang w:eastAsia="en-GB"/>
        </w:rPr>
        <w:t>maritime borders;</w:t>
      </w:r>
    </w:p>
    <w:p w:rsidR="007D3598" w:rsidRDefault="00F8547B">
      <w:pPr>
        <w:pStyle w:val="ListParagraph"/>
        <w:numPr>
          <w:ilvl w:val="0"/>
          <w:numId w:val="59"/>
        </w:numPr>
        <w:autoSpaceDE w:val="0"/>
        <w:autoSpaceDN w:val="0"/>
        <w:adjustRightInd w:val="0"/>
        <w:contextualSpacing w:val="0"/>
        <w:jc w:val="both"/>
        <w:rPr>
          <w:noProof/>
          <w:szCs w:val="24"/>
        </w:rPr>
      </w:pPr>
      <w:r>
        <w:rPr>
          <w:noProof/>
          <w:szCs w:val="24"/>
          <w:lang w:eastAsia="en-GB"/>
        </w:rPr>
        <w:t>issuing visas and tackling illegal immigration;</w:t>
      </w:r>
    </w:p>
    <w:p w:rsidR="007D3598" w:rsidRDefault="00F8547B">
      <w:pPr>
        <w:pStyle w:val="ListParagraph"/>
        <w:numPr>
          <w:ilvl w:val="0"/>
          <w:numId w:val="59"/>
        </w:numPr>
        <w:autoSpaceDE w:val="0"/>
        <w:autoSpaceDN w:val="0"/>
        <w:adjustRightInd w:val="0"/>
        <w:contextualSpacing w:val="0"/>
        <w:jc w:val="both"/>
        <w:rPr>
          <w:noProof/>
          <w:szCs w:val="24"/>
        </w:rPr>
      </w:pPr>
      <w:r>
        <w:rPr>
          <w:noProof/>
          <w:szCs w:val="24"/>
          <w:lang w:eastAsia="en-GB"/>
        </w:rPr>
        <w:t>establishing the IT systems required to implement EU border and visa legislation; and</w:t>
      </w:r>
    </w:p>
    <w:p w:rsidR="007D3598" w:rsidRDefault="00F8547B">
      <w:pPr>
        <w:pStyle w:val="ListParagraph"/>
        <w:numPr>
          <w:ilvl w:val="0"/>
          <w:numId w:val="59"/>
        </w:numPr>
        <w:autoSpaceDE w:val="0"/>
        <w:autoSpaceDN w:val="0"/>
        <w:adjustRightInd w:val="0"/>
        <w:contextualSpacing w:val="0"/>
        <w:jc w:val="both"/>
        <w:rPr>
          <w:noProof/>
          <w:szCs w:val="24"/>
        </w:rPr>
      </w:pPr>
      <w:r>
        <w:rPr>
          <w:noProof/>
          <w:szCs w:val="24"/>
          <w:lang w:eastAsia="en-GB"/>
        </w:rPr>
        <w:t>promoting the effective and efficient application of EU border and visa legislation</w:t>
      </w:r>
      <w:r>
        <w:rPr>
          <w:rStyle w:val="FootnoteReference"/>
          <w:noProof/>
          <w:szCs w:val="24"/>
          <w:lang w:eastAsia="en-GB"/>
        </w:rPr>
        <w:footnoteReference w:id="13"/>
      </w:r>
      <w:r>
        <w:rPr>
          <w:noProof/>
          <w:szCs w:val="24"/>
          <w:lang w:eastAsia="en-GB"/>
        </w:rPr>
        <w:t>.</w:t>
      </w:r>
    </w:p>
    <w:p w:rsidR="007D3598" w:rsidRDefault="007D3598">
      <w:pPr>
        <w:autoSpaceDE w:val="0"/>
        <w:autoSpaceDN w:val="0"/>
        <w:adjustRightInd w:val="0"/>
        <w:jc w:val="both"/>
        <w:rPr>
          <w:noProof/>
          <w:szCs w:val="24"/>
          <w:lang w:eastAsia="en-GB"/>
        </w:rPr>
      </w:pPr>
    </w:p>
    <w:p w:rsidR="007D3598" w:rsidRDefault="00F8547B">
      <w:pPr>
        <w:jc w:val="both"/>
        <w:rPr>
          <w:noProof/>
          <w:szCs w:val="24"/>
        </w:rPr>
      </w:pPr>
      <w:r>
        <w:rPr>
          <w:noProof/>
          <w:szCs w:val="24"/>
        </w:rPr>
        <w:t xml:space="preserve">The work towards </w:t>
      </w:r>
      <w:r>
        <w:rPr>
          <w:noProof/>
          <w:szCs w:val="24"/>
        </w:rPr>
        <w:t>achieving the IBM is a long-term and complex process, which benefitted from the support of the EBF. However, not all components were covered by the Fund. For instance, the consolidation and the functioning of the Schengen Area requires the Member States to</w:t>
      </w:r>
      <w:r>
        <w:rPr>
          <w:noProof/>
          <w:szCs w:val="24"/>
        </w:rPr>
        <w:t xml:space="preserve"> acquire and develop the skills and obtain the equipment and technology necessary to be operational within IBM at EU level. Also</w:t>
      </w:r>
      <w:r>
        <w:rPr>
          <w:noProof/>
        </w:rPr>
        <w:t>, while being implemented, the EBF had to face the following challenges indicated in the table below.</w:t>
      </w:r>
    </w:p>
    <w:p w:rsidR="007D3598" w:rsidRDefault="007D3598">
      <w:pPr>
        <w:pStyle w:val="Caption"/>
        <w:spacing w:before="0" w:after="0"/>
        <w:rPr>
          <w:b w:val="0"/>
          <w:i/>
          <w:noProof/>
          <w:sz w:val="20"/>
          <w:szCs w:val="24"/>
        </w:rPr>
      </w:pPr>
    </w:p>
    <w:p w:rsidR="007D3598" w:rsidRDefault="00F8547B">
      <w:pPr>
        <w:pStyle w:val="Caption"/>
        <w:spacing w:before="0" w:after="0"/>
        <w:rPr>
          <w:b w:val="0"/>
          <w:i/>
          <w:noProof/>
          <w:sz w:val="20"/>
          <w:szCs w:val="24"/>
        </w:rPr>
      </w:pPr>
      <w:r>
        <w:rPr>
          <w:b w:val="0"/>
          <w:i/>
          <w:noProof/>
          <w:sz w:val="20"/>
          <w:szCs w:val="24"/>
        </w:rPr>
        <w:t>Table 1: Overview of expe</w:t>
      </w:r>
      <w:r>
        <w:rPr>
          <w:b w:val="0"/>
          <w:i/>
          <w:noProof/>
          <w:sz w:val="20"/>
          <w:szCs w:val="24"/>
        </w:rPr>
        <w:t>cted challenges for the Member States and the EU in the period 2014-2020</w:t>
      </w:r>
      <w:r>
        <w:rPr>
          <w:rStyle w:val="FootnoteReference"/>
          <w:b w:val="0"/>
          <w:i/>
          <w:noProof/>
          <w:szCs w:val="24"/>
        </w:rPr>
        <w:footnoteReference w:id="14"/>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788"/>
        <w:gridCol w:w="8040"/>
      </w:tblGrid>
      <w:tr w:rsidR="007D3598">
        <w:tc>
          <w:tcPr>
            <w:tcW w:w="1788" w:type="dxa"/>
            <w:vAlign w:val="center"/>
            <w:hideMark/>
          </w:tcPr>
          <w:p w:rsidR="007D3598" w:rsidRDefault="00F8547B">
            <w:pPr>
              <w:jc w:val="center"/>
              <w:rPr>
                <w:b/>
                <w:bCs/>
                <w:i/>
                <w:iCs/>
                <w:noProof/>
                <w:szCs w:val="24"/>
              </w:rPr>
            </w:pPr>
            <w:r>
              <w:rPr>
                <w:b/>
                <w:bCs/>
                <w:i/>
                <w:iCs/>
                <w:noProof/>
                <w:szCs w:val="24"/>
              </w:rPr>
              <w:t>Policy challenges in the area of border management and visa</w:t>
            </w:r>
          </w:p>
        </w:tc>
        <w:tc>
          <w:tcPr>
            <w:tcW w:w="8040" w:type="dxa"/>
            <w:hideMark/>
          </w:tcPr>
          <w:p w:rsidR="007D3598" w:rsidRDefault="00F8547B">
            <w:pPr>
              <w:pStyle w:val="ListParagraph"/>
              <w:numPr>
                <w:ilvl w:val="0"/>
                <w:numId w:val="63"/>
              </w:numPr>
              <w:ind w:left="372"/>
              <w:jc w:val="both"/>
              <w:rPr>
                <w:noProof/>
                <w:sz w:val="22"/>
              </w:rPr>
            </w:pPr>
            <w:r>
              <w:rPr>
                <w:noProof/>
                <w:sz w:val="22"/>
              </w:rPr>
              <w:t xml:space="preserve">The length of the external border and the number and nature of border crossing points vary widely between Member States. </w:t>
            </w:r>
            <w:r>
              <w:rPr>
                <w:noProof/>
                <w:sz w:val="22"/>
              </w:rPr>
              <w:t>The responsibilities for border control differ considerably from Member States to Member States, resulting in some of them bearing a disproportionate share of the associated costs. Therefore, Member States at the EU’s periphery with long borders and with m</w:t>
            </w:r>
            <w:r>
              <w:rPr>
                <w:noProof/>
                <w:sz w:val="22"/>
              </w:rPr>
              <w:t>any border crossing points have bigger responsibilities than other Member States to prevent irregular migration, facilitate bona fide cross-border movements and provide security.</w:t>
            </w:r>
          </w:p>
          <w:p w:rsidR="007D3598" w:rsidRDefault="007D3598">
            <w:pPr>
              <w:pStyle w:val="ListParagraph"/>
              <w:ind w:left="372" w:hanging="360"/>
              <w:jc w:val="both"/>
              <w:rPr>
                <w:noProof/>
                <w:sz w:val="22"/>
              </w:rPr>
            </w:pPr>
          </w:p>
          <w:p w:rsidR="007D3598" w:rsidRDefault="00F8547B">
            <w:pPr>
              <w:pStyle w:val="ListParagraph"/>
              <w:numPr>
                <w:ilvl w:val="0"/>
                <w:numId w:val="63"/>
              </w:numPr>
              <w:ind w:left="372"/>
              <w:jc w:val="both"/>
              <w:rPr>
                <w:noProof/>
                <w:sz w:val="22"/>
              </w:rPr>
            </w:pPr>
            <w:r>
              <w:rPr>
                <w:noProof/>
                <w:sz w:val="22"/>
              </w:rPr>
              <w:t>Member States do not only issue visas in their own interest, but they have a</w:t>
            </w:r>
            <w:r>
              <w:rPr>
                <w:noProof/>
                <w:sz w:val="22"/>
              </w:rPr>
              <w:t xml:space="preserve"> common interest in applying common standards as people holding a visa or residence permit from an Member States can move freely to other countries.</w:t>
            </w:r>
          </w:p>
          <w:p w:rsidR="007D3598" w:rsidRDefault="007D3598">
            <w:pPr>
              <w:pStyle w:val="ListParagraph"/>
              <w:ind w:left="372" w:hanging="360"/>
              <w:jc w:val="both"/>
              <w:rPr>
                <w:noProof/>
                <w:sz w:val="22"/>
              </w:rPr>
            </w:pPr>
          </w:p>
          <w:p w:rsidR="007D3598" w:rsidRDefault="00F8547B">
            <w:pPr>
              <w:pStyle w:val="ListParagraph"/>
              <w:numPr>
                <w:ilvl w:val="0"/>
                <w:numId w:val="63"/>
              </w:numPr>
              <w:ind w:left="372"/>
              <w:jc w:val="both"/>
              <w:rPr>
                <w:noProof/>
              </w:rPr>
            </w:pPr>
            <w:r>
              <w:rPr>
                <w:noProof/>
                <w:sz w:val="22"/>
              </w:rPr>
              <w:t>To promote solidarity, the EBF aimed towards achieving a fair share of the responsibilities between Member</w:t>
            </w:r>
            <w:r>
              <w:rPr>
                <w:noProof/>
                <w:sz w:val="22"/>
              </w:rPr>
              <w:t xml:space="preserve"> States taking into account the financial burden arising from the introduction of integrated management of the EU’s external borders. </w:t>
            </w:r>
          </w:p>
        </w:tc>
      </w:tr>
    </w:tbl>
    <w:p w:rsidR="007D3598" w:rsidRDefault="007D3598">
      <w:pPr>
        <w:autoSpaceDE w:val="0"/>
        <w:autoSpaceDN w:val="0"/>
        <w:adjustRightInd w:val="0"/>
        <w:jc w:val="both"/>
        <w:rPr>
          <w:noProof/>
          <w:szCs w:val="24"/>
          <w:lang w:eastAsia="en-GB"/>
        </w:rPr>
      </w:pPr>
    </w:p>
    <w:p w:rsidR="007D3598" w:rsidRDefault="00F8547B">
      <w:pPr>
        <w:autoSpaceDE w:val="0"/>
        <w:autoSpaceDN w:val="0"/>
        <w:adjustRightInd w:val="0"/>
        <w:jc w:val="both"/>
        <w:rPr>
          <w:noProof/>
          <w:szCs w:val="24"/>
          <w:lang w:eastAsia="en-GB"/>
        </w:rPr>
      </w:pPr>
      <w:r>
        <w:rPr>
          <w:noProof/>
          <w:szCs w:val="24"/>
          <w:lang w:eastAsia="en-GB"/>
        </w:rPr>
        <w:t>In addition, the future ISF-BV fund was also to address and tackle certain needs and priorities that the EBF was not ab</w:t>
      </w:r>
      <w:r>
        <w:rPr>
          <w:noProof/>
          <w:szCs w:val="24"/>
          <w:lang w:eastAsia="en-GB"/>
        </w:rPr>
        <w:t>le to deal with, such as:</w:t>
      </w:r>
    </w:p>
    <w:p w:rsidR="007D3598" w:rsidRDefault="007D3598">
      <w:pPr>
        <w:autoSpaceDE w:val="0"/>
        <w:autoSpaceDN w:val="0"/>
        <w:adjustRightInd w:val="0"/>
        <w:jc w:val="both"/>
        <w:rPr>
          <w:noProof/>
          <w:szCs w:val="24"/>
          <w:lang w:eastAsia="en-GB"/>
        </w:rPr>
      </w:pPr>
    </w:p>
    <w:p w:rsidR="007D3598" w:rsidRDefault="00F8547B">
      <w:pPr>
        <w:pStyle w:val="ListParagraph"/>
        <w:numPr>
          <w:ilvl w:val="0"/>
          <w:numId w:val="68"/>
        </w:numPr>
        <w:autoSpaceDE w:val="0"/>
        <w:autoSpaceDN w:val="0"/>
        <w:adjustRightInd w:val="0"/>
        <w:jc w:val="both"/>
        <w:rPr>
          <w:noProof/>
          <w:szCs w:val="24"/>
          <w:lang w:eastAsia="en-GB"/>
        </w:rPr>
      </w:pPr>
      <w:r>
        <w:rPr>
          <w:noProof/>
          <w:szCs w:val="24"/>
          <w:lang w:eastAsia="en-GB"/>
        </w:rPr>
        <w:t>further developing an integrated border management system;</w:t>
      </w:r>
    </w:p>
    <w:p w:rsidR="007D3598" w:rsidRDefault="00F8547B">
      <w:pPr>
        <w:pStyle w:val="ListParagraph"/>
        <w:numPr>
          <w:ilvl w:val="0"/>
          <w:numId w:val="68"/>
        </w:numPr>
        <w:autoSpaceDE w:val="0"/>
        <w:autoSpaceDN w:val="0"/>
        <w:adjustRightInd w:val="0"/>
        <w:jc w:val="both"/>
        <w:rPr>
          <w:noProof/>
          <w:szCs w:val="24"/>
          <w:lang w:eastAsia="en-GB"/>
        </w:rPr>
      </w:pPr>
      <w:r>
        <w:rPr>
          <w:noProof/>
          <w:szCs w:val="24"/>
          <w:lang w:eastAsia="en-GB"/>
        </w:rPr>
        <w:t>strengthening the operational capabilities of the Member States within EUROSUR;</w:t>
      </w:r>
    </w:p>
    <w:p w:rsidR="007D3598" w:rsidRDefault="00F8547B">
      <w:pPr>
        <w:pStyle w:val="ListParagraph"/>
        <w:numPr>
          <w:ilvl w:val="0"/>
          <w:numId w:val="68"/>
        </w:numPr>
        <w:autoSpaceDE w:val="0"/>
        <w:autoSpaceDN w:val="0"/>
        <w:adjustRightInd w:val="0"/>
        <w:jc w:val="both"/>
        <w:rPr>
          <w:noProof/>
          <w:szCs w:val="24"/>
          <w:lang w:eastAsia="en-GB"/>
        </w:rPr>
      </w:pPr>
      <w:r>
        <w:rPr>
          <w:noProof/>
          <w:szCs w:val="24"/>
          <w:lang w:eastAsia="en-GB"/>
        </w:rPr>
        <w:t>maintaining the large-scale IT systems (i.e. Schengen Information System II</w:t>
      </w:r>
      <w:r>
        <w:rPr>
          <w:rStyle w:val="FootnoteReference"/>
          <w:noProof/>
          <w:szCs w:val="24"/>
          <w:lang w:eastAsia="en-GB"/>
        </w:rPr>
        <w:footnoteReference w:id="15"/>
      </w:r>
      <w:r>
        <w:rPr>
          <w:noProof/>
          <w:szCs w:val="24"/>
          <w:lang w:eastAsia="en-GB"/>
        </w:rPr>
        <w:t xml:space="preserve">, Visa </w:t>
      </w:r>
      <w:r>
        <w:rPr>
          <w:noProof/>
          <w:szCs w:val="24"/>
          <w:lang w:eastAsia="en-GB"/>
        </w:rPr>
        <w:t>Information System</w:t>
      </w:r>
      <w:r>
        <w:rPr>
          <w:rStyle w:val="FootnoteReference"/>
          <w:noProof/>
          <w:szCs w:val="24"/>
          <w:lang w:eastAsia="en-GB"/>
        </w:rPr>
        <w:footnoteReference w:id="16"/>
      </w:r>
      <w:r>
        <w:rPr>
          <w:noProof/>
          <w:szCs w:val="24"/>
          <w:lang w:eastAsia="en-GB"/>
        </w:rPr>
        <w:t xml:space="preserve"> or the functioning of an IT agency);</w:t>
      </w:r>
    </w:p>
    <w:p w:rsidR="007D3598" w:rsidRDefault="00F8547B">
      <w:pPr>
        <w:pStyle w:val="ListParagraph"/>
        <w:numPr>
          <w:ilvl w:val="0"/>
          <w:numId w:val="68"/>
        </w:numPr>
        <w:autoSpaceDE w:val="0"/>
        <w:autoSpaceDN w:val="0"/>
        <w:adjustRightInd w:val="0"/>
        <w:jc w:val="both"/>
        <w:rPr>
          <w:noProof/>
          <w:szCs w:val="24"/>
          <w:lang w:eastAsia="en-GB"/>
        </w:rPr>
      </w:pPr>
      <w:r>
        <w:rPr>
          <w:noProof/>
          <w:szCs w:val="24"/>
          <w:lang w:eastAsia="en-GB"/>
        </w:rPr>
        <w:t xml:space="preserve">developing new IT systems, such as the Entry-Exit System (EES) or the </w:t>
      </w:r>
      <w:r>
        <w:rPr>
          <w:noProof/>
          <w:szCs w:val="24"/>
        </w:rPr>
        <w:t>registered traveller programme (</w:t>
      </w:r>
      <w:r>
        <w:rPr>
          <w:noProof/>
          <w:szCs w:val="24"/>
          <w:lang w:eastAsia="en-GB"/>
        </w:rPr>
        <w:t>RTP);</w:t>
      </w:r>
    </w:p>
    <w:p w:rsidR="007D3598" w:rsidRDefault="00F8547B">
      <w:pPr>
        <w:pStyle w:val="ListParagraph"/>
        <w:numPr>
          <w:ilvl w:val="0"/>
          <w:numId w:val="68"/>
        </w:numPr>
        <w:autoSpaceDE w:val="0"/>
        <w:autoSpaceDN w:val="0"/>
        <w:adjustRightInd w:val="0"/>
        <w:jc w:val="both"/>
        <w:rPr>
          <w:noProof/>
          <w:szCs w:val="24"/>
        </w:rPr>
      </w:pPr>
      <w:r>
        <w:rPr>
          <w:noProof/>
          <w:szCs w:val="24"/>
          <w:lang w:eastAsia="en-GB"/>
        </w:rPr>
        <w:t>control measures within the area of free movement; and</w:t>
      </w:r>
    </w:p>
    <w:p w:rsidR="007D3598" w:rsidRDefault="00F8547B">
      <w:pPr>
        <w:pStyle w:val="ListParagraph"/>
        <w:numPr>
          <w:ilvl w:val="0"/>
          <w:numId w:val="68"/>
        </w:numPr>
        <w:autoSpaceDE w:val="0"/>
        <w:autoSpaceDN w:val="0"/>
        <w:adjustRightInd w:val="0"/>
        <w:jc w:val="both"/>
        <w:rPr>
          <w:noProof/>
          <w:szCs w:val="24"/>
        </w:rPr>
      </w:pPr>
      <w:r>
        <w:rPr>
          <w:noProof/>
          <w:szCs w:val="24"/>
          <w:lang w:eastAsia="en-GB"/>
        </w:rPr>
        <w:t>support inter-agency cooperation</w:t>
      </w:r>
      <w:r>
        <w:rPr>
          <w:rStyle w:val="FootnoteReference"/>
          <w:noProof/>
          <w:szCs w:val="24"/>
          <w:lang w:eastAsia="en-GB"/>
        </w:rPr>
        <w:footnoteReference w:id="17"/>
      </w:r>
      <w:r>
        <w:rPr>
          <w:noProof/>
          <w:szCs w:val="24"/>
          <w:lang w:eastAsia="en-GB"/>
        </w:rPr>
        <w:t>.</w:t>
      </w:r>
    </w:p>
    <w:p w:rsidR="007D3598" w:rsidRDefault="007D3598">
      <w:pPr>
        <w:autoSpaceDE w:val="0"/>
        <w:autoSpaceDN w:val="0"/>
        <w:adjustRightInd w:val="0"/>
        <w:jc w:val="both"/>
        <w:rPr>
          <w:noProof/>
          <w:szCs w:val="24"/>
        </w:rPr>
      </w:pPr>
    </w:p>
    <w:p w:rsidR="007D3598" w:rsidRDefault="00F8547B">
      <w:pPr>
        <w:autoSpaceDE w:val="0"/>
        <w:autoSpaceDN w:val="0"/>
        <w:adjustRightInd w:val="0"/>
        <w:jc w:val="both"/>
        <w:rPr>
          <w:noProof/>
          <w:szCs w:val="24"/>
        </w:rPr>
      </w:pPr>
      <w:r>
        <w:rPr>
          <w:noProof/>
          <w:szCs w:val="24"/>
        </w:rPr>
        <w:t xml:space="preserve">In a parallel development, the </w:t>
      </w:r>
      <w:r>
        <w:rPr>
          <w:b/>
          <w:noProof/>
          <w:szCs w:val="24"/>
        </w:rPr>
        <w:t>internal security strategy (2010-2014)</w:t>
      </w:r>
      <w:r>
        <w:rPr>
          <w:noProof/>
          <w:szCs w:val="24"/>
        </w:rPr>
        <w:t xml:space="preserve"> (ISS) enabled the EU to improve the preparedness and respond to existing and emerging threats to the overall European society. Significant progress was made under the fourth strategic ob</w:t>
      </w:r>
      <w:r>
        <w:rPr>
          <w:noProof/>
          <w:szCs w:val="24"/>
        </w:rPr>
        <w:t xml:space="preserve">jective of the ISS; strengthening security through border management. In relation to this objective, four </w:t>
      </w:r>
      <w:r>
        <w:rPr>
          <w:noProof/>
        </w:rPr>
        <w:t>key actions</w:t>
      </w:r>
      <w:r>
        <w:rPr>
          <w:noProof/>
          <w:szCs w:val="24"/>
        </w:rPr>
        <w:t xml:space="preserve"> were identified: 1) exploit the full potential of EUROSUR; 2) boost Frontex’s contribution at the external borders; 3) undertake common ri</w:t>
      </w:r>
      <w:r>
        <w:rPr>
          <w:noProof/>
          <w:szCs w:val="24"/>
        </w:rPr>
        <w:t>sk management for moving goods across external borders, and 4) improve inter-agency cooperation at national level</w:t>
      </w:r>
      <w:r>
        <w:rPr>
          <w:rStyle w:val="FootnoteReference"/>
          <w:noProof/>
          <w:szCs w:val="24"/>
        </w:rPr>
        <w:footnoteReference w:id="18"/>
      </w:r>
      <w:r>
        <w:rPr>
          <w:noProof/>
          <w:szCs w:val="24"/>
        </w:rPr>
        <w:t>.</w:t>
      </w:r>
    </w:p>
    <w:p w:rsidR="007D3598" w:rsidRDefault="007D3598">
      <w:pPr>
        <w:autoSpaceDE w:val="0"/>
        <w:autoSpaceDN w:val="0"/>
        <w:adjustRightInd w:val="0"/>
        <w:jc w:val="both"/>
        <w:rPr>
          <w:noProof/>
          <w:szCs w:val="24"/>
        </w:rPr>
      </w:pPr>
    </w:p>
    <w:p w:rsidR="007D3598" w:rsidRDefault="00F8547B">
      <w:pPr>
        <w:autoSpaceDE w:val="0"/>
        <w:autoSpaceDN w:val="0"/>
        <w:adjustRightInd w:val="0"/>
        <w:jc w:val="both"/>
        <w:rPr>
          <w:noProof/>
          <w:szCs w:val="24"/>
        </w:rPr>
      </w:pPr>
      <w:r>
        <w:rPr>
          <w:noProof/>
          <w:szCs w:val="24"/>
        </w:rPr>
        <w:t xml:space="preserve">The </w:t>
      </w:r>
      <w:r>
        <w:rPr>
          <w:noProof/>
        </w:rPr>
        <w:t>results</w:t>
      </w:r>
      <w:r>
        <w:rPr>
          <w:noProof/>
          <w:szCs w:val="24"/>
        </w:rPr>
        <w:t xml:space="preserve"> under the actions above were: </w:t>
      </w:r>
    </w:p>
    <w:p w:rsidR="007D3598" w:rsidRDefault="007D3598">
      <w:pPr>
        <w:autoSpaceDE w:val="0"/>
        <w:autoSpaceDN w:val="0"/>
        <w:adjustRightInd w:val="0"/>
        <w:jc w:val="both"/>
        <w:rPr>
          <w:noProof/>
          <w:szCs w:val="24"/>
        </w:rPr>
      </w:pPr>
    </w:p>
    <w:p w:rsidR="007D3598" w:rsidRDefault="00F8547B">
      <w:pPr>
        <w:autoSpaceDE w:val="0"/>
        <w:autoSpaceDN w:val="0"/>
        <w:adjustRightInd w:val="0"/>
        <w:ind w:firstLine="720"/>
        <w:jc w:val="both"/>
        <w:rPr>
          <w:noProof/>
          <w:szCs w:val="24"/>
        </w:rPr>
      </w:pPr>
      <w:r>
        <w:rPr>
          <w:noProof/>
          <w:szCs w:val="24"/>
        </w:rPr>
        <w:t>a) the entry into force at the end of 2013 of EUROSUR;</w:t>
      </w:r>
    </w:p>
    <w:p w:rsidR="007D3598" w:rsidRDefault="00F8547B">
      <w:pPr>
        <w:autoSpaceDE w:val="0"/>
        <w:autoSpaceDN w:val="0"/>
        <w:adjustRightInd w:val="0"/>
        <w:ind w:firstLine="720"/>
        <w:jc w:val="both"/>
        <w:rPr>
          <w:noProof/>
          <w:szCs w:val="24"/>
        </w:rPr>
      </w:pPr>
      <w:r>
        <w:rPr>
          <w:noProof/>
          <w:szCs w:val="24"/>
        </w:rPr>
        <w:t>b) a new Schengen governance legislation</w:t>
      </w:r>
      <w:r>
        <w:rPr>
          <w:rStyle w:val="FootnoteReference"/>
          <w:noProof/>
          <w:szCs w:val="24"/>
        </w:rPr>
        <w:footnoteReference w:id="19"/>
      </w:r>
      <w:r>
        <w:rPr>
          <w:noProof/>
          <w:szCs w:val="24"/>
        </w:rPr>
        <w:t xml:space="preserve">; </w:t>
      </w:r>
    </w:p>
    <w:p w:rsidR="007D3598" w:rsidRDefault="00F8547B">
      <w:pPr>
        <w:autoSpaceDE w:val="0"/>
        <w:autoSpaceDN w:val="0"/>
        <w:adjustRightInd w:val="0"/>
        <w:ind w:firstLine="720"/>
        <w:jc w:val="both"/>
        <w:rPr>
          <w:noProof/>
          <w:szCs w:val="24"/>
        </w:rPr>
      </w:pPr>
      <w:r>
        <w:rPr>
          <w:noProof/>
          <w:szCs w:val="24"/>
        </w:rPr>
        <w:t>c) introduction of the Schengen Information System II;</w:t>
      </w:r>
    </w:p>
    <w:p w:rsidR="007D3598" w:rsidRDefault="00F8547B">
      <w:pPr>
        <w:autoSpaceDE w:val="0"/>
        <w:autoSpaceDN w:val="0"/>
        <w:adjustRightInd w:val="0"/>
        <w:ind w:firstLine="720"/>
        <w:jc w:val="both"/>
        <w:rPr>
          <w:noProof/>
          <w:szCs w:val="24"/>
        </w:rPr>
      </w:pPr>
      <w:r>
        <w:rPr>
          <w:noProof/>
          <w:szCs w:val="24"/>
        </w:rPr>
        <w:t>d) Visa Information System; and</w:t>
      </w:r>
    </w:p>
    <w:p w:rsidR="007D3598" w:rsidRDefault="00F8547B">
      <w:pPr>
        <w:autoSpaceDE w:val="0"/>
        <w:autoSpaceDN w:val="0"/>
        <w:adjustRightInd w:val="0"/>
        <w:ind w:left="1440" w:hanging="720"/>
        <w:jc w:val="both"/>
        <w:rPr>
          <w:noProof/>
          <w:szCs w:val="24"/>
        </w:rPr>
      </w:pPr>
      <w:r>
        <w:rPr>
          <w:noProof/>
          <w:szCs w:val="24"/>
        </w:rPr>
        <w:t>e) legislative proposals for an EES and an RTP (which would later become the Passenger name record (PNR)).</w:t>
      </w:r>
    </w:p>
    <w:p w:rsidR="007D3598" w:rsidRDefault="007D3598">
      <w:pPr>
        <w:autoSpaceDE w:val="0"/>
        <w:autoSpaceDN w:val="0"/>
        <w:adjustRightInd w:val="0"/>
        <w:jc w:val="both"/>
        <w:rPr>
          <w:noProof/>
          <w:szCs w:val="24"/>
        </w:rPr>
      </w:pPr>
    </w:p>
    <w:p w:rsidR="007D3598" w:rsidRDefault="00F8547B">
      <w:pPr>
        <w:autoSpaceDE w:val="0"/>
        <w:autoSpaceDN w:val="0"/>
        <w:adjustRightInd w:val="0"/>
        <w:jc w:val="both"/>
        <w:rPr>
          <w:noProof/>
          <w:szCs w:val="24"/>
        </w:rPr>
      </w:pPr>
      <w:r>
        <w:rPr>
          <w:noProof/>
          <w:szCs w:val="24"/>
        </w:rPr>
        <w:t>Also, the ISS identified future challenges for the EU, bo</w:t>
      </w:r>
      <w:r>
        <w:rPr>
          <w:noProof/>
          <w:szCs w:val="24"/>
        </w:rPr>
        <w:t>th at an internal and external level, related to social crises, people’s mobility, demographic changes and/or political instability. Therefore, the ISS outlined the following challenges that future strategies and funds should tackle in the coming years:</w:t>
      </w:r>
    </w:p>
    <w:p w:rsidR="007D3598" w:rsidRDefault="007D3598">
      <w:pPr>
        <w:autoSpaceDE w:val="0"/>
        <w:autoSpaceDN w:val="0"/>
        <w:adjustRightInd w:val="0"/>
        <w:jc w:val="both"/>
        <w:rPr>
          <w:noProof/>
          <w:szCs w:val="24"/>
        </w:rPr>
      </w:pPr>
    </w:p>
    <w:p w:rsidR="007D3598" w:rsidRDefault="00F8547B">
      <w:pPr>
        <w:autoSpaceDE w:val="0"/>
        <w:autoSpaceDN w:val="0"/>
        <w:adjustRightInd w:val="0"/>
        <w:ind w:firstLine="720"/>
        <w:jc w:val="both"/>
        <w:rPr>
          <w:noProof/>
          <w:szCs w:val="24"/>
        </w:rPr>
      </w:pPr>
      <w:r>
        <w:rPr>
          <w:noProof/>
          <w:szCs w:val="24"/>
        </w:rPr>
        <w:t>a</w:t>
      </w:r>
      <w:r>
        <w:rPr>
          <w:noProof/>
          <w:szCs w:val="24"/>
        </w:rPr>
        <w:t>) address the further increase in the amount of people coming to the EU;</w:t>
      </w:r>
    </w:p>
    <w:p w:rsidR="007D3598" w:rsidRDefault="00F8547B">
      <w:pPr>
        <w:autoSpaceDE w:val="0"/>
        <w:autoSpaceDN w:val="0"/>
        <w:adjustRightInd w:val="0"/>
        <w:ind w:firstLine="720"/>
        <w:jc w:val="both"/>
        <w:rPr>
          <w:noProof/>
          <w:szCs w:val="24"/>
        </w:rPr>
      </w:pPr>
      <w:r>
        <w:rPr>
          <w:noProof/>
          <w:szCs w:val="24"/>
        </w:rPr>
        <w:t>b) ensure all Member States sufficiently control their corresponding section of the external borders;</w:t>
      </w:r>
    </w:p>
    <w:p w:rsidR="007D3598" w:rsidRDefault="00F8547B">
      <w:pPr>
        <w:autoSpaceDE w:val="0"/>
        <w:autoSpaceDN w:val="0"/>
        <w:adjustRightInd w:val="0"/>
        <w:ind w:firstLine="720"/>
        <w:jc w:val="both"/>
        <w:rPr>
          <w:noProof/>
          <w:szCs w:val="24"/>
        </w:rPr>
      </w:pPr>
      <w:r>
        <w:rPr>
          <w:noProof/>
          <w:szCs w:val="24"/>
        </w:rPr>
        <w:t>c) ensure solidarity mechanisms are put in place to support Member States under p</w:t>
      </w:r>
      <w:r>
        <w:rPr>
          <w:noProof/>
          <w:szCs w:val="24"/>
        </w:rPr>
        <w:t>ressure;</w:t>
      </w:r>
    </w:p>
    <w:p w:rsidR="007D3598" w:rsidRDefault="00F8547B">
      <w:pPr>
        <w:autoSpaceDE w:val="0"/>
        <w:autoSpaceDN w:val="0"/>
        <w:adjustRightInd w:val="0"/>
        <w:ind w:firstLine="720"/>
        <w:jc w:val="both"/>
        <w:rPr>
          <w:noProof/>
          <w:szCs w:val="24"/>
        </w:rPr>
      </w:pPr>
      <w:r>
        <w:rPr>
          <w:noProof/>
          <w:szCs w:val="24"/>
        </w:rPr>
        <w:t>d) support the adoption of the EES and RTP;</w:t>
      </w:r>
    </w:p>
    <w:p w:rsidR="007D3598" w:rsidRDefault="00F8547B">
      <w:pPr>
        <w:autoSpaceDE w:val="0"/>
        <w:autoSpaceDN w:val="0"/>
        <w:adjustRightInd w:val="0"/>
        <w:ind w:firstLine="720"/>
        <w:jc w:val="both"/>
        <w:rPr>
          <w:noProof/>
          <w:szCs w:val="24"/>
        </w:rPr>
      </w:pPr>
      <w:r>
        <w:rPr>
          <w:noProof/>
          <w:szCs w:val="24"/>
        </w:rPr>
        <w:t>e) ensure the Schengen Information System II operates effectively;</w:t>
      </w:r>
    </w:p>
    <w:p w:rsidR="007D3598" w:rsidRDefault="00F8547B">
      <w:pPr>
        <w:autoSpaceDE w:val="0"/>
        <w:autoSpaceDN w:val="0"/>
        <w:adjustRightInd w:val="0"/>
        <w:ind w:firstLine="720"/>
        <w:jc w:val="both"/>
        <w:rPr>
          <w:noProof/>
          <w:szCs w:val="24"/>
        </w:rPr>
      </w:pPr>
      <w:r>
        <w:rPr>
          <w:noProof/>
          <w:szCs w:val="24"/>
        </w:rPr>
        <w:t>f) explore the feasibility of establishing a European System of Border Guards and;</w:t>
      </w:r>
    </w:p>
    <w:p w:rsidR="007D3598" w:rsidRDefault="00F8547B">
      <w:pPr>
        <w:autoSpaceDE w:val="0"/>
        <w:autoSpaceDN w:val="0"/>
        <w:adjustRightInd w:val="0"/>
        <w:ind w:left="720"/>
        <w:jc w:val="both"/>
        <w:rPr>
          <w:noProof/>
          <w:szCs w:val="24"/>
        </w:rPr>
      </w:pPr>
      <w:r>
        <w:rPr>
          <w:noProof/>
          <w:szCs w:val="24"/>
        </w:rPr>
        <w:t>g) devise a strategy and action plan for the security</w:t>
      </w:r>
      <w:r>
        <w:rPr>
          <w:noProof/>
          <w:szCs w:val="24"/>
        </w:rPr>
        <w:t xml:space="preserve"> of the supply chain and risk management, and contribute to its implementation.</w:t>
      </w:r>
    </w:p>
    <w:p w:rsidR="007D3598" w:rsidRDefault="007D3598">
      <w:pPr>
        <w:autoSpaceDE w:val="0"/>
        <w:autoSpaceDN w:val="0"/>
        <w:adjustRightInd w:val="0"/>
        <w:jc w:val="both"/>
        <w:rPr>
          <w:noProof/>
          <w:szCs w:val="24"/>
        </w:rPr>
      </w:pPr>
    </w:p>
    <w:p w:rsidR="007D3598" w:rsidRDefault="00F8547B">
      <w:pPr>
        <w:autoSpaceDE w:val="0"/>
        <w:autoSpaceDN w:val="0"/>
        <w:adjustRightInd w:val="0"/>
        <w:jc w:val="both"/>
        <w:rPr>
          <w:noProof/>
          <w:szCs w:val="24"/>
        </w:rPr>
      </w:pPr>
      <w:r>
        <w:rPr>
          <w:noProof/>
          <w:szCs w:val="24"/>
        </w:rPr>
        <w:t>In addition, Member States identified the following key risks and problems</w:t>
      </w:r>
      <w:r>
        <w:rPr>
          <w:rStyle w:val="FootnoteReference"/>
          <w:noProof/>
          <w:szCs w:val="24"/>
        </w:rPr>
        <w:footnoteReference w:id="20"/>
      </w:r>
      <w:r>
        <w:rPr>
          <w:noProof/>
          <w:szCs w:val="24"/>
        </w:rPr>
        <w:t xml:space="preserve"> at the EU external borders in 2014:</w:t>
      </w:r>
      <w:r>
        <w:rPr>
          <w:rStyle w:val="FootnoteReference"/>
          <w:noProof/>
          <w:szCs w:val="24"/>
        </w:rPr>
        <w:t xml:space="preserve"> </w:t>
      </w:r>
      <w:r>
        <w:rPr>
          <w:noProof/>
          <w:szCs w:val="24"/>
        </w:rPr>
        <w:t>(i) large numbers of illegal border crossings at the external l</w:t>
      </w:r>
      <w:r>
        <w:rPr>
          <w:noProof/>
          <w:szCs w:val="24"/>
        </w:rPr>
        <w:t>and and sea border; (ii) document frauds to circumvent border control measures; and (iii) cross-border crimes and travellers who intend to commit crime or terrorism within the EU.</w:t>
      </w:r>
    </w:p>
    <w:p w:rsidR="007D3598" w:rsidRDefault="007D3598">
      <w:pPr>
        <w:autoSpaceDE w:val="0"/>
        <w:autoSpaceDN w:val="0"/>
        <w:adjustRightInd w:val="0"/>
        <w:jc w:val="both"/>
        <w:rPr>
          <w:noProof/>
          <w:szCs w:val="24"/>
        </w:rPr>
      </w:pPr>
    </w:p>
    <w:p w:rsidR="007D3598" w:rsidRDefault="00F8547B">
      <w:pPr>
        <w:jc w:val="both"/>
        <w:rPr>
          <w:noProof/>
          <w:szCs w:val="24"/>
        </w:rPr>
      </w:pPr>
      <w:r>
        <w:rPr>
          <w:noProof/>
          <w:szCs w:val="24"/>
        </w:rPr>
        <w:t>The 2015 European Agenda on Security</w:t>
      </w:r>
      <w:r>
        <w:rPr>
          <w:rStyle w:val="FootnoteReference"/>
          <w:noProof/>
          <w:szCs w:val="24"/>
        </w:rPr>
        <w:footnoteReference w:id="21"/>
      </w:r>
      <w:r>
        <w:rPr>
          <w:noProof/>
          <w:szCs w:val="24"/>
        </w:rPr>
        <w:t xml:space="preserve"> was launched almost in parallel with </w:t>
      </w:r>
      <w:r>
        <w:rPr>
          <w:noProof/>
          <w:szCs w:val="24"/>
        </w:rPr>
        <w:t>the beginning of ISF-BV’s implementation. Since then, the Agenda has been providing strategic direction for the Fund in areas where financial support would bring more added value, such as:</w:t>
      </w:r>
    </w:p>
    <w:p w:rsidR="007D3598" w:rsidRDefault="007D3598">
      <w:pPr>
        <w:jc w:val="both"/>
        <w:rPr>
          <w:noProof/>
          <w:szCs w:val="24"/>
        </w:rPr>
      </w:pPr>
    </w:p>
    <w:p w:rsidR="007D3598" w:rsidRDefault="00F8547B">
      <w:pPr>
        <w:pStyle w:val="ListParagraph"/>
        <w:numPr>
          <w:ilvl w:val="0"/>
          <w:numId w:val="72"/>
        </w:numPr>
        <w:jc w:val="both"/>
        <w:rPr>
          <w:noProof/>
          <w:szCs w:val="24"/>
        </w:rPr>
      </w:pPr>
      <w:r>
        <w:rPr>
          <w:noProof/>
          <w:szCs w:val="24"/>
        </w:rPr>
        <w:t xml:space="preserve">further development, improvement and optimisation of the Schengen </w:t>
      </w:r>
      <w:r>
        <w:rPr>
          <w:noProof/>
          <w:szCs w:val="24"/>
        </w:rPr>
        <w:t>Information System;</w:t>
      </w:r>
    </w:p>
    <w:p w:rsidR="007D3598" w:rsidRDefault="00F8547B">
      <w:pPr>
        <w:pStyle w:val="ListParagraph"/>
        <w:numPr>
          <w:ilvl w:val="0"/>
          <w:numId w:val="72"/>
        </w:numPr>
        <w:jc w:val="both"/>
        <w:rPr>
          <w:noProof/>
          <w:szCs w:val="24"/>
        </w:rPr>
      </w:pPr>
      <w:r>
        <w:rPr>
          <w:noProof/>
          <w:szCs w:val="24"/>
        </w:rPr>
        <w:t>the interlinking of the Schengen Information System with Interpol’s database on stolen and lost travel documents (SLTD);</w:t>
      </w:r>
    </w:p>
    <w:p w:rsidR="007D3598" w:rsidRDefault="00F8547B">
      <w:pPr>
        <w:pStyle w:val="ListParagraph"/>
        <w:numPr>
          <w:ilvl w:val="0"/>
          <w:numId w:val="72"/>
        </w:numPr>
        <w:jc w:val="both"/>
        <w:rPr>
          <w:noProof/>
          <w:szCs w:val="24"/>
        </w:rPr>
      </w:pPr>
      <w:r>
        <w:rPr>
          <w:noProof/>
          <w:szCs w:val="24"/>
        </w:rPr>
        <w:t>common risk indicators to support the work of national border authorities when conducting checks on people;</w:t>
      </w:r>
    </w:p>
    <w:p w:rsidR="007D3598" w:rsidRDefault="00F8547B">
      <w:pPr>
        <w:pStyle w:val="ListParagraph"/>
        <w:numPr>
          <w:ilvl w:val="0"/>
          <w:numId w:val="72"/>
        </w:numPr>
        <w:jc w:val="both"/>
        <w:rPr>
          <w:noProof/>
          <w:szCs w:val="24"/>
        </w:rPr>
      </w:pPr>
      <w:r>
        <w:rPr>
          <w:noProof/>
          <w:szCs w:val="24"/>
        </w:rPr>
        <w:t>unifyin</w:t>
      </w:r>
      <w:r>
        <w:rPr>
          <w:noProof/>
          <w:szCs w:val="24"/>
        </w:rPr>
        <w:t>g standards of border management; and</w:t>
      </w:r>
    </w:p>
    <w:p w:rsidR="007D3598" w:rsidRDefault="00F8547B">
      <w:pPr>
        <w:pStyle w:val="ListParagraph"/>
        <w:numPr>
          <w:ilvl w:val="0"/>
          <w:numId w:val="72"/>
        </w:numPr>
        <w:jc w:val="both"/>
        <w:rPr>
          <w:noProof/>
          <w:szCs w:val="24"/>
        </w:rPr>
      </w:pPr>
      <w:r>
        <w:rPr>
          <w:noProof/>
          <w:szCs w:val="24"/>
        </w:rPr>
        <w:t>complementary measures to improve security in relation to the movement of goods.</w:t>
      </w:r>
    </w:p>
    <w:p w:rsidR="007D3598" w:rsidRDefault="007D3598">
      <w:pPr>
        <w:autoSpaceDE w:val="0"/>
        <w:autoSpaceDN w:val="0"/>
        <w:adjustRightInd w:val="0"/>
        <w:jc w:val="both"/>
        <w:rPr>
          <w:i/>
          <w:noProof/>
          <w:szCs w:val="24"/>
          <w:lang w:eastAsia="en-GB"/>
        </w:rPr>
      </w:pPr>
    </w:p>
    <w:p w:rsidR="007D3598" w:rsidRDefault="00F8547B">
      <w:pPr>
        <w:autoSpaceDE w:val="0"/>
        <w:autoSpaceDN w:val="0"/>
        <w:adjustRightInd w:val="0"/>
        <w:jc w:val="both"/>
        <w:rPr>
          <w:i/>
          <w:noProof/>
          <w:szCs w:val="24"/>
          <w:lang w:eastAsia="en-GB"/>
        </w:rPr>
      </w:pPr>
      <w:r>
        <w:rPr>
          <w:i/>
          <w:noProof/>
          <w:szCs w:val="24"/>
          <w:lang w:eastAsia="en-GB"/>
        </w:rPr>
        <w:t>Funding context</w:t>
      </w:r>
    </w:p>
    <w:p w:rsidR="007D3598" w:rsidRDefault="007D3598">
      <w:pPr>
        <w:autoSpaceDE w:val="0"/>
        <w:autoSpaceDN w:val="0"/>
        <w:adjustRightInd w:val="0"/>
        <w:jc w:val="both"/>
        <w:rPr>
          <w:noProof/>
          <w:szCs w:val="24"/>
          <w:lang w:eastAsia="en-GB"/>
        </w:rPr>
      </w:pPr>
    </w:p>
    <w:p w:rsidR="007D3598" w:rsidRDefault="00F8547B">
      <w:pPr>
        <w:autoSpaceDE w:val="0"/>
        <w:autoSpaceDN w:val="0"/>
        <w:adjustRightInd w:val="0"/>
        <w:jc w:val="both"/>
        <w:rPr>
          <w:noProof/>
          <w:sz w:val="32"/>
          <w:szCs w:val="24"/>
        </w:rPr>
      </w:pPr>
      <w:r>
        <w:rPr>
          <w:noProof/>
          <w:szCs w:val="24"/>
          <w:lang w:eastAsia="en-GB"/>
        </w:rPr>
        <w:t xml:space="preserve">The share of funding for home affairs in the EU budget was relatively small but it has steadily grown (over the period 2007-2013 it amounted to EUR 6.45 billion or 0.77 % of the total EU budget. It covered the financing programmes, and it provided funding </w:t>
      </w:r>
      <w:r>
        <w:rPr>
          <w:noProof/>
          <w:szCs w:val="24"/>
          <w:lang w:eastAsia="en-GB"/>
        </w:rPr>
        <w:t xml:space="preserve">for large-scale IT systems (Visa Information System, Schengen Information System, Eurodac) and the agencies). The spending during this period was characterised by heavy ‘back-loading’, increasing from EUR 500 million in 2007 to EUR 1.5 billion in 2013. </w:t>
      </w:r>
      <w:r>
        <w:rPr>
          <w:noProof/>
          <w:szCs w:val="24"/>
        </w:rPr>
        <w:t>Suc</w:t>
      </w:r>
      <w:r>
        <w:rPr>
          <w:noProof/>
          <w:szCs w:val="24"/>
        </w:rPr>
        <w:t>h funding and the corresponding increase enabled the EU to tackle several policy challenges during 2007-2013, as described above.</w:t>
      </w:r>
    </w:p>
    <w:p w:rsidR="007D3598" w:rsidRDefault="007D3598">
      <w:pPr>
        <w:autoSpaceDE w:val="0"/>
        <w:autoSpaceDN w:val="0"/>
        <w:adjustRightInd w:val="0"/>
        <w:jc w:val="both"/>
        <w:rPr>
          <w:noProof/>
          <w:szCs w:val="24"/>
        </w:rPr>
      </w:pPr>
    </w:p>
    <w:p w:rsidR="007D3598" w:rsidRDefault="00F8547B">
      <w:pPr>
        <w:jc w:val="both"/>
        <w:rPr>
          <w:noProof/>
          <w:szCs w:val="24"/>
        </w:rPr>
      </w:pPr>
      <w:r>
        <w:rPr>
          <w:noProof/>
        </w:rPr>
        <w:t>The table below represents a comparative overview between the EBF and ISF-BV in relation to the budget, participation and obj</w:t>
      </w:r>
      <w:r>
        <w:rPr>
          <w:noProof/>
        </w:rPr>
        <w:t>ectives.</w:t>
      </w:r>
    </w:p>
    <w:p w:rsidR="007D3598" w:rsidRDefault="007D3598">
      <w:pPr>
        <w:jc w:val="both"/>
        <w:rPr>
          <w:noProof/>
          <w:sz w:val="20"/>
        </w:rPr>
      </w:pPr>
    </w:p>
    <w:p w:rsidR="007D3598" w:rsidRDefault="00F8547B">
      <w:pPr>
        <w:pStyle w:val="Caption"/>
        <w:spacing w:before="0" w:after="0"/>
        <w:rPr>
          <w:b w:val="0"/>
          <w:i/>
          <w:noProof/>
          <w:sz w:val="20"/>
        </w:rPr>
      </w:pPr>
      <w:r>
        <w:rPr>
          <w:b w:val="0"/>
          <w:i/>
          <w:noProof/>
          <w:sz w:val="20"/>
        </w:rPr>
        <w:t xml:space="preserve">Table 2: Overview of the Funds related to borders and visa in the periods 2007-2013 and 2014-2020 </w:t>
      </w:r>
      <w:r>
        <w:rPr>
          <w:rStyle w:val="FootnoteReference"/>
          <w:b w:val="0"/>
          <w:i/>
          <w:noProof/>
        </w:rPr>
        <w:footnoteReference w:id="22"/>
      </w:r>
    </w:p>
    <w:tbl>
      <w:tblPr>
        <w:tblpPr w:leftFromText="181" w:rightFromText="181" w:bottomFromText="284" w:vertAnchor="text" w:tblpY="1"/>
        <w:tblOverlap w:val="never"/>
        <w:tblW w:w="509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A0" w:firstRow="1" w:lastRow="0" w:firstColumn="1" w:lastColumn="0" w:noHBand="0" w:noVBand="0"/>
      </w:tblPr>
      <w:tblGrid>
        <w:gridCol w:w="1577"/>
        <w:gridCol w:w="1340"/>
        <w:gridCol w:w="4191"/>
        <w:gridCol w:w="2923"/>
      </w:tblGrid>
      <w:tr w:rsidR="007D3598">
        <w:trPr>
          <w:trHeight w:val="768"/>
          <w:tblHeader/>
        </w:trPr>
        <w:tc>
          <w:tcPr>
            <w:tcW w:w="786" w:type="pct"/>
            <w:shd w:val="clear" w:color="auto" w:fill="4F81BD" w:themeFill="accent1"/>
            <w:vAlign w:val="center"/>
          </w:tcPr>
          <w:p w:rsidR="007D3598" w:rsidRDefault="00F8547B">
            <w:pPr>
              <w:jc w:val="center"/>
              <w:rPr>
                <w:b/>
                <w:noProof/>
                <w:color w:val="FFFFFF" w:themeColor="background1"/>
              </w:rPr>
            </w:pPr>
            <w:r>
              <w:rPr>
                <w:b/>
                <w:noProof/>
                <w:color w:val="FFFFFF" w:themeColor="background1"/>
              </w:rPr>
              <w:t>General programme</w:t>
            </w:r>
          </w:p>
        </w:tc>
        <w:tc>
          <w:tcPr>
            <w:tcW w:w="668" w:type="pct"/>
            <w:shd w:val="clear" w:color="auto" w:fill="4F81BD" w:themeFill="accent1"/>
            <w:vAlign w:val="center"/>
          </w:tcPr>
          <w:p w:rsidR="007D3598" w:rsidRDefault="00F8547B">
            <w:pPr>
              <w:jc w:val="center"/>
              <w:rPr>
                <w:b/>
                <w:noProof/>
                <w:color w:val="FFFFFF" w:themeColor="background1"/>
              </w:rPr>
            </w:pPr>
            <w:r>
              <w:rPr>
                <w:b/>
                <w:noProof/>
                <w:color w:val="FFFFFF" w:themeColor="background1"/>
              </w:rPr>
              <w:t>Policy area</w:t>
            </w:r>
          </w:p>
        </w:tc>
        <w:tc>
          <w:tcPr>
            <w:tcW w:w="3546" w:type="pct"/>
            <w:gridSpan w:val="2"/>
            <w:shd w:val="clear" w:color="auto" w:fill="4F81BD" w:themeFill="accent1"/>
            <w:vAlign w:val="center"/>
          </w:tcPr>
          <w:p w:rsidR="007D3598" w:rsidRDefault="00F8547B">
            <w:pPr>
              <w:jc w:val="center"/>
              <w:rPr>
                <w:b/>
                <w:noProof/>
                <w:color w:val="FFFFFF" w:themeColor="background1"/>
              </w:rPr>
            </w:pPr>
            <w:r>
              <w:rPr>
                <w:b/>
                <w:noProof/>
                <w:color w:val="FFFFFF" w:themeColor="background1"/>
              </w:rPr>
              <w:t>Fund / Specific programme</w:t>
            </w:r>
          </w:p>
          <w:p w:rsidR="007D3598" w:rsidRDefault="00F8547B">
            <w:pPr>
              <w:jc w:val="center"/>
              <w:rPr>
                <w:b/>
                <w:noProof/>
                <w:color w:val="FFFFFF" w:themeColor="background1"/>
              </w:rPr>
            </w:pPr>
            <w:r>
              <w:rPr>
                <w:b/>
                <w:noProof/>
                <w:color w:val="FFFFFF" w:themeColor="background1"/>
              </w:rPr>
              <w:t>Budget, participation &amp; objectives</w:t>
            </w:r>
          </w:p>
        </w:tc>
      </w:tr>
      <w:tr w:rsidR="007D3598">
        <w:trPr>
          <w:trHeight w:val="142"/>
        </w:trPr>
        <w:tc>
          <w:tcPr>
            <w:tcW w:w="786" w:type="pct"/>
            <w:shd w:val="clear" w:color="auto" w:fill="4F81BD" w:themeFill="accent1"/>
            <w:vAlign w:val="center"/>
          </w:tcPr>
          <w:p w:rsidR="007D3598" w:rsidRDefault="007D3598">
            <w:pPr>
              <w:jc w:val="center"/>
              <w:rPr>
                <w:b/>
                <w:noProof/>
                <w:color w:val="FFFFFF" w:themeColor="background1"/>
              </w:rPr>
            </w:pPr>
          </w:p>
        </w:tc>
        <w:tc>
          <w:tcPr>
            <w:tcW w:w="668" w:type="pct"/>
            <w:shd w:val="clear" w:color="auto" w:fill="4F81BD" w:themeFill="accent1"/>
            <w:vAlign w:val="center"/>
          </w:tcPr>
          <w:p w:rsidR="007D3598" w:rsidRDefault="007D3598">
            <w:pPr>
              <w:jc w:val="center"/>
              <w:rPr>
                <w:b/>
                <w:noProof/>
                <w:color w:val="FFFFFF" w:themeColor="background1"/>
              </w:rPr>
            </w:pPr>
          </w:p>
        </w:tc>
        <w:tc>
          <w:tcPr>
            <w:tcW w:w="2089" w:type="pct"/>
            <w:shd w:val="clear" w:color="auto" w:fill="4F81BD" w:themeFill="accent1"/>
            <w:vAlign w:val="center"/>
          </w:tcPr>
          <w:p w:rsidR="007D3598" w:rsidRDefault="00F8547B">
            <w:pPr>
              <w:jc w:val="center"/>
              <w:rPr>
                <w:b/>
                <w:noProof/>
                <w:color w:val="FFFFFF" w:themeColor="background1"/>
              </w:rPr>
            </w:pPr>
            <w:r>
              <w:rPr>
                <w:b/>
                <w:noProof/>
                <w:color w:val="FFFFFF" w:themeColor="background1"/>
              </w:rPr>
              <w:t>Previous funds</w:t>
            </w:r>
          </w:p>
        </w:tc>
        <w:tc>
          <w:tcPr>
            <w:tcW w:w="1457" w:type="pct"/>
            <w:shd w:val="clear" w:color="auto" w:fill="4F81BD" w:themeFill="accent1"/>
            <w:vAlign w:val="center"/>
          </w:tcPr>
          <w:p w:rsidR="007D3598" w:rsidRDefault="00F8547B">
            <w:pPr>
              <w:jc w:val="center"/>
              <w:rPr>
                <w:b/>
                <w:noProof/>
                <w:color w:val="FFFFFF" w:themeColor="background1"/>
              </w:rPr>
            </w:pPr>
            <w:r>
              <w:rPr>
                <w:b/>
                <w:noProof/>
                <w:color w:val="FFFFFF" w:themeColor="background1"/>
              </w:rPr>
              <w:t>Current funds</w:t>
            </w:r>
          </w:p>
        </w:tc>
      </w:tr>
      <w:tr w:rsidR="007D3598">
        <w:trPr>
          <w:trHeight w:val="849"/>
        </w:trPr>
        <w:tc>
          <w:tcPr>
            <w:tcW w:w="786" w:type="pct"/>
            <w:vMerge w:val="restart"/>
            <w:vAlign w:val="center"/>
          </w:tcPr>
          <w:p w:rsidR="007D3598" w:rsidRDefault="00F8547B">
            <w:pPr>
              <w:rPr>
                <w:noProof/>
                <w:sz w:val="22"/>
                <w:szCs w:val="22"/>
              </w:rPr>
            </w:pPr>
            <w:r>
              <w:rPr>
                <w:noProof/>
                <w:sz w:val="22"/>
                <w:szCs w:val="22"/>
              </w:rPr>
              <w:t xml:space="preserve">General programme </w:t>
            </w:r>
            <w:r>
              <w:rPr>
                <w:noProof/>
                <w:sz w:val="22"/>
                <w:szCs w:val="22"/>
              </w:rPr>
              <w:t>Solidarity and Management of Migration Flows</w:t>
            </w:r>
          </w:p>
          <w:p w:rsidR="007D3598" w:rsidRDefault="007D3598">
            <w:pPr>
              <w:rPr>
                <w:i/>
                <w:noProof/>
                <w:sz w:val="22"/>
                <w:szCs w:val="22"/>
              </w:rPr>
            </w:pPr>
          </w:p>
          <w:p w:rsidR="007D3598" w:rsidRDefault="00F8547B">
            <w:pPr>
              <w:rPr>
                <w:i/>
                <w:noProof/>
                <w:sz w:val="22"/>
                <w:szCs w:val="22"/>
              </w:rPr>
            </w:pPr>
            <w:r>
              <w:rPr>
                <w:i/>
                <w:noProof/>
                <w:sz w:val="22"/>
                <w:szCs w:val="22"/>
              </w:rPr>
              <w:t>(93 % to 96 % shared management; remainder under centralised direct management)</w:t>
            </w:r>
          </w:p>
        </w:tc>
        <w:tc>
          <w:tcPr>
            <w:tcW w:w="668" w:type="pct"/>
            <w:vAlign w:val="center"/>
          </w:tcPr>
          <w:p w:rsidR="007D3598" w:rsidRDefault="00F8547B">
            <w:pPr>
              <w:rPr>
                <w:noProof/>
                <w:sz w:val="22"/>
                <w:szCs w:val="22"/>
              </w:rPr>
            </w:pPr>
            <w:r>
              <w:rPr>
                <w:noProof/>
                <w:sz w:val="22"/>
                <w:szCs w:val="22"/>
              </w:rPr>
              <w:t>Asylum</w:t>
            </w:r>
          </w:p>
        </w:tc>
        <w:tc>
          <w:tcPr>
            <w:tcW w:w="2089" w:type="pct"/>
            <w:vAlign w:val="center"/>
          </w:tcPr>
          <w:p w:rsidR="007D3598" w:rsidRDefault="00F8547B">
            <w:pPr>
              <w:rPr>
                <w:noProof/>
                <w:sz w:val="22"/>
                <w:szCs w:val="22"/>
              </w:rPr>
            </w:pPr>
            <w:r>
              <w:rPr>
                <w:noProof/>
                <w:sz w:val="22"/>
                <w:szCs w:val="22"/>
              </w:rPr>
              <w:t>European Refugee Fund (ERF III)</w:t>
            </w:r>
          </w:p>
          <w:p w:rsidR="007D3598" w:rsidRDefault="00F8547B">
            <w:pPr>
              <w:rPr>
                <w:noProof/>
                <w:sz w:val="22"/>
                <w:szCs w:val="22"/>
              </w:rPr>
            </w:pPr>
            <w:r>
              <w:rPr>
                <w:noProof/>
                <w:sz w:val="22"/>
                <w:szCs w:val="22"/>
              </w:rPr>
              <w:t>EUR 614 million</w:t>
            </w:r>
            <w:r>
              <w:rPr>
                <w:rStyle w:val="FootnoteReference"/>
                <w:noProof/>
              </w:rPr>
              <w:footnoteReference w:id="23"/>
            </w:r>
            <w:r>
              <w:rPr>
                <w:noProof/>
                <w:sz w:val="22"/>
                <w:szCs w:val="22"/>
              </w:rPr>
              <w:t>, all Member States except DK</w:t>
            </w:r>
          </w:p>
          <w:p w:rsidR="007D3598" w:rsidRDefault="007D3598">
            <w:pPr>
              <w:rPr>
                <w:noProof/>
                <w:sz w:val="22"/>
                <w:szCs w:val="22"/>
              </w:rPr>
            </w:pP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 xml:space="preserve">Support and encourage Member States in </w:t>
            </w:r>
            <w:r>
              <w:rPr>
                <w:rFonts w:ascii="Times New Roman" w:hAnsi="Times New Roman"/>
                <w:noProof/>
              </w:rPr>
              <w:t>receiving refugees and displaced persons</w:t>
            </w: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Emergency measures to address sudden mass influx if migrants and asylum seekers</w:t>
            </w:r>
          </w:p>
        </w:tc>
        <w:tc>
          <w:tcPr>
            <w:tcW w:w="1457" w:type="pct"/>
            <w:vMerge w:val="restart"/>
            <w:shd w:val="clear" w:color="auto" w:fill="DBE5F1" w:themeFill="accent1" w:themeFillTint="33"/>
            <w:vAlign w:val="center"/>
          </w:tcPr>
          <w:p w:rsidR="007D3598" w:rsidRDefault="00F8547B">
            <w:pPr>
              <w:rPr>
                <w:noProof/>
                <w:sz w:val="22"/>
                <w:szCs w:val="22"/>
              </w:rPr>
            </w:pPr>
            <w:r>
              <w:rPr>
                <w:noProof/>
                <w:sz w:val="22"/>
                <w:szCs w:val="22"/>
              </w:rPr>
              <w:t>Asylum Migration and Integration Fund</w:t>
            </w:r>
          </w:p>
          <w:p w:rsidR="007D3598" w:rsidRDefault="00F8547B">
            <w:pPr>
              <w:rPr>
                <w:noProof/>
                <w:sz w:val="22"/>
                <w:szCs w:val="22"/>
              </w:rPr>
            </w:pPr>
            <w:r>
              <w:rPr>
                <w:noProof/>
                <w:sz w:val="22"/>
                <w:szCs w:val="22"/>
              </w:rPr>
              <w:t>(AMIF, 2014-2020)</w:t>
            </w:r>
          </w:p>
          <w:p w:rsidR="007D3598" w:rsidRDefault="00F8547B">
            <w:pPr>
              <w:rPr>
                <w:noProof/>
                <w:sz w:val="22"/>
                <w:szCs w:val="22"/>
              </w:rPr>
            </w:pPr>
            <w:r>
              <w:rPr>
                <w:noProof/>
                <w:sz w:val="22"/>
                <w:szCs w:val="22"/>
              </w:rPr>
              <w:t>EUR 3.137 million (initial),</w:t>
            </w:r>
          </w:p>
          <w:p w:rsidR="007D3598" w:rsidRDefault="00F8547B">
            <w:pPr>
              <w:rPr>
                <w:noProof/>
                <w:sz w:val="22"/>
                <w:szCs w:val="22"/>
              </w:rPr>
            </w:pPr>
            <w:r>
              <w:rPr>
                <w:noProof/>
                <w:sz w:val="22"/>
                <w:szCs w:val="22"/>
              </w:rPr>
              <w:t>all Member States except DK</w:t>
            </w:r>
          </w:p>
          <w:p w:rsidR="007D3598" w:rsidRDefault="007D3598">
            <w:pPr>
              <w:rPr>
                <w:noProof/>
                <w:sz w:val="22"/>
                <w:szCs w:val="22"/>
              </w:rPr>
            </w:pPr>
          </w:p>
          <w:p w:rsidR="007D3598" w:rsidRDefault="00F8547B">
            <w:pPr>
              <w:pStyle w:val="Body"/>
              <w:numPr>
                <w:ilvl w:val="4"/>
                <w:numId w:val="60"/>
              </w:numPr>
              <w:spacing w:before="0" w:after="0" w:line="240" w:lineRule="auto"/>
              <w:ind w:left="176" w:hanging="152"/>
              <w:rPr>
                <w:rFonts w:ascii="Times New Roman" w:hAnsi="Times New Roman"/>
                <w:noProof/>
              </w:rPr>
            </w:pPr>
            <w:r>
              <w:rPr>
                <w:rFonts w:ascii="Times New Roman" w:hAnsi="Times New Roman"/>
                <w:noProof/>
              </w:rPr>
              <w:t xml:space="preserve">Strengthen and </w:t>
            </w:r>
            <w:r>
              <w:rPr>
                <w:rFonts w:ascii="Times New Roman" w:hAnsi="Times New Roman"/>
                <w:noProof/>
              </w:rPr>
              <w:t>develop all aspects of the CEAS</w:t>
            </w:r>
          </w:p>
          <w:p w:rsidR="007D3598" w:rsidRDefault="00F8547B">
            <w:pPr>
              <w:pStyle w:val="Body"/>
              <w:numPr>
                <w:ilvl w:val="4"/>
                <w:numId w:val="60"/>
              </w:numPr>
              <w:spacing w:before="0" w:after="0" w:line="240" w:lineRule="auto"/>
              <w:ind w:left="176" w:hanging="152"/>
              <w:rPr>
                <w:rFonts w:ascii="Times New Roman" w:hAnsi="Times New Roman"/>
                <w:noProof/>
              </w:rPr>
            </w:pPr>
            <w:r>
              <w:rPr>
                <w:rFonts w:ascii="Times New Roman" w:hAnsi="Times New Roman"/>
                <w:noProof/>
              </w:rPr>
              <w:t>Support legal migration to the Member States and promote effective integration of third-country nationals</w:t>
            </w:r>
          </w:p>
          <w:p w:rsidR="007D3598" w:rsidRDefault="00F8547B">
            <w:pPr>
              <w:pStyle w:val="Body"/>
              <w:numPr>
                <w:ilvl w:val="4"/>
                <w:numId w:val="60"/>
              </w:numPr>
              <w:spacing w:before="0" w:after="0" w:line="240" w:lineRule="auto"/>
              <w:ind w:left="176" w:hanging="152"/>
              <w:rPr>
                <w:rFonts w:ascii="Times New Roman" w:hAnsi="Times New Roman"/>
                <w:noProof/>
              </w:rPr>
            </w:pPr>
            <w:r>
              <w:rPr>
                <w:rFonts w:ascii="Times New Roman" w:hAnsi="Times New Roman"/>
                <w:noProof/>
              </w:rPr>
              <w:t>Strengthen fair and effective return strategies and contribute to combating illegal immigration</w:t>
            </w:r>
          </w:p>
          <w:p w:rsidR="007D3598" w:rsidRDefault="00F8547B">
            <w:pPr>
              <w:pStyle w:val="Body"/>
              <w:numPr>
                <w:ilvl w:val="4"/>
                <w:numId w:val="60"/>
              </w:numPr>
              <w:spacing w:before="0" w:after="0" w:line="240" w:lineRule="auto"/>
              <w:ind w:left="176" w:hanging="152"/>
              <w:rPr>
                <w:rFonts w:ascii="Times New Roman" w:hAnsi="Times New Roman"/>
                <w:noProof/>
              </w:rPr>
            </w:pPr>
            <w:r>
              <w:rPr>
                <w:rFonts w:ascii="Times New Roman" w:hAnsi="Times New Roman"/>
                <w:noProof/>
              </w:rPr>
              <w:t xml:space="preserve">Strengthen solidarity </w:t>
            </w:r>
            <w:r>
              <w:rPr>
                <w:rFonts w:ascii="Times New Roman" w:hAnsi="Times New Roman"/>
                <w:noProof/>
              </w:rPr>
              <w:t>and responsibility sharing between Member States, particularly those most affected by the migratory flows</w:t>
            </w:r>
          </w:p>
        </w:tc>
      </w:tr>
      <w:tr w:rsidR="007D3598">
        <w:trPr>
          <w:trHeight w:val="1309"/>
        </w:trPr>
        <w:tc>
          <w:tcPr>
            <w:tcW w:w="786" w:type="pct"/>
            <w:vMerge/>
            <w:vAlign w:val="center"/>
          </w:tcPr>
          <w:p w:rsidR="007D3598" w:rsidRDefault="007D3598">
            <w:pPr>
              <w:rPr>
                <w:noProof/>
                <w:sz w:val="22"/>
                <w:szCs w:val="22"/>
              </w:rPr>
            </w:pPr>
          </w:p>
        </w:tc>
        <w:tc>
          <w:tcPr>
            <w:tcW w:w="668" w:type="pct"/>
            <w:vAlign w:val="center"/>
          </w:tcPr>
          <w:p w:rsidR="007D3598" w:rsidRDefault="00F8547B">
            <w:pPr>
              <w:rPr>
                <w:noProof/>
                <w:sz w:val="22"/>
                <w:szCs w:val="22"/>
              </w:rPr>
            </w:pPr>
            <w:r>
              <w:rPr>
                <w:noProof/>
                <w:sz w:val="22"/>
                <w:szCs w:val="22"/>
              </w:rPr>
              <w:t>Integration of legally residing TCNs, legal migration</w:t>
            </w:r>
          </w:p>
        </w:tc>
        <w:tc>
          <w:tcPr>
            <w:tcW w:w="2089" w:type="pct"/>
            <w:vAlign w:val="center"/>
          </w:tcPr>
          <w:p w:rsidR="007D3598" w:rsidRDefault="00F8547B">
            <w:pPr>
              <w:rPr>
                <w:noProof/>
                <w:sz w:val="22"/>
                <w:szCs w:val="22"/>
              </w:rPr>
            </w:pPr>
            <w:r>
              <w:rPr>
                <w:noProof/>
                <w:sz w:val="22"/>
                <w:szCs w:val="22"/>
              </w:rPr>
              <w:t>European Fund for the Integration of Third-Country Nationals (EIF)</w:t>
            </w:r>
          </w:p>
          <w:p w:rsidR="007D3598" w:rsidRDefault="00F8547B">
            <w:pPr>
              <w:rPr>
                <w:noProof/>
                <w:sz w:val="22"/>
                <w:szCs w:val="22"/>
              </w:rPr>
            </w:pPr>
            <w:r>
              <w:rPr>
                <w:noProof/>
                <w:sz w:val="22"/>
                <w:szCs w:val="22"/>
              </w:rPr>
              <w:t>EUR 825 million, all Member</w:t>
            </w:r>
            <w:r>
              <w:rPr>
                <w:noProof/>
                <w:sz w:val="22"/>
                <w:szCs w:val="22"/>
              </w:rPr>
              <w:t xml:space="preserve"> States except DK</w:t>
            </w: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Support the integration of non-EU immigrants into European societies</w:t>
            </w:r>
          </w:p>
        </w:tc>
        <w:tc>
          <w:tcPr>
            <w:tcW w:w="1457" w:type="pct"/>
            <w:vMerge/>
            <w:shd w:val="clear" w:color="auto" w:fill="DBE5F1" w:themeFill="accent1" w:themeFillTint="33"/>
            <w:vAlign w:val="center"/>
          </w:tcPr>
          <w:p w:rsidR="007D3598" w:rsidRDefault="007D3598">
            <w:pPr>
              <w:rPr>
                <w:noProof/>
                <w:sz w:val="22"/>
                <w:szCs w:val="22"/>
              </w:rPr>
            </w:pPr>
          </w:p>
        </w:tc>
      </w:tr>
      <w:tr w:rsidR="007D3598">
        <w:trPr>
          <w:trHeight w:val="805"/>
        </w:trPr>
        <w:tc>
          <w:tcPr>
            <w:tcW w:w="786" w:type="pct"/>
            <w:vMerge/>
            <w:tcBorders>
              <w:bottom w:val="single" w:sz="4" w:space="0" w:color="auto"/>
            </w:tcBorders>
            <w:vAlign w:val="center"/>
          </w:tcPr>
          <w:p w:rsidR="007D3598" w:rsidRDefault="007D3598">
            <w:pPr>
              <w:rPr>
                <w:noProof/>
                <w:sz w:val="22"/>
                <w:szCs w:val="22"/>
              </w:rPr>
            </w:pPr>
          </w:p>
        </w:tc>
        <w:tc>
          <w:tcPr>
            <w:tcW w:w="668" w:type="pct"/>
            <w:tcBorders>
              <w:bottom w:val="single" w:sz="4" w:space="0" w:color="auto"/>
            </w:tcBorders>
            <w:vAlign w:val="center"/>
          </w:tcPr>
          <w:p w:rsidR="007D3598" w:rsidRDefault="00F8547B">
            <w:pPr>
              <w:rPr>
                <w:noProof/>
                <w:sz w:val="22"/>
                <w:szCs w:val="22"/>
              </w:rPr>
            </w:pPr>
            <w:r>
              <w:rPr>
                <w:noProof/>
                <w:sz w:val="22"/>
                <w:szCs w:val="22"/>
              </w:rPr>
              <w:t xml:space="preserve">Return </w:t>
            </w:r>
          </w:p>
        </w:tc>
        <w:tc>
          <w:tcPr>
            <w:tcW w:w="2089" w:type="pct"/>
            <w:tcBorders>
              <w:bottom w:val="single" w:sz="4" w:space="0" w:color="auto"/>
            </w:tcBorders>
            <w:vAlign w:val="center"/>
          </w:tcPr>
          <w:p w:rsidR="007D3598" w:rsidRDefault="00F8547B">
            <w:pPr>
              <w:rPr>
                <w:noProof/>
                <w:sz w:val="22"/>
                <w:szCs w:val="22"/>
              </w:rPr>
            </w:pPr>
            <w:r>
              <w:rPr>
                <w:noProof/>
                <w:sz w:val="22"/>
                <w:szCs w:val="22"/>
              </w:rPr>
              <w:t>European Return Fund (RF)</w:t>
            </w:r>
          </w:p>
          <w:p w:rsidR="007D3598" w:rsidRDefault="00F8547B">
            <w:pPr>
              <w:rPr>
                <w:noProof/>
                <w:sz w:val="22"/>
                <w:szCs w:val="22"/>
              </w:rPr>
            </w:pPr>
            <w:r>
              <w:rPr>
                <w:noProof/>
                <w:sz w:val="22"/>
                <w:szCs w:val="22"/>
              </w:rPr>
              <w:t>EUR 676 million, all Member States except DK</w:t>
            </w:r>
          </w:p>
          <w:p w:rsidR="007D3598" w:rsidRDefault="007D3598">
            <w:pPr>
              <w:rPr>
                <w:noProof/>
                <w:sz w:val="22"/>
                <w:szCs w:val="22"/>
              </w:rPr>
            </w:pP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Improve return management</w:t>
            </w: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 xml:space="preserve">Encourage development cooperation between Member States and </w:t>
            </w:r>
            <w:r>
              <w:rPr>
                <w:rFonts w:ascii="Times New Roman" w:hAnsi="Times New Roman"/>
                <w:noProof/>
              </w:rPr>
              <w:t>countries of return</w:t>
            </w:r>
          </w:p>
        </w:tc>
        <w:tc>
          <w:tcPr>
            <w:tcW w:w="1457" w:type="pct"/>
            <w:vMerge/>
            <w:tcBorders>
              <w:bottom w:val="single" w:sz="4" w:space="0" w:color="auto"/>
            </w:tcBorders>
            <w:shd w:val="clear" w:color="auto" w:fill="DBE5F1" w:themeFill="accent1" w:themeFillTint="33"/>
            <w:vAlign w:val="center"/>
          </w:tcPr>
          <w:p w:rsidR="007D3598" w:rsidRDefault="007D3598">
            <w:pPr>
              <w:rPr>
                <w:noProof/>
                <w:sz w:val="22"/>
                <w:szCs w:val="22"/>
              </w:rPr>
            </w:pPr>
          </w:p>
        </w:tc>
      </w:tr>
      <w:tr w:rsidR="007D3598">
        <w:trPr>
          <w:trHeight w:val="779"/>
        </w:trPr>
        <w:tc>
          <w:tcPr>
            <w:tcW w:w="786" w:type="pct"/>
            <w:vMerge/>
            <w:tcBorders>
              <w:top w:val="single" w:sz="4" w:space="0" w:color="auto"/>
              <w:left w:val="single" w:sz="4" w:space="0" w:color="auto"/>
              <w:bottom w:val="single" w:sz="4" w:space="0" w:color="auto"/>
              <w:right w:val="single" w:sz="4" w:space="0" w:color="auto"/>
            </w:tcBorders>
            <w:vAlign w:val="center"/>
          </w:tcPr>
          <w:p w:rsidR="007D3598" w:rsidRDefault="007D3598">
            <w:pPr>
              <w:rPr>
                <w:noProof/>
                <w:sz w:val="22"/>
                <w:szCs w:val="22"/>
              </w:rPr>
            </w:pPr>
          </w:p>
        </w:tc>
        <w:tc>
          <w:tcPr>
            <w:tcW w:w="668" w:type="pct"/>
            <w:tcBorders>
              <w:top w:val="single" w:sz="4" w:space="0" w:color="auto"/>
              <w:left w:val="single" w:sz="4" w:space="0" w:color="auto"/>
              <w:bottom w:val="single" w:sz="4" w:space="0" w:color="auto"/>
              <w:right w:val="single" w:sz="4" w:space="0" w:color="auto"/>
            </w:tcBorders>
            <w:vAlign w:val="center"/>
          </w:tcPr>
          <w:p w:rsidR="007D3598" w:rsidRDefault="00F8547B">
            <w:pPr>
              <w:rPr>
                <w:noProof/>
                <w:sz w:val="22"/>
                <w:szCs w:val="22"/>
              </w:rPr>
            </w:pPr>
            <w:r>
              <w:rPr>
                <w:noProof/>
                <w:sz w:val="22"/>
                <w:szCs w:val="22"/>
              </w:rPr>
              <w:t xml:space="preserve">Integrated border management and visa </w:t>
            </w:r>
          </w:p>
        </w:tc>
        <w:tc>
          <w:tcPr>
            <w:tcW w:w="2089" w:type="pct"/>
            <w:tcBorders>
              <w:top w:val="single" w:sz="4" w:space="0" w:color="auto"/>
              <w:left w:val="single" w:sz="4" w:space="0" w:color="auto"/>
              <w:bottom w:val="single" w:sz="4" w:space="0" w:color="auto"/>
              <w:right w:val="single" w:sz="4" w:space="0" w:color="auto"/>
            </w:tcBorders>
            <w:vAlign w:val="center"/>
          </w:tcPr>
          <w:p w:rsidR="007D3598" w:rsidRDefault="00F8547B">
            <w:pPr>
              <w:rPr>
                <w:noProof/>
                <w:sz w:val="22"/>
                <w:szCs w:val="22"/>
              </w:rPr>
            </w:pPr>
            <w:r>
              <w:rPr>
                <w:noProof/>
                <w:sz w:val="22"/>
                <w:szCs w:val="22"/>
              </w:rPr>
              <w:t>External Borders Fund, (EBF)</w:t>
            </w:r>
          </w:p>
          <w:p w:rsidR="007D3598" w:rsidRDefault="00F8547B">
            <w:pPr>
              <w:rPr>
                <w:noProof/>
                <w:sz w:val="22"/>
                <w:szCs w:val="22"/>
              </w:rPr>
            </w:pPr>
            <w:r>
              <w:rPr>
                <w:noProof/>
                <w:sz w:val="22"/>
                <w:szCs w:val="22"/>
              </w:rPr>
              <w:t>EUR 1.820 million, all Member States (including RO &amp; BG and the Schengen associated states from 2010) except the UK and IE</w:t>
            </w:r>
          </w:p>
          <w:p w:rsidR="007D3598" w:rsidRDefault="007D3598">
            <w:pPr>
              <w:rPr>
                <w:noProof/>
                <w:sz w:val="22"/>
                <w:szCs w:val="22"/>
              </w:rPr>
            </w:pP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 xml:space="preserve">Financial solidarity among Schengen </w:t>
            </w:r>
            <w:r>
              <w:rPr>
                <w:rFonts w:ascii="Times New Roman" w:hAnsi="Times New Roman"/>
                <w:noProof/>
              </w:rPr>
              <w:t>countries</w:t>
            </w: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Manage efficient controls and the flows at the external borders</w:t>
            </w: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Improve management of the consular authorities</w:t>
            </w:r>
          </w:p>
        </w:tc>
        <w:tc>
          <w:tcPr>
            <w:tcW w:w="1457"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3598" w:rsidRDefault="00F8547B">
            <w:pPr>
              <w:rPr>
                <w:noProof/>
                <w:sz w:val="22"/>
                <w:szCs w:val="22"/>
              </w:rPr>
            </w:pPr>
            <w:r>
              <w:rPr>
                <w:noProof/>
                <w:sz w:val="22"/>
                <w:szCs w:val="22"/>
              </w:rPr>
              <w:t>Internal security Fund</w:t>
            </w:r>
          </w:p>
          <w:p w:rsidR="007D3598" w:rsidRDefault="00F8547B">
            <w:pPr>
              <w:rPr>
                <w:noProof/>
                <w:sz w:val="22"/>
                <w:szCs w:val="22"/>
              </w:rPr>
            </w:pPr>
            <w:r>
              <w:rPr>
                <w:noProof/>
                <w:sz w:val="22"/>
                <w:szCs w:val="22"/>
              </w:rPr>
              <w:t>(ISF, 2014-2020)</w:t>
            </w:r>
          </w:p>
          <w:p w:rsidR="007D3598" w:rsidRDefault="00F8547B">
            <w:pPr>
              <w:rPr>
                <w:noProof/>
                <w:sz w:val="22"/>
                <w:szCs w:val="22"/>
              </w:rPr>
            </w:pPr>
            <w:r>
              <w:rPr>
                <w:noProof/>
                <w:sz w:val="22"/>
                <w:szCs w:val="22"/>
              </w:rPr>
              <w:t>EUR 3.764 million (initial)</w:t>
            </w:r>
          </w:p>
          <w:p w:rsidR="007D3598" w:rsidRDefault="007D3598">
            <w:pPr>
              <w:rPr>
                <w:noProof/>
                <w:sz w:val="22"/>
                <w:szCs w:val="22"/>
              </w:rPr>
            </w:pPr>
          </w:p>
          <w:p w:rsidR="007D3598" w:rsidRDefault="00F8547B">
            <w:pPr>
              <w:rPr>
                <w:noProof/>
                <w:sz w:val="22"/>
                <w:szCs w:val="22"/>
              </w:rPr>
            </w:pPr>
            <w:r>
              <w:rPr>
                <w:noProof/>
                <w:sz w:val="22"/>
                <w:szCs w:val="22"/>
              </w:rPr>
              <w:t>ISF-Borders and Visa</w:t>
            </w:r>
          </w:p>
          <w:p w:rsidR="007D3598" w:rsidRDefault="00F8547B">
            <w:pPr>
              <w:rPr>
                <w:noProof/>
                <w:sz w:val="22"/>
                <w:szCs w:val="22"/>
              </w:rPr>
            </w:pPr>
            <w:r>
              <w:rPr>
                <w:noProof/>
                <w:sz w:val="22"/>
                <w:szCs w:val="22"/>
              </w:rPr>
              <w:t>All Member States except IE and UK plus the S</w:t>
            </w:r>
            <w:r>
              <w:rPr>
                <w:noProof/>
                <w:sz w:val="22"/>
                <w:szCs w:val="22"/>
              </w:rPr>
              <w:t>chengen associated states CH, IS, LI, NO</w:t>
            </w:r>
          </w:p>
          <w:p w:rsidR="007D3598" w:rsidRDefault="007D3598">
            <w:pPr>
              <w:rPr>
                <w:noProof/>
                <w:sz w:val="22"/>
                <w:szCs w:val="22"/>
              </w:rPr>
            </w:pPr>
          </w:p>
          <w:p w:rsidR="007D3598" w:rsidRDefault="00F8547B">
            <w:pPr>
              <w:pStyle w:val="Body"/>
              <w:numPr>
                <w:ilvl w:val="4"/>
                <w:numId w:val="60"/>
              </w:numPr>
              <w:spacing w:before="0" w:after="0" w:line="240" w:lineRule="auto"/>
              <w:ind w:left="176" w:hanging="152"/>
              <w:rPr>
                <w:rFonts w:ascii="Times New Roman" w:hAnsi="Times New Roman"/>
                <w:noProof/>
              </w:rPr>
            </w:pPr>
            <w:r>
              <w:rPr>
                <w:rFonts w:ascii="Times New Roman" w:hAnsi="Times New Roman"/>
                <w:noProof/>
              </w:rPr>
              <w:t>Ensuring a high level of security in the EU and facilitate legitimate travel</w:t>
            </w:r>
          </w:p>
          <w:p w:rsidR="007D3598" w:rsidRDefault="00F8547B">
            <w:pPr>
              <w:pStyle w:val="Body"/>
              <w:numPr>
                <w:ilvl w:val="4"/>
                <w:numId w:val="60"/>
              </w:numPr>
              <w:spacing w:before="0" w:after="0" w:line="240" w:lineRule="auto"/>
              <w:ind w:left="176" w:hanging="152"/>
              <w:rPr>
                <w:rFonts w:ascii="Times New Roman" w:hAnsi="Times New Roman"/>
                <w:noProof/>
              </w:rPr>
            </w:pPr>
            <w:r>
              <w:rPr>
                <w:rFonts w:ascii="Times New Roman" w:hAnsi="Times New Roman"/>
                <w:noProof/>
              </w:rPr>
              <w:t>Visa and support integrated border management</w:t>
            </w:r>
          </w:p>
          <w:p w:rsidR="007D3598" w:rsidRDefault="007D3598">
            <w:pPr>
              <w:rPr>
                <w:noProof/>
                <w:sz w:val="22"/>
                <w:szCs w:val="22"/>
              </w:rPr>
            </w:pPr>
          </w:p>
          <w:p w:rsidR="007D3598" w:rsidRDefault="007D3598">
            <w:pPr>
              <w:rPr>
                <w:noProof/>
                <w:sz w:val="22"/>
                <w:szCs w:val="22"/>
              </w:rPr>
            </w:pPr>
          </w:p>
          <w:p w:rsidR="007D3598" w:rsidRDefault="007D3598">
            <w:pPr>
              <w:rPr>
                <w:noProof/>
                <w:sz w:val="22"/>
                <w:szCs w:val="22"/>
              </w:rPr>
            </w:pPr>
          </w:p>
          <w:p w:rsidR="007D3598" w:rsidRDefault="00F8547B">
            <w:pPr>
              <w:rPr>
                <w:noProof/>
                <w:sz w:val="22"/>
                <w:szCs w:val="22"/>
              </w:rPr>
            </w:pPr>
            <w:r>
              <w:rPr>
                <w:noProof/>
                <w:sz w:val="22"/>
                <w:szCs w:val="22"/>
              </w:rPr>
              <w:t>ISF-Police</w:t>
            </w:r>
          </w:p>
          <w:p w:rsidR="007D3598" w:rsidRDefault="00F8547B">
            <w:pPr>
              <w:rPr>
                <w:noProof/>
                <w:sz w:val="22"/>
                <w:szCs w:val="22"/>
              </w:rPr>
            </w:pPr>
            <w:r>
              <w:rPr>
                <w:noProof/>
                <w:sz w:val="22"/>
                <w:szCs w:val="22"/>
              </w:rPr>
              <w:t>All Member States except DK and UK</w:t>
            </w:r>
          </w:p>
          <w:p w:rsidR="007D3598" w:rsidRDefault="007D3598">
            <w:pPr>
              <w:rPr>
                <w:noProof/>
                <w:sz w:val="22"/>
                <w:szCs w:val="22"/>
              </w:rPr>
            </w:pPr>
          </w:p>
          <w:p w:rsidR="007D3598" w:rsidRDefault="00F8547B">
            <w:pPr>
              <w:pStyle w:val="Body"/>
              <w:numPr>
                <w:ilvl w:val="4"/>
                <w:numId w:val="60"/>
              </w:numPr>
              <w:spacing w:before="0" w:after="0" w:line="240" w:lineRule="auto"/>
              <w:ind w:left="176" w:hanging="152"/>
              <w:rPr>
                <w:rFonts w:ascii="Times New Roman" w:hAnsi="Times New Roman"/>
                <w:noProof/>
              </w:rPr>
            </w:pPr>
            <w:r>
              <w:rPr>
                <w:rFonts w:ascii="Times New Roman" w:hAnsi="Times New Roman"/>
                <w:noProof/>
              </w:rPr>
              <w:t>Ensure a high level of security in the EU</w:t>
            </w:r>
            <w:r>
              <w:rPr>
                <w:rFonts w:ascii="Times New Roman" w:hAnsi="Times New Roman"/>
                <w:noProof/>
              </w:rPr>
              <w:t>, fight against crime, manage risks and crisis</w:t>
            </w:r>
          </w:p>
        </w:tc>
      </w:tr>
      <w:tr w:rsidR="007D3598">
        <w:trPr>
          <w:trHeight w:val="96"/>
        </w:trPr>
        <w:tc>
          <w:tcPr>
            <w:tcW w:w="786" w:type="pct"/>
            <w:vMerge w:val="restart"/>
            <w:tcBorders>
              <w:top w:val="single" w:sz="4" w:space="0" w:color="auto"/>
              <w:left w:val="single" w:sz="4" w:space="0" w:color="auto"/>
              <w:bottom w:val="single" w:sz="4" w:space="0" w:color="auto"/>
              <w:right w:val="single" w:sz="4" w:space="0" w:color="auto"/>
            </w:tcBorders>
            <w:vAlign w:val="center"/>
          </w:tcPr>
          <w:p w:rsidR="007D3598" w:rsidRDefault="00F8547B">
            <w:pPr>
              <w:rPr>
                <w:noProof/>
                <w:sz w:val="22"/>
              </w:rPr>
            </w:pPr>
            <w:r>
              <w:rPr>
                <w:noProof/>
                <w:sz w:val="22"/>
              </w:rPr>
              <w:t>General programme Security and Safeguarding Liberties</w:t>
            </w:r>
          </w:p>
          <w:p w:rsidR="007D3598" w:rsidRDefault="00F8547B">
            <w:pPr>
              <w:rPr>
                <w:i/>
                <w:noProof/>
                <w:sz w:val="22"/>
              </w:rPr>
            </w:pPr>
            <w:r>
              <w:rPr>
                <w:i/>
                <w:noProof/>
                <w:sz w:val="22"/>
              </w:rPr>
              <w:t>(centralised direct management)</w:t>
            </w:r>
          </w:p>
        </w:tc>
        <w:tc>
          <w:tcPr>
            <w:tcW w:w="668" w:type="pct"/>
            <w:tcBorders>
              <w:top w:val="single" w:sz="4" w:space="0" w:color="auto"/>
              <w:left w:val="single" w:sz="4" w:space="0" w:color="auto"/>
              <w:bottom w:val="single" w:sz="4" w:space="0" w:color="auto"/>
              <w:right w:val="single" w:sz="4" w:space="0" w:color="auto"/>
            </w:tcBorders>
            <w:vAlign w:val="center"/>
          </w:tcPr>
          <w:p w:rsidR="007D3598" w:rsidRDefault="00F8547B">
            <w:pPr>
              <w:rPr>
                <w:noProof/>
                <w:sz w:val="22"/>
              </w:rPr>
            </w:pPr>
            <w:r>
              <w:rPr>
                <w:noProof/>
                <w:sz w:val="22"/>
              </w:rPr>
              <w:t>Prevention of and fight against organised crime</w:t>
            </w:r>
          </w:p>
        </w:tc>
        <w:tc>
          <w:tcPr>
            <w:tcW w:w="2089" w:type="pct"/>
            <w:tcBorders>
              <w:top w:val="single" w:sz="4" w:space="0" w:color="auto"/>
              <w:left w:val="single" w:sz="4" w:space="0" w:color="auto"/>
              <w:bottom w:val="single" w:sz="4" w:space="0" w:color="auto"/>
              <w:right w:val="single" w:sz="4" w:space="0" w:color="auto"/>
            </w:tcBorders>
            <w:vAlign w:val="center"/>
          </w:tcPr>
          <w:p w:rsidR="007D3598" w:rsidRDefault="00F8547B">
            <w:pPr>
              <w:rPr>
                <w:noProof/>
                <w:sz w:val="22"/>
              </w:rPr>
            </w:pPr>
            <w:r>
              <w:rPr>
                <w:noProof/>
                <w:sz w:val="22"/>
              </w:rPr>
              <w:t>Specific programme Prevention of and Fight against Organised Crime (ISEC)</w:t>
            </w:r>
          </w:p>
          <w:p w:rsidR="007D3598" w:rsidRDefault="00F8547B">
            <w:pPr>
              <w:rPr>
                <w:noProof/>
                <w:sz w:val="22"/>
              </w:rPr>
            </w:pPr>
            <w:r>
              <w:rPr>
                <w:noProof/>
                <w:sz w:val="22"/>
              </w:rPr>
              <w:t>EUR 600 million, all Member States</w:t>
            </w: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Crime prevention, law enforcement, witness protection and support, victims protection</w:t>
            </w:r>
          </w:p>
        </w:tc>
        <w:tc>
          <w:tcPr>
            <w:tcW w:w="1457" w:type="pct"/>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3598" w:rsidRDefault="007D3598">
            <w:pPr>
              <w:rPr>
                <w:noProof/>
                <w:sz w:val="18"/>
                <w:szCs w:val="18"/>
              </w:rPr>
            </w:pPr>
          </w:p>
        </w:tc>
      </w:tr>
      <w:tr w:rsidR="007D3598">
        <w:trPr>
          <w:trHeight w:val="96"/>
        </w:trPr>
        <w:tc>
          <w:tcPr>
            <w:tcW w:w="786" w:type="pct"/>
            <w:vMerge/>
            <w:tcBorders>
              <w:top w:val="single" w:sz="4" w:space="0" w:color="auto"/>
            </w:tcBorders>
          </w:tcPr>
          <w:p w:rsidR="007D3598" w:rsidRDefault="007D3598">
            <w:pPr>
              <w:rPr>
                <w:noProof/>
                <w:sz w:val="22"/>
              </w:rPr>
            </w:pPr>
          </w:p>
        </w:tc>
        <w:tc>
          <w:tcPr>
            <w:tcW w:w="668" w:type="pct"/>
            <w:tcBorders>
              <w:top w:val="single" w:sz="4" w:space="0" w:color="auto"/>
            </w:tcBorders>
            <w:vAlign w:val="center"/>
          </w:tcPr>
          <w:p w:rsidR="007D3598" w:rsidRDefault="00F8547B">
            <w:pPr>
              <w:rPr>
                <w:noProof/>
                <w:sz w:val="22"/>
              </w:rPr>
            </w:pPr>
            <w:r>
              <w:rPr>
                <w:noProof/>
                <w:sz w:val="22"/>
              </w:rPr>
              <w:t>Combating terrorism and other security-related risks</w:t>
            </w:r>
          </w:p>
        </w:tc>
        <w:tc>
          <w:tcPr>
            <w:tcW w:w="2089" w:type="pct"/>
            <w:tcBorders>
              <w:top w:val="single" w:sz="4" w:space="0" w:color="auto"/>
            </w:tcBorders>
            <w:vAlign w:val="center"/>
          </w:tcPr>
          <w:p w:rsidR="007D3598" w:rsidRDefault="00F8547B">
            <w:pPr>
              <w:rPr>
                <w:noProof/>
                <w:sz w:val="22"/>
              </w:rPr>
            </w:pPr>
            <w:r>
              <w:rPr>
                <w:noProof/>
                <w:sz w:val="22"/>
              </w:rPr>
              <w:t xml:space="preserve">Specific programme Prevention, Preparedness and Consequence Management of </w:t>
            </w:r>
            <w:r>
              <w:rPr>
                <w:noProof/>
                <w:sz w:val="22"/>
              </w:rPr>
              <w:t>Terrorism and Other Security-related Risks (CIPS)</w:t>
            </w:r>
          </w:p>
          <w:p w:rsidR="007D3598" w:rsidRDefault="00F8547B">
            <w:pPr>
              <w:rPr>
                <w:noProof/>
                <w:sz w:val="22"/>
              </w:rPr>
            </w:pPr>
            <w:r>
              <w:rPr>
                <w:noProof/>
                <w:sz w:val="22"/>
              </w:rPr>
              <w:t>EUR 140 million, all Member States</w:t>
            </w:r>
          </w:p>
          <w:p w:rsidR="007D3598" w:rsidRDefault="00F8547B">
            <w:pPr>
              <w:pStyle w:val="Body"/>
              <w:numPr>
                <w:ilvl w:val="4"/>
                <w:numId w:val="60"/>
              </w:numPr>
              <w:spacing w:before="0" w:after="0" w:line="240" w:lineRule="auto"/>
              <w:ind w:left="176" w:hanging="152"/>
              <w:jc w:val="both"/>
              <w:rPr>
                <w:rFonts w:ascii="Times New Roman" w:hAnsi="Times New Roman"/>
                <w:noProof/>
              </w:rPr>
            </w:pPr>
            <w:r>
              <w:rPr>
                <w:rFonts w:ascii="Times New Roman" w:hAnsi="Times New Roman"/>
                <w:noProof/>
              </w:rPr>
              <w:t>Protection of citizens and critical infrastructure from terrorist attacks and other security incidents</w:t>
            </w:r>
          </w:p>
        </w:tc>
        <w:tc>
          <w:tcPr>
            <w:tcW w:w="1457" w:type="pct"/>
            <w:vMerge/>
            <w:tcBorders>
              <w:top w:val="single" w:sz="4" w:space="0" w:color="auto"/>
            </w:tcBorders>
            <w:shd w:val="clear" w:color="auto" w:fill="DBE5F1" w:themeFill="accent1" w:themeFillTint="33"/>
            <w:vAlign w:val="center"/>
          </w:tcPr>
          <w:p w:rsidR="007D3598" w:rsidRDefault="007D3598">
            <w:pPr>
              <w:rPr>
                <w:noProof/>
                <w:sz w:val="18"/>
                <w:szCs w:val="18"/>
              </w:rPr>
            </w:pPr>
          </w:p>
        </w:tc>
      </w:tr>
    </w:tbl>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 xml:space="preserve">The four different SOLID funds complemented each other and provided a holistic approach to home affairs funding. However, there were weaknesses, identified by the </w:t>
      </w:r>
      <w:r>
        <w:rPr>
          <w:rFonts w:ascii="Times New Roman" w:hAnsi="Times New Roman"/>
          <w:i/>
          <w:noProof/>
          <w:sz w:val="24"/>
        </w:rPr>
        <w:t>ex post</w:t>
      </w:r>
      <w:r>
        <w:rPr>
          <w:rFonts w:ascii="Times New Roman" w:hAnsi="Times New Roman"/>
          <w:noProof/>
          <w:sz w:val="24"/>
        </w:rPr>
        <w:t xml:space="preserve"> evaluations, and the European Court of Auditors special reports</w:t>
      </w:r>
      <w:r>
        <w:rPr>
          <w:rStyle w:val="FootnoteReference"/>
          <w:noProof/>
        </w:rPr>
        <w:footnoteReference w:id="24"/>
      </w:r>
      <w:r>
        <w:rPr>
          <w:rFonts w:ascii="Times New Roman" w:hAnsi="Times New Roman"/>
          <w:noProof/>
          <w:sz w:val="24"/>
        </w:rPr>
        <w:t>, as well as during t</w:t>
      </w:r>
      <w:r>
        <w:rPr>
          <w:rFonts w:ascii="Times New Roman" w:hAnsi="Times New Roman"/>
          <w:noProof/>
          <w:sz w:val="24"/>
        </w:rPr>
        <w:t>he Commission’s impact assessment that accompanied its proposals for the 2014-2020 generation of home affairs funds</w:t>
      </w:r>
      <w:r>
        <w:rPr>
          <w:rStyle w:val="FootnoteReference"/>
          <w:rFonts w:ascii="Times New Roman" w:hAnsi="Times New Roman"/>
          <w:noProof/>
          <w:sz w:val="24"/>
          <w:szCs w:val="24"/>
        </w:rPr>
        <w:footnoteReference w:id="25"/>
      </w:r>
      <w:r>
        <w:rPr>
          <w:rFonts w:ascii="Times New Roman" w:hAnsi="Times New Roman"/>
          <w:noProof/>
          <w:sz w:val="24"/>
        </w:rPr>
        <w:t>. Those weaknesses included: (i) a lack of effective monitoring and evaluation systems; (ii) a lack of common indicators with measurable tar</w:t>
      </w:r>
      <w:r>
        <w:rPr>
          <w:rFonts w:ascii="Times New Roman" w:hAnsi="Times New Roman"/>
          <w:noProof/>
          <w:sz w:val="24"/>
        </w:rPr>
        <w:t>gets; (iii) high administrative burdens; and (iv) delays in providing evaluation reports at both at Member States and Commission level.</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To counter these weaknesses, recommendations were proposed which included, among others:</w:t>
      </w:r>
    </w:p>
    <w:p w:rsidR="007D3598" w:rsidRDefault="00F8547B">
      <w:pPr>
        <w:pStyle w:val="Bulletpointslist"/>
        <w:numPr>
          <w:ilvl w:val="0"/>
          <w:numId w:val="85"/>
        </w:numPr>
        <w:spacing w:after="240"/>
        <w:rPr>
          <w:rFonts w:eastAsiaTheme="minorHAnsi"/>
          <w:noProof/>
        </w:rPr>
      </w:pPr>
      <w:r>
        <w:rPr>
          <w:rFonts w:eastAsiaTheme="minorHAnsi"/>
          <w:noProof/>
        </w:rPr>
        <w:t>the adoption of a broader fram</w:t>
      </w:r>
      <w:r>
        <w:rPr>
          <w:rFonts w:eastAsiaTheme="minorHAnsi"/>
          <w:noProof/>
        </w:rPr>
        <w:t>ework to:</w:t>
      </w:r>
    </w:p>
    <w:p w:rsidR="007D3598" w:rsidRDefault="00F8547B">
      <w:pPr>
        <w:pStyle w:val="Body"/>
        <w:numPr>
          <w:ilvl w:val="0"/>
          <w:numId w:val="86"/>
        </w:numPr>
        <w:spacing w:before="0" w:after="0" w:line="240" w:lineRule="auto"/>
        <w:jc w:val="both"/>
        <w:rPr>
          <w:rFonts w:ascii="Times New Roman" w:hAnsi="Times New Roman"/>
          <w:noProof/>
          <w:sz w:val="24"/>
        </w:rPr>
      </w:pPr>
      <w:r>
        <w:rPr>
          <w:rFonts w:ascii="Times New Roman" w:hAnsi="Times New Roman"/>
          <w:noProof/>
          <w:sz w:val="24"/>
          <w:szCs w:val="24"/>
        </w:rPr>
        <w:t>allow the funds to adapt to the Member States objectives and changing needs;</w:t>
      </w:r>
    </w:p>
    <w:p w:rsidR="007D3598" w:rsidRDefault="00F8547B">
      <w:pPr>
        <w:pStyle w:val="Body"/>
        <w:numPr>
          <w:ilvl w:val="0"/>
          <w:numId w:val="86"/>
        </w:numPr>
        <w:spacing w:before="0" w:after="0" w:line="240" w:lineRule="auto"/>
        <w:jc w:val="both"/>
        <w:rPr>
          <w:rFonts w:ascii="Times New Roman" w:hAnsi="Times New Roman"/>
          <w:noProof/>
          <w:sz w:val="24"/>
        </w:rPr>
      </w:pPr>
      <w:r>
        <w:rPr>
          <w:rFonts w:ascii="Times New Roman" w:hAnsi="Times New Roman"/>
          <w:noProof/>
          <w:sz w:val="24"/>
          <w:szCs w:val="24"/>
        </w:rPr>
        <w:t>to focus on pressing issues and where needs are the largest;</w:t>
      </w:r>
    </w:p>
    <w:p w:rsidR="007D3598" w:rsidRDefault="00F8547B">
      <w:pPr>
        <w:pStyle w:val="Body"/>
        <w:numPr>
          <w:ilvl w:val="0"/>
          <w:numId w:val="85"/>
        </w:numPr>
        <w:spacing w:before="0" w:after="0" w:line="240" w:lineRule="auto"/>
        <w:jc w:val="both"/>
        <w:rPr>
          <w:rFonts w:ascii="Times New Roman" w:hAnsi="Times New Roman"/>
          <w:noProof/>
          <w:sz w:val="24"/>
        </w:rPr>
      </w:pPr>
      <w:r>
        <w:rPr>
          <w:rFonts w:ascii="Times New Roman" w:hAnsi="Times New Roman"/>
          <w:noProof/>
          <w:sz w:val="24"/>
          <w:szCs w:val="24"/>
        </w:rPr>
        <w:t>a harmonised approach across all EU funding streams;</w:t>
      </w:r>
    </w:p>
    <w:p w:rsidR="007D3598" w:rsidRDefault="00F8547B">
      <w:pPr>
        <w:pStyle w:val="Body"/>
        <w:numPr>
          <w:ilvl w:val="0"/>
          <w:numId w:val="85"/>
        </w:numPr>
        <w:spacing w:before="0" w:after="0" w:line="240" w:lineRule="auto"/>
        <w:jc w:val="both"/>
        <w:rPr>
          <w:rFonts w:ascii="Times New Roman" w:hAnsi="Times New Roman"/>
          <w:noProof/>
          <w:sz w:val="24"/>
        </w:rPr>
      </w:pPr>
      <w:r>
        <w:rPr>
          <w:rFonts w:ascii="Times New Roman" w:hAnsi="Times New Roman"/>
          <w:noProof/>
          <w:sz w:val="24"/>
          <w:szCs w:val="24"/>
        </w:rPr>
        <w:t xml:space="preserve">the improvement of monitoring and evaluation tools and </w:t>
      </w:r>
      <w:r>
        <w:rPr>
          <w:rFonts w:ascii="Times New Roman" w:hAnsi="Times New Roman"/>
          <w:noProof/>
          <w:sz w:val="24"/>
          <w:szCs w:val="24"/>
        </w:rPr>
        <w:t>capacities at EU, Member States</w:t>
      </w:r>
      <w:r>
        <w:rPr>
          <w:rFonts w:ascii="Times New Roman" w:hAnsi="Times New Roman"/>
          <w:noProof/>
          <w:sz w:val="24"/>
        </w:rPr>
        <w:t xml:space="preserve"> and project levels;</w:t>
      </w:r>
    </w:p>
    <w:p w:rsidR="007D3598" w:rsidRDefault="00F8547B">
      <w:pPr>
        <w:pStyle w:val="Body"/>
        <w:numPr>
          <w:ilvl w:val="0"/>
          <w:numId w:val="85"/>
        </w:numPr>
        <w:spacing w:before="0" w:after="0" w:line="240" w:lineRule="auto"/>
        <w:jc w:val="both"/>
        <w:rPr>
          <w:rFonts w:ascii="Times New Roman" w:hAnsi="Times New Roman"/>
          <w:noProof/>
          <w:sz w:val="24"/>
        </w:rPr>
      </w:pPr>
      <w:r>
        <w:rPr>
          <w:rFonts w:ascii="Times New Roman" w:hAnsi="Times New Roman"/>
          <w:noProof/>
          <w:sz w:val="24"/>
        </w:rPr>
        <w:t>the improvement of sustainability by awarding funding based on innovation and sustainability of proposals.</w:t>
      </w:r>
    </w:p>
    <w:p w:rsidR="007D3598" w:rsidRDefault="007D3598">
      <w:pPr>
        <w:jc w:val="both"/>
        <w:rPr>
          <w:noProof/>
        </w:rPr>
      </w:pPr>
    </w:p>
    <w:p w:rsidR="007D3598" w:rsidRDefault="00F8547B">
      <w:pPr>
        <w:jc w:val="both"/>
        <w:rPr>
          <w:noProof/>
          <w:szCs w:val="24"/>
        </w:rPr>
      </w:pPr>
      <w:r>
        <w:rPr>
          <w:rFonts w:eastAsiaTheme="minorHAnsi"/>
          <w:noProof/>
          <w:szCs w:val="24"/>
        </w:rPr>
        <w:t xml:space="preserve">The EBF </w:t>
      </w:r>
      <w:r>
        <w:rPr>
          <w:rFonts w:eastAsiaTheme="minorHAnsi"/>
          <w:i/>
          <w:noProof/>
          <w:szCs w:val="24"/>
        </w:rPr>
        <w:t>ex post</w:t>
      </w:r>
      <w:r>
        <w:rPr>
          <w:rFonts w:eastAsiaTheme="minorHAnsi"/>
          <w:noProof/>
          <w:szCs w:val="24"/>
        </w:rPr>
        <w:t xml:space="preserve"> evaluation’s final report and the EBF SWD also identified several issues, lesson</w:t>
      </w:r>
      <w:r>
        <w:rPr>
          <w:rFonts w:eastAsiaTheme="minorHAnsi"/>
          <w:noProof/>
          <w:szCs w:val="24"/>
        </w:rPr>
        <w:t>s and recommendations to be considered, which are detailed in the table below.</w:t>
      </w:r>
    </w:p>
    <w:p w:rsidR="007D3598" w:rsidRDefault="007D3598">
      <w:pPr>
        <w:pStyle w:val="Text3"/>
        <w:ind w:left="0"/>
        <w:jc w:val="both"/>
        <w:rPr>
          <w:rFonts w:eastAsiaTheme="minorHAnsi"/>
          <w:b/>
          <w:noProof/>
          <w:szCs w:val="24"/>
        </w:rPr>
      </w:pPr>
    </w:p>
    <w:p w:rsidR="007D3598" w:rsidRDefault="00F8547B">
      <w:pPr>
        <w:pStyle w:val="Text3"/>
        <w:ind w:left="0"/>
        <w:jc w:val="both"/>
        <w:rPr>
          <w:rFonts w:eastAsiaTheme="minorHAnsi"/>
          <w:i/>
          <w:noProof/>
          <w:sz w:val="20"/>
          <w:szCs w:val="24"/>
        </w:rPr>
      </w:pPr>
      <w:r>
        <w:rPr>
          <w:rFonts w:eastAsiaTheme="minorHAnsi"/>
          <w:i/>
          <w:noProof/>
          <w:sz w:val="20"/>
          <w:szCs w:val="24"/>
        </w:rPr>
        <w:t>Table 3: Lessons learnt from the EBF and how ISF-BV approached them</w:t>
      </w:r>
    </w:p>
    <w:tbl>
      <w:tblPr>
        <w:tblStyle w:val="MediumList2-Accent5"/>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28"/>
        <w:gridCol w:w="4819"/>
      </w:tblGrid>
      <w:tr w:rsidR="007D3598" w:rsidTr="007D35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28" w:type="dxa"/>
            <w:tcBorders>
              <w:bottom w:val="single" w:sz="4" w:space="0" w:color="4F81BD" w:themeColor="accent1"/>
              <w:right w:val="single" w:sz="4" w:space="0" w:color="FFFFFF" w:themeColor="background1"/>
            </w:tcBorders>
            <w:shd w:val="clear" w:color="auto" w:fill="4F81BD" w:themeFill="accent1"/>
          </w:tcPr>
          <w:p w:rsidR="007D3598" w:rsidRDefault="00F8547B">
            <w:pPr>
              <w:jc w:val="center"/>
              <w:rPr>
                <w:rFonts w:eastAsiaTheme="minorHAnsi"/>
                <w:b/>
                <w:noProof/>
                <w:color w:val="FFFFFF" w:themeColor="background1"/>
              </w:rPr>
            </w:pPr>
            <w:r>
              <w:rPr>
                <w:rFonts w:eastAsiaTheme="minorHAnsi"/>
                <w:b/>
                <w:iCs/>
                <w:noProof/>
                <w:color w:val="FFFFFF" w:themeColor="background1"/>
              </w:rPr>
              <w:t xml:space="preserve">Lessons learnt from the EBF </w:t>
            </w:r>
            <w:r>
              <w:rPr>
                <w:rFonts w:eastAsiaTheme="minorHAnsi"/>
                <w:b/>
                <w:i/>
                <w:iCs/>
                <w:noProof/>
                <w:color w:val="FFFFFF" w:themeColor="background1"/>
              </w:rPr>
              <w:t>ex post</w:t>
            </w:r>
            <w:r>
              <w:rPr>
                <w:rFonts w:eastAsiaTheme="minorHAnsi"/>
                <w:b/>
                <w:iCs/>
                <w:noProof/>
                <w:color w:val="FFFFFF" w:themeColor="background1"/>
              </w:rPr>
              <w:t xml:space="preserve"> evaluation …</w:t>
            </w:r>
          </w:p>
        </w:tc>
        <w:tc>
          <w:tcPr>
            <w:tcW w:w="4819" w:type="dxa"/>
            <w:tcBorders>
              <w:left w:val="single" w:sz="4" w:space="0" w:color="FFFFFF" w:themeColor="background1"/>
              <w:bottom w:val="single" w:sz="4" w:space="0" w:color="4F81BD" w:themeColor="accent1"/>
            </w:tcBorders>
            <w:shd w:val="clear" w:color="auto" w:fill="4F81BD" w:themeFill="accent1"/>
          </w:tcPr>
          <w:p w:rsidR="007D3598" w:rsidRDefault="00F8547B">
            <w:pPr>
              <w:jc w:val="center"/>
              <w:cnfStyle w:val="100000000000" w:firstRow="1" w:lastRow="0" w:firstColumn="0" w:lastColumn="0" w:oddVBand="0" w:evenVBand="0" w:oddHBand="0" w:evenHBand="0" w:firstRowFirstColumn="0" w:firstRowLastColumn="0" w:lastRowFirstColumn="0" w:lastRowLastColumn="0"/>
              <w:rPr>
                <w:rFonts w:eastAsiaTheme="minorHAnsi"/>
                <w:b/>
                <w:noProof/>
                <w:color w:val="FFFFFF" w:themeColor="background1"/>
              </w:rPr>
            </w:pPr>
            <w:r>
              <w:rPr>
                <w:rFonts w:eastAsiaTheme="minorHAnsi"/>
                <w:b/>
                <w:noProof/>
                <w:color w:val="FFFFFF" w:themeColor="background1"/>
              </w:rPr>
              <w:t>Under ISF-BV …</w:t>
            </w:r>
          </w:p>
        </w:tc>
      </w:tr>
      <w:tr w:rsidR="007D3598" w:rsidTr="007D3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single" w:sz="4" w:space="0" w:color="4F81BD" w:themeColor="accent1"/>
              <w:right w:val="single" w:sz="4" w:space="0" w:color="4F81BD" w:themeColor="accent1"/>
            </w:tcBorders>
          </w:tcPr>
          <w:p w:rsidR="007D3598" w:rsidRDefault="00F8547B">
            <w:pPr>
              <w:rPr>
                <w:rFonts w:eastAsiaTheme="minorHAnsi"/>
                <w:i/>
                <w:noProof/>
                <w:sz w:val="22"/>
                <w:szCs w:val="24"/>
              </w:rPr>
            </w:pPr>
            <w:r>
              <w:rPr>
                <w:rFonts w:eastAsiaTheme="minorHAnsi"/>
                <w:noProof/>
                <w:sz w:val="22"/>
                <w:szCs w:val="22"/>
              </w:rPr>
              <w:t xml:space="preserve">The EBF had a </w:t>
            </w:r>
            <w:r>
              <w:rPr>
                <w:rFonts w:eastAsiaTheme="minorHAnsi"/>
                <w:b/>
                <w:noProof/>
                <w:sz w:val="22"/>
                <w:szCs w:val="22"/>
              </w:rPr>
              <w:t>complex architecture</w:t>
            </w:r>
            <w:r>
              <w:rPr>
                <w:noProof/>
                <w:sz w:val="22"/>
                <w:szCs w:val="22"/>
              </w:rPr>
              <w:t xml:space="preserve">, as it </w:t>
            </w:r>
            <w:r>
              <w:rPr>
                <w:noProof/>
                <w:sz w:val="22"/>
                <w:szCs w:val="22"/>
              </w:rPr>
              <w:t>consisted of four broad objectives, numerous specific objectives and five priorities. The aim was to keep the Fund concrete and operational but this was not achieved.</w:t>
            </w:r>
          </w:p>
        </w:tc>
        <w:tc>
          <w:tcPr>
            <w:tcW w:w="4819" w:type="dxa"/>
            <w:tcBorders>
              <w:left w:val="single" w:sz="4" w:space="0" w:color="4F81BD" w:themeColor="accent1"/>
              <w:bottom w:val="single" w:sz="4" w:space="0" w:color="4F81BD" w:themeColor="accent1"/>
            </w:tcBorders>
            <w:shd w:val="clear" w:color="auto" w:fill="DBE5F1" w:themeFill="accent1" w:themeFillTint="33"/>
          </w:tcPr>
          <w:p w:rsidR="007D3598" w:rsidRDefault="00F8547B">
            <w:pPr>
              <w:pStyle w:val="ListParagraph"/>
              <w:numPr>
                <w:ilvl w:val="0"/>
                <w:numId w:val="70"/>
              </w:numPr>
              <w:ind w:left="472" w:hanging="472"/>
              <w:jc w:val="both"/>
              <w:cnfStyle w:val="000000100000" w:firstRow="0" w:lastRow="0" w:firstColumn="0" w:lastColumn="0" w:oddVBand="0" w:evenVBand="0" w:oddHBand="1" w:evenHBand="0" w:firstRowFirstColumn="0" w:firstRowLastColumn="0" w:lastRowFirstColumn="0" w:lastRowLastColumn="0"/>
              <w:rPr>
                <w:rFonts w:eastAsiaTheme="minorHAnsi"/>
                <w:noProof/>
                <w:sz w:val="22"/>
                <w:szCs w:val="24"/>
              </w:rPr>
            </w:pPr>
            <w:r>
              <w:rPr>
                <w:rFonts w:eastAsiaTheme="minorHAnsi"/>
                <w:noProof/>
                <w:sz w:val="22"/>
                <w:szCs w:val="24"/>
              </w:rPr>
              <w:t xml:space="preserve">The </w:t>
            </w:r>
            <w:r>
              <w:rPr>
                <w:rFonts w:eastAsiaTheme="minorHAnsi"/>
                <w:b/>
                <w:noProof/>
                <w:sz w:val="22"/>
                <w:szCs w:val="24"/>
              </w:rPr>
              <w:t>architecture was simplified as ISF-Borders and Visa</w:t>
            </w:r>
            <w:r>
              <w:rPr>
                <w:rFonts w:eastAsiaTheme="minorHAnsi"/>
                <w:noProof/>
                <w:sz w:val="22"/>
                <w:szCs w:val="24"/>
              </w:rPr>
              <w:t xml:space="preserve"> includes only two specific objectives (one for Borders and one for Visa) supported by seven operational objectives.</w:t>
            </w:r>
          </w:p>
        </w:tc>
      </w:tr>
      <w:tr w:rsidR="007D3598" w:rsidTr="007D3598">
        <w:tc>
          <w:tcPr>
            <w:cnfStyle w:val="001000000000" w:firstRow="0" w:lastRow="0" w:firstColumn="1" w:lastColumn="0" w:oddVBand="0" w:evenVBand="0" w:oddHBand="0" w:evenHBand="0" w:firstRowFirstColumn="0" w:firstRowLastColumn="0" w:lastRowFirstColumn="0" w:lastRowLastColumn="0"/>
            <w:tcW w:w="4928" w:type="dxa"/>
            <w:tcBorders>
              <w:left w:val="single" w:sz="4" w:space="0" w:color="4F81BD" w:themeColor="accent1"/>
              <w:bottom w:val="single" w:sz="4" w:space="0" w:color="4F81BD" w:themeColor="accent1"/>
              <w:right w:val="single" w:sz="4" w:space="0" w:color="4F81BD" w:themeColor="accent1"/>
            </w:tcBorders>
          </w:tcPr>
          <w:p w:rsidR="007D3598" w:rsidRDefault="00F8547B">
            <w:pPr>
              <w:rPr>
                <w:rFonts w:eastAsiaTheme="minorHAnsi"/>
                <w:iCs/>
                <w:noProof/>
                <w:sz w:val="22"/>
                <w:szCs w:val="22"/>
              </w:rPr>
            </w:pPr>
            <w:r>
              <w:rPr>
                <w:rFonts w:eastAsiaTheme="minorHAnsi"/>
                <w:iCs/>
                <w:noProof/>
                <w:sz w:val="22"/>
                <w:szCs w:val="22"/>
              </w:rPr>
              <w:t xml:space="preserve">There were </w:t>
            </w:r>
            <w:r>
              <w:rPr>
                <w:b/>
                <w:noProof/>
                <w:sz w:val="22"/>
                <w:szCs w:val="22"/>
              </w:rPr>
              <w:t>difficulties linked to evaluation limitations</w:t>
            </w:r>
            <w:r>
              <w:rPr>
                <w:noProof/>
                <w:sz w:val="22"/>
                <w:szCs w:val="22"/>
              </w:rPr>
              <w:t xml:space="preserve"> when assessing the EBF’s overall effectiveness at EU level. The lack of an initia</w:t>
            </w:r>
            <w:r>
              <w:rPr>
                <w:noProof/>
                <w:sz w:val="22"/>
                <w:szCs w:val="22"/>
              </w:rPr>
              <w:t>l baseline and the fact that the EBF’s monitoring and evaluation system did not allow for detailed monitoring and assessment of the Fund’s performance. Set indicators were rather weak and monitoring data were not fully reliable.</w:t>
            </w:r>
          </w:p>
        </w:tc>
        <w:tc>
          <w:tcPr>
            <w:tcW w:w="4819" w:type="dxa"/>
            <w:tcBorders>
              <w:left w:val="single" w:sz="4" w:space="0" w:color="4F81BD" w:themeColor="accent1"/>
              <w:bottom w:val="single" w:sz="4" w:space="0" w:color="4F81BD" w:themeColor="accent1"/>
            </w:tcBorders>
            <w:shd w:val="clear" w:color="auto" w:fill="DBE5F1" w:themeFill="accent1" w:themeFillTint="33"/>
          </w:tcPr>
          <w:p w:rsidR="007D3598" w:rsidRDefault="00F8547B">
            <w:pPr>
              <w:pStyle w:val="ListParagraph"/>
              <w:numPr>
                <w:ilvl w:val="0"/>
                <w:numId w:val="70"/>
              </w:numPr>
              <w:ind w:left="472" w:hanging="472"/>
              <w:jc w:val="both"/>
              <w:cnfStyle w:val="000000000000" w:firstRow="0" w:lastRow="0" w:firstColumn="0" w:lastColumn="0" w:oddVBand="0" w:evenVBand="0" w:oddHBand="0" w:evenHBand="0" w:firstRowFirstColumn="0" w:firstRowLastColumn="0" w:lastRowFirstColumn="0" w:lastRowLastColumn="0"/>
              <w:rPr>
                <w:rFonts w:eastAsiaTheme="minorHAnsi"/>
                <w:noProof/>
                <w:sz w:val="22"/>
                <w:szCs w:val="22"/>
              </w:rPr>
            </w:pPr>
            <w:r>
              <w:rPr>
                <w:rFonts w:eastAsiaTheme="minorHAnsi"/>
                <w:noProof/>
                <w:sz w:val="22"/>
                <w:szCs w:val="22"/>
              </w:rPr>
              <w:t xml:space="preserve">A list of </w:t>
            </w:r>
            <w:r>
              <w:rPr>
                <w:rFonts w:eastAsiaTheme="minorHAnsi"/>
                <w:b/>
                <w:noProof/>
                <w:sz w:val="22"/>
                <w:szCs w:val="22"/>
              </w:rPr>
              <w:t>common indicators</w:t>
            </w:r>
            <w:r>
              <w:rPr>
                <w:rFonts w:eastAsiaTheme="minorHAnsi"/>
                <w:b/>
                <w:noProof/>
                <w:sz w:val="22"/>
                <w:szCs w:val="22"/>
              </w:rPr>
              <w:t xml:space="preserve"> has been included in the Fund’s legal base</w:t>
            </w:r>
            <w:r>
              <w:rPr>
                <w:rFonts w:eastAsiaTheme="minorHAnsi"/>
                <w:noProof/>
                <w:sz w:val="22"/>
                <w:szCs w:val="22"/>
              </w:rPr>
              <w:t xml:space="preserve">. Moreover, </w:t>
            </w:r>
            <w:r>
              <w:rPr>
                <w:noProof/>
                <w:sz w:val="22"/>
                <w:szCs w:val="22"/>
              </w:rPr>
              <w:t>Delegated Regulation (EU) 2017/207 was adopted in October 2016 on the common monitoring and evaluation framework for ISF-Borders and Visa. The following was adopted to improve the monitoring of the Fun</w:t>
            </w:r>
            <w:r>
              <w:rPr>
                <w:noProof/>
                <w:sz w:val="22"/>
                <w:szCs w:val="22"/>
              </w:rPr>
              <w:t>d:</w:t>
            </w:r>
          </w:p>
          <w:p w:rsidR="007D3598" w:rsidRDefault="00F8547B">
            <w:pPr>
              <w:pStyle w:val="ListParagraph"/>
              <w:numPr>
                <w:ilvl w:val="0"/>
                <w:numId w:val="71"/>
              </w:numPr>
              <w:ind w:left="472" w:hanging="472"/>
              <w:jc w:val="both"/>
              <w:cnfStyle w:val="000000000000" w:firstRow="0" w:lastRow="0" w:firstColumn="0" w:lastColumn="0" w:oddVBand="0" w:evenVBand="0" w:oddHBand="0" w:evenHBand="0" w:firstRowFirstColumn="0" w:firstRowLastColumn="0" w:lastRowFirstColumn="0" w:lastRowLastColumn="0"/>
              <w:rPr>
                <w:rFonts w:eastAsiaTheme="minorHAnsi"/>
                <w:noProof/>
                <w:sz w:val="22"/>
                <w:szCs w:val="22"/>
              </w:rPr>
            </w:pPr>
            <w:r>
              <w:rPr>
                <w:rFonts w:eastAsiaTheme="minorHAnsi"/>
                <w:b/>
                <w:noProof/>
                <w:sz w:val="22"/>
                <w:szCs w:val="22"/>
              </w:rPr>
              <w:t>a set of evaluation questions</w:t>
            </w:r>
            <w:r>
              <w:rPr>
                <w:rFonts w:eastAsiaTheme="minorHAnsi"/>
                <w:noProof/>
                <w:sz w:val="22"/>
                <w:szCs w:val="22"/>
              </w:rPr>
              <w:t xml:space="preserve"> and indicators were included in the framework mentioned above;</w:t>
            </w:r>
          </w:p>
          <w:p w:rsidR="007D3598" w:rsidRDefault="00F8547B">
            <w:pPr>
              <w:pStyle w:val="ListParagraph"/>
              <w:numPr>
                <w:ilvl w:val="0"/>
                <w:numId w:val="71"/>
              </w:numPr>
              <w:ind w:left="472" w:hanging="472"/>
              <w:jc w:val="both"/>
              <w:cnfStyle w:val="000000000000" w:firstRow="0" w:lastRow="0" w:firstColumn="0" w:lastColumn="0" w:oddVBand="0" w:evenVBand="0" w:oddHBand="0" w:evenHBand="0" w:firstRowFirstColumn="0" w:firstRowLastColumn="0" w:lastRowFirstColumn="0" w:lastRowLastColumn="0"/>
              <w:rPr>
                <w:rFonts w:eastAsiaTheme="minorHAnsi"/>
                <w:noProof/>
                <w:sz w:val="22"/>
                <w:szCs w:val="22"/>
              </w:rPr>
            </w:pPr>
            <w:r>
              <w:rPr>
                <w:rFonts w:eastAsiaTheme="minorHAnsi"/>
                <w:noProof/>
                <w:sz w:val="22"/>
                <w:szCs w:val="22"/>
              </w:rPr>
              <w:t xml:space="preserve">a </w:t>
            </w:r>
            <w:r>
              <w:rPr>
                <w:rFonts w:eastAsiaTheme="minorHAnsi"/>
                <w:b/>
                <w:noProof/>
                <w:sz w:val="22"/>
                <w:szCs w:val="22"/>
              </w:rPr>
              <w:t>guidance document</w:t>
            </w:r>
            <w:r>
              <w:rPr>
                <w:rFonts w:eastAsiaTheme="minorHAnsi"/>
                <w:noProof/>
                <w:sz w:val="22"/>
                <w:szCs w:val="22"/>
              </w:rPr>
              <w:t xml:space="preserve"> on the monitoring and evaluation framework for Member States was created;</w:t>
            </w:r>
          </w:p>
          <w:p w:rsidR="007D3598" w:rsidRDefault="00F8547B">
            <w:pPr>
              <w:pStyle w:val="ListParagraph"/>
              <w:numPr>
                <w:ilvl w:val="0"/>
                <w:numId w:val="71"/>
              </w:numPr>
              <w:ind w:left="472" w:hanging="472"/>
              <w:jc w:val="both"/>
              <w:cnfStyle w:val="000000000000" w:firstRow="0" w:lastRow="0" w:firstColumn="0" w:lastColumn="0" w:oddVBand="0" w:evenVBand="0" w:oddHBand="0" w:evenHBand="0" w:firstRowFirstColumn="0" w:firstRowLastColumn="0" w:lastRowFirstColumn="0" w:lastRowLastColumn="0"/>
              <w:rPr>
                <w:rFonts w:eastAsiaTheme="minorHAnsi"/>
                <w:noProof/>
                <w:sz w:val="22"/>
                <w:szCs w:val="22"/>
              </w:rPr>
            </w:pPr>
            <w:r>
              <w:rPr>
                <w:rFonts w:eastAsiaTheme="minorHAnsi"/>
                <w:b/>
                <w:noProof/>
                <w:sz w:val="22"/>
                <w:szCs w:val="22"/>
              </w:rPr>
              <w:t>a common template</w:t>
            </w:r>
            <w:r>
              <w:rPr>
                <w:rFonts w:eastAsiaTheme="minorHAnsi"/>
                <w:noProof/>
                <w:sz w:val="22"/>
                <w:szCs w:val="22"/>
              </w:rPr>
              <w:t xml:space="preserve"> for Member States to submit the evaluation repor</w:t>
            </w:r>
            <w:r>
              <w:rPr>
                <w:rFonts w:eastAsiaTheme="minorHAnsi"/>
                <w:noProof/>
                <w:sz w:val="22"/>
                <w:szCs w:val="22"/>
              </w:rPr>
              <w:t>ts and;</w:t>
            </w:r>
          </w:p>
          <w:p w:rsidR="007D3598" w:rsidRDefault="00F8547B">
            <w:pPr>
              <w:pStyle w:val="ListParagraph"/>
              <w:numPr>
                <w:ilvl w:val="0"/>
                <w:numId w:val="71"/>
              </w:numPr>
              <w:ind w:left="472" w:hanging="472"/>
              <w:jc w:val="both"/>
              <w:cnfStyle w:val="000000000000" w:firstRow="0" w:lastRow="0" w:firstColumn="0" w:lastColumn="0" w:oddVBand="0" w:evenVBand="0" w:oddHBand="0" w:evenHBand="0" w:firstRowFirstColumn="0" w:firstRowLastColumn="0" w:lastRowFirstColumn="0" w:lastRowLastColumn="0"/>
              <w:rPr>
                <w:rFonts w:eastAsiaTheme="minorHAnsi"/>
                <w:noProof/>
                <w:sz w:val="22"/>
                <w:szCs w:val="22"/>
              </w:rPr>
            </w:pPr>
            <w:r>
              <w:rPr>
                <w:rFonts w:eastAsiaTheme="minorHAnsi"/>
                <w:noProof/>
                <w:sz w:val="22"/>
                <w:szCs w:val="22"/>
              </w:rPr>
              <w:t xml:space="preserve">an </w:t>
            </w:r>
            <w:r>
              <w:rPr>
                <w:rFonts w:eastAsiaTheme="minorHAnsi"/>
                <w:b/>
                <w:noProof/>
                <w:sz w:val="22"/>
                <w:szCs w:val="22"/>
              </w:rPr>
              <w:t>Evaluation Network</w:t>
            </w:r>
            <w:r>
              <w:rPr>
                <w:rFonts w:eastAsiaTheme="minorHAnsi"/>
                <w:noProof/>
                <w:sz w:val="22"/>
                <w:szCs w:val="22"/>
              </w:rPr>
              <w:t xml:space="preserve"> was created for Member States staff and the Commission to discuss and resolve evaluation-related matters. </w:t>
            </w:r>
          </w:p>
        </w:tc>
      </w:tr>
      <w:tr w:rsidR="007D3598" w:rsidTr="007D3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D3598" w:rsidRDefault="00F8547B">
            <w:pPr>
              <w:rPr>
                <w:rFonts w:eastAsiaTheme="minorHAnsi"/>
                <w:i/>
                <w:iCs/>
                <w:noProof/>
                <w:sz w:val="22"/>
                <w:szCs w:val="22"/>
              </w:rPr>
            </w:pPr>
            <w:r>
              <w:rPr>
                <w:rFonts w:eastAsiaTheme="minorHAnsi"/>
                <w:noProof/>
                <w:sz w:val="22"/>
                <w:szCs w:val="22"/>
              </w:rPr>
              <w:t xml:space="preserve">The EBF was implemented through a strategic multiannual programme covering the whole programming period. However, </w:t>
            </w:r>
            <w:r>
              <w:rPr>
                <w:rFonts w:eastAsiaTheme="minorHAnsi"/>
                <w:b/>
                <w:noProof/>
                <w:sz w:val="22"/>
                <w:szCs w:val="22"/>
              </w:rPr>
              <w:t>annual programmes</w:t>
            </w:r>
            <w:r>
              <w:rPr>
                <w:rFonts w:eastAsiaTheme="minorHAnsi"/>
                <w:noProof/>
                <w:sz w:val="22"/>
                <w:szCs w:val="22"/>
              </w:rPr>
              <w:t xml:space="preserve"> were </w:t>
            </w:r>
            <w:r>
              <w:rPr>
                <w:rFonts w:eastAsiaTheme="minorHAnsi"/>
                <w:b/>
                <w:noProof/>
                <w:sz w:val="22"/>
                <w:szCs w:val="22"/>
              </w:rPr>
              <w:t>adopted yearly</w:t>
            </w:r>
            <w:r>
              <w:rPr>
                <w:rFonts w:eastAsiaTheme="minorHAnsi"/>
                <w:noProof/>
                <w:sz w:val="22"/>
                <w:szCs w:val="22"/>
              </w:rPr>
              <w:t xml:space="preserve">, which was considered by some Member States a </w:t>
            </w:r>
            <w:r>
              <w:rPr>
                <w:rFonts w:eastAsiaTheme="minorHAnsi"/>
                <w:b/>
                <w:noProof/>
                <w:sz w:val="22"/>
                <w:szCs w:val="22"/>
              </w:rPr>
              <w:t>heavy administrative burden</w:t>
            </w:r>
            <w:r>
              <w:rPr>
                <w:rFonts w:eastAsiaTheme="minorHAnsi"/>
                <w:noProof/>
                <w:sz w:val="22"/>
                <w:szCs w:val="22"/>
              </w:rPr>
              <w:t>.</w:t>
            </w:r>
          </w:p>
        </w:tc>
        <w:tc>
          <w:tcPr>
            <w:tcW w:w="4819"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tcPr>
          <w:p w:rsidR="007D3598" w:rsidRDefault="00F8547B">
            <w:pPr>
              <w:pStyle w:val="ListParagraph"/>
              <w:numPr>
                <w:ilvl w:val="0"/>
                <w:numId w:val="70"/>
              </w:numPr>
              <w:ind w:left="472" w:hanging="472"/>
              <w:jc w:val="both"/>
              <w:cnfStyle w:val="000000100000" w:firstRow="0" w:lastRow="0" w:firstColumn="0" w:lastColumn="0" w:oddVBand="0" w:evenVBand="0" w:oddHBand="1" w:evenHBand="0" w:firstRowFirstColumn="0" w:firstRowLastColumn="0" w:lastRowFirstColumn="0" w:lastRowLastColumn="0"/>
              <w:rPr>
                <w:rFonts w:eastAsiaTheme="minorHAnsi"/>
                <w:noProof/>
                <w:sz w:val="22"/>
                <w:szCs w:val="24"/>
              </w:rPr>
            </w:pPr>
            <w:r>
              <w:rPr>
                <w:rFonts w:eastAsiaTheme="minorHAnsi"/>
                <w:noProof/>
                <w:sz w:val="22"/>
                <w:szCs w:val="24"/>
              </w:rPr>
              <w:t xml:space="preserve">A </w:t>
            </w:r>
            <w:r>
              <w:rPr>
                <w:rFonts w:eastAsiaTheme="minorHAnsi"/>
                <w:b/>
                <w:noProof/>
                <w:sz w:val="22"/>
                <w:szCs w:val="24"/>
              </w:rPr>
              <w:t>single multiannual national programme</w:t>
            </w:r>
            <w:r>
              <w:rPr>
                <w:rFonts w:eastAsiaTheme="minorHAnsi"/>
                <w:b/>
                <w:noProof/>
                <w:sz w:val="22"/>
                <w:szCs w:val="22"/>
              </w:rPr>
              <w:t xml:space="preserve"> </w:t>
            </w:r>
            <w:r>
              <w:rPr>
                <w:rFonts w:eastAsiaTheme="minorHAnsi"/>
                <w:noProof/>
                <w:sz w:val="22"/>
                <w:szCs w:val="24"/>
              </w:rPr>
              <w:t xml:space="preserve">which </w:t>
            </w:r>
            <w:r>
              <w:rPr>
                <w:rFonts w:eastAsiaTheme="minorHAnsi"/>
                <w:noProof/>
                <w:sz w:val="22"/>
                <w:szCs w:val="22"/>
              </w:rPr>
              <w:t xml:space="preserve">covers the period 2014-2020 was introduced. This </w:t>
            </w:r>
            <w:r>
              <w:rPr>
                <w:rFonts w:eastAsiaTheme="minorHAnsi"/>
                <w:noProof/>
                <w:sz w:val="22"/>
                <w:szCs w:val="24"/>
              </w:rPr>
              <w:t xml:space="preserve">speeds up the funding process and decreases </w:t>
            </w:r>
            <w:r>
              <w:rPr>
                <w:rFonts w:eastAsiaTheme="minorHAnsi"/>
                <w:noProof/>
                <w:sz w:val="22"/>
                <w:szCs w:val="24"/>
              </w:rPr>
              <w:t>administrative burden by allowing Member States to apply national eligibility rules</w:t>
            </w:r>
            <w:r>
              <w:rPr>
                <w:rFonts w:eastAsiaTheme="minorHAnsi"/>
                <w:noProof/>
                <w:sz w:val="22"/>
                <w:szCs w:val="22"/>
              </w:rPr>
              <w:t xml:space="preserve"> with some added flexibility. </w:t>
            </w:r>
          </w:p>
        </w:tc>
      </w:tr>
      <w:tr w:rsidR="007D3598" w:rsidTr="007D3598">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D3598" w:rsidRDefault="00F8547B">
            <w:pPr>
              <w:rPr>
                <w:rFonts w:eastAsiaTheme="minorHAnsi"/>
                <w:iCs/>
                <w:noProof/>
                <w:sz w:val="22"/>
                <w:szCs w:val="22"/>
              </w:rPr>
            </w:pPr>
            <w:r>
              <w:rPr>
                <w:b/>
                <w:noProof/>
                <w:sz w:val="22"/>
                <w:szCs w:val="22"/>
              </w:rPr>
              <w:t xml:space="preserve">Eligibility limitations </w:t>
            </w:r>
            <w:r>
              <w:rPr>
                <w:noProof/>
                <w:sz w:val="22"/>
                <w:szCs w:val="22"/>
              </w:rPr>
              <w:t>were detected that prevented some actions from being implemented.</w:t>
            </w:r>
          </w:p>
        </w:tc>
        <w:tc>
          <w:tcPr>
            <w:tcW w:w="4819"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tcPr>
          <w:p w:rsidR="007D3598" w:rsidRDefault="00F8547B">
            <w:pPr>
              <w:pStyle w:val="ListParagraph"/>
              <w:numPr>
                <w:ilvl w:val="0"/>
                <w:numId w:val="70"/>
              </w:numPr>
              <w:ind w:left="472" w:hanging="472"/>
              <w:jc w:val="both"/>
              <w:cnfStyle w:val="000000000000" w:firstRow="0" w:lastRow="0" w:firstColumn="0" w:lastColumn="0" w:oddVBand="0" w:evenVBand="0" w:oddHBand="0" w:evenHBand="0" w:firstRowFirstColumn="0" w:firstRowLastColumn="0" w:lastRowFirstColumn="0" w:lastRowLastColumn="0"/>
              <w:rPr>
                <w:rFonts w:eastAsiaTheme="minorHAnsi"/>
                <w:noProof/>
                <w:sz w:val="22"/>
                <w:szCs w:val="22"/>
              </w:rPr>
            </w:pPr>
            <w:r>
              <w:rPr>
                <w:rFonts w:eastAsiaTheme="minorHAnsi"/>
                <w:noProof/>
                <w:sz w:val="22"/>
                <w:szCs w:val="22"/>
              </w:rPr>
              <w:t xml:space="preserve">There is </w:t>
            </w:r>
            <w:r>
              <w:rPr>
                <w:b/>
                <w:noProof/>
                <w:sz w:val="22"/>
                <w:szCs w:val="22"/>
              </w:rPr>
              <w:t>operating support</w:t>
            </w:r>
            <w:r>
              <w:rPr>
                <w:noProof/>
                <w:sz w:val="22"/>
                <w:szCs w:val="22"/>
              </w:rPr>
              <w:t xml:space="preserve"> by which Member States can cover staff costs at border crossing points.</w:t>
            </w:r>
          </w:p>
        </w:tc>
      </w:tr>
      <w:tr w:rsidR="007D3598" w:rsidTr="007D3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D3598" w:rsidRDefault="00F8547B">
            <w:pPr>
              <w:rPr>
                <w:rFonts w:eastAsiaTheme="minorHAnsi"/>
                <w:iCs/>
                <w:noProof/>
                <w:sz w:val="22"/>
                <w:szCs w:val="22"/>
              </w:rPr>
            </w:pPr>
            <w:r>
              <w:rPr>
                <w:rFonts w:eastAsiaTheme="minorHAnsi"/>
                <w:iCs/>
                <w:noProof/>
                <w:sz w:val="22"/>
                <w:szCs w:val="22"/>
              </w:rPr>
              <w:t>The specific actions</w:t>
            </w:r>
            <w:r>
              <w:rPr>
                <w:rFonts w:eastAsiaTheme="minorHAnsi"/>
                <w:b/>
                <w:iCs/>
                <w:noProof/>
                <w:sz w:val="22"/>
                <w:szCs w:val="22"/>
              </w:rPr>
              <w:t xml:space="preserve"> </w:t>
            </w:r>
            <w:r>
              <w:rPr>
                <w:b/>
                <w:noProof/>
                <w:sz w:val="22"/>
                <w:szCs w:val="22"/>
              </w:rPr>
              <w:t>did not have a clear targeted focus</w:t>
            </w:r>
            <w:r>
              <w:rPr>
                <w:noProof/>
                <w:sz w:val="22"/>
                <w:szCs w:val="22"/>
              </w:rPr>
              <w:t xml:space="preserve">. This was also administratively complicated to implement and resulted in an overlap with EMAS and projects implemented under </w:t>
            </w:r>
            <w:r>
              <w:rPr>
                <w:noProof/>
                <w:sz w:val="22"/>
                <w:szCs w:val="22"/>
              </w:rPr>
              <w:t xml:space="preserve">the annual programme. </w:t>
            </w:r>
          </w:p>
        </w:tc>
        <w:tc>
          <w:tcPr>
            <w:tcW w:w="4819"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tcPr>
          <w:p w:rsidR="007D3598" w:rsidRDefault="00F8547B">
            <w:pPr>
              <w:pStyle w:val="ListParagraph"/>
              <w:numPr>
                <w:ilvl w:val="0"/>
                <w:numId w:val="70"/>
              </w:numPr>
              <w:ind w:left="472" w:hanging="472"/>
              <w:jc w:val="both"/>
              <w:cnfStyle w:val="000000100000" w:firstRow="0" w:lastRow="0" w:firstColumn="0" w:lastColumn="0" w:oddVBand="0" w:evenVBand="0" w:oddHBand="1" w:evenHBand="0" w:firstRowFirstColumn="0" w:firstRowLastColumn="0" w:lastRowFirstColumn="0" w:lastRowLastColumn="0"/>
              <w:rPr>
                <w:rFonts w:eastAsiaTheme="minorHAnsi"/>
                <w:noProof/>
                <w:sz w:val="22"/>
                <w:szCs w:val="22"/>
              </w:rPr>
            </w:pPr>
            <w:r>
              <w:rPr>
                <w:rFonts w:eastAsiaTheme="minorHAnsi"/>
                <w:noProof/>
                <w:sz w:val="22"/>
                <w:szCs w:val="22"/>
              </w:rPr>
              <w:t xml:space="preserve">It was decided to </w:t>
            </w:r>
            <w:r>
              <w:rPr>
                <w:rFonts w:eastAsiaTheme="minorHAnsi"/>
                <w:b/>
                <w:noProof/>
                <w:sz w:val="22"/>
                <w:szCs w:val="22"/>
              </w:rPr>
              <w:t>abolish the specific action under direct management</w:t>
            </w:r>
            <w:r>
              <w:rPr>
                <w:rFonts w:eastAsiaTheme="minorHAnsi"/>
                <w:noProof/>
                <w:sz w:val="22"/>
                <w:szCs w:val="22"/>
              </w:rPr>
              <w:t xml:space="preserve"> in the ISF-BV and to </w:t>
            </w:r>
            <w:r>
              <w:rPr>
                <w:rFonts w:eastAsiaTheme="minorHAnsi"/>
                <w:b/>
                <w:noProof/>
                <w:sz w:val="22"/>
                <w:szCs w:val="22"/>
              </w:rPr>
              <w:t>include such actions in shared management</w:t>
            </w:r>
            <w:r>
              <w:rPr>
                <w:rFonts w:eastAsiaTheme="minorHAnsi"/>
                <w:noProof/>
                <w:sz w:val="22"/>
                <w:szCs w:val="22"/>
              </w:rPr>
              <w:t xml:space="preserve"> to allow Member States to have more ownership and flexibility.</w:t>
            </w:r>
          </w:p>
          <w:p w:rsidR="007D3598" w:rsidRDefault="007D3598">
            <w:pPr>
              <w:pStyle w:val="ListParagraph"/>
              <w:ind w:left="472" w:hanging="472"/>
              <w:contextualSpacing w:val="0"/>
              <w:jc w:val="both"/>
              <w:cnfStyle w:val="000000100000" w:firstRow="0" w:lastRow="0" w:firstColumn="0" w:lastColumn="0" w:oddVBand="0" w:evenVBand="0" w:oddHBand="1" w:evenHBand="0" w:firstRowFirstColumn="0" w:firstRowLastColumn="0" w:lastRowFirstColumn="0" w:lastRowLastColumn="0"/>
              <w:rPr>
                <w:rFonts w:eastAsiaTheme="minorHAnsi"/>
                <w:noProof/>
                <w:sz w:val="22"/>
                <w:szCs w:val="22"/>
              </w:rPr>
            </w:pPr>
          </w:p>
        </w:tc>
      </w:tr>
      <w:tr w:rsidR="007D3598" w:rsidTr="007D3598">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D3598" w:rsidRDefault="00F8547B">
            <w:pPr>
              <w:rPr>
                <w:rFonts w:eastAsiaTheme="minorHAnsi"/>
                <w:iCs/>
                <w:noProof/>
                <w:sz w:val="22"/>
                <w:szCs w:val="22"/>
              </w:rPr>
            </w:pPr>
            <w:r>
              <w:rPr>
                <w:rFonts w:eastAsiaTheme="minorHAnsi"/>
                <w:iCs/>
                <w:noProof/>
                <w:sz w:val="22"/>
                <w:szCs w:val="22"/>
              </w:rPr>
              <w:t xml:space="preserve">Member States showed </w:t>
            </w:r>
            <w:r>
              <w:rPr>
                <w:b/>
                <w:noProof/>
                <w:sz w:val="22"/>
                <w:szCs w:val="22"/>
              </w:rPr>
              <w:t xml:space="preserve">little </w:t>
            </w:r>
            <w:r>
              <w:rPr>
                <w:b/>
                <w:noProof/>
                <w:sz w:val="22"/>
                <w:szCs w:val="22"/>
              </w:rPr>
              <w:t>interest in developing projects related to consular cooperation</w:t>
            </w:r>
            <w:r>
              <w:rPr>
                <w:noProof/>
                <w:sz w:val="22"/>
                <w:szCs w:val="22"/>
              </w:rPr>
              <w:t>.</w:t>
            </w:r>
          </w:p>
        </w:tc>
        <w:tc>
          <w:tcPr>
            <w:tcW w:w="4819"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tcPr>
          <w:p w:rsidR="007D3598" w:rsidRDefault="00F8547B">
            <w:pPr>
              <w:pStyle w:val="ListParagraph"/>
              <w:numPr>
                <w:ilvl w:val="0"/>
                <w:numId w:val="70"/>
              </w:numPr>
              <w:ind w:left="472" w:hanging="472"/>
              <w:jc w:val="both"/>
              <w:cnfStyle w:val="000000000000" w:firstRow="0" w:lastRow="0" w:firstColumn="0" w:lastColumn="0" w:oddVBand="0" w:evenVBand="0" w:oddHBand="0" w:evenHBand="0" w:firstRowFirstColumn="0" w:firstRowLastColumn="0" w:lastRowFirstColumn="0" w:lastRowLastColumn="0"/>
              <w:rPr>
                <w:rFonts w:eastAsiaTheme="minorHAnsi"/>
                <w:noProof/>
                <w:sz w:val="22"/>
                <w:szCs w:val="22"/>
              </w:rPr>
            </w:pPr>
            <w:r>
              <w:rPr>
                <w:rFonts w:eastAsiaTheme="minorHAnsi"/>
                <w:noProof/>
                <w:sz w:val="22"/>
                <w:szCs w:val="22"/>
              </w:rPr>
              <w:t xml:space="preserve">There is </w:t>
            </w:r>
            <w:r>
              <w:rPr>
                <w:noProof/>
                <w:sz w:val="22"/>
                <w:szCs w:val="22"/>
              </w:rPr>
              <w:t xml:space="preserve">a </w:t>
            </w:r>
            <w:r>
              <w:rPr>
                <w:b/>
                <w:noProof/>
                <w:sz w:val="22"/>
                <w:szCs w:val="22"/>
              </w:rPr>
              <w:t>90 % co-financing rate</w:t>
            </w:r>
            <w:r>
              <w:rPr>
                <w:noProof/>
                <w:sz w:val="22"/>
                <w:szCs w:val="22"/>
              </w:rPr>
              <w:t xml:space="preserve"> in NATIONAL PROGRAMMEs.</w:t>
            </w:r>
          </w:p>
        </w:tc>
      </w:tr>
      <w:tr w:rsidR="007D3598" w:rsidTr="007D35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4F81BD" w:themeColor="accent1"/>
              <w:bottom w:val="single" w:sz="4" w:space="0" w:color="4F81BD" w:themeColor="accent1"/>
              <w:right w:val="single" w:sz="4" w:space="0" w:color="4F81BD" w:themeColor="accent1"/>
            </w:tcBorders>
          </w:tcPr>
          <w:p w:rsidR="007D3598" w:rsidRDefault="00F8547B">
            <w:pPr>
              <w:rPr>
                <w:rFonts w:eastAsiaTheme="minorHAnsi"/>
                <w:noProof/>
                <w:sz w:val="22"/>
                <w:szCs w:val="24"/>
              </w:rPr>
            </w:pPr>
            <w:r>
              <w:rPr>
                <w:bCs/>
                <w:iCs/>
                <w:noProof/>
                <w:sz w:val="22"/>
                <w:szCs w:val="22"/>
              </w:rPr>
              <w:t>Countries receiving small volumes of funds had</w:t>
            </w:r>
            <w:r>
              <w:rPr>
                <w:b/>
                <w:bCs/>
                <w:iCs/>
                <w:noProof/>
                <w:sz w:val="22"/>
                <w:szCs w:val="22"/>
              </w:rPr>
              <w:t xml:space="preserve"> higher management costs</w:t>
            </w:r>
            <w:r>
              <w:rPr>
                <w:bCs/>
                <w:iCs/>
                <w:noProof/>
                <w:sz w:val="22"/>
                <w:szCs w:val="22"/>
              </w:rPr>
              <w:t>.</w:t>
            </w:r>
          </w:p>
        </w:tc>
        <w:tc>
          <w:tcPr>
            <w:tcW w:w="4819"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tcPr>
          <w:p w:rsidR="007D3598" w:rsidRDefault="00F8547B">
            <w:pPr>
              <w:pStyle w:val="ListParagraph"/>
              <w:numPr>
                <w:ilvl w:val="0"/>
                <w:numId w:val="70"/>
              </w:numPr>
              <w:ind w:left="472" w:hanging="472"/>
              <w:jc w:val="both"/>
              <w:cnfStyle w:val="000000100000" w:firstRow="0" w:lastRow="0" w:firstColumn="0" w:lastColumn="0" w:oddVBand="0" w:evenVBand="0" w:oddHBand="1" w:evenHBand="0" w:firstRowFirstColumn="0" w:firstRowLastColumn="0" w:lastRowFirstColumn="0" w:lastRowLastColumn="0"/>
              <w:rPr>
                <w:rFonts w:eastAsiaTheme="minorHAnsi"/>
                <w:noProof/>
                <w:sz w:val="22"/>
                <w:szCs w:val="24"/>
              </w:rPr>
            </w:pPr>
            <w:r>
              <w:rPr>
                <w:rFonts w:eastAsiaTheme="minorHAnsi"/>
                <w:noProof/>
                <w:sz w:val="22"/>
                <w:szCs w:val="22"/>
              </w:rPr>
              <w:t>A threshold has been set to ensure that each Member States i</w:t>
            </w:r>
            <w:r>
              <w:rPr>
                <w:rFonts w:eastAsiaTheme="minorHAnsi"/>
                <w:noProof/>
                <w:sz w:val="22"/>
                <w:szCs w:val="22"/>
              </w:rPr>
              <w:t xml:space="preserve">s allocated a </w:t>
            </w:r>
            <w:r>
              <w:rPr>
                <w:rFonts w:eastAsiaTheme="minorHAnsi"/>
                <w:b/>
                <w:noProof/>
                <w:sz w:val="22"/>
                <w:szCs w:val="22"/>
              </w:rPr>
              <w:t xml:space="preserve">more appropriate amount of funding, relative to its needs, </w:t>
            </w:r>
            <w:r>
              <w:rPr>
                <w:rFonts w:eastAsiaTheme="minorHAnsi"/>
                <w:noProof/>
                <w:sz w:val="22"/>
                <w:szCs w:val="22"/>
              </w:rPr>
              <w:t xml:space="preserve">as a starting block and the allocation percentage for </w:t>
            </w:r>
            <w:r>
              <w:rPr>
                <w:rFonts w:eastAsiaTheme="minorHAnsi"/>
                <w:b/>
                <w:noProof/>
                <w:sz w:val="22"/>
                <w:szCs w:val="22"/>
              </w:rPr>
              <w:t>technical assistance</w:t>
            </w:r>
            <w:r>
              <w:rPr>
                <w:rFonts w:eastAsiaTheme="minorHAnsi"/>
                <w:noProof/>
                <w:sz w:val="22"/>
                <w:szCs w:val="22"/>
              </w:rPr>
              <w:t xml:space="preserve"> has been slightly increased.</w:t>
            </w:r>
          </w:p>
        </w:tc>
      </w:tr>
    </w:tbl>
    <w:p w:rsidR="007D3598" w:rsidRDefault="007D3598">
      <w:pPr>
        <w:rPr>
          <w:noProof/>
        </w:rPr>
      </w:pPr>
    </w:p>
    <w:p w:rsidR="007D3598" w:rsidRDefault="00F8547B">
      <w:pPr>
        <w:jc w:val="both"/>
        <w:rPr>
          <w:noProof/>
          <w:szCs w:val="24"/>
        </w:rPr>
      </w:pPr>
      <w:bookmarkStart w:id="182" w:name="_Toc506393742"/>
      <w:bookmarkStart w:id="183" w:name="_Toc506475200"/>
      <w:bookmarkStart w:id="184" w:name="_Toc506478818"/>
      <w:bookmarkStart w:id="185" w:name="_Toc506479770"/>
      <w:bookmarkStart w:id="186" w:name="_Toc506483908"/>
      <w:bookmarkStart w:id="187" w:name="_Toc506529833"/>
      <w:bookmarkStart w:id="188" w:name="_Toc506531959"/>
      <w:bookmarkStart w:id="189" w:name="_Toc507083597"/>
      <w:bookmarkEnd w:id="95"/>
      <w:bookmarkEnd w:id="96"/>
      <w:bookmarkEnd w:id="97"/>
      <w:bookmarkEnd w:id="98"/>
      <w:bookmarkEnd w:id="99"/>
      <w:bookmarkEnd w:id="100"/>
      <w:bookmarkEnd w:id="101"/>
      <w:bookmarkEnd w:id="109"/>
      <w:r>
        <w:rPr>
          <w:noProof/>
          <w:szCs w:val="24"/>
        </w:rPr>
        <w:t xml:space="preserve">Thus, </w:t>
      </w:r>
      <w:r>
        <w:rPr>
          <w:noProof/>
        </w:rPr>
        <w:t>ISF-BV is</w:t>
      </w:r>
      <w:r>
        <w:rPr>
          <w:noProof/>
          <w:szCs w:val="24"/>
        </w:rPr>
        <w:t xml:space="preserve"> building on the lessons learnt from its predecessor, the EBF, in providing support to Member States for managing the EU’s external borders and the EU’s visa policy. For instance, ISF-BV has a larger scope than the EBF, which was more limited to border con</w:t>
      </w:r>
      <w:r>
        <w:rPr>
          <w:noProof/>
          <w:szCs w:val="24"/>
        </w:rPr>
        <w:t>trol and visa policy. Through ISF-BV the EU can, for example, support verification measures within the area of free movement</w:t>
      </w:r>
      <w:r>
        <w:rPr>
          <w:b/>
          <w:noProof/>
          <w:szCs w:val="24"/>
        </w:rPr>
        <w:t xml:space="preserve"> </w:t>
      </w:r>
      <w:r>
        <w:rPr>
          <w:noProof/>
          <w:szCs w:val="24"/>
        </w:rPr>
        <w:t>which were not carried nearby the external borders. It can also support inter-agency cooperation and the building of connections ac</w:t>
      </w:r>
      <w:r>
        <w:rPr>
          <w:noProof/>
          <w:szCs w:val="24"/>
        </w:rPr>
        <w:t>ross the different law enforcement authorities, including those working within the territory of a Member State (police, border guards, customs, etc.) under an internal security agenda. ISF-BV can also support operational activities in the Member States rel</w:t>
      </w:r>
      <w:r>
        <w:rPr>
          <w:noProof/>
          <w:szCs w:val="24"/>
        </w:rPr>
        <w:t>ated to borders and visa such as staff costs, etc.</w:t>
      </w:r>
    </w:p>
    <w:p w:rsidR="007D3598" w:rsidRDefault="007D3598">
      <w:pPr>
        <w:pStyle w:val="Body"/>
        <w:spacing w:before="0" w:after="0" w:line="240" w:lineRule="auto"/>
        <w:jc w:val="both"/>
        <w:rPr>
          <w:rFonts w:ascii="Times New Roman" w:hAnsi="Times New Roman"/>
          <w:noProof/>
          <w:sz w:val="24"/>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This SWD, notwithstanding its main purpose of ensuring transparency and accountability, and contributing to the Fund’s relevance, effectiveness and efficiency, is also looking to analyse the extent to whi</w:t>
      </w:r>
      <w:r>
        <w:rPr>
          <w:rFonts w:ascii="Times New Roman" w:hAnsi="Times New Roman"/>
          <w:noProof/>
          <w:sz w:val="24"/>
        </w:rPr>
        <w:t xml:space="preserve">ch the recommendations that came out of the </w:t>
      </w:r>
      <w:r>
        <w:rPr>
          <w:rFonts w:ascii="Times New Roman" w:hAnsi="Times New Roman"/>
          <w:i/>
          <w:noProof/>
          <w:sz w:val="24"/>
        </w:rPr>
        <w:t>ex post</w:t>
      </w:r>
      <w:r>
        <w:rPr>
          <w:rFonts w:ascii="Times New Roman" w:hAnsi="Times New Roman"/>
          <w:noProof/>
          <w:sz w:val="24"/>
        </w:rPr>
        <w:t xml:space="preserve"> evaluations of SOLID have been taken into account in ISF-BV.</w:t>
      </w:r>
    </w:p>
    <w:p w:rsidR="007D3598" w:rsidRDefault="007D3598">
      <w:pPr>
        <w:pStyle w:val="ListParagraph"/>
        <w:ind w:left="0"/>
        <w:jc w:val="both"/>
        <w:rPr>
          <w:b/>
          <w:noProof/>
          <w:sz w:val="28"/>
          <w:szCs w:val="24"/>
          <w:u w:val="single"/>
        </w:rPr>
      </w:pPr>
      <w:bookmarkStart w:id="190" w:name="_Toc508279319"/>
      <w:bookmarkStart w:id="191" w:name="_Toc508369303"/>
      <w:bookmarkStart w:id="192" w:name="_Toc508375514"/>
    </w:p>
    <w:p w:rsidR="007D3598" w:rsidRDefault="00F8547B">
      <w:pPr>
        <w:pStyle w:val="HH2"/>
        <w:spacing w:before="0" w:after="0"/>
        <w:contextualSpacing w:val="0"/>
        <w:rPr>
          <w:noProof/>
          <w:szCs w:val="24"/>
        </w:rPr>
      </w:pPr>
      <w:bookmarkStart w:id="193" w:name="_Toc508715365"/>
      <w:bookmarkStart w:id="194" w:name="_Toc508975871"/>
      <w:bookmarkStart w:id="195" w:name="_Toc515270135"/>
      <w:r>
        <w:rPr>
          <w:noProof/>
          <w:szCs w:val="24"/>
        </w:rPr>
        <w:t>Description of ISF-BV and its objectives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7D3598" w:rsidRDefault="007D3598">
      <w:pPr>
        <w:rPr>
          <w:noProof/>
        </w:rPr>
      </w:pPr>
    </w:p>
    <w:p w:rsidR="007D3598" w:rsidRDefault="00F8547B">
      <w:pPr>
        <w:spacing w:line="276" w:lineRule="auto"/>
        <w:jc w:val="both"/>
        <w:rPr>
          <w:rFonts w:cs="EC Square Sans Pro"/>
          <w:b/>
          <w:noProof/>
          <w:color w:val="000000"/>
          <w:szCs w:val="24"/>
        </w:rPr>
      </w:pPr>
      <w:r>
        <w:rPr>
          <w:noProof/>
          <w:szCs w:val="24"/>
          <w:lang w:eastAsia="en-GB"/>
        </w:rPr>
        <mc:AlternateContent>
          <mc:Choice Requires="wps">
            <w:drawing>
              <wp:inline distT="0" distB="0" distL="0" distR="0" wp14:anchorId="50FF4C54" wp14:editId="6D20090F">
                <wp:extent cx="6390005" cy="1524000"/>
                <wp:effectExtent l="0" t="0" r="1079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1524000"/>
                        </a:xfrm>
                        <a:prstGeom prst="rect">
                          <a:avLst/>
                        </a:prstGeom>
                        <a:solidFill>
                          <a:srgbClr val="FFFFFF"/>
                        </a:solidFill>
                        <a:ln w="19050">
                          <a:solidFill>
                            <a:srgbClr val="4F81BD"/>
                          </a:solidFill>
                          <a:miter lim="800000"/>
                          <a:headEnd/>
                          <a:tailEnd/>
                        </a:ln>
                      </wps:spPr>
                      <wps:txbx>
                        <w:txbxContent>
                          <w:p w:rsidR="007D3598" w:rsidRDefault="00F8547B">
                            <w:pPr>
                              <w:spacing w:line="276" w:lineRule="auto"/>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jc w:val="both"/>
                              <w:rPr>
                                <w:szCs w:val="24"/>
                              </w:rPr>
                            </w:pPr>
                            <w:r>
                              <w:rPr>
                                <w:rFonts w:cs="EC Square Sans Pro"/>
                                <w:color w:val="000000"/>
                                <w:szCs w:val="24"/>
                              </w:rPr>
                              <w:t xml:space="preserve">ISF-BV aims at ensuring a high level of security in the Union while facilitating </w:t>
                            </w:r>
                            <w:r>
                              <w:rPr>
                                <w:rFonts w:cs="EC Square Sans Pro"/>
                                <w:color w:val="000000"/>
                                <w:szCs w:val="24"/>
                              </w:rPr>
                              <w:t xml:space="preserve">legitimate travel, through a uniform and high level of control of the external borders and the effective processing of Schengen visas, in compliance with the Union’s commitment to fundamental freedoms and human rights, and is expression of and implemented </w:t>
                            </w:r>
                            <w:r>
                              <w:rPr>
                                <w:rFonts w:cs="EC Square Sans Pro"/>
                                <w:color w:val="000000"/>
                                <w:szCs w:val="24"/>
                              </w:rPr>
                              <w:t>by the principle of solidarity and fair sharing of responsibility within the EU.</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3.15pt;height:12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" strokecolor="#4f81bd" strokeweight="1.5pt">
                <v:textbox>
                  <w:txbxContent>
                    <w:p w:rsidR="007D3598" w:rsidRDefault="00F8547B">
                      <w:pPr>
                        <w:spacing w:line="276" w:lineRule="auto"/>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jc w:val="both"/>
                        <w:rPr>
                          <w:szCs w:val="24"/>
                        </w:rPr>
                      </w:pPr>
                      <w:r>
                        <w:rPr>
                          <w:rFonts w:cs="EC Square Sans Pro"/>
                          <w:color w:val="000000"/>
                          <w:szCs w:val="24"/>
                        </w:rPr>
                        <w:t xml:space="preserve">ISF-BV aims at ensuring a high level of security in the Union while facilitating </w:t>
                      </w:r>
                      <w:r>
                        <w:rPr>
                          <w:rFonts w:cs="EC Square Sans Pro"/>
                          <w:color w:val="000000"/>
                          <w:szCs w:val="24"/>
                        </w:rPr>
                        <w:t xml:space="preserve">legitimate travel, through a uniform and high level of control of the external borders and the effective processing of Schengen visas, in compliance with the Union’s commitment to fundamental freedoms and human rights, and is expression of and implemented </w:t>
                      </w:r>
                      <w:r>
                        <w:rPr>
                          <w:rFonts w:cs="EC Square Sans Pro"/>
                          <w:color w:val="000000"/>
                          <w:szCs w:val="24"/>
                        </w:rPr>
                        <w:t>by the principle of solidarity and fair sharing of responsibility within the EU.</w:t>
                      </w:r>
                    </w:p>
                  </w:txbxContent>
                </v:textbox>
                <w10:anchorlock/>
              </v:shape>
            </w:pict>
          </mc:Fallback>
        </mc:AlternateContent>
      </w:r>
    </w:p>
    <w:p w:rsidR="007D3598" w:rsidRDefault="007D3598">
      <w:pPr>
        <w:spacing w:line="276" w:lineRule="auto"/>
        <w:jc w:val="both"/>
        <w:rPr>
          <w:rFonts w:cs="EC Square Sans Pro"/>
          <w:b/>
          <w:noProof/>
          <w:color w:val="000000"/>
          <w:szCs w:val="24"/>
        </w:rPr>
      </w:pPr>
    </w:p>
    <w:p w:rsidR="007D3598" w:rsidRDefault="00F8547B">
      <w:pPr>
        <w:jc w:val="both"/>
        <w:rPr>
          <w:noProof/>
        </w:rPr>
      </w:pPr>
      <w:r>
        <w:rPr>
          <w:noProof/>
        </w:rPr>
        <w:t>The legal base of ISF-BV is Regulation (EU) No 515/2014 adopted by the European Parliament and the Council on 16 April 2014, and it is based on Article 77(2) of the TFEU.</w:t>
      </w:r>
    </w:p>
    <w:p w:rsidR="007D3598" w:rsidRDefault="007D3598">
      <w:pPr>
        <w:jc w:val="both"/>
        <w:rPr>
          <w:rFonts w:eastAsiaTheme="minorHAnsi"/>
          <w:b/>
          <w:noProof/>
          <w:szCs w:val="24"/>
        </w:rPr>
      </w:pPr>
    </w:p>
    <w:p w:rsidR="007D3598" w:rsidRDefault="00F8547B">
      <w:pPr>
        <w:jc w:val="both"/>
        <w:rPr>
          <w:rFonts w:eastAsiaTheme="minorHAnsi"/>
          <w:b/>
          <w:noProof/>
          <w:szCs w:val="24"/>
        </w:rPr>
      </w:pPr>
      <w:r>
        <w:rPr>
          <w:rFonts w:eastAsiaTheme="minorHAnsi"/>
          <w:b/>
          <w:noProof/>
          <w:szCs w:val="24"/>
        </w:rPr>
        <w:t>General and specific objectives of the ISF-BV</w:t>
      </w:r>
    </w:p>
    <w:p w:rsidR="007D3598" w:rsidRDefault="007D3598">
      <w:pPr>
        <w:jc w:val="both"/>
        <w:rPr>
          <w:rFonts w:eastAsiaTheme="minorHAnsi"/>
          <w:b/>
          <w:noProof/>
          <w:szCs w:val="24"/>
        </w:rPr>
      </w:pPr>
    </w:p>
    <w:p w:rsidR="007D3598" w:rsidRDefault="00F8547B">
      <w:pPr>
        <w:jc w:val="both"/>
        <w:rPr>
          <w:rFonts w:eastAsiaTheme="minorHAnsi"/>
          <w:noProof/>
          <w:szCs w:val="24"/>
        </w:rPr>
      </w:pPr>
      <w:r>
        <w:rPr>
          <w:rFonts w:eastAsiaTheme="minorHAnsi"/>
          <w:noProof/>
          <w:szCs w:val="24"/>
        </w:rPr>
        <w:t>The objectives for the ISF-BV are set out in Article 3 of the Regulation - the general objective of the Fund ‘ …</w:t>
      </w:r>
      <w:r>
        <w:rPr>
          <w:rFonts w:eastAsiaTheme="minorHAnsi"/>
          <w:i/>
          <w:noProof/>
          <w:szCs w:val="24"/>
        </w:rPr>
        <w:t>shall be to contribute to ensuring a high level of security in the Union while facilitating legit</w:t>
      </w:r>
      <w:r>
        <w:rPr>
          <w:rFonts w:eastAsiaTheme="minorHAnsi"/>
          <w:i/>
          <w:noProof/>
          <w:szCs w:val="24"/>
        </w:rPr>
        <w:t>imate travel, through a uniform and high level of control of the external borders and the effective processing of Schengen visas, in compliance with the Union’s commitment to fundamental freedoms and human rights</w:t>
      </w:r>
      <w:r>
        <w:rPr>
          <w:rFonts w:eastAsiaTheme="minorHAnsi"/>
          <w:noProof/>
          <w:szCs w:val="24"/>
        </w:rPr>
        <w:t xml:space="preserve">’. This </w:t>
      </w:r>
      <w:r>
        <w:rPr>
          <w:rFonts w:eastAsiaTheme="minorHAnsi"/>
          <w:noProof/>
        </w:rPr>
        <w:t>general objective</w:t>
      </w:r>
      <w:r>
        <w:rPr>
          <w:rFonts w:eastAsiaTheme="minorHAnsi"/>
          <w:noProof/>
          <w:szCs w:val="24"/>
        </w:rPr>
        <w:t xml:space="preserve"> is further broken </w:t>
      </w:r>
      <w:r>
        <w:rPr>
          <w:rFonts w:eastAsiaTheme="minorHAnsi"/>
          <w:noProof/>
          <w:szCs w:val="24"/>
        </w:rPr>
        <w:t>down in two specific objectives on visa policy and border management:</w:t>
      </w:r>
    </w:p>
    <w:p w:rsidR="007D3598" w:rsidRDefault="007D3598">
      <w:pPr>
        <w:jc w:val="both"/>
        <w:rPr>
          <w:rFonts w:eastAsiaTheme="minorHAnsi"/>
          <w:noProof/>
          <w:szCs w:val="24"/>
        </w:rPr>
      </w:pPr>
    </w:p>
    <w:p w:rsidR="007D3598" w:rsidRDefault="00F8547B">
      <w:pPr>
        <w:jc w:val="both"/>
        <w:rPr>
          <w:rFonts w:eastAsiaTheme="minorHAnsi"/>
          <w:i/>
          <w:noProof/>
          <w:szCs w:val="24"/>
          <w:u w:val="single"/>
        </w:rPr>
      </w:pPr>
      <w:r>
        <w:rPr>
          <w:rFonts w:eastAsiaTheme="minorHAnsi"/>
          <w:i/>
          <w:noProof/>
          <w:szCs w:val="24"/>
          <w:u w:val="single"/>
        </w:rPr>
        <w:t>Specific objective 1: supporting a common visa policy</w:t>
      </w:r>
    </w:p>
    <w:p w:rsidR="007D3598" w:rsidRDefault="007D3598">
      <w:pPr>
        <w:jc w:val="both"/>
        <w:rPr>
          <w:rFonts w:eastAsiaTheme="minorHAnsi"/>
          <w:i/>
          <w:noProof/>
          <w:szCs w:val="24"/>
          <w:u w:val="single"/>
        </w:rPr>
      </w:pPr>
    </w:p>
    <w:p w:rsidR="007D3598" w:rsidRDefault="00F8547B">
      <w:pPr>
        <w:jc w:val="both"/>
        <w:rPr>
          <w:noProof/>
        </w:rPr>
      </w:pPr>
      <w:r>
        <w:rPr>
          <w:noProof/>
        </w:rPr>
        <w:t>Applying common visa standards has become essential as people holding a visa or residence permit in the Schengen area can move fre</w:t>
      </w:r>
      <w:r>
        <w:rPr>
          <w:noProof/>
        </w:rPr>
        <w:t>ely from one Member States to another. Therefore, all Member States share a common interest in ensuring that the EU’s visa policy is efficiently and securely applied. Therefore, the ISF-BV supports, through this specific objective, capacity building in the</w:t>
      </w:r>
      <w:r>
        <w:rPr>
          <w:noProof/>
        </w:rPr>
        <w:t xml:space="preserve"> Member States in order to sufficiently implement the common visa policy.</w:t>
      </w:r>
    </w:p>
    <w:p w:rsidR="007D3598" w:rsidRDefault="007D3598">
      <w:pPr>
        <w:jc w:val="both"/>
        <w:rPr>
          <w:rFonts w:eastAsiaTheme="minorHAnsi"/>
          <w:i/>
          <w:noProof/>
          <w:szCs w:val="24"/>
          <w:u w:val="single"/>
        </w:rPr>
      </w:pPr>
    </w:p>
    <w:p w:rsidR="007D3598" w:rsidRDefault="00F8547B">
      <w:pPr>
        <w:jc w:val="both"/>
        <w:rPr>
          <w:rFonts w:eastAsiaTheme="minorHAnsi"/>
          <w:i/>
          <w:noProof/>
          <w:szCs w:val="24"/>
          <w:u w:val="single"/>
        </w:rPr>
      </w:pPr>
      <w:r>
        <w:rPr>
          <w:rFonts w:eastAsiaTheme="minorHAnsi"/>
          <w:i/>
          <w:noProof/>
          <w:szCs w:val="24"/>
          <w:u w:val="single"/>
        </w:rPr>
        <w:t>Specific objective 2: supporting integrated border management</w:t>
      </w:r>
    </w:p>
    <w:p w:rsidR="007D3598" w:rsidRDefault="007D3598">
      <w:pPr>
        <w:jc w:val="both"/>
        <w:rPr>
          <w:rFonts w:eastAsiaTheme="minorHAnsi"/>
          <w:i/>
          <w:noProof/>
          <w:szCs w:val="24"/>
          <w:u w:val="single"/>
        </w:rPr>
      </w:pPr>
    </w:p>
    <w:p w:rsidR="007D3598" w:rsidRDefault="00F8547B">
      <w:pPr>
        <w:jc w:val="both"/>
        <w:rPr>
          <w:rFonts w:eastAsiaTheme="minorHAnsi"/>
          <w:noProof/>
          <w:szCs w:val="24"/>
        </w:rPr>
      </w:pPr>
      <w:r>
        <w:rPr>
          <w:rFonts w:eastAsiaTheme="minorHAnsi"/>
          <w:noProof/>
          <w:szCs w:val="24"/>
        </w:rPr>
        <w:t>An efficient border control is crucial to ensuring the free movement of legally residing third-country nationals and E</w:t>
      </w:r>
      <w:r>
        <w:rPr>
          <w:rFonts w:eastAsiaTheme="minorHAnsi"/>
          <w:noProof/>
          <w:szCs w:val="24"/>
        </w:rPr>
        <w:t>U citizens as well as ensuring internal security. As peripheral Member States control a significant length of the EU’s external borders, their responsibilities for border control have become overwhelming. In this regard, ISF-BV supports, through this speci</w:t>
      </w:r>
      <w:r>
        <w:rPr>
          <w:rFonts w:eastAsiaTheme="minorHAnsi"/>
          <w:noProof/>
          <w:szCs w:val="24"/>
        </w:rPr>
        <w:t>fc objective, (i) the further harmonisation of the border management, (ii) the sharing of information between the Member States, and (iii) the sharing of information between the Member States and the Frontex Agency.</w:t>
      </w:r>
    </w:p>
    <w:p w:rsidR="007D3598" w:rsidRDefault="007D3598">
      <w:pPr>
        <w:jc w:val="both"/>
        <w:rPr>
          <w:rFonts w:eastAsiaTheme="minorHAnsi"/>
          <w:noProof/>
          <w:szCs w:val="24"/>
        </w:rPr>
      </w:pPr>
    </w:p>
    <w:p w:rsidR="007D3598" w:rsidRDefault="00F8547B">
      <w:pPr>
        <w:jc w:val="both"/>
        <w:rPr>
          <w:rFonts w:eastAsiaTheme="minorHAnsi"/>
          <w:b/>
          <w:noProof/>
          <w:szCs w:val="24"/>
        </w:rPr>
      </w:pPr>
      <w:r>
        <w:rPr>
          <w:rFonts w:eastAsiaTheme="minorHAnsi"/>
          <w:noProof/>
          <w:szCs w:val="24"/>
        </w:rPr>
        <w:t>To fulfil the specific objectives a num</w:t>
      </w:r>
      <w:r>
        <w:rPr>
          <w:rFonts w:eastAsiaTheme="minorHAnsi"/>
          <w:noProof/>
          <w:szCs w:val="24"/>
        </w:rPr>
        <w:t>ber of operational objectives were defined</w:t>
      </w:r>
      <w:r>
        <w:rPr>
          <w:rStyle w:val="FootnoteReference"/>
          <w:rFonts w:eastAsiaTheme="minorHAnsi"/>
          <w:noProof/>
          <w:szCs w:val="24"/>
        </w:rPr>
        <w:footnoteReference w:id="26"/>
      </w:r>
      <w:r>
        <w:rPr>
          <w:rFonts w:eastAsiaTheme="minorHAnsi"/>
          <w:noProof/>
          <w:szCs w:val="24"/>
        </w:rPr>
        <w:t>.</w:t>
      </w:r>
    </w:p>
    <w:p w:rsidR="007D3598" w:rsidRDefault="007D3598">
      <w:pPr>
        <w:jc w:val="both"/>
        <w:rPr>
          <w:rFonts w:eastAsiaTheme="minorHAnsi"/>
          <w:b/>
          <w:noProof/>
          <w:szCs w:val="24"/>
        </w:rPr>
      </w:pPr>
    </w:p>
    <w:p w:rsidR="007D3598" w:rsidRDefault="00F8547B">
      <w:pPr>
        <w:jc w:val="both"/>
        <w:rPr>
          <w:rFonts w:eastAsiaTheme="minorHAnsi"/>
          <w:i/>
          <w:noProof/>
          <w:sz w:val="20"/>
        </w:rPr>
      </w:pPr>
      <w:r>
        <w:rPr>
          <w:rFonts w:eastAsiaTheme="minorHAnsi"/>
          <w:i/>
          <w:noProof/>
          <w:sz w:val="20"/>
        </w:rPr>
        <w:t>Table 4: ISF-BV operational objectives</w:t>
      </w:r>
    </w:p>
    <w:p w:rsidR="007D3598" w:rsidRDefault="007D3598">
      <w:pPr>
        <w:jc w:val="both"/>
        <w:rPr>
          <w:rFonts w:eastAsiaTheme="minorHAnsi"/>
          <w:i/>
          <w:noProof/>
          <w:sz w:val="20"/>
        </w:rPr>
      </w:pPr>
    </w:p>
    <w:tbl>
      <w:tblPr>
        <w:tblStyle w:val="TableGrid"/>
        <w:tblW w:w="9889"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2148"/>
        <w:gridCol w:w="7741"/>
      </w:tblGrid>
      <w:tr w:rsidR="007D3598">
        <w:tc>
          <w:tcPr>
            <w:tcW w:w="2148" w:type="dxa"/>
            <w:shd w:val="clear" w:color="auto" w:fill="auto"/>
            <w:vAlign w:val="center"/>
          </w:tcPr>
          <w:p w:rsidR="007D3598" w:rsidRDefault="00F8547B">
            <w:pPr>
              <w:jc w:val="center"/>
              <w:rPr>
                <w:rFonts w:eastAsiaTheme="minorHAnsi"/>
                <w:b/>
                <w:noProof/>
              </w:rPr>
            </w:pPr>
            <w:bookmarkStart w:id="196" w:name="_Toc504475654"/>
            <w:bookmarkStart w:id="197" w:name="_Ref502857587"/>
            <w:r>
              <w:rPr>
                <w:rFonts w:eastAsiaTheme="minorHAnsi"/>
                <w:b/>
                <w:noProof/>
              </w:rPr>
              <w:t>Operational objectives</w:t>
            </w:r>
          </w:p>
        </w:tc>
        <w:tc>
          <w:tcPr>
            <w:tcW w:w="7741" w:type="dxa"/>
            <w:shd w:val="clear" w:color="auto" w:fill="auto"/>
          </w:tcPr>
          <w:p w:rsidR="007D3598" w:rsidRDefault="00F8547B">
            <w:pPr>
              <w:pStyle w:val="Pa10"/>
              <w:spacing w:line="240" w:lineRule="auto"/>
              <w:jc w:val="both"/>
              <w:rPr>
                <w:rFonts w:ascii="Times New Roman" w:hAnsi="Times New Roman"/>
                <w:noProof/>
                <w:color w:val="000000"/>
                <w:sz w:val="22"/>
              </w:rPr>
            </w:pPr>
            <w:r>
              <w:rPr>
                <w:rFonts w:ascii="Times New Roman" w:hAnsi="Times New Roman"/>
                <w:noProof/>
                <w:color w:val="000000"/>
                <w:sz w:val="22"/>
              </w:rPr>
              <w:t xml:space="preserve">(a) </w:t>
            </w:r>
            <w:r>
              <w:rPr>
                <w:rFonts w:ascii="Times New Roman" w:hAnsi="Times New Roman"/>
                <w:b/>
                <w:noProof/>
                <w:color w:val="000000"/>
                <w:sz w:val="22"/>
              </w:rPr>
              <w:t>To promote the development, implemen</w:t>
            </w:r>
            <w:r>
              <w:rPr>
                <w:rFonts w:ascii="Times New Roman" w:hAnsi="Times New Roman"/>
                <w:b/>
                <w:noProof/>
                <w:color w:val="000000"/>
                <w:sz w:val="22"/>
              </w:rPr>
              <w:softHyphen/>
              <w:t>tation and enforcement of policies</w:t>
            </w:r>
            <w:r>
              <w:rPr>
                <w:rFonts w:ascii="Times New Roman" w:hAnsi="Times New Roman"/>
                <w:noProof/>
                <w:color w:val="000000"/>
                <w:sz w:val="22"/>
              </w:rPr>
              <w:t xml:space="preserve"> to ensure that people, regardless of their nationality, are not subject to checks when crossing the EU’s internal borders, and to ensure efficient monitoring and checks are carried out on people crossing the EU’s external borders.</w:t>
            </w:r>
          </w:p>
          <w:p w:rsidR="007D3598" w:rsidRDefault="00F8547B">
            <w:pPr>
              <w:pStyle w:val="Pa10"/>
              <w:spacing w:line="240" w:lineRule="auto"/>
              <w:jc w:val="both"/>
              <w:rPr>
                <w:rFonts w:ascii="Times New Roman" w:hAnsi="Times New Roman"/>
                <w:noProof/>
                <w:color w:val="000000"/>
                <w:sz w:val="22"/>
              </w:rPr>
            </w:pPr>
            <w:r>
              <w:rPr>
                <w:rFonts w:ascii="Times New Roman" w:hAnsi="Times New Roman"/>
                <w:noProof/>
                <w:color w:val="000000"/>
                <w:sz w:val="22"/>
              </w:rPr>
              <w:t>(b) To gradually establi</w:t>
            </w:r>
            <w:r>
              <w:rPr>
                <w:rFonts w:ascii="Times New Roman" w:hAnsi="Times New Roman"/>
                <w:noProof/>
                <w:color w:val="000000"/>
                <w:sz w:val="22"/>
              </w:rPr>
              <w:t>sh an integrated management system for external borders, based on solidarity and responsibility, par</w:t>
            </w:r>
            <w:r>
              <w:rPr>
                <w:rFonts w:ascii="Times New Roman" w:hAnsi="Times New Roman"/>
                <w:noProof/>
                <w:color w:val="000000"/>
                <w:sz w:val="22"/>
              </w:rPr>
              <w:softHyphen/>
              <w:t>ticularly through:</w:t>
            </w:r>
          </w:p>
          <w:p w:rsidR="007D3598" w:rsidRDefault="00F8547B">
            <w:pPr>
              <w:pStyle w:val="Pa10"/>
              <w:numPr>
                <w:ilvl w:val="0"/>
                <w:numId w:val="58"/>
              </w:numPr>
              <w:spacing w:line="240" w:lineRule="auto"/>
              <w:jc w:val="both"/>
              <w:rPr>
                <w:rFonts w:ascii="Times New Roman" w:hAnsi="Times New Roman"/>
                <w:noProof/>
                <w:color w:val="000000"/>
                <w:sz w:val="22"/>
              </w:rPr>
            </w:pPr>
            <w:r>
              <w:rPr>
                <w:rFonts w:ascii="Times New Roman" w:hAnsi="Times New Roman"/>
                <w:b/>
                <w:noProof/>
                <w:color w:val="000000"/>
                <w:sz w:val="22"/>
              </w:rPr>
              <w:t>strengthening external border</w:t>
            </w:r>
            <w:r>
              <w:rPr>
                <w:rFonts w:ascii="Times New Roman" w:hAnsi="Times New Roman"/>
                <w:noProof/>
                <w:color w:val="000000"/>
                <w:sz w:val="22"/>
              </w:rPr>
              <w:t xml:space="preserve"> checks and surveillance systems, and inter-agency cooperation between border guards, customs, migration, asylum and law enforcement authorities of Member States at the external borders, including in the mari</w:t>
            </w:r>
            <w:r>
              <w:rPr>
                <w:rFonts w:ascii="Times New Roman" w:hAnsi="Times New Roman"/>
                <w:noProof/>
                <w:color w:val="000000"/>
                <w:sz w:val="22"/>
              </w:rPr>
              <w:softHyphen/>
              <w:t>time border areas;</w:t>
            </w:r>
          </w:p>
          <w:p w:rsidR="007D3598" w:rsidRDefault="00F8547B">
            <w:pPr>
              <w:pStyle w:val="Pa10"/>
              <w:numPr>
                <w:ilvl w:val="0"/>
                <w:numId w:val="58"/>
              </w:numPr>
              <w:spacing w:line="240" w:lineRule="auto"/>
              <w:jc w:val="both"/>
              <w:rPr>
                <w:rFonts w:ascii="Times New Roman" w:eastAsiaTheme="minorHAnsi" w:hAnsi="Times New Roman"/>
                <w:noProof/>
                <w:sz w:val="22"/>
              </w:rPr>
            </w:pPr>
            <w:r>
              <w:rPr>
                <w:rFonts w:ascii="Times New Roman" w:hAnsi="Times New Roman"/>
                <w:b/>
                <w:noProof/>
                <w:color w:val="000000"/>
                <w:sz w:val="22"/>
              </w:rPr>
              <w:t>measures within the Member S</w:t>
            </w:r>
            <w:r>
              <w:rPr>
                <w:rFonts w:ascii="Times New Roman" w:hAnsi="Times New Roman"/>
                <w:b/>
                <w:noProof/>
                <w:color w:val="000000"/>
                <w:sz w:val="22"/>
              </w:rPr>
              <w:t>tates territories on the management of external borders</w:t>
            </w:r>
            <w:r>
              <w:rPr>
                <w:rFonts w:ascii="Times New Roman" w:hAnsi="Times New Roman"/>
                <w:noProof/>
                <w:color w:val="000000"/>
                <w:sz w:val="22"/>
              </w:rPr>
              <w:t xml:space="preserve"> and the necessary supporting measures on document security, identity management and the inter</w:t>
            </w:r>
            <w:r>
              <w:rPr>
                <w:rFonts w:ascii="Times New Roman" w:hAnsi="Times New Roman"/>
                <w:noProof/>
                <w:color w:val="000000"/>
                <w:sz w:val="22"/>
              </w:rPr>
              <w:softHyphen/>
              <w:t>operability of acquired technical equipment;</w:t>
            </w:r>
          </w:p>
          <w:p w:rsidR="007D3598" w:rsidRDefault="00F8547B">
            <w:pPr>
              <w:pStyle w:val="Pa10"/>
              <w:numPr>
                <w:ilvl w:val="0"/>
                <w:numId w:val="58"/>
              </w:numPr>
              <w:spacing w:line="240" w:lineRule="auto"/>
              <w:jc w:val="both"/>
              <w:rPr>
                <w:rFonts w:ascii="Times New Roman" w:hAnsi="Times New Roman"/>
                <w:noProof/>
                <w:color w:val="000000"/>
                <w:sz w:val="22"/>
              </w:rPr>
            </w:pPr>
            <w:r>
              <w:rPr>
                <w:rFonts w:ascii="Times New Roman" w:hAnsi="Times New Roman"/>
                <w:noProof/>
                <w:color w:val="000000"/>
                <w:sz w:val="22"/>
              </w:rPr>
              <w:t xml:space="preserve">any measures that also help </w:t>
            </w:r>
            <w:r>
              <w:rPr>
                <w:rFonts w:ascii="Times New Roman" w:hAnsi="Times New Roman"/>
                <w:b/>
                <w:noProof/>
                <w:color w:val="000000"/>
                <w:sz w:val="22"/>
              </w:rPr>
              <w:t>prevent and combat cross-border c</w:t>
            </w:r>
            <w:r>
              <w:rPr>
                <w:rFonts w:ascii="Times New Roman" w:hAnsi="Times New Roman"/>
                <w:b/>
                <w:noProof/>
                <w:color w:val="000000"/>
                <w:sz w:val="22"/>
              </w:rPr>
              <w:t>rime at external borders</w:t>
            </w:r>
            <w:r>
              <w:rPr>
                <w:rFonts w:ascii="Times New Roman" w:hAnsi="Times New Roman"/>
                <w:noProof/>
                <w:color w:val="000000"/>
                <w:sz w:val="22"/>
              </w:rPr>
              <w:t xml:space="preserve"> concerning the movement of people, including trafficking in human beings and human smuggling.</w:t>
            </w:r>
          </w:p>
          <w:p w:rsidR="007D3598" w:rsidRDefault="00F8547B">
            <w:pPr>
              <w:pStyle w:val="Pa10"/>
              <w:spacing w:line="240" w:lineRule="auto"/>
              <w:jc w:val="both"/>
              <w:rPr>
                <w:rFonts w:ascii="Times New Roman" w:hAnsi="Times New Roman"/>
                <w:noProof/>
                <w:color w:val="000000"/>
                <w:sz w:val="22"/>
              </w:rPr>
            </w:pPr>
            <w:r>
              <w:rPr>
                <w:rFonts w:ascii="Times New Roman" w:hAnsi="Times New Roman"/>
                <w:noProof/>
                <w:color w:val="000000"/>
                <w:sz w:val="22"/>
              </w:rPr>
              <w:t xml:space="preserve">(c) </w:t>
            </w:r>
            <w:r>
              <w:rPr>
                <w:rFonts w:ascii="Times New Roman" w:hAnsi="Times New Roman"/>
                <w:b/>
                <w:noProof/>
                <w:color w:val="000000"/>
                <w:sz w:val="22"/>
              </w:rPr>
              <w:t>To promote the development and imple</w:t>
            </w:r>
            <w:r>
              <w:rPr>
                <w:rFonts w:ascii="Times New Roman" w:hAnsi="Times New Roman"/>
                <w:b/>
                <w:noProof/>
                <w:color w:val="000000"/>
                <w:sz w:val="22"/>
              </w:rPr>
              <w:softHyphen/>
              <w:t>mentation of the common policy on visas</w:t>
            </w:r>
            <w:r>
              <w:rPr>
                <w:rFonts w:ascii="Times New Roman" w:hAnsi="Times New Roman"/>
                <w:noProof/>
                <w:color w:val="000000"/>
                <w:sz w:val="22"/>
              </w:rPr>
              <w:t xml:space="preserve"> and other short-stay residence permits, and different fo</w:t>
            </w:r>
            <w:r>
              <w:rPr>
                <w:rFonts w:ascii="Times New Roman" w:hAnsi="Times New Roman"/>
                <w:noProof/>
                <w:color w:val="000000"/>
                <w:sz w:val="22"/>
              </w:rPr>
              <w:t>rms of consular cooperation to ensure better consular coverage and harmonised practices on visa issuing.</w:t>
            </w:r>
          </w:p>
          <w:p w:rsidR="007D3598" w:rsidRDefault="00F8547B">
            <w:pPr>
              <w:pStyle w:val="Pa10"/>
              <w:spacing w:line="240" w:lineRule="auto"/>
              <w:jc w:val="both"/>
              <w:rPr>
                <w:rFonts w:ascii="Times New Roman" w:hAnsi="Times New Roman"/>
                <w:noProof/>
                <w:color w:val="000000"/>
                <w:sz w:val="22"/>
              </w:rPr>
            </w:pPr>
            <w:r>
              <w:rPr>
                <w:rFonts w:ascii="Times New Roman" w:hAnsi="Times New Roman"/>
                <w:noProof/>
                <w:color w:val="000000"/>
                <w:sz w:val="22"/>
              </w:rPr>
              <w:t xml:space="preserve">(d) </w:t>
            </w:r>
            <w:r>
              <w:rPr>
                <w:rFonts w:ascii="Times New Roman" w:hAnsi="Times New Roman"/>
                <w:b/>
                <w:noProof/>
                <w:color w:val="000000"/>
                <w:sz w:val="22"/>
              </w:rPr>
              <w:t>To set up and run IT systems</w:t>
            </w:r>
            <w:r>
              <w:rPr>
                <w:rFonts w:ascii="Times New Roman" w:hAnsi="Times New Roman"/>
                <w:noProof/>
                <w:color w:val="000000"/>
                <w:sz w:val="22"/>
              </w:rPr>
              <w:t>, their communication infrastructure, and equip</w:t>
            </w:r>
            <w:r>
              <w:rPr>
                <w:rFonts w:ascii="Times New Roman" w:hAnsi="Times New Roman"/>
                <w:noProof/>
                <w:color w:val="000000"/>
                <w:sz w:val="22"/>
              </w:rPr>
              <w:softHyphen/>
              <w:t xml:space="preserve">ment </w:t>
            </w:r>
            <w:r>
              <w:rPr>
                <w:rFonts w:ascii="Times New Roman" w:hAnsi="Times New Roman"/>
                <w:b/>
                <w:noProof/>
                <w:color w:val="000000"/>
                <w:sz w:val="22"/>
              </w:rPr>
              <w:t>that support the common visa policy</w:t>
            </w:r>
            <w:r>
              <w:rPr>
                <w:rFonts w:ascii="Times New Roman" w:hAnsi="Times New Roman"/>
                <w:noProof/>
                <w:color w:val="000000"/>
                <w:sz w:val="22"/>
              </w:rPr>
              <w:t>, border checks and border surv</w:t>
            </w:r>
            <w:r>
              <w:rPr>
                <w:rFonts w:ascii="Times New Roman" w:hAnsi="Times New Roman"/>
                <w:noProof/>
                <w:color w:val="000000"/>
                <w:sz w:val="22"/>
              </w:rPr>
              <w:t>eillance at the external borders. These IT systems should fully comply with personal data protection law.</w:t>
            </w:r>
          </w:p>
          <w:p w:rsidR="007D3598" w:rsidRDefault="00F8547B">
            <w:pPr>
              <w:pStyle w:val="Pa10"/>
              <w:spacing w:line="240" w:lineRule="auto"/>
              <w:jc w:val="both"/>
              <w:rPr>
                <w:rFonts w:ascii="Times New Roman" w:hAnsi="Times New Roman"/>
                <w:noProof/>
                <w:color w:val="000000"/>
                <w:sz w:val="22"/>
              </w:rPr>
            </w:pPr>
            <w:r>
              <w:rPr>
                <w:rFonts w:ascii="Times New Roman" w:hAnsi="Times New Roman"/>
                <w:noProof/>
                <w:color w:val="000000"/>
                <w:sz w:val="22"/>
              </w:rPr>
              <w:t xml:space="preserve">(e) </w:t>
            </w:r>
            <w:r>
              <w:rPr>
                <w:rFonts w:ascii="Times New Roman" w:hAnsi="Times New Roman"/>
                <w:b/>
                <w:noProof/>
                <w:color w:val="000000"/>
                <w:sz w:val="22"/>
              </w:rPr>
              <w:t>To boost situational awareness at the external borders</w:t>
            </w:r>
            <w:r>
              <w:rPr>
                <w:rFonts w:ascii="Times New Roman" w:hAnsi="Times New Roman"/>
                <w:noProof/>
                <w:color w:val="000000"/>
                <w:sz w:val="22"/>
              </w:rPr>
              <w:t xml:space="preserve"> and the reaction capabilities of Member States;</w:t>
            </w:r>
          </w:p>
          <w:p w:rsidR="007D3598" w:rsidRDefault="00F8547B">
            <w:pPr>
              <w:pStyle w:val="Pa10"/>
              <w:spacing w:line="240" w:lineRule="auto"/>
              <w:jc w:val="both"/>
              <w:rPr>
                <w:rFonts w:ascii="Times New Roman" w:hAnsi="Times New Roman"/>
                <w:noProof/>
                <w:color w:val="000000"/>
                <w:sz w:val="22"/>
              </w:rPr>
            </w:pPr>
            <w:r>
              <w:rPr>
                <w:rFonts w:ascii="Times New Roman" w:hAnsi="Times New Roman"/>
                <w:noProof/>
                <w:color w:val="000000"/>
                <w:sz w:val="22"/>
              </w:rPr>
              <w:t xml:space="preserve">(f) </w:t>
            </w:r>
            <w:r>
              <w:rPr>
                <w:rFonts w:ascii="Times New Roman" w:hAnsi="Times New Roman"/>
                <w:b/>
                <w:noProof/>
                <w:color w:val="000000"/>
                <w:sz w:val="22"/>
              </w:rPr>
              <w:t xml:space="preserve">To ensure the EU’s </w:t>
            </w:r>
            <w:r>
              <w:rPr>
                <w:rFonts w:ascii="Times New Roman" w:hAnsi="Times New Roman"/>
                <w:b/>
                <w:i/>
                <w:noProof/>
                <w:color w:val="000000"/>
                <w:sz w:val="22"/>
              </w:rPr>
              <w:t>acquis</w:t>
            </w:r>
            <w:r>
              <w:rPr>
                <w:rFonts w:ascii="Times New Roman" w:hAnsi="Times New Roman"/>
                <w:i/>
                <w:noProof/>
                <w:color w:val="000000"/>
                <w:sz w:val="22"/>
              </w:rPr>
              <w:t xml:space="preserve"> </w:t>
            </w:r>
            <w:r>
              <w:rPr>
                <w:rFonts w:ascii="Times New Roman" w:hAnsi="Times New Roman"/>
                <w:noProof/>
                <w:color w:val="000000"/>
                <w:sz w:val="22"/>
              </w:rPr>
              <w:t>on borders an</w:t>
            </w:r>
            <w:r>
              <w:rPr>
                <w:rFonts w:ascii="Times New Roman" w:hAnsi="Times New Roman"/>
                <w:noProof/>
                <w:color w:val="000000"/>
                <w:sz w:val="22"/>
              </w:rPr>
              <w:t>d visas</w:t>
            </w:r>
            <w:r>
              <w:rPr>
                <w:rFonts w:ascii="Times New Roman" w:hAnsi="Times New Roman"/>
                <w:b/>
                <w:noProof/>
                <w:color w:val="000000"/>
                <w:sz w:val="22"/>
              </w:rPr>
              <w:t xml:space="preserve"> is efficiently and uniformly applied</w:t>
            </w:r>
            <w:r>
              <w:rPr>
                <w:rFonts w:ascii="Times New Roman" w:hAnsi="Times New Roman"/>
                <w:b/>
                <w:noProof/>
                <w:color w:val="000000"/>
                <w:sz w:val="22"/>
              </w:rPr>
              <w:softHyphen/>
            </w:r>
            <w:r>
              <w:rPr>
                <w:rFonts w:ascii="Times New Roman" w:hAnsi="Times New Roman"/>
                <w:noProof/>
                <w:color w:val="000000"/>
                <w:sz w:val="22"/>
              </w:rPr>
              <w:t>, including the effective functioning of the Schengen evaluation and monitoring mechanism;</w:t>
            </w:r>
          </w:p>
          <w:p w:rsidR="007D3598" w:rsidRDefault="00F8547B">
            <w:pPr>
              <w:pStyle w:val="Default"/>
              <w:jc w:val="both"/>
              <w:rPr>
                <w:rFonts w:ascii="Times New Roman" w:eastAsiaTheme="minorHAnsi" w:hAnsi="Times New Roman"/>
                <w:noProof/>
                <w:sz w:val="22"/>
              </w:rPr>
            </w:pPr>
            <w:r>
              <w:rPr>
                <w:rFonts w:ascii="Times New Roman" w:hAnsi="Times New Roman"/>
                <w:noProof/>
                <w:sz w:val="22"/>
                <w:lang w:val="en-GB"/>
              </w:rPr>
              <w:t xml:space="preserve">(g) </w:t>
            </w:r>
            <w:r>
              <w:rPr>
                <w:rFonts w:ascii="Times New Roman" w:hAnsi="Times New Roman"/>
                <w:b/>
                <w:noProof/>
                <w:sz w:val="22"/>
                <w:lang w:val="en-GB"/>
              </w:rPr>
              <w:t>To boost actions by the Member States that are helping to strengthen  cooperation between Member States</w:t>
            </w:r>
            <w:r>
              <w:rPr>
                <w:rFonts w:ascii="Times New Roman" w:hAnsi="Times New Roman"/>
                <w:noProof/>
                <w:sz w:val="22"/>
                <w:lang w:val="en-GB"/>
              </w:rPr>
              <w:t xml:space="preserve"> operating in</w:t>
            </w:r>
            <w:r>
              <w:rPr>
                <w:rFonts w:ascii="Times New Roman" w:hAnsi="Times New Roman"/>
                <w:noProof/>
                <w:sz w:val="22"/>
                <w:lang w:val="en-GB"/>
              </w:rPr>
              <w:t xml:space="preserve"> third countries concerning the flows of third-country nationals into the Member States’ territory. These actions include preventing and tackling of illegal immigration, as well as cooperating with third countries </w:t>
            </w:r>
            <w:r>
              <w:rPr>
                <w:rFonts w:ascii="Times New Roman" w:hAnsi="Times New Roman"/>
                <w:noProof/>
                <w:sz w:val="22"/>
              </w:rPr>
              <w:t>in full compliance with</w:t>
            </w:r>
            <w:r>
              <w:rPr>
                <w:rFonts w:ascii="Times New Roman" w:hAnsi="Times New Roman"/>
                <w:noProof/>
                <w:sz w:val="22"/>
                <w:lang w:val="en-GB"/>
              </w:rPr>
              <w:t xml:space="preserve"> the objectives and principles of the EU’s external action and humanitarian policy</w:t>
            </w:r>
          </w:p>
        </w:tc>
      </w:tr>
    </w:tbl>
    <w:p w:rsidR="007D3598" w:rsidRDefault="007D3598">
      <w:pPr>
        <w:rPr>
          <w:noProof/>
        </w:rPr>
      </w:pPr>
    </w:p>
    <w:p w:rsidR="007D3598" w:rsidRDefault="00F8547B">
      <w:pPr>
        <w:pStyle w:val="HH3"/>
        <w:spacing w:before="0" w:after="0"/>
        <w:contextualSpacing w:val="0"/>
        <w:rPr>
          <w:noProof/>
        </w:rPr>
      </w:pPr>
      <w:r>
        <w:rPr>
          <w:noProof/>
        </w:rPr>
        <w:t>Global resources</w:t>
      </w:r>
    </w:p>
    <w:p w:rsidR="007D3598" w:rsidRDefault="007D3598">
      <w:pPr>
        <w:pStyle w:val="Body"/>
        <w:spacing w:before="0" w:after="0" w:line="240" w:lineRule="auto"/>
        <w:rPr>
          <w:rFonts w:ascii="Times New Roman" w:hAnsi="Times New Roman"/>
          <w:noProof/>
          <w:sz w:val="24"/>
        </w:rPr>
      </w:pPr>
    </w:p>
    <w:p w:rsidR="007D3598" w:rsidRDefault="00F8547B">
      <w:pPr>
        <w:pStyle w:val="Text2"/>
        <w:ind w:left="0"/>
        <w:jc w:val="both"/>
        <w:rPr>
          <w:noProof/>
        </w:rPr>
      </w:pPr>
      <w:r>
        <w:rPr>
          <w:noProof/>
        </w:rPr>
        <w:t xml:space="preserve">According to the legal base, the initial global resources for implementing ISF-BV in the period 2014-2020 were set at EUR 2.76 billion, whereas the </w:t>
      </w:r>
      <w:r>
        <w:rPr>
          <w:noProof/>
        </w:rPr>
        <w:t>reprogrammed amount stands at EUR 2.61 billion, as shown in the below figure. Further details in relation to the Fund’s implementation and its management modes are explained in Section 3 of this SWD.</w:t>
      </w:r>
    </w:p>
    <w:p w:rsidR="007D3598" w:rsidRDefault="007D3598">
      <w:pPr>
        <w:pStyle w:val="Text2"/>
        <w:ind w:left="0"/>
        <w:jc w:val="both"/>
        <w:rPr>
          <w:noProof/>
        </w:rPr>
      </w:pPr>
    </w:p>
    <w:p w:rsidR="007D3598" w:rsidRDefault="00F8547B">
      <w:pPr>
        <w:jc w:val="both"/>
        <w:rPr>
          <w:noProof/>
        </w:rPr>
      </w:pPr>
      <w:r>
        <w:rPr>
          <w:noProof/>
        </w:rPr>
        <w:t>The funds allocated to NATIONAL PROGRAMMEs (65 % of the</w:t>
      </w:r>
      <w:r>
        <w:rPr>
          <w:noProof/>
        </w:rPr>
        <w:t xml:space="preserve"> total reprogrammed resources, including the Special Transit Scheme (STS)</w:t>
      </w:r>
      <w:r>
        <w:rPr>
          <w:rStyle w:val="FootnoteReference"/>
          <w:noProof/>
        </w:rPr>
        <w:footnoteReference w:id="27"/>
      </w:r>
      <w:r>
        <w:rPr>
          <w:noProof/>
        </w:rPr>
        <w:t xml:space="preserve"> for Lithuania, and to technical assistance at the initiative of the Commission (0.46 % of the total) have remained unchanged. In response to unforeseen needs caused by the migration</w:t>
      </w:r>
      <w:r>
        <w:rPr>
          <w:noProof/>
        </w:rPr>
        <w:t xml:space="preserve"> crisis, significant differences were made to funds allocated to EMAS (the amount increased from an initial allocation of 1.3 % to 14.8 % of the total fund). Furthermore, UAs have decreased by a quarter so more EMAS can be provided. The Member States recei</w:t>
      </w:r>
      <w:r>
        <w:rPr>
          <w:noProof/>
        </w:rPr>
        <w:t xml:space="preserve">ved an additional amount of EUR 192 million to purchase equipment to be used in Frontex joint operations. As for the funds available for IT systems, the overall allocation of EUR 791 million has not changed - only the part to be implemented via ISF-BV has </w:t>
      </w:r>
      <w:r>
        <w:rPr>
          <w:noProof/>
        </w:rPr>
        <w:t xml:space="preserve">been reduced to EUR 145.7 million with the remaining amount to be implemented via the ‘Smart Borders’ and ‘Schengen Information System II’ budget lines managed by the Commission as well as directly by two EU agencies (eu-LISA and Frontex).        </w:t>
      </w:r>
    </w:p>
    <w:p w:rsidR="007D3598" w:rsidRDefault="00F8547B">
      <w:pPr>
        <w:pStyle w:val="Text2"/>
        <w:ind w:left="0"/>
        <w:jc w:val="both"/>
        <w:rPr>
          <w:i/>
          <w:noProof/>
          <w:sz w:val="20"/>
        </w:rPr>
      </w:pPr>
      <w:r>
        <w:rPr>
          <w:i/>
          <w:noProof/>
          <w:sz w:val="20"/>
        </w:rPr>
        <w:t>Figure 1</w:t>
      </w:r>
      <w:r>
        <w:rPr>
          <w:i/>
          <w:noProof/>
          <w:sz w:val="20"/>
        </w:rPr>
        <w:t>: Initial and reprogrammed global resources for 2014-2020 (EUR million)</w:t>
      </w:r>
    </w:p>
    <w:p w:rsidR="007D3598" w:rsidRDefault="007D3598">
      <w:pPr>
        <w:pStyle w:val="Text2"/>
        <w:ind w:left="0"/>
        <w:jc w:val="both"/>
        <w:rPr>
          <w:i/>
          <w:noProof/>
          <w:sz w:val="20"/>
        </w:rPr>
      </w:pPr>
    </w:p>
    <w:p w:rsidR="007D3598" w:rsidRDefault="00F8547B">
      <w:pPr>
        <w:pStyle w:val="Text2"/>
        <w:ind w:left="0"/>
        <w:jc w:val="center"/>
        <w:rPr>
          <w:noProof/>
        </w:rPr>
      </w:pPr>
      <w:r>
        <w:rPr>
          <w:noProof/>
          <w:lang w:eastAsia="en-GB"/>
        </w:rPr>
        <w:drawing>
          <wp:inline distT="0" distB="0" distL="0" distR="0" wp14:anchorId="01086D6E" wp14:editId="3B5AB482">
            <wp:extent cx="5879805" cy="3264195"/>
            <wp:effectExtent l="0" t="0" r="698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7D3598" w:rsidRDefault="007D3598">
      <w:pPr>
        <w:pStyle w:val="Text2"/>
        <w:ind w:left="0"/>
        <w:jc w:val="both"/>
        <w:rPr>
          <w:noProof/>
        </w:rPr>
      </w:pP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HH3"/>
        <w:spacing w:before="0" w:after="0"/>
        <w:contextualSpacing w:val="0"/>
        <w:rPr>
          <w:noProof/>
          <w:szCs w:val="24"/>
        </w:rPr>
      </w:pPr>
      <w:r>
        <w:rPr>
          <w:noProof/>
        </w:rPr>
        <w:t>Eligible actions and beneficiaries</w:t>
      </w:r>
    </w:p>
    <w:p w:rsidR="007D3598" w:rsidRDefault="007D3598">
      <w:pPr>
        <w:jc w:val="both"/>
        <w:rPr>
          <w:noProof/>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All Member States (except IE and the UK) and as well as IS, LI, NO and CH participate in the Fund’s implementation. The Fund’s beneficiaries in</w:t>
      </w:r>
      <w:r>
        <w:rPr>
          <w:rFonts w:ascii="Times New Roman" w:hAnsi="Times New Roman"/>
          <w:noProof/>
          <w:sz w:val="24"/>
          <w:szCs w:val="24"/>
        </w:rPr>
        <w:t>clude federal and national authorities, local public bodies, non-governmental and humanitarian organisations, private and public law companies, education and research organisations.</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jc w:val="both"/>
        <w:rPr>
          <w:noProof/>
          <w:szCs w:val="24"/>
        </w:rPr>
      </w:pPr>
      <w:r>
        <w:rPr>
          <w:noProof/>
          <w:szCs w:val="24"/>
        </w:rPr>
        <w:t xml:space="preserve">The </w:t>
      </w:r>
      <w:r>
        <w:rPr>
          <w:rFonts w:eastAsiaTheme="minorHAnsi"/>
          <w:noProof/>
          <w:szCs w:val="24"/>
        </w:rPr>
        <w:t>ISF-BV</w:t>
      </w:r>
      <w:r>
        <w:rPr>
          <w:noProof/>
          <w:szCs w:val="24"/>
        </w:rPr>
        <w:t xml:space="preserve"> supports actions in or by Member States, with a special focus </w:t>
      </w:r>
      <w:r>
        <w:rPr>
          <w:noProof/>
          <w:szCs w:val="24"/>
        </w:rPr>
        <w:t>on the ones shown in the table below, but maintains a wide scope to ensure full coverage of needs.</w:t>
      </w:r>
    </w:p>
    <w:p w:rsidR="007D3598" w:rsidRDefault="007D3598">
      <w:pPr>
        <w:jc w:val="both"/>
        <w:rPr>
          <w:noProof/>
          <w:szCs w:val="24"/>
        </w:rPr>
      </w:pPr>
    </w:p>
    <w:p w:rsidR="007D3598" w:rsidRDefault="00F8547B">
      <w:pPr>
        <w:jc w:val="both"/>
        <w:rPr>
          <w:i/>
          <w:noProof/>
          <w:sz w:val="20"/>
        </w:rPr>
      </w:pPr>
      <w:r>
        <w:rPr>
          <w:i/>
          <w:noProof/>
          <w:sz w:val="20"/>
        </w:rPr>
        <w:t>Table 5: ISF-BV eligible actions</w:t>
      </w:r>
    </w:p>
    <w:p w:rsidR="007D3598" w:rsidRDefault="007D3598">
      <w:pPr>
        <w:jc w:val="both"/>
        <w:rPr>
          <w:i/>
          <w:noProof/>
          <w:sz w:val="20"/>
        </w:rPr>
      </w:pPr>
    </w:p>
    <w:tbl>
      <w:tblPr>
        <w:tblStyle w:val="TableGrid"/>
        <w:tblW w:w="0" w:type="auto"/>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251"/>
        <w:gridCol w:w="7328"/>
      </w:tblGrid>
      <w:tr w:rsidR="007D3598">
        <w:trPr>
          <w:jc w:val="center"/>
        </w:trPr>
        <w:tc>
          <w:tcPr>
            <w:tcW w:w="2251" w:type="dxa"/>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7D3598" w:rsidRDefault="00F8547B">
            <w:pPr>
              <w:jc w:val="center"/>
              <w:rPr>
                <w:b/>
                <w:noProof/>
              </w:rPr>
            </w:pPr>
            <w:r>
              <w:rPr>
                <w:b/>
                <w:noProof/>
              </w:rPr>
              <w:t>ISF-BV</w:t>
            </w:r>
          </w:p>
          <w:p w:rsidR="007D3598" w:rsidRDefault="00F8547B">
            <w:pPr>
              <w:jc w:val="center"/>
              <w:rPr>
                <w:b/>
                <w:noProof/>
              </w:rPr>
            </w:pPr>
            <w:r>
              <w:rPr>
                <w:b/>
                <w:noProof/>
              </w:rPr>
              <w:t>ELIGIBLE</w:t>
            </w:r>
          </w:p>
          <w:p w:rsidR="007D3598" w:rsidRDefault="00F8547B">
            <w:pPr>
              <w:jc w:val="center"/>
              <w:rPr>
                <w:noProof/>
              </w:rPr>
            </w:pPr>
            <w:r>
              <w:rPr>
                <w:b/>
                <w:noProof/>
              </w:rPr>
              <w:t>ACTIONS</w:t>
            </w:r>
          </w:p>
        </w:tc>
        <w:tc>
          <w:tcPr>
            <w:tcW w:w="73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rsidR="007D3598" w:rsidRDefault="00F8547B">
            <w:pPr>
              <w:jc w:val="both"/>
              <w:rPr>
                <w:noProof/>
                <w:sz w:val="22"/>
              </w:rPr>
            </w:pPr>
            <w:r>
              <w:rPr>
                <w:noProof/>
                <w:sz w:val="22"/>
              </w:rPr>
              <w:t>a) infrastructure, buildings and systems required at border crossing points and for surveillance;</w:t>
            </w:r>
          </w:p>
        </w:tc>
      </w:tr>
      <w:tr w:rsidR="007D3598">
        <w:trPr>
          <w:jc w:val="center"/>
        </w:trPr>
        <w:tc>
          <w:tcPr>
            <w:tcW w:w="2251"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7D3598" w:rsidRDefault="007D3598">
            <w:pPr>
              <w:rPr>
                <w:noProof/>
              </w:rPr>
            </w:pPr>
          </w:p>
        </w:tc>
        <w:tc>
          <w:tcPr>
            <w:tcW w:w="73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rsidR="007D3598" w:rsidRDefault="00F8547B">
            <w:pPr>
              <w:jc w:val="both"/>
              <w:rPr>
                <w:noProof/>
                <w:sz w:val="22"/>
              </w:rPr>
            </w:pPr>
            <w:r>
              <w:rPr>
                <w:noProof/>
                <w:sz w:val="22"/>
              </w:rPr>
              <w:t>b) operating equipment, means of transport and communication systems;</w:t>
            </w:r>
          </w:p>
        </w:tc>
      </w:tr>
      <w:tr w:rsidR="007D3598">
        <w:trPr>
          <w:jc w:val="center"/>
        </w:trPr>
        <w:tc>
          <w:tcPr>
            <w:tcW w:w="2251"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7D3598" w:rsidRDefault="007D3598">
            <w:pPr>
              <w:rPr>
                <w:noProof/>
              </w:rPr>
            </w:pPr>
          </w:p>
        </w:tc>
        <w:tc>
          <w:tcPr>
            <w:tcW w:w="73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rsidR="007D3598" w:rsidRDefault="00F8547B">
            <w:pPr>
              <w:jc w:val="both"/>
              <w:rPr>
                <w:noProof/>
                <w:sz w:val="22"/>
              </w:rPr>
            </w:pPr>
            <w:r>
              <w:rPr>
                <w:noProof/>
                <w:sz w:val="22"/>
              </w:rPr>
              <w:t>c) IT and communication systems to manage migration flows efficiently;</w:t>
            </w:r>
          </w:p>
        </w:tc>
      </w:tr>
      <w:tr w:rsidR="007D3598">
        <w:trPr>
          <w:jc w:val="center"/>
        </w:trPr>
        <w:tc>
          <w:tcPr>
            <w:tcW w:w="2251"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7D3598" w:rsidRDefault="007D3598">
            <w:pPr>
              <w:rPr>
                <w:noProof/>
              </w:rPr>
            </w:pPr>
          </w:p>
        </w:tc>
        <w:tc>
          <w:tcPr>
            <w:tcW w:w="73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rsidR="007D3598" w:rsidRDefault="00F8547B">
            <w:pPr>
              <w:jc w:val="both"/>
              <w:rPr>
                <w:noProof/>
                <w:sz w:val="22"/>
              </w:rPr>
            </w:pPr>
            <w:r>
              <w:rPr>
                <w:noProof/>
                <w:sz w:val="22"/>
              </w:rPr>
              <w:t>d) infrastructure, buildings, communica</w:t>
            </w:r>
            <w:r>
              <w:rPr>
                <w:noProof/>
                <w:sz w:val="22"/>
              </w:rPr>
              <w:softHyphen/>
              <w:t>tion and IT systems and operating equipment;</w:t>
            </w:r>
          </w:p>
        </w:tc>
      </w:tr>
      <w:tr w:rsidR="007D3598">
        <w:trPr>
          <w:jc w:val="center"/>
        </w:trPr>
        <w:tc>
          <w:tcPr>
            <w:tcW w:w="2251"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7D3598" w:rsidRDefault="007D3598">
            <w:pPr>
              <w:rPr>
                <w:noProof/>
              </w:rPr>
            </w:pPr>
          </w:p>
        </w:tc>
        <w:tc>
          <w:tcPr>
            <w:tcW w:w="73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rsidR="007D3598" w:rsidRDefault="00F8547B">
            <w:pPr>
              <w:jc w:val="both"/>
              <w:rPr>
                <w:noProof/>
                <w:sz w:val="22"/>
              </w:rPr>
            </w:pPr>
            <w:r>
              <w:rPr>
                <w:noProof/>
                <w:sz w:val="22"/>
              </w:rPr>
              <w:t>e) training in the use</w:t>
            </w:r>
            <w:r>
              <w:rPr>
                <w:noProof/>
                <w:sz w:val="22"/>
              </w:rPr>
              <w:t xml:space="preserve"> of the equipment and systems referred to in points (b), (c) and (d) and the promotion of quality management standards and training of border guards;</w:t>
            </w:r>
          </w:p>
        </w:tc>
      </w:tr>
      <w:tr w:rsidR="007D3598">
        <w:trPr>
          <w:jc w:val="center"/>
        </w:trPr>
        <w:tc>
          <w:tcPr>
            <w:tcW w:w="2251"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7D3598" w:rsidRDefault="007D3598">
            <w:pPr>
              <w:rPr>
                <w:noProof/>
              </w:rPr>
            </w:pPr>
          </w:p>
        </w:tc>
        <w:tc>
          <w:tcPr>
            <w:tcW w:w="73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rsidR="007D3598" w:rsidRDefault="00F8547B">
            <w:pPr>
              <w:jc w:val="both"/>
              <w:rPr>
                <w:noProof/>
                <w:sz w:val="22"/>
              </w:rPr>
            </w:pPr>
            <w:r>
              <w:rPr>
                <w:noProof/>
                <w:sz w:val="22"/>
              </w:rPr>
              <w:t>f) secondment of immigration liaisons officers and document advisers to third countries;</w:t>
            </w:r>
          </w:p>
        </w:tc>
      </w:tr>
      <w:tr w:rsidR="007D3598">
        <w:trPr>
          <w:jc w:val="center"/>
        </w:trPr>
        <w:tc>
          <w:tcPr>
            <w:tcW w:w="2251"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hideMark/>
          </w:tcPr>
          <w:p w:rsidR="007D3598" w:rsidRDefault="007D3598">
            <w:pPr>
              <w:rPr>
                <w:noProof/>
              </w:rPr>
            </w:pPr>
          </w:p>
        </w:tc>
        <w:tc>
          <w:tcPr>
            <w:tcW w:w="73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hideMark/>
          </w:tcPr>
          <w:p w:rsidR="007D3598" w:rsidRDefault="00F8547B">
            <w:pPr>
              <w:jc w:val="both"/>
              <w:rPr>
                <w:noProof/>
                <w:sz w:val="22"/>
              </w:rPr>
            </w:pPr>
            <w:r>
              <w:rPr>
                <w:noProof/>
                <w:sz w:val="22"/>
              </w:rPr>
              <w:t>g) studies, t</w:t>
            </w:r>
            <w:r>
              <w:rPr>
                <w:noProof/>
                <w:sz w:val="22"/>
              </w:rPr>
              <w:t>raining, pilot projects and other actions that gradually establish an integrated management system for external borders;</w:t>
            </w:r>
          </w:p>
        </w:tc>
      </w:tr>
      <w:tr w:rsidR="007D3598">
        <w:trPr>
          <w:jc w:val="center"/>
        </w:trPr>
        <w:tc>
          <w:tcPr>
            <w:tcW w:w="2251" w:type="dxa"/>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7D3598" w:rsidRDefault="007D3598">
            <w:pPr>
              <w:rPr>
                <w:noProof/>
              </w:rPr>
            </w:pPr>
          </w:p>
        </w:tc>
        <w:tc>
          <w:tcPr>
            <w:tcW w:w="7328"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tcPr>
          <w:p w:rsidR="007D3598" w:rsidRDefault="00F8547B">
            <w:pPr>
              <w:jc w:val="both"/>
              <w:rPr>
                <w:noProof/>
                <w:sz w:val="22"/>
              </w:rPr>
            </w:pPr>
            <w:r>
              <w:rPr>
                <w:noProof/>
                <w:sz w:val="22"/>
              </w:rPr>
              <w:t xml:space="preserve">h) studies, pilot projects and actions that aim to implement the recommendations, operational standards and best practices resulting </w:t>
            </w:r>
            <w:r>
              <w:rPr>
                <w:noProof/>
                <w:sz w:val="22"/>
              </w:rPr>
              <w:t>from the operational cooperation between Member States and EU agencies.</w:t>
            </w:r>
          </w:p>
        </w:tc>
      </w:tr>
    </w:tbl>
    <w:p w:rsidR="007D3598" w:rsidRDefault="007D3598">
      <w:pPr>
        <w:jc w:val="both"/>
        <w:rPr>
          <w:noProof/>
          <w:szCs w:val="24"/>
        </w:rPr>
      </w:pPr>
    </w:p>
    <w:p w:rsidR="007D3598" w:rsidRDefault="00F8547B">
      <w:pPr>
        <w:jc w:val="both"/>
        <w:rPr>
          <w:noProof/>
          <w:szCs w:val="24"/>
        </w:rPr>
      </w:pPr>
      <w:r>
        <w:rPr>
          <w:noProof/>
          <w:szCs w:val="24"/>
        </w:rPr>
        <w:t>The Fund can also support actions in relation to or in third countries, such as: IT systems, training, promoting the development and implementation of the common policy on visas or b</w:t>
      </w:r>
      <w:r>
        <w:rPr>
          <w:noProof/>
          <w:szCs w:val="24"/>
        </w:rPr>
        <w:t>oosting situational awareness. It also contributes to the financing of technical assistance at the initiative of the Member States and the Commission.</w:t>
      </w:r>
    </w:p>
    <w:p w:rsidR="007D3598" w:rsidRDefault="007D3598">
      <w:pPr>
        <w:rPr>
          <w:rFonts w:eastAsiaTheme="minorHAnsi"/>
          <w:b/>
          <w:i/>
          <w:noProof/>
        </w:rPr>
      </w:pPr>
    </w:p>
    <w:p w:rsidR="007D3598" w:rsidRDefault="00F8547B">
      <w:pPr>
        <w:pStyle w:val="HH3"/>
        <w:spacing w:before="0" w:after="0"/>
        <w:contextualSpacing w:val="0"/>
        <w:rPr>
          <w:noProof/>
        </w:rPr>
      </w:pPr>
      <w:r>
        <w:rPr>
          <w:noProof/>
        </w:rPr>
        <w:t>The Intervention Logic</w:t>
      </w:r>
    </w:p>
    <w:p w:rsidR="007D3598" w:rsidRDefault="007D3598">
      <w:pPr>
        <w:pStyle w:val="Body"/>
        <w:spacing w:before="0" w:after="0" w:line="240" w:lineRule="auto"/>
        <w:jc w:val="both"/>
        <w:rPr>
          <w:rFonts w:ascii="Times New Roman" w:hAnsi="Times New Roman"/>
          <w:noProof/>
          <w:sz w:val="24"/>
          <w:szCs w:val="24"/>
        </w:rPr>
      </w:pPr>
      <w:bookmarkStart w:id="198" w:name="_Toc506530081"/>
      <w:bookmarkStart w:id="199" w:name="_Toc506531343"/>
      <w:bookmarkStart w:id="200" w:name="_Toc506530082"/>
      <w:bookmarkStart w:id="201" w:name="_Toc506531344"/>
      <w:bookmarkStart w:id="202" w:name="_Toc506530083"/>
      <w:bookmarkStart w:id="203" w:name="_Toc506531345"/>
      <w:bookmarkStart w:id="204" w:name="_Ref500844375"/>
      <w:bookmarkEnd w:id="196"/>
      <w:bookmarkEnd w:id="198"/>
      <w:bookmarkEnd w:id="199"/>
      <w:bookmarkEnd w:id="200"/>
      <w:bookmarkEnd w:id="201"/>
      <w:bookmarkEnd w:id="202"/>
      <w:bookmarkEnd w:id="203"/>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The intervention logic (see Figure 2) of the ISF-BV Fund is defined in order to </w:t>
      </w:r>
      <w:r>
        <w:rPr>
          <w:rFonts w:ascii="Times New Roman" w:hAnsi="Times New Roman"/>
          <w:noProof/>
          <w:sz w:val="24"/>
          <w:szCs w:val="24"/>
        </w:rPr>
        <w:t>understand what the Fund is aiming to achieve and how it will be achieved, by presenting the causal and logical links between problems, needs, objectives and eligible actions, as well as the connections between results and impacts. The implementation proce</w:t>
      </w:r>
      <w:r>
        <w:rPr>
          <w:rFonts w:ascii="Times New Roman" w:hAnsi="Times New Roman"/>
          <w:noProof/>
          <w:sz w:val="24"/>
          <w:szCs w:val="24"/>
        </w:rPr>
        <w:t>ss is further explained in section 3.1.</w:t>
      </w:r>
    </w:p>
    <w:p w:rsidR="007D3598" w:rsidRDefault="007D3598">
      <w:pPr>
        <w:pStyle w:val="Body"/>
        <w:spacing w:before="0" w:after="0" w:line="240" w:lineRule="auto"/>
        <w:jc w:val="both"/>
        <w:rPr>
          <w:rFonts w:ascii="Times New Roman" w:hAnsi="Times New Roman"/>
          <w:noProof/>
          <w:sz w:val="24"/>
          <w:szCs w:val="24"/>
        </w:rPr>
      </w:pPr>
    </w:p>
    <w:p w:rsidR="007D3598" w:rsidRDefault="007D3598">
      <w:pPr>
        <w:pStyle w:val="Body"/>
        <w:spacing w:before="0" w:after="0" w:line="240" w:lineRule="auto"/>
        <w:jc w:val="both"/>
        <w:rPr>
          <w:rFonts w:ascii="Times New Roman" w:hAnsi="Times New Roman"/>
          <w:noProof/>
          <w:sz w:val="24"/>
          <w:szCs w:val="24"/>
        </w:rPr>
      </w:pP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Tableheading"/>
        <w:keepNext/>
        <w:spacing w:before="0" w:after="0"/>
        <w:contextualSpacing w:val="0"/>
        <w:jc w:val="both"/>
        <w:rPr>
          <w:rFonts w:ascii="Times New Roman" w:hAnsi="Times New Roman"/>
          <w:b w:val="0"/>
          <w:i/>
          <w:noProof/>
          <w:sz w:val="20"/>
          <w:szCs w:val="20"/>
        </w:rPr>
      </w:pPr>
      <w:r>
        <w:rPr>
          <w:rFonts w:ascii="Times New Roman" w:hAnsi="Times New Roman"/>
          <w:b w:val="0"/>
          <w:i/>
          <w:noProof/>
          <w:sz w:val="20"/>
          <w:szCs w:val="20"/>
        </w:rPr>
        <w:t xml:space="preserve">Figure </w:t>
      </w:r>
      <w:bookmarkEnd w:id="204"/>
      <w:r>
        <w:rPr>
          <w:rFonts w:ascii="Times New Roman" w:hAnsi="Times New Roman"/>
          <w:b w:val="0"/>
          <w:i/>
          <w:noProof/>
          <w:sz w:val="20"/>
          <w:szCs w:val="20"/>
        </w:rPr>
        <w:t>2: Intervention logic for the interim evaluation of ISF-BV</w:t>
      </w:r>
    </w:p>
    <w:p w:rsidR="007D3598" w:rsidRDefault="007D3598">
      <w:pPr>
        <w:pStyle w:val="Tableheading"/>
        <w:keepNext/>
        <w:spacing w:before="0" w:after="0"/>
        <w:contextualSpacing w:val="0"/>
        <w:jc w:val="both"/>
        <w:rPr>
          <w:rFonts w:ascii="Times New Roman" w:hAnsi="Times New Roman"/>
          <w:b w:val="0"/>
          <w:i/>
          <w:noProof/>
          <w:sz w:val="20"/>
          <w:szCs w:val="20"/>
        </w:rPr>
      </w:pPr>
    </w:p>
    <w:p w:rsidR="007D3598" w:rsidRDefault="007D3598">
      <w:pPr>
        <w:pStyle w:val="Tableheading"/>
        <w:keepNext/>
        <w:spacing w:before="0" w:after="0"/>
        <w:contextualSpacing w:val="0"/>
        <w:jc w:val="both"/>
        <w:rPr>
          <w:rFonts w:ascii="Times New Roman" w:hAnsi="Times New Roman"/>
          <w:b w:val="0"/>
          <w:i/>
          <w:noProof/>
          <w:sz w:val="20"/>
          <w:szCs w:val="20"/>
        </w:rPr>
      </w:pPr>
    </w:p>
    <w:p w:rsidR="007D3598" w:rsidRDefault="00F8547B">
      <w:pPr>
        <w:pStyle w:val="Tableheading"/>
        <w:keepNext/>
        <w:spacing w:before="0" w:after="0"/>
        <w:contextualSpacing w:val="0"/>
        <w:jc w:val="center"/>
        <w:rPr>
          <w:rFonts w:ascii="Times New Roman" w:hAnsi="Times New Roman"/>
          <w:b w:val="0"/>
          <w:i/>
          <w:noProof/>
          <w:sz w:val="20"/>
          <w:szCs w:val="20"/>
        </w:rPr>
      </w:pPr>
      <w:r>
        <w:rPr>
          <w:rFonts w:ascii="Times New Roman" w:hAnsi="Times New Roman"/>
          <w:b w:val="0"/>
          <w:i/>
          <w:noProof/>
          <w:sz w:val="20"/>
          <w:szCs w:val="20"/>
          <w:lang w:eastAsia="en-GB"/>
        </w:rPr>
        <w:drawing>
          <wp:inline distT="0" distB="0" distL="0" distR="0" wp14:anchorId="21CBA4C3" wp14:editId="1C7CA15D">
            <wp:extent cx="6534150" cy="6126917"/>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53139" cy="6144722"/>
                    </a:xfrm>
                    <a:prstGeom prst="rect">
                      <a:avLst/>
                    </a:prstGeom>
                    <a:noFill/>
                  </pic:spPr>
                </pic:pic>
              </a:graphicData>
            </a:graphic>
          </wp:inline>
        </w:drawing>
      </w:r>
    </w:p>
    <w:p w:rsidR="007D3598" w:rsidRDefault="007D3598">
      <w:pPr>
        <w:pStyle w:val="Tableheading"/>
        <w:keepNext/>
        <w:spacing w:before="0" w:after="0"/>
        <w:contextualSpacing w:val="0"/>
        <w:jc w:val="both"/>
        <w:rPr>
          <w:rFonts w:ascii="Times New Roman" w:hAnsi="Times New Roman"/>
          <w:b w:val="0"/>
          <w:i/>
          <w:noProof/>
          <w:sz w:val="20"/>
          <w:szCs w:val="20"/>
        </w:rPr>
      </w:pPr>
    </w:p>
    <w:p w:rsidR="007D3598" w:rsidRDefault="007D3598">
      <w:pPr>
        <w:pStyle w:val="Tableheading"/>
        <w:keepNext/>
        <w:spacing w:before="0" w:after="0"/>
        <w:contextualSpacing w:val="0"/>
        <w:jc w:val="both"/>
        <w:rPr>
          <w:rFonts w:ascii="Times New Roman" w:hAnsi="Times New Roman"/>
          <w:b w:val="0"/>
          <w:i/>
          <w:noProof/>
          <w:sz w:val="20"/>
          <w:szCs w:val="20"/>
        </w:rPr>
      </w:pPr>
    </w:p>
    <w:p w:rsidR="007D3598" w:rsidRDefault="007D3598">
      <w:pPr>
        <w:pStyle w:val="Tableheading"/>
        <w:keepNext/>
        <w:spacing w:before="0" w:after="0"/>
        <w:contextualSpacing w:val="0"/>
        <w:jc w:val="both"/>
        <w:rPr>
          <w:rFonts w:ascii="Times New Roman" w:hAnsi="Times New Roman"/>
          <w:noProof/>
          <w:sz w:val="24"/>
          <w:szCs w:val="24"/>
        </w:rPr>
      </w:pPr>
    </w:p>
    <w:p w:rsidR="007D3598" w:rsidRDefault="007D3598">
      <w:pPr>
        <w:pStyle w:val="Tableheading"/>
        <w:keepNext/>
        <w:spacing w:before="0" w:after="0"/>
        <w:contextualSpacing w:val="0"/>
        <w:jc w:val="both"/>
        <w:rPr>
          <w:rFonts w:ascii="Times New Roman" w:hAnsi="Times New Roman"/>
          <w:noProof/>
          <w:szCs w:val="24"/>
        </w:rPr>
      </w:pPr>
    </w:p>
    <w:p w:rsidR="007D3598" w:rsidRDefault="007D3598">
      <w:pPr>
        <w:rPr>
          <w:rFonts w:eastAsiaTheme="minorHAnsi"/>
          <w:b/>
          <w:noProof/>
          <w:szCs w:val="24"/>
        </w:rPr>
      </w:pPr>
      <w:bookmarkStart w:id="205" w:name="_Toc504475655"/>
      <w:bookmarkStart w:id="206" w:name="_Ref504566760"/>
      <w:bookmarkEnd w:id="197"/>
      <w:bookmarkEnd w:id="205"/>
      <w:bookmarkEnd w:id="206"/>
    </w:p>
    <w:p w:rsidR="007D3598" w:rsidRDefault="00F8547B">
      <w:pPr>
        <w:rPr>
          <w:b/>
          <w:smallCaps/>
          <w:noProof/>
          <w:color w:val="365F91" w:themeColor="accent1" w:themeShade="BF"/>
          <w:sz w:val="32"/>
          <w:szCs w:val="32"/>
        </w:rPr>
      </w:pPr>
      <w:bookmarkStart w:id="207" w:name="_Toc495326228"/>
      <w:bookmarkStart w:id="208" w:name="_Toc495326229"/>
      <w:bookmarkStart w:id="209" w:name="_Toc474514011"/>
      <w:bookmarkStart w:id="210" w:name="_Toc474514032"/>
      <w:bookmarkStart w:id="211" w:name="_Toc474514154"/>
      <w:bookmarkStart w:id="212" w:name="_Toc474514237"/>
      <w:bookmarkStart w:id="213" w:name="_Toc474514374"/>
      <w:bookmarkStart w:id="214" w:name="_Toc474514862"/>
      <w:bookmarkStart w:id="215" w:name="_Toc474514301"/>
      <w:bookmarkStart w:id="216" w:name="_Toc474514844"/>
      <w:bookmarkStart w:id="217" w:name="_Toc474514920"/>
      <w:bookmarkStart w:id="218" w:name="_Toc504475552"/>
      <w:bookmarkStart w:id="219" w:name="_Toc504475651"/>
      <w:bookmarkStart w:id="220" w:name="_Toc504475553"/>
      <w:bookmarkStart w:id="221" w:name="_Toc504475652"/>
      <w:bookmarkStart w:id="222" w:name="_Toc504475554"/>
      <w:bookmarkStart w:id="223" w:name="_Toc504475653"/>
      <w:bookmarkStart w:id="224" w:name="_Toc504504037"/>
      <w:bookmarkStart w:id="225" w:name="_Toc504553477"/>
      <w:bookmarkStart w:id="226" w:name="_Toc504504038"/>
      <w:bookmarkStart w:id="227" w:name="_Toc504553478"/>
      <w:bookmarkStart w:id="228" w:name="_Toc504504039"/>
      <w:bookmarkStart w:id="229" w:name="_Toc504553479"/>
      <w:bookmarkStart w:id="230" w:name="_Toc504504040"/>
      <w:bookmarkStart w:id="231" w:name="_Toc504553480"/>
      <w:bookmarkStart w:id="232" w:name="_Toc499549891"/>
      <w:bookmarkStart w:id="233" w:name="_Ref499889696"/>
      <w:bookmarkStart w:id="234" w:name="_Ref499889698"/>
      <w:bookmarkStart w:id="235" w:name="_Toc500856897"/>
      <w:bookmarkStart w:id="236" w:name="_Toc500858335"/>
      <w:bookmarkStart w:id="237" w:name="_Toc500869263"/>
      <w:bookmarkStart w:id="238" w:name="_Toc500872754"/>
      <w:bookmarkStart w:id="239" w:name="_Toc500873055"/>
      <w:bookmarkStart w:id="240" w:name="_Toc503465882"/>
      <w:bookmarkStart w:id="241" w:name="_Toc504475660"/>
      <w:bookmarkStart w:id="242" w:name="_Ref503012359"/>
      <w:bookmarkStart w:id="243" w:name="_Toc504475562"/>
      <w:bookmarkStart w:id="244" w:name="_Toc504475661"/>
      <w:bookmarkStart w:id="245" w:name="_Toc504476781"/>
      <w:bookmarkStart w:id="246" w:name="_Toc504502712"/>
      <w:bookmarkStart w:id="247" w:name="_Toc504502804"/>
      <w:bookmarkStart w:id="248" w:name="_Toc504502896"/>
      <w:bookmarkStart w:id="249" w:name="_Toc504503044"/>
      <w:bookmarkStart w:id="250" w:name="_Toc504503136"/>
      <w:bookmarkStart w:id="251" w:name="_Toc504503386"/>
      <w:bookmarkStart w:id="252" w:name="_Toc504504042"/>
      <w:bookmarkStart w:id="253" w:name="_Toc504553482"/>
      <w:bookmarkStart w:id="254" w:name="_Toc505869901"/>
      <w:bookmarkStart w:id="255" w:name="_Toc505870165"/>
      <w:bookmarkStart w:id="256" w:name="_Toc505872777"/>
      <w:bookmarkStart w:id="257" w:name="_Toc505872884"/>
      <w:bookmarkStart w:id="258" w:name="_Toc504475565"/>
      <w:bookmarkStart w:id="259" w:name="_Toc504475664"/>
      <w:bookmarkStart w:id="260" w:name="_Toc504476784"/>
      <w:bookmarkStart w:id="261" w:name="_Toc504502715"/>
      <w:bookmarkStart w:id="262" w:name="_Toc504502807"/>
      <w:bookmarkStart w:id="263" w:name="_Toc504502899"/>
      <w:bookmarkStart w:id="264" w:name="_Toc504503047"/>
      <w:bookmarkStart w:id="265" w:name="_Toc504503139"/>
      <w:bookmarkStart w:id="266" w:name="_Toc504503389"/>
      <w:bookmarkStart w:id="267" w:name="_Toc504504045"/>
      <w:bookmarkStart w:id="268" w:name="_Toc504553485"/>
      <w:bookmarkStart w:id="269" w:name="_Toc505869904"/>
      <w:bookmarkStart w:id="270" w:name="_Toc505870168"/>
      <w:bookmarkStart w:id="271" w:name="_Toc505872780"/>
      <w:bookmarkStart w:id="272" w:name="_Toc505872887"/>
      <w:bookmarkStart w:id="273" w:name="_Toc504475665"/>
      <w:bookmarkStart w:id="274" w:name="_Toc506393744"/>
      <w:bookmarkStart w:id="275" w:name="_Toc506475201"/>
      <w:bookmarkStart w:id="276" w:name="_Toc506478819"/>
      <w:bookmarkStart w:id="277" w:name="_Toc506479771"/>
      <w:bookmarkStart w:id="278" w:name="_Toc506483909"/>
      <w:bookmarkStart w:id="279" w:name="_Toc506529834"/>
      <w:bookmarkStart w:id="280" w:name="_Toc506531960"/>
      <w:bookmarkStart w:id="281" w:name="_Toc507083599"/>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noProof/>
        </w:rPr>
        <w:br w:type="page"/>
      </w:r>
    </w:p>
    <w:p w:rsidR="007D3598" w:rsidRDefault="00F8547B">
      <w:pPr>
        <w:pStyle w:val="HH1"/>
        <w:spacing w:before="0" w:after="0"/>
        <w:contextualSpacing w:val="0"/>
        <w:rPr>
          <w:noProof/>
        </w:rPr>
      </w:pPr>
      <w:bookmarkStart w:id="282" w:name="_Toc508279320"/>
      <w:bookmarkStart w:id="283" w:name="_Toc508369304"/>
      <w:bookmarkStart w:id="284" w:name="_Toc508375515"/>
      <w:bookmarkStart w:id="285" w:name="_Toc508715366"/>
      <w:bookmarkStart w:id="286" w:name="_Toc508975872"/>
      <w:bookmarkStart w:id="287" w:name="_Toc515270136"/>
      <w:r>
        <w:rPr>
          <w:noProof/>
        </w:rPr>
        <w:t>Implementation / State of Pla</w:t>
      </w:r>
      <w:bookmarkStart w:id="288" w:name="_Toc504504047"/>
      <w:bookmarkStart w:id="289" w:name="_Toc504553487"/>
      <w:bookmarkStart w:id="290" w:name="_Toc505869906"/>
      <w:bookmarkStart w:id="291" w:name="_Toc505870170"/>
      <w:bookmarkStart w:id="292" w:name="_Toc506459522"/>
      <w:bookmarkStart w:id="293" w:name="_Toc506466801"/>
      <w:bookmarkStart w:id="294" w:name="_Toc506468203"/>
      <w:bookmarkStart w:id="295" w:name="_Toc506468830"/>
      <w:bookmarkStart w:id="296" w:name="_Toc506472162"/>
      <w:bookmarkStart w:id="297" w:name="_Toc506474713"/>
      <w:bookmarkStart w:id="298" w:name="_Toc506474107"/>
      <w:bookmarkStart w:id="299" w:name="_Toc506475202"/>
      <w:bookmarkStart w:id="300" w:name="_Toc506476272"/>
      <w:bookmarkStart w:id="301" w:name="_Toc506475388"/>
      <w:bookmarkStart w:id="302" w:name="_Toc506477300"/>
      <w:bookmarkStart w:id="303" w:name="_Toc506477406"/>
      <w:bookmarkStart w:id="304" w:name="_Toc506478274"/>
      <w:bookmarkStart w:id="305" w:name="_Toc506478580"/>
      <w:bookmarkStart w:id="306" w:name="_Toc506478820"/>
      <w:bookmarkStart w:id="307" w:name="_Toc506479772"/>
      <w:bookmarkStart w:id="308" w:name="_Toc506483587"/>
      <w:bookmarkStart w:id="309" w:name="_Toc506483809"/>
      <w:bookmarkStart w:id="310" w:name="_Toc506483910"/>
      <w:bookmarkStart w:id="311" w:name="_Toc506529748"/>
      <w:bookmarkStart w:id="312" w:name="_Toc506529835"/>
      <w:bookmarkStart w:id="313" w:name="_Toc506530085"/>
      <w:bookmarkStart w:id="314" w:name="_Toc504475666"/>
      <w:bookmarkEnd w:id="273"/>
      <w:bookmarkEnd w:id="274"/>
      <w:bookmarkEnd w:id="275"/>
      <w:bookmarkEnd w:id="276"/>
      <w:bookmarkEnd w:id="277"/>
      <w:bookmarkEnd w:id="278"/>
      <w:bookmarkEnd w:id="279"/>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noProof/>
        </w:rPr>
        <w:t>y</w:t>
      </w:r>
      <w:bookmarkEnd w:id="280"/>
      <w:bookmarkEnd w:id="281"/>
      <w:bookmarkEnd w:id="282"/>
      <w:bookmarkEnd w:id="283"/>
      <w:bookmarkEnd w:id="284"/>
      <w:bookmarkEnd w:id="285"/>
      <w:bookmarkEnd w:id="286"/>
      <w:bookmarkEnd w:id="287"/>
    </w:p>
    <w:p w:rsidR="007D3598" w:rsidRDefault="007D3598">
      <w:pPr>
        <w:rPr>
          <w:noProof/>
        </w:rPr>
      </w:pPr>
      <w:bookmarkStart w:id="315" w:name="_Toc506475203"/>
      <w:bookmarkStart w:id="316" w:name="_Toc506478821"/>
      <w:bookmarkStart w:id="317" w:name="_Toc506479773"/>
      <w:bookmarkStart w:id="318" w:name="_Toc506483911"/>
      <w:bookmarkStart w:id="319" w:name="_Toc506529836"/>
      <w:bookmarkStart w:id="320" w:name="_Toc506531961"/>
    </w:p>
    <w:p w:rsidR="007D3598" w:rsidRDefault="00F8547B">
      <w:pPr>
        <w:pStyle w:val="HH2"/>
        <w:spacing w:before="0" w:after="0"/>
        <w:rPr>
          <w:noProof/>
          <w:szCs w:val="24"/>
        </w:rPr>
      </w:pPr>
      <w:bookmarkStart w:id="321" w:name="_Toc507083600"/>
      <w:bookmarkStart w:id="322" w:name="_Toc508279321"/>
      <w:bookmarkStart w:id="323" w:name="_Toc508369305"/>
      <w:bookmarkStart w:id="324" w:name="_Toc508375516"/>
      <w:bookmarkStart w:id="325" w:name="_Toc508715367"/>
      <w:bookmarkStart w:id="326" w:name="_Toc508975873"/>
      <w:bookmarkStart w:id="327" w:name="_Toc515270137"/>
      <w:r>
        <w:rPr>
          <w:noProof/>
          <w:szCs w:val="24"/>
        </w:rPr>
        <w:t>Description of the implementation process</w:t>
      </w:r>
      <w:bookmarkEnd w:id="315"/>
      <w:bookmarkEnd w:id="316"/>
      <w:bookmarkEnd w:id="317"/>
      <w:bookmarkEnd w:id="318"/>
      <w:bookmarkEnd w:id="319"/>
      <w:bookmarkEnd w:id="320"/>
      <w:bookmarkEnd w:id="321"/>
      <w:bookmarkEnd w:id="322"/>
      <w:bookmarkEnd w:id="323"/>
      <w:bookmarkEnd w:id="324"/>
      <w:bookmarkEnd w:id="325"/>
      <w:bookmarkEnd w:id="326"/>
      <w:bookmarkEnd w:id="327"/>
    </w:p>
    <w:p w:rsidR="007D3598" w:rsidRDefault="007D3598">
      <w:pPr>
        <w:rPr>
          <w:noProof/>
        </w:rPr>
      </w:pPr>
      <w:bookmarkStart w:id="328" w:name="_Toc506530088"/>
      <w:bookmarkStart w:id="329" w:name="_Toc506531349"/>
      <w:bookmarkEnd w:id="328"/>
      <w:bookmarkEnd w:id="329"/>
    </w:p>
    <w:p w:rsidR="007D3598" w:rsidRDefault="00F8547B">
      <w:pPr>
        <w:jc w:val="both"/>
        <w:rPr>
          <w:noProof/>
          <w:szCs w:val="24"/>
        </w:rPr>
      </w:pPr>
      <w:r>
        <w:rPr>
          <w:noProof/>
          <w:szCs w:val="24"/>
        </w:rPr>
        <w:t xml:space="preserve">ISF-BV is being implemented either by the Member States </w:t>
      </w:r>
      <w:r>
        <w:rPr>
          <w:noProof/>
          <w:szCs w:val="24"/>
        </w:rPr>
        <w:t>(shared management), directly by the Commission (direct management), or indirectly by entrusting the budget implementation task to a third party</w:t>
      </w:r>
      <w:r>
        <w:rPr>
          <w:rStyle w:val="FootnoteReference"/>
          <w:noProof/>
          <w:szCs w:val="24"/>
        </w:rPr>
        <w:footnoteReference w:id="28"/>
      </w:r>
      <w:r>
        <w:rPr>
          <w:noProof/>
          <w:szCs w:val="24"/>
        </w:rPr>
        <w:t xml:space="preserve"> (indirect management).</w:t>
      </w:r>
    </w:p>
    <w:p w:rsidR="007D3598" w:rsidRDefault="007D3598">
      <w:pPr>
        <w:jc w:val="both"/>
        <w:rPr>
          <w:noProof/>
          <w:szCs w:val="24"/>
        </w:rPr>
      </w:pPr>
    </w:p>
    <w:p w:rsidR="007D3598" w:rsidRDefault="00F8547B">
      <w:pPr>
        <w:jc w:val="both"/>
        <w:rPr>
          <w:noProof/>
          <w:szCs w:val="24"/>
        </w:rPr>
      </w:pPr>
      <w:r>
        <w:rPr>
          <w:noProof/>
          <w:szCs w:val="24"/>
        </w:rPr>
        <w:t xml:space="preserve">Under </w:t>
      </w:r>
      <w:r>
        <w:rPr>
          <w:b/>
          <w:noProof/>
          <w:szCs w:val="24"/>
        </w:rPr>
        <w:t>shared management</w:t>
      </w:r>
      <w:r>
        <w:rPr>
          <w:noProof/>
          <w:szCs w:val="24"/>
        </w:rPr>
        <w:t>, resources are allocated through national programmes to be imp</w:t>
      </w:r>
      <w:r>
        <w:rPr>
          <w:noProof/>
          <w:szCs w:val="24"/>
        </w:rPr>
        <w:t>lemented in close cooperation with competent authorities and institutions. Member States implement national programmes which contribute to the EU’s policy objectives but which are also tailor-made according to their national context. This ensures a level-p</w:t>
      </w:r>
      <w:r>
        <w:rPr>
          <w:noProof/>
          <w:szCs w:val="24"/>
        </w:rPr>
        <w:t>laying field among Member States, reduces the adverse effects of competition for funding, and brings predictability to funding allowing Member States to better plan their actions. Some actions, due to their nature, such as transnational actions, innovative</w:t>
      </w:r>
      <w:r>
        <w:rPr>
          <w:noProof/>
          <w:szCs w:val="24"/>
        </w:rPr>
        <w:t xml:space="preserve"> projects, support to civil society, and actions requiring funds to be mobilised quickly are implemented under </w:t>
      </w:r>
      <w:r>
        <w:rPr>
          <w:b/>
          <w:noProof/>
          <w:szCs w:val="24"/>
        </w:rPr>
        <w:t>direct management</w:t>
      </w:r>
      <w:r>
        <w:rPr>
          <w:noProof/>
          <w:szCs w:val="24"/>
        </w:rPr>
        <w:t xml:space="preserve"> by the Commission. Aside from actions to pursue the Fund’s specific objectives, within national programmes, each Member States </w:t>
      </w:r>
      <w:r>
        <w:rPr>
          <w:noProof/>
          <w:szCs w:val="24"/>
        </w:rPr>
        <w:t xml:space="preserve">‘may use up to 40 % of the amount allocated to finance </w:t>
      </w:r>
      <w:r>
        <w:rPr>
          <w:b/>
          <w:noProof/>
          <w:szCs w:val="24"/>
        </w:rPr>
        <w:t xml:space="preserve">Operating Support </w:t>
      </w:r>
      <w:r>
        <w:rPr>
          <w:noProof/>
          <w:szCs w:val="24"/>
        </w:rPr>
        <w:t>to the public authorities responsible for accomplishing the tasks and services that constitute a public service for the Union’</w:t>
      </w:r>
      <w:r>
        <w:rPr>
          <w:rStyle w:val="FootnoteReference"/>
          <w:noProof/>
        </w:rPr>
        <w:footnoteReference w:id="29"/>
      </w:r>
      <w:r>
        <w:rPr>
          <w:noProof/>
          <w:szCs w:val="24"/>
        </w:rPr>
        <w:t xml:space="preserve">. </w:t>
      </w:r>
    </w:p>
    <w:p w:rsidR="007D3598" w:rsidRDefault="007D3598">
      <w:pPr>
        <w:jc w:val="both"/>
        <w:rPr>
          <w:noProof/>
          <w:szCs w:val="24"/>
        </w:rPr>
      </w:pPr>
    </w:p>
    <w:p w:rsidR="007D3598" w:rsidRDefault="00F8547B">
      <w:pPr>
        <w:jc w:val="both"/>
        <w:rPr>
          <w:noProof/>
          <w:szCs w:val="24"/>
        </w:rPr>
      </w:pPr>
      <w:r>
        <w:rPr>
          <w:noProof/>
          <w:szCs w:val="24"/>
        </w:rPr>
        <w:t>In addition to the basic amount allocated to nationa</w:t>
      </w:r>
      <w:r>
        <w:rPr>
          <w:noProof/>
          <w:szCs w:val="24"/>
        </w:rPr>
        <w:t xml:space="preserve">l programmes, Member States may also receive additional resources for the implementation of </w:t>
      </w:r>
      <w:r>
        <w:rPr>
          <w:b/>
          <w:noProof/>
          <w:szCs w:val="24"/>
        </w:rPr>
        <w:t>specific actions</w:t>
      </w:r>
      <w:r>
        <w:rPr>
          <w:noProof/>
          <w:szCs w:val="24"/>
        </w:rPr>
        <w:t xml:space="preserve"> (SAs). SAs respond to EU priorities, in particular: ‘the setting up of consular cooperation mechanisms between at least two Member States’ (SA1), a</w:t>
      </w:r>
      <w:r>
        <w:rPr>
          <w:noProof/>
          <w:szCs w:val="24"/>
        </w:rPr>
        <w:t xml:space="preserve">nd ‘the purchasing of means of transport and operating equipment that are considered necessary for the deployment during the joint operation by the European Border and Coast Guard Agency (EBCGA, hereinafter referred to as Frontex) and that shall be put at </w:t>
      </w:r>
      <w:r>
        <w:rPr>
          <w:noProof/>
          <w:szCs w:val="24"/>
        </w:rPr>
        <w:t>the disposal of the Agency’ (SA2)</w:t>
      </w:r>
      <w:r>
        <w:rPr>
          <w:rStyle w:val="FootnoteReference"/>
          <w:noProof/>
        </w:rPr>
        <w:footnoteReference w:id="30"/>
      </w:r>
      <w:r>
        <w:rPr>
          <w:noProof/>
          <w:szCs w:val="24"/>
        </w:rPr>
        <w:t>. Shared management also includes the ‘</w:t>
      </w:r>
      <w:r>
        <w:rPr>
          <w:b/>
          <w:noProof/>
          <w:szCs w:val="24"/>
        </w:rPr>
        <w:t>Special Transit Scheme</w:t>
      </w:r>
      <w:r>
        <w:rPr>
          <w:noProof/>
          <w:szCs w:val="24"/>
        </w:rPr>
        <w:t>’</w:t>
      </w:r>
      <w:r>
        <w:rPr>
          <w:rStyle w:val="FootnoteReference"/>
          <w:noProof/>
        </w:rPr>
        <w:footnoteReference w:id="31"/>
      </w:r>
      <w:r>
        <w:rPr>
          <w:noProof/>
          <w:szCs w:val="24"/>
        </w:rPr>
        <w:t>.</w:t>
      </w:r>
      <w:r>
        <w:rPr>
          <w:noProof/>
          <w:szCs w:val="24"/>
          <w:vertAlign w:val="superscript"/>
        </w:rPr>
        <w:t xml:space="preserve"> </w:t>
      </w:r>
      <w:r>
        <w:rPr>
          <w:noProof/>
          <w:szCs w:val="24"/>
        </w:rPr>
        <w:t>This is a financial instrument that the EU granted to Lithuania to support the management of people transiting between the Kaliningrad region and the rest of</w:t>
      </w:r>
      <w:r>
        <w:rPr>
          <w:noProof/>
          <w:szCs w:val="24"/>
        </w:rPr>
        <w:t xml:space="preserve"> the Russian Federation, through EU territory, by means of the Facilitated Transit Document (FTD) and the Facilitated Rail Transit Document (FRTD).</w:t>
      </w:r>
    </w:p>
    <w:p w:rsidR="007D3598" w:rsidRDefault="007D3598">
      <w:pPr>
        <w:jc w:val="both"/>
        <w:rPr>
          <w:noProof/>
          <w:szCs w:val="24"/>
        </w:rPr>
      </w:pPr>
    </w:p>
    <w:p w:rsidR="007D3598" w:rsidRDefault="00F8547B">
      <w:pPr>
        <w:jc w:val="both"/>
        <w:rPr>
          <w:noProof/>
          <w:szCs w:val="24"/>
        </w:rPr>
      </w:pPr>
      <w:r>
        <w:rPr>
          <w:noProof/>
          <w:szCs w:val="24"/>
        </w:rPr>
        <w:t xml:space="preserve">At the beginning of the programming period, all Member States had a policy dialogue with the Commission to </w:t>
      </w:r>
      <w:r>
        <w:rPr>
          <w:noProof/>
          <w:szCs w:val="24"/>
        </w:rPr>
        <w:t xml:space="preserve">enable them to prepare their national programmes. Based on the outcome of these dialogues, the Member States submitted their multiannual national programmes. The Commission examined these programmes, consulted Frontex and eventually approved each national </w:t>
      </w:r>
      <w:r>
        <w:rPr>
          <w:noProof/>
          <w:szCs w:val="24"/>
        </w:rPr>
        <w:t>programme. To implement their national programmes, Member States had to set up a management and control system</w:t>
      </w:r>
      <w:r>
        <w:rPr>
          <w:rStyle w:val="FootnoteReference"/>
          <w:noProof/>
          <w:szCs w:val="24"/>
        </w:rPr>
        <w:footnoteReference w:id="32"/>
      </w:r>
      <w:r>
        <w:rPr>
          <w:noProof/>
          <w:szCs w:val="24"/>
        </w:rPr>
        <w:t xml:space="preserve">. The Commission follows the implementation under shared management by examining the annual implementation reports (AIRs) and accounts submitted </w:t>
      </w:r>
      <w:r>
        <w:rPr>
          <w:noProof/>
          <w:szCs w:val="24"/>
        </w:rPr>
        <w:t>by the Member States.</w:t>
      </w:r>
    </w:p>
    <w:p w:rsidR="007D3598" w:rsidRDefault="007D3598">
      <w:pPr>
        <w:jc w:val="both"/>
        <w:rPr>
          <w:noProof/>
          <w:szCs w:val="24"/>
        </w:rPr>
      </w:pPr>
    </w:p>
    <w:p w:rsidR="007D3598" w:rsidRDefault="00F8547B">
      <w:pPr>
        <w:jc w:val="both"/>
        <w:rPr>
          <w:noProof/>
          <w:szCs w:val="24"/>
        </w:rPr>
      </w:pPr>
      <w:r>
        <w:rPr>
          <w:noProof/>
          <w:szCs w:val="24"/>
        </w:rPr>
        <w:t>A mid-term review of national programmes was planned for the middle of the programming period, i.e. in 2018. In addition, in order to evaluate the programmes, Member States are expected to submit two national evaluation reports: an i</w:t>
      </w:r>
      <w:r>
        <w:rPr>
          <w:noProof/>
          <w:szCs w:val="24"/>
        </w:rPr>
        <w:t xml:space="preserve">nterim evaluation report by the end of 2017 and an </w:t>
      </w:r>
      <w:r>
        <w:rPr>
          <w:i/>
          <w:noProof/>
          <w:szCs w:val="24"/>
        </w:rPr>
        <w:t>ex post</w:t>
      </w:r>
      <w:r>
        <w:rPr>
          <w:noProof/>
          <w:szCs w:val="24"/>
        </w:rPr>
        <w:t xml:space="preserve"> evaluation report by the end of 2023. The Commission will take these reports into account in its interim and </w:t>
      </w:r>
      <w:r>
        <w:rPr>
          <w:i/>
          <w:noProof/>
          <w:szCs w:val="24"/>
        </w:rPr>
        <w:t>ex post</w:t>
      </w:r>
      <w:r>
        <w:rPr>
          <w:noProof/>
          <w:szCs w:val="24"/>
        </w:rPr>
        <w:t xml:space="preserve"> evaluations of the Fund, which are to be sent to the European Parliament, the Co</w:t>
      </w:r>
      <w:r>
        <w:rPr>
          <w:noProof/>
          <w:szCs w:val="24"/>
        </w:rPr>
        <w:t>uncil, the Economic and Social Committee and the Committee of the Regions by 30 June 2018 and 20 June 2024 respectively.</w:t>
      </w:r>
    </w:p>
    <w:p w:rsidR="007D3598" w:rsidRDefault="007D3598">
      <w:pPr>
        <w:jc w:val="both"/>
        <w:rPr>
          <w:noProof/>
          <w:szCs w:val="24"/>
        </w:rPr>
      </w:pPr>
    </w:p>
    <w:p w:rsidR="007D3598" w:rsidRDefault="00F8547B">
      <w:pPr>
        <w:jc w:val="both"/>
        <w:rPr>
          <w:noProof/>
          <w:szCs w:val="24"/>
        </w:rPr>
      </w:pPr>
      <w:r>
        <w:rPr>
          <w:noProof/>
          <w:szCs w:val="24"/>
        </w:rPr>
        <w:t xml:space="preserve">A small amount of money equal to 5 % of the total national allocation plus EUR 0.5 million is reserved in the national programmes for </w:t>
      </w:r>
      <w:r>
        <w:rPr>
          <w:noProof/>
          <w:szCs w:val="24"/>
        </w:rPr>
        <w:t>technical assistance.</w:t>
      </w:r>
    </w:p>
    <w:p w:rsidR="007D3598" w:rsidRDefault="007D3598">
      <w:pPr>
        <w:jc w:val="both"/>
        <w:rPr>
          <w:noProof/>
          <w:szCs w:val="24"/>
        </w:rPr>
      </w:pPr>
    </w:p>
    <w:p w:rsidR="007D3598" w:rsidRDefault="00F8547B">
      <w:pPr>
        <w:jc w:val="both"/>
        <w:rPr>
          <w:noProof/>
          <w:szCs w:val="24"/>
        </w:rPr>
      </w:pPr>
      <w:r>
        <w:rPr>
          <w:noProof/>
          <w:szCs w:val="24"/>
        </w:rPr>
        <w:t xml:space="preserve">Moreover, each Member States needs to establish a partnership with relevant stakeholders including, other public authorities, international organisations, NGOs and social partners in order to prepare, implement, monitor and evaluate </w:t>
      </w:r>
      <w:r>
        <w:rPr>
          <w:noProof/>
          <w:szCs w:val="24"/>
        </w:rPr>
        <w:t>the national programmes. Stakeholders meet regularly in a monitoring committee set up to follow the national programme’s implementation.</w:t>
      </w:r>
    </w:p>
    <w:p w:rsidR="007D3598" w:rsidRDefault="007D3598">
      <w:pPr>
        <w:jc w:val="both"/>
        <w:rPr>
          <w:noProof/>
          <w:szCs w:val="24"/>
        </w:rPr>
      </w:pPr>
    </w:p>
    <w:p w:rsidR="007D3598" w:rsidRDefault="00F8547B">
      <w:pPr>
        <w:jc w:val="both"/>
        <w:rPr>
          <w:noProof/>
          <w:szCs w:val="24"/>
        </w:rPr>
      </w:pPr>
      <w:r>
        <w:rPr>
          <w:noProof/>
          <w:szCs w:val="24"/>
        </w:rPr>
        <w:t xml:space="preserve">For </w:t>
      </w:r>
      <w:r>
        <w:rPr>
          <w:b/>
          <w:noProof/>
          <w:szCs w:val="24"/>
        </w:rPr>
        <w:t>direct management</w:t>
      </w:r>
      <w:r>
        <w:rPr>
          <w:noProof/>
          <w:szCs w:val="24"/>
        </w:rPr>
        <w:t xml:space="preserve">, it is the Commission that centrally and directly supervises budget implementation through EMAS </w:t>
      </w:r>
      <w:r>
        <w:rPr>
          <w:noProof/>
          <w:szCs w:val="24"/>
        </w:rPr>
        <w:t>and UAs. Funds are earmarked by the EU through calls for proposals, procurement, and direct awards, as planned in the annual work programme</w:t>
      </w:r>
      <w:r>
        <w:rPr>
          <w:rStyle w:val="FootnoteReference"/>
          <w:noProof/>
        </w:rPr>
        <w:footnoteReference w:id="33"/>
      </w:r>
      <w:r>
        <w:rPr>
          <w:noProof/>
          <w:szCs w:val="24"/>
        </w:rPr>
        <w:t>.</w:t>
      </w:r>
      <w:r>
        <w:rPr>
          <w:noProof/>
          <w:szCs w:val="24"/>
          <w:vertAlign w:val="superscript"/>
        </w:rPr>
        <w:t xml:space="preserve"> </w:t>
      </w:r>
      <w:r>
        <w:rPr>
          <w:noProof/>
          <w:szCs w:val="24"/>
        </w:rPr>
        <w:t xml:space="preserve">Under </w:t>
      </w:r>
      <w:r>
        <w:rPr>
          <w:b/>
          <w:noProof/>
          <w:szCs w:val="24"/>
        </w:rPr>
        <w:t>indirect management</w:t>
      </w:r>
      <w:r>
        <w:rPr>
          <w:noProof/>
          <w:szCs w:val="24"/>
        </w:rPr>
        <w:t xml:space="preserve">, the Commission entrusts, through delegation agreements, budget implementation tasks to </w:t>
      </w:r>
      <w:r>
        <w:rPr>
          <w:noProof/>
          <w:szCs w:val="24"/>
        </w:rPr>
        <w:t>Member States (or to bodies designated by them), international organisations, Member States development agencies, EU agencies, and other bodies, because they are best placed to carry out those activities and also because of the limited human and administra</w:t>
      </w:r>
      <w:r>
        <w:rPr>
          <w:noProof/>
          <w:szCs w:val="24"/>
        </w:rPr>
        <w:t>tive resources available in the Commission</w:t>
      </w:r>
      <w:r>
        <w:rPr>
          <w:rStyle w:val="FootnoteReference"/>
          <w:noProof/>
          <w:szCs w:val="24"/>
        </w:rPr>
        <w:footnoteReference w:id="34"/>
      </w:r>
      <w:r>
        <w:rPr>
          <w:noProof/>
          <w:szCs w:val="24"/>
        </w:rPr>
        <w:t>.</w:t>
      </w:r>
    </w:p>
    <w:p w:rsidR="007D3598" w:rsidRDefault="007D3598">
      <w:pPr>
        <w:jc w:val="both"/>
        <w:rPr>
          <w:rFonts w:eastAsiaTheme="minorHAnsi"/>
          <w:noProof/>
          <w:szCs w:val="24"/>
        </w:rPr>
      </w:pPr>
    </w:p>
    <w:p w:rsidR="007D3598" w:rsidRDefault="007D3598">
      <w:pPr>
        <w:jc w:val="both"/>
        <w:rPr>
          <w:rFonts w:eastAsiaTheme="minorHAnsi"/>
          <w:noProof/>
          <w:szCs w:val="24"/>
        </w:rPr>
      </w:pPr>
      <w:bookmarkStart w:id="330" w:name="_Toc506475204"/>
      <w:bookmarkStart w:id="331" w:name="_Toc506478822"/>
      <w:bookmarkStart w:id="332" w:name="_Toc506479774"/>
      <w:bookmarkStart w:id="333" w:name="_Toc506483912"/>
      <w:bookmarkStart w:id="334" w:name="_Toc506529837"/>
      <w:bookmarkStart w:id="335" w:name="_Toc506531962"/>
      <w:bookmarkStart w:id="336" w:name="_Toc507083601"/>
      <w:bookmarkStart w:id="337" w:name="_Toc508279322"/>
      <w:bookmarkStart w:id="338" w:name="_Toc508369306"/>
      <w:bookmarkStart w:id="339" w:name="_Toc508375517"/>
      <w:bookmarkStart w:id="340" w:name="_Toc508715368"/>
      <w:bookmarkStart w:id="341" w:name="_Toc508975874"/>
    </w:p>
    <w:p w:rsidR="007D3598" w:rsidRDefault="00F8547B">
      <w:pPr>
        <w:pStyle w:val="HH2"/>
        <w:spacing w:before="0" w:after="0"/>
        <w:contextualSpacing w:val="0"/>
        <w:rPr>
          <w:noProof/>
        </w:rPr>
      </w:pPr>
      <w:bookmarkStart w:id="342" w:name="_Toc515270138"/>
      <w:r>
        <w:rPr>
          <w:noProof/>
        </w:rPr>
        <w:t>Description of the implementation status</w:t>
      </w:r>
      <w:bookmarkEnd w:id="330"/>
      <w:bookmarkEnd w:id="331"/>
      <w:bookmarkEnd w:id="332"/>
      <w:bookmarkEnd w:id="333"/>
      <w:bookmarkEnd w:id="334"/>
      <w:bookmarkEnd w:id="335"/>
      <w:bookmarkEnd w:id="336"/>
      <w:bookmarkEnd w:id="337"/>
      <w:bookmarkEnd w:id="338"/>
      <w:bookmarkEnd w:id="339"/>
      <w:bookmarkEnd w:id="340"/>
      <w:bookmarkEnd w:id="341"/>
      <w:bookmarkEnd w:id="342"/>
    </w:p>
    <w:p w:rsidR="007D3598" w:rsidRDefault="007D3598">
      <w:pPr>
        <w:rPr>
          <w:noProof/>
        </w:rPr>
      </w:pPr>
      <w:bookmarkStart w:id="343" w:name="_Toc506389089"/>
      <w:bookmarkStart w:id="344" w:name="_Toc506393641"/>
      <w:bookmarkStart w:id="345" w:name="_Toc506393693"/>
      <w:bookmarkStart w:id="346" w:name="_Toc506393745"/>
      <w:bookmarkStart w:id="347" w:name="_Toc506395179"/>
      <w:bookmarkStart w:id="348" w:name="_Toc499543639"/>
      <w:bookmarkEnd w:id="314"/>
      <w:bookmarkEnd w:id="343"/>
      <w:bookmarkEnd w:id="344"/>
      <w:bookmarkEnd w:id="345"/>
      <w:bookmarkEnd w:id="346"/>
      <w:bookmarkEnd w:id="347"/>
    </w:p>
    <w:p w:rsidR="007D3598" w:rsidRDefault="00F8547B">
      <w:pPr>
        <w:pStyle w:val="HH3"/>
        <w:spacing w:before="0" w:after="0"/>
        <w:rPr>
          <w:noProof/>
        </w:rPr>
      </w:pPr>
      <w:r>
        <w:rPr>
          <w:noProof/>
        </w:rPr>
        <w:t>Shared management</w:t>
      </w:r>
    </w:p>
    <w:p w:rsidR="007D3598" w:rsidRDefault="007D3598">
      <w:pPr>
        <w:jc w:val="both"/>
        <w:rPr>
          <w:noProof/>
          <w:szCs w:val="24"/>
        </w:rPr>
      </w:pPr>
    </w:p>
    <w:p w:rsidR="007D3598" w:rsidRDefault="00F8547B">
      <w:pPr>
        <w:jc w:val="both"/>
        <w:rPr>
          <w:noProof/>
          <w:szCs w:val="24"/>
          <w:lang w:eastAsia="it-IT"/>
        </w:rPr>
      </w:pPr>
      <w:r>
        <w:rPr>
          <w:noProof/>
          <w:szCs w:val="24"/>
        </w:rPr>
        <w:t>According to the legal base, the total programmed EU contribution for shared management was EUR 2.496 billion consisting of EUR 1.705 billion for na</w:t>
      </w:r>
      <w:r>
        <w:rPr>
          <w:noProof/>
          <w:szCs w:val="24"/>
        </w:rPr>
        <w:t>tional programmes and EUR 791 million for the development of (existing and/or new) IT systems that support the</w:t>
      </w:r>
      <w:r>
        <w:rPr>
          <w:b/>
          <w:i/>
          <w:noProof/>
          <w:szCs w:val="24"/>
        </w:rPr>
        <w:t xml:space="preserve"> </w:t>
      </w:r>
      <w:r>
        <w:rPr>
          <w:noProof/>
          <w:szCs w:val="24"/>
          <w:lang w:eastAsia="it-IT"/>
        </w:rPr>
        <w:t>management of migration flows across the external borders. The allocation to national programmes was further broken down to:</w:t>
      </w:r>
    </w:p>
    <w:p w:rsidR="007D3598" w:rsidRDefault="00F8547B">
      <w:pPr>
        <w:pStyle w:val="ListParagraph"/>
        <w:numPr>
          <w:ilvl w:val="0"/>
          <w:numId w:val="87"/>
        </w:numPr>
        <w:jc w:val="both"/>
        <w:rPr>
          <w:noProof/>
          <w:szCs w:val="24"/>
        </w:rPr>
      </w:pPr>
      <w:r>
        <w:rPr>
          <w:noProof/>
          <w:szCs w:val="24"/>
        </w:rPr>
        <w:t>EUR 1.276 billion to</w:t>
      </w:r>
      <w:r>
        <w:rPr>
          <w:noProof/>
          <w:szCs w:val="24"/>
        </w:rPr>
        <w:t xml:space="preserve"> national programmes, of which up to 40 % is available for operating support, with EUR 128 million to be distributed under the mid-term review; and </w:t>
      </w:r>
    </w:p>
    <w:p w:rsidR="007D3598" w:rsidRDefault="00F8547B">
      <w:pPr>
        <w:pStyle w:val="ListParagraph"/>
        <w:numPr>
          <w:ilvl w:val="0"/>
          <w:numId w:val="87"/>
        </w:numPr>
        <w:jc w:val="both"/>
        <w:rPr>
          <w:noProof/>
          <w:szCs w:val="24"/>
        </w:rPr>
      </w:pPr>
      <w:r>
        <w:rPr>
          <w:noProof/>
          <w:szCs w:val="24"/>
        </w:rPr>
        <w:t>EUR 147 million for specific actions; and</w:t>
      </w:r>
    </w:p>
    <w:p w:rsidR="007D3598" w:rsidRDefault="00F8547B">
      <w:pPr>
        <w:pStyle w:val="ListParagraph"/>
        <w:numPr>
          <w:ilvl w:val="0"/>
          <w:numId w:val="87"/>
        </w:numPr>
        <w:jc w:val="both"/>
        <w:rPr>
          <w:noProof/>
          <w:szCs w:val="24"/>
        </w:rPr>
      </w:pPr>
      <w:r>
        <w:rPr>
          <w:noProof/>
          <w:szCs w:val="24"/>
        </w:rPr>
        <w:t xml:space="preserve">EUR 154 million for the Special Transit Scheme. </w:t>
      </w:r>
    </w:p>
    <w:p w:rsidR="007D3598" w:rsidRDefault="007D3598">
      <w:pPr>
        <w:jc w:val="both"/>
        <w:rPr>
          <w:noProof/>
          <w:szCs w:val="24"/>
        </w:rPr>
      </w:pPr>
    </w:p>
    <w:p w:rsidR="007D3598" w:rsidRDefault="00F8547B">
      <w:pPr>
        <w:jc w:val="both"/>
        <w:rPr>
          <w:noProof/>
          <w:szCs w:val="24"/>
          <w:lang w:eastAsia="it-IT"/>
        </w:rPr>
      </w:pPr>
      <w:r>
        <w:rPr>
          <w:noProof/>
          <w:szCs w:val="24"/>
        </w:rPr>
        <w:t>Regarding funds</w:t>
      </w:r>
      <w:r>
        <w:rPr>
          <w:noProof/>
          <w:szCs w:val="24"/>
        </w:rPr>
        <w:t xml:space="preserve"> allocated to IT systems, </w:t>
      </w:r>
      <w:r>
        <w:rPr>
          <w:noProof/>
          <w:lang w:eastAsia="it-IT"/>
        </w:rPr>
        <w:t xml:space="preserve">only EUR 145.7 million will be provided via ISF-BV, with </w:t>
      </w:r>
      <w:r>
        <w:rPr>
          <w:noProof/>
          <w:szCs w:val="24"/>
          <w:lang w:eastAsia="it-IT"/>
        </w:rPr>
        <w:t>the</w:t>
      </w:r>
      <w:r>
        <w:rPr>
          <w:noProof/>
        </w:rPr>
        <w:t xml:space="preserve"> remaining amount expected to be provided through the ‘Smart Borders’ and ‘Schengen Information System II’ budget lines managed by the Commission as well as directly by t</w:t>
      </w:r>
      <w:r>
        <w:rPr>
          <w:noProof/>
        </w:rPr>
        <w:t>wo EU agencies (eu-LISA and Frontex).</w:t>
      </w:r>
    </w:p>
    <w:p w:rsidR="007D3598" w:rsidRDefault="007D3598">
      <w:pPr>
        <w:jc w:val="both"/>
        <w:rPr>
          <w:noProof/>
          <w:szCs w:val="24"/>
          <w:lang w:eastAsia="it-IT"/>
        </w:rPr>
      </w:pPr>
    </w:p>
    <w:p w:rsidR="007D3598" w:rsidRDefault="00F8547B">
      <w:pPr>
        <w:jc w:val="both"/>
        <w:rPr>
          <w:noProof/>
          <w:szCs w:val="24"/>
          <w:lang w:eastAsia="it-IT"/>
        </w:rPr>
      </w:pPr>
      <w:r>
        <w:rPr>
          <w:noProof/>
          <w:szCs w:val="24"/>
          <w:lang w:eastAsia="it-IT"/>
        </w:rPr>
        <w:t>At the end of the interim evaluation period 26 national programmes were approved</w:t>
      </w:r>
      <w:r>
        <w:rPr>
          <w:rStyle w:val="FootnoteReference"/>
          <w:noProof/>
          <w:szCs w:val="24"/>
          <w:lang w:eastAsia="it-IT"/>
        </w:rPr>
        <w:footnoteReference w:id="35"/>
      </w:r>
      <w:r>
        <w:rPr>
          <w:noProof/>
          <w:szCs w:val="24"/>
          <w:lang w:eastAsia="it-IT"/>
        </w:rPr>
        <w:t xml:space="preserve"> and</w:t>
      </w:r>
      <w:r>
        <w:rPr>
          <w:noProof/>
          <w:lang w:eastAsia="it-IT"/>
        </w:rPr>
        <w:t xml:space="preserve"> the </w:t>
      </w:r>
      <w:r>
        <w:rPr>
          <w:noProof/>
          <w:szCs w:val="24"/>
          <w:lang w:eastAsia="it-IT"/>
        </w:rPr>
        <w:t>resources allocated for adopted national programmes stood at EUR</w:t>
      </w:r>
      <w:r>
        <w:rPr>
          <w:noProof/>
          <w:lang w:eastAsia="it-IT"/>
        </w:rPr>
        <w:t> </w:t>
      </w:r>
      <w:r>
        <w:rPr>
          <w:noProof/>
          <w:szCs w:val="24"/>
          <w:lang w:eastAsia="it-IT"/>
        </w:rPr>
        <w:t>1.533 billion.</w:t>
      </w:r>
    </w:p>
    <w:p w:rsidR="007D3598" w:rsidRDefault="007D3598">
      <w:pPr>
        <w:jc w:val="both"/>
        <w:rPr>
          <w:noProof/>
          <w:szCs w:val="24"/>
          <w:lang w:eastAsia="it-IT"/>
        </w:rPr>
      </w:pPr>
    </w:p>
    <w:p w:rsidR="007D3598" w:rsidRDefault="00F8547B">
      <w:pPr>
        <w:jc w:val="both"/>
        <w:rPr>
          <w:noProof/>
        </w:rPr>
      </w:pPr>
      <w:r>
        <w:rPr>
          <w:noProof/>
          <w:szCs w:val="24"/>
          <w:lang w:eastAsia="it-IT"/>
        </w:rPr>
        <w:t>By 31 December 2016</w:t>
      </w:r>
      <w:r>
        <w:rPr>
          <w:rStyle w:val="FootnoteReference"/>
          <w:noProof/>
          <w:szCs w:val="24"/>
          <w:lang w:eastAsia="it-IT"/>
        </w:rPr>
        <w:footnoteReference w:id="36"/>
      </w:r>
      <w:r>
        <w:rPr>
          <w:noProof/>
          <w:szCs w:val="24"/>
          <w:lang w:eastAsia="it-IT"/>
        </w:rPr>
        <w:t xml:space="preserve">, Member States had drawn </w:t>
      </w:r>
      <w:r>
        <w:rPr>
          <w:noProof/>
          <w:szCs w:val="24"/>
          <w:lang w:eastAsia="it-IT"/>
        </w:rPr>
        <w:t xml:space="preserve">down EUR 584 million </w:t>
      </w:r>
      <w:r>
        <w:rPr>
          <w:noProof/>
          <w:szCs w:val="24"/>
        </w:rPr>
        <w:t xml:space="preserve">of the total EU resources available for the period 2014-2020 for national programmes that were adopted, with an </w:t>
      </w:r>
      <w:r>
        <w:rPr>
          <w:b/>
          <w:noProof/>
          <w:szCs w:val="24"/>
        </w:rPr>
        <w:t>implementation rate</w:t>
      </w:r>
      <w:r>
        <w:rPr>
          <w:noProof/>
          <w:szCs w:val="24"/>
        </w:rPr>
        <w:t xml:space="preserve"> of</w:t>
      </w:r>
      <w:r>
        <w:rPr>
          <w:noProof/>
          <w:szCs w:val="24"/>
          <w:lang w:eastAsia="it-IT"/>
        </w:rPr>
        <w:t xml:space="preserve"> 38 %. Total payments cleared under the accounts for 2014-2016 amounted to EUR 178 million, resulting</w:t>
      </w:r>
      <w:r>
        <w:rPr>
          <w:noProof/>
          <w:szCs w:val="24"/>
          <w:lang w:eastAsia="it-IT"/>
        </w:rPr>
        <w:t xml:space="preserve"> in a very low </w:t>
      </w:r>
      <w:r>
        <w:rPr>
          <w:b/>
          <w:noProof/>
          <w:szCs w:val="24"/>
          <w:lang w:eastAsia="it-IT"/>
        </w:rPr>
        <w:t>payment rate</w:t>
      </w:r>
      <w:r>
        <w:rPr>
          <w:noProof/>
          <w:szCs w:val="24"/>
          <w:lang w:eastAsia="it-IT"/>
        </w:rPr>
        <w:t xml:space="preserve"> of 12 %</w:t>
      </w:r>
      <w:r>
        <w:rPr>
          <w:noProof/>
          <w:szCs w:val="24"/>
        </w:rPr>
        <w:t>.</w:t>
      </w:r>
    </w:p>
    <w:p w:rsidR="007D3598" w:rsidRDefault="007D3598">
      <w:pPr>
        <w:jc w:val="both"/>
        <w:rPr>
          <w:i/>
          <w:noProof/>
          <w:sz w:val="20"/>
          <w:lang w:eastAsia="it-IT"/>
        </w:rPr>
      </w:pPr>
    </w:p>
    <w:p w:rsidR="007D3598" w:rsidRDefault="007D3598">
      <w:pPr>
        <w:jc w:val="both"/>
        <w:rPr>
          <w:i/>
          <w:noProof/>
          <w:sz w:val="20"/>
          <w:lang w:eastAsia="it-IT"/>
        </w:rPr>
      </w:pPr>
    </w:p>
    <w:p w:rsidR="007D3598" w:rsidRDefault="007D3598">
      <w:pPr>
        <w:jc w:val="both"/>
        <w:rPr>
          <w:i/>
          <w:noProof/>
          <w:sz w:val="20"/>
          <w:lang w:eastAsia="it-IT"/>
        </w:rPr>
      </w:pPr>
    </w:p>
    <w:p w:rsidR="007D3598" w:rsidRDefault="00F8547B">
      <w:pPr>
        <w:jc w:val="both"/>
        <w:rPr>
          <w:i/>
          <w:noProof/>
          <w:sz w:val="20"/>
          <w:lang w:eastAsia="it-IT"/>
        </w:rPr>
      </w:pPr>
      <w:r>
        <w:rPr>
          <w:i/>
          <w:noProof/>
          <w:sz w:val="20"/>
          <w:lang w:eastAsia="it-IT"/>
        </w:rPr>
        <w:t xml:space="preserve">Figure 3: ISF-BV shared management: Allocation of global resources to shared management 2014-2020 (EUR million)  </w:t>
      </w:r>
    </w:p>
    <w:p w:rsidR="007D3598" w:rsidRDefault="007D3598">
      <w:pPr>
        <w:jc w:val="both"/>
        <w:rPr>
          <w:i/>
          <w:noProof/>
          <w:sz w:val="20"/>
          <w:lang w:eastAsia="it-IT"/>
        </w:rPr>
      </w:pPr>
    </w:p>
    <w:p w:rsidR="007D3598" w:rsidRDefault="00F8547B">
      <w:pPr>
        <w:jc w:val="center"/>
        <w:rPr>
          <w:noProof/>
          <w:szCs w:val="24"/>
        </w:rPr>
      </w:pPr>
      <w:r>
        <w:rPr>
          <w:noProof/>
          <w:lang w:eastAsia="en-GB"/>
        </w:rPr>
        <w:drawing>
          <wp:inline distT="0" distB="0" distL="0" distR="0" wp14:anchorId="74471C10" wp14:editId="670C8340">
            <wp:extent cx="558165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7D3598" w:rsidRDefault="007D3598">
      <w:pPr>
        <w:jc w:val="both"/>
        <w:rPr>
          <w:noProof/>
          <w:szCs w:val="24"/>
        </w:rPr>
      </w:pPr>
    </w:p>
    <w:p w:rsidR="007D3598" w:rsidRDefault="00F8547B">
      <w:pPr>
        <w:jc w:val="both"/>
        <w:rPr>
          <w:noProof/>
          <w:szCs w:val="24"/>
        </w:rPr>
      </w:pPr>
      <w:r>
        <w:rPr>
          <w:noProof/>
          <w:szCs w:val="24"/>
        </w:rPr>
        <w:t xml:space="preserve">Disaggregating </w:t>
      </w:r>
      <w:r>
        <w:rPr>
          <w:b/>
          <w:noProof/>
          <w:szCs w:val="24"/>
        </w:rPr>
        <w:t xml:space="preserve">data by ISF-BV’s objectives </w:t>
      </w:r>
      <w:r>
        <w:rPr>
          <w:noProof/>
          <w:szCs w:val="24"/>
        </w:rPr>
        <w:t xml:space="preserve">as reflected in the </w:t>
      </w:r>
      <w:r>
        <w:rPr>
          <w:noProof/>
          <w:color w:val="000000"/>
          <w:szCs w:val="24"/>
          <w:lang w:eastAsia="it-IT"/>
        </w:rPr>
        <w:t xml:space="preserve">Shared Fund Management Common </w:t>
      </w:r>
      <w:r>
        <w:rPr>
          <w:noProof/>
          <w:color w:val="000000"/>
          <w:szCs w:val="24"/>
          <w:lang w:eastAsia="it-IT"/>
        </w:rPr>
        <w:t>System of DG HOME</w:t>
      </w:r>
      <w:r>
        <w:rPr>
          <w:noProof/>
          <w:szCs w:val="24"/>
        </w:rPr>
        <w:t xml:space="preserve"> (SFC2014</w:t>
      </w:r>
      <w:r>
        <w:rPr>
          <w:rStyle w:val="FootnoteReference"/>
          <w:noProof/>
          <w:szCs w:val="24"/>
        </w:rPr>
        <w:footnoteReference w:id="37"/>
      </w:r>
      <w:r>
        <w:rPr>
          <w:noProof/>
          <w:szCs w:val="24"/>
        </w:rPr>
        <w:t>)</w:t>
      </w:r>
      <w:r>
        <w:rPr>
          <w:b/>
          <w:noProof/>
          <w:szCs w:val="24"/>
        </w:rPr>
        <w:t>,</w:t>
      </w:r>
      <w:r>
        <w:rPr>
          <w:noProof/>
          <w:szCs w:val="24"/>
        </w:rPr>
        <w:t xml:space="preserve"> resources have been earmarked for specific objective Borders (with 55.9 % of the planned EU commitment/available EU resources for adopted national programmes), followed by operating support (with 20.7 %), STS (with 9.7 %) and </w:t>
      </w:r>
      <w:r>
        <w:rPr>
          <w:noProof/>
          <w:szCs w:val="24"/>
        </w:rPr>
        <w:t>specific objective Visa (with 9.6 %). 4.1 % was dedicated to technical assistance.</w:t>
      </w:r>
    </w:p>
    <w:p w:rsidR="007D3598" w:rsidRDefault="007D3598">
      <w:pPr>
        <w:rPr>
          <w:b/>
          <w:noProof/>
          <w:szCs w:val="24"/>
        </w:rPr>
      </w:pPr>
    </w:p>
    <w:p w:rsidR="007D3598" w:rsidRDefault="00F8547B">
      <w:pPr>
        <w:jc w:val="both"/>
        <w:rPr>
          <w:i/>
          <w:noProof/>
          <w:sz w:val="20"/>
        </w:rPr>
      </w:pPr>
      <w:r>
        <w:rPr>
          <w:i/>
          <w:noProof/>
          <w:sz w:val="20"/>
        </w:rPr>
        <w:t>Figure 4: ISF-BV — EU planned resources 2014-2020 under the specifc objectives for adopted national programmes (EUR million)</w:t>
      </w:r>
    </w:p>
    <w:p w:rsidR="007D3598" w:rsidRDefault="007D3598">
      <w:pPr>
        <w:jc w:val="both"/>
        <w:rPr>
          <w:i/>
          <w:noProof/>
          <w:sz w:val="20"/>
        </w:rPr>
      </w:pPr>
    </w:p>
    <w:p w:rsidR="007D3598" w:rsidRDefault="00F8547B">
      <w:pPr>
        <w:jc w:val="both"/>
        <w:rPr>
          <w:i/>
          <w:noProof/>
          <w:sz w:val="20"/>
        </w:rPr>
      </w:pPr>
      <w:r>
        <w:rPr>
          <w:noProof/>
          <w:lang w:eastAsia="en-GB"/>
        </w:rPr>
        <w:drawing>
          <wp:inline distT="0" distB="0" distL="0" distR="0" wp14:anchorId="66142E9A" wp14:editId="2F4CA98E">
            <wp:extent cx="6066845" cy="2743200"/>
            <wp:effectExtent l="0" t="0" r="1016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7D3598" w:rsidRDefault="007D3598">
      <w:pPr>
        <w:jc w:val="both"/>
        <w:rPr>
          <w:i/>
          <w:noProof/>
          <w:sz w:val="20"/>
        </w:rPr>
      </w:pPr>
    </w:p>
    <w:p w:rsidR="007D3598" w:rsidRDefault="007D3598">
      <w:pPr>
        <w:jc w:val="both"/>
        <w:rPr>
          <w:noProof/>
          <w:color w:val="000000"/>
          <w:szCs w:val="24"/>
        </w:rPr>
      </w:pPr>
    </w:p>
    <w:p w:rsidR="007D3598" w:rsidRDefault="00F8547B">
      <w:pPr>
        <w:jc w:val="both"/>
        <w:rPr>
          <w:noProof/>
          <w:sz w:val="20"/>
        </w:rPr>
      </w:pPr>
      <w:r>
        <w:rPr>
          <w:noProof/>
          <w:color w:val="000000"/>
          <w:szCs w:val="24"/>
        </w:rPr>
        <w:t>For</w:t>
      </w:r>
      <w:r>
        <w:rPr>
          <w:b/>
          <w:noProof/>
          <w:color w:val="000000"/>
          <w:szCs w:val="24"/>
        </w:rPr>
        <w:t xml:space="preserve"> specific objective Visa</w:t>
      </w:r>
      <w:r>
        <w:rPr>
          <w:noProof/>
          <w:color w:val="000000"/>
        </w:rPr>
        <w:t>, the Member St</w:t>
      </w:r>
      <w:r>
        <w:rPr>
          <w:noProof/>
          <w:color w:val="000000"/>
        </w:rPr>
        <w:t>ates that spent the highest amounts on financed projects related to this objective are France, Spain, Cyprus</w:t>
      </w:r>
      <w:r>
        <w:rPr>
          <w:noProof/>
          <w:color w:val="000000"/>
          <w:szCs w:val="24"/>
        </w:rPr>
        <w:t>,</w:t>
      </w:r>
      <w:r>
        <w:rPr>
          <w:noProof/>
          <w:color w:val="000000"/>
        </w:rPr>
        <w:t xml:space="preserve"> and Italy, with EUR 24.1, 11.2, 9.6</w:t>
      </w:r>
      <w:r>
        <w:rPr>
          <w:noProof/>
          <w:color w:val="000000"/>
          <w:szCs w:val="24"/>
        </w:rPr>
        <w:t>,</w:t>
      </w:r>
      <w:r>
        <w:rPr>
          <w:noProof/>
          <w:color w:val="000000"/>
        </w:rPr>
        <w:t xml:space="preserve"> and 8 million respectively. Member States that spent the lowest amounts are Estonia, Liechtenstein</w:t>
      </w:r>
      <w:r>
        <w:rPr>
          <w:noProof/>
          <w:color w:val="000000"/>
          <w:szCs w:val="24"/>
        </w:rPr>
        <w:t>,</w:t>
      </w:r>
      <w:r>
        <w:rPr>
          <w:noProof/>
          <w:color w:val="000000"/>
        </w:rPr>
        <w:t xml:space="preserve"> and Icela</w:t>
      </w:r>
      <w:r>
        <w:rPr>
          <w:noProof/>
          <w:color w:val="000000"/>
        </w:rPr>
        <w:t>nd, with projects funded for less than EUR 1 million.</w:t>
      </w:r>
    </w:p>
    <w:p w:rsidR="007D3598" w:rsidRDefault="007D3598">
      <w:pPr>
        <w:jc w:val="both"/>
        <w:rPr>
          <w:noProof/>
        </w:rPr>
      </w:pPr>
    </w:p>
    <w:p w:rsidR="007D3598" w:rsidRDefault="00F8547B">
      <w:pPr>
        <w:pStyle w:val="ListParagraph"/>
        <w:numPr>
          <w:ilvl w:val="0"/>
          <w:numId w:val="65"/>
        </w:numPr>
        <w:jc w:val="both"/>
        <w:rPr>
          <w:noProof/>
          <w:szCs w:val="24"/>
        </w:rPr>
      </w:pPr>
      <w:r>
        <w:rPr>
          <w:noProof/>
        </w:rPr>
        <w:t xml:space="preserve">Three Member States (Belgium, the Netherlands and Spain) have developed </w:t>
      </w:r>
      <w:r>
        <w:rPr>
          <w:noProof/>
          <w:szCs w:val="24"/>
        </w:rPr>
        <w:t xml:space="preserve">activities to strengthen consular cooperation through new or improved infrastructure and buildings (co-locations, common </w:t>
      </w:r>
      <w:r>
        <w:rPr>
          <w:noProof/>
          <w:szCs w:val="24"/>
        </w:rPr>
        <w:t>application centres, representations and other infrastructural means). In particular, a total number of 4 actions — out of the 35 expected by national programmes — were put in place: 2 from the Netherlands and 1 each from Belgium and Spain.</w:t>
      </w:r>
    </w:p>
    <w:p w:rsidR="007D3598" w:rsidRDefault="007D3598">
      <w:pPr>
        <w:pStyle w:val="ListParagraph"/>
        <w:ind w:left="502"/>
        <w:jc w:val="both"/>
        <w:rPr>
          <w:noProof/>
          <w:szCs w:val="24"/>
        </w:rPr>
      </w:pPr>
    </w:p>
    <w:p w:rsidR="007D3598" w:rsidRDefault="00F8547B">
      <w:pPr>
        <w:pStyle w:val="ListParagraph"/>
        <w:numPr>
          <w:ilvl w:val="0"/>
          <w:numId w:val="65"/>
        </w:numPr>
        <w:jc w:val="both"/>
        <w:rPr>
          <w:noProof/>
          <w:szCs w:val="24"/>
        </w:rPr>
      </w:pPr>
      <w:r>
        <w:rPr>
          <w:noProof/>
          <w:szCs w:val="24"/>
        </w:rPr>
        <w:t>Eight Member S</w:t>
      </w:r>
      <w:r>
        <w:rPr>
          <w:noProof/>
          <w:szCs w:val="24"/>
        </w:rPr>
        <w:t>tates</w:t>
      </w:r>
      <w:r>
        <w:rPr>
          <w:rStyle w:val="FootnoteReference"/>
          <w:noProof/>
          <w:szCs w:val="24"/>
        </w:rPr>
        <w:footnoteReference w:id="38"/>
      </w:r>
      <w:r>
        <w:rPr>
          <w:noProof/>
          <w:szCs w:val="24"/>
        </w:rPr>
        <w:t xml:space="preserve"> have engaged in activities aimed at developing and improving consulates’ physical structures and equipment, to help them perform visa-issuing services in a more effective and efficient way. Specifically, 156 consulates — out of the 911 expected to b</w:t>
      </w:r>
      <w:r>
        <w:rPr>
          <w:noProof/>
          <w:szCs w:val="24"/>
        </w:rPr>
        <w:t>e covered by national programmes — have been developed or upgraded, of which: 85 belong to Belgium, 39 to Estonia, 13 to France, and the remaining 19 to Cyprus (9), Finland (6), Spain (2), Sweden (1), and Austria (1). In terms of the implementation rate, a</w:t>
      </w:r>
      <w:r>
        <w:rPr>
          <w:noProof/>
          <w:szCs w:val="24"/>
        </w:rPr>
        <w:t>ccording to the annual implementation reports for 2016, 7 Member States</w:t>
      </w:r>
      <w:r>
        <w:rPr>
          <w:rStyle w:val="FootnoteReference"/>
          <w:noProof/>
          <w:szCs w:val="24"/>
        </w:rPr>
        <w:footnoteReference w:id="39"/>
      </w:r>
      <w:r>
        <w:rPr>
          <w:noProof/>
          <w:szCs w:val="24"/>
        </w:rPr>
        <w:t xml:space="preserve"> display a rate between 1 % and 100 %.</w:t>
      </w:r>
    </w:p>
    <w:p w:rsidR="007D3598" w:rsidRDefault="007D3598">
      <w:pPr>
        <w:pStyle w:val="ListParagraph"/>
        <w:ind w:left="502"/>
        <w:jc w:val="both"/>
        <w:rPr>
          <w:noProof/>
          <w:szCs w:val="24"/>
        </w:rPr>
      </w:pPr>
    </w:p>
    <w:p w:rsidR="007D3598" w:rsidRDefault="00F8547B">
      <w:pPr>
        <w:pStyle w:val="ListParagraph"/>
        <w:numPr>
          <w:ilvl w:val="0"/>
          <w:numId w:val="65"/>
        </w:numPr>
        <w:jc w:val="both"/>
        <w:rPr>
          <w:noProof/>
          <w:szCs w:val="24"/>
        </w:rPr>
      </w:pPr>
      <w:r>
        <w:rPr>
          <w:noProof/>
          <w:szCs w:val="24"/>
        </w:rPr>
        <w:t>Seven Member States</w:t>
      </w:r>
      <w:r>
        <w:rPr>
          <w:rStyle w:val="FootnoteReference"/>
          <w:noProof/>
          <w:szCs w:val="24"/>
        </w:rPr>
        <w:footnoteReference w:id="40"/>
      </w:r>
      <w:r>
        <w:rPr>
          <w:noProof/>
          <w:szCs w:val="24"/>
        </w:rPr>
        <w:t xml:space="preserve"> have already assigned </w:t>
      </w:r>
      <w:r>
        <w:rPr>
          <w:i/>
          <w:noProof/>
          <w:szCs w:val="24"/>
        </w:rPr>
        <w:t>Immigration Liaison Officers</w:t>
      </w:r>
      <w:r>
        <w:rPr>
          <w:noProof/>
          <w:szCs w:val="24"/>
        </w:rPr>
        <w:t xml:space="preserve"> and other professionals with specialised functions, to maintain direct c</w:t>
      </w:r>
      <w:r>
        <w:rPr>
          <w:noProof/>
          <w:szCs w:val="24"/>
        </w:rPr>
        <w:t xml:space="preserve">ontacts with host Member States, enabling the effective implementation of EU measures to tackle illegal migration and improve information-sharing mechanisms with the host Member States. Member States have deployed 105 officers — out of the 392 expected to </w:t>
      </w:r>
      <w:r>
        <w:rPr>
          <w:noProof/>
          <w:szCs w:val="24"/>
        </w:rPr>
        <w:t>be covered by national programmes, of which: 30 belong to Germany, 23 to France, 20 to the Netherlands, and the remaining 32 to Austria (14), Belgium (8), Spain (7), and Hungary (3).</w:t>
      </w:r>
    </w:p>
    <w:p w:rsidR="007D3598" w:rsidRDefault="007D3598">
      <w:pPr>
        <w:jc w:val="both"/>
        <w:rPr>
          <w:b/>
          <w:noProof/>
        </w:rPr>
      </w:pPr>
    </w:p>
    <w:p w:rsidR="007D3598" w:rsidRDefault="00F8547B">
      <w:pPr>
        <w:jc w:val="both"/>
        <w:rPr>
          <w:noProof/>
          <w:color w:val="000000"/>
          <w:szCs w:val="24"/>
        </w:rPr>
      </w:pPr>
      <w:r>
        <w:rPr>
          <w:noProof/>
        </w:rPr>
        <w:t>F</w:t>
      </w:r>
      <w:r>
        <w:rPr>
          <w:noProof/>
          <w:szCs w:val="24"/>
        </w:rPr>
        <w:t xml:space="preserve">or </w:t>
      </w:r>
      <w:r>
        <w:rPr>
          <w:b/>
          <w:noProof/>
          <w:szCs w:val="24"/>
        </w:rPr>
        <w:t>specific objective B</w:t>
      </w:r>
      <w:r>
        <w:rPr>
          <w:b/>
          <w:noProof/>
          <w:color w:val="000000"/>
          <w:szCs w:val="24"/>
        </w:rPr>
        <w:t>orders</w:t>
      </w:r>
      <w:r>
        <w:rPr>
          <w:noProof/>
          <w:color w:val="000000"/>
          <w:szCs w:val="24"/>
        </w:rPr>
        <w:t>, the Member States that spent the highest</w:t>
      </w:r>
      <w:r>
        <w:rPr>
          <w:noProof/>
          <w:color w:val="000000"/>
          <w:szCs w:val="24"/>
        </w:rPr>
        <w:t xml:space="preserve"> amounts on projects related to this objective were</w:t>
      </w:r>
      <w:r>
        <w:rPr>
          <w:b/>
          <w:noProof/>
          <w:color w:val="000000"/>
          <w:szCs w:val="24"/>
        </w:rPr>
        <w:t xml:space="preserve"> </w:t>
      </w:r>
      <w:r>
        <w:rPr>
          <w:noProof/>
          <w:color w:val="000000"/>
          <w:szCs w:val="24"/>
        </w:rPr>
        <w:t>Italy, Greece, and Spain, with EUR 142.3, 124.2, 102.1 million respectively. In the remaining 16 Member States projects were financed for less than EUR 45 000 in each country. 11 Member States</w:t>
      </w:r>
      <w:r>
        <w:rPr>
          <w:rStyle w:val="FootnoteReference"/>
          <w:noProof/>
          <w:color w:val="000000"/>
          <w:szCs w:val="24"/>
        </w:rPr>
        <w:footnoteReference w:id="41"/>
      </w:r>
      <w:r>
        <w:rPr>
          <w:noProof/>
          <w:color w:val="000000"/>
          <w:szCs w:val="24"/>
        </w:rPr>
        <w:t xml:space="preserve"> have not p</w:t>
      </w:r>
      <w:r>
        <w:rPr>
          <w:noProof/>
          <w:color w:val="000000"/>
          <w:szCs w:val="24"/>
        </w:rPr>
        <w:t xml:space="preserve">rovided data under the referred indicator. </w:t>
      </w:r>
      <w:r>
        <w:rPr>
          <w:noProof/>
          <w:szCs w:val="24"/>
        </w:rPr>
        <w:t>As regards border control, 8 Member States</w:t>
      </w:r>
      <w:r>
        <w:rPr>
          <w:rStyle w:val="FootnoteReference"/>
          <w:noProof/>
          <w:szCs w:val="24"/>
        </w:rPr>
        <w:footnoteReference w:id="42"/>
      </w:r>
      <w:r>
        <w:rPr>
          <w:noProof/>
          <w:szCs w:val="24"/>
        </w:rPr>
        <w:t xml:space="preserve"> have developed or upgraded 1 414 (out of the 12 454 expected to be covered by the national programmes) infrastructure and equipment items aimed at strengthening </w:t>
      </w:r>
      <w:r>
        <w:rPr>
          <w:noProof/>
          <w:color w:val="000000"/>
          <w:szCs w:val="24"/>
        </w:rPr>
        <w:t>border c</w:t>
      </w:r>
      <w:r>
        <w:rPr>
          <w:noProof/>
          <w:color w:val="000000"/>
          <w:szCs w:val="24"/>
        </w:rPr>
        <w:t>hecks and surveillance. According to the AIRs for 2016, the remaining 22 Member States have not implemented any actions yet.</w:t>
      </w:r>
    </w:p>
    <w:p w:rsidR="007D3598" w:rsidRDefault="007D3598">
      <w:pPr>
        <w:jc w:val="both"/>
        <w:rPr>
          <w:noProof/>
          <w:color w:val="000000"/>
          <w:szCs w:val="24"/>
        </w:rPr>
      </w:pPr>
    </w:p>
    <w:p w:rsidR="007D3598" w:rsidRDefault="00F8547B">
      <w:pPr>
        <w:jc w:val="both"/>
        <w:rPr>
          <w:noProof/>
          <w:color w:val="000000"/>
          <w:szCs w:val="24"/>
        </w:rPr>
      </w:pPr>
      <w:r>
        <w:rPr>
          <w:noProof/>
          <w:szCs w:val="24"/>
        </w:rPr>
        <w:t xml:space="preserve">In terms of the </w:t>
      </w:r>
      <w:r>
        <w:rPr>
          <w:b/>
          <w:noProof/>
          <w:szCs w:val="24"/>
        </w:rPr>
        <w:t>implementation rate</w:t>
      </w:r>
      <w:r>
        <w:rPr>
          <w:noProof/>
          <w:szCs w:val="24"/>
        </w:rPr>
        <w:t>, as shown by Figure 4, the operating support displays the highest values (48 %), followed by S</w:t>
      </w:r>
      <w:r>
        <w:rPr>
          <w:noProof/>
          <w:szCs w:val="24"/>
        </w:rPr>
        <w:t xml:space="preserve">TS (38 %), borders (37 %), visa (28 %), and technical assistance (27 %). Regarding the </w:t>
      </w:r>
      <w:r>
        <w:rPr>
          <w:b/>
          <w:noProof/>
          <w:szCs w:val="24"/>
        </w:rPr>
        <w:t>payment rate</w:t>
      </w:r>
      <w:r>
        <w:rPr>
          <w:noProof/>
          <w:szCs w:val="24"/>
        </w:rPr>
        <w:t>, STS displays the highest values (31 %), followed by operating support (22 %), borders (6 %), technical assistance (6 %), and visa (6 %).</w:t>
      </w:r>
    </w:p>
    <w:p w:rsidR="007D3598" w:rsidRDefault="00F8547B">
      <w:pPr>
        <w:keepNext/>
        <w:jc w:val="both"/>
        <w:rPr>
          <w:i/>
          <w:noProof/>
          <w:sz w:val="20"/>
        </w:rPr>
      </w:pPr>
      <w:r>
        <w:rPr>
          <w:i/>
          <w:noProof/>
          <w:sz w:val="20"/>
        </w:rPr>
        <w:t>Figure 5: ISF-BV —</w:t>
      </w:r>
      <w:r>
        <w:rPr>
          <w:i/>
          <w:noProof/>
          <w:sz w:val="20"/>
        </w:rPr>
        <w:t xml:space="preserve"> EU planned resources 2014-2020 for adopted national programmes, Member States commitment 2014-2016, account amounts (EUR million), implementation and payment rate, by objective</w:t>
      </w:r>
    </w:p>
    <w:p w:rsidR="007D3598" w:rsidRDefault="00F8547B">
      <w:pPr>
        <w:pStyle w:val="Text3"/>
        <w:ind w:left="0"/>
        <w:rPr>
          <w:noProof/>
          <w:szCs w:val="24"/>
        </w:rPr>
      </w:pPr>
      <w:r>
        <w:rPr>
          <w:noProof/>
          <w:lang w:eastAsia="en-GB"/>
        </w:rPr>
        <w:drawing>
          <wp:inline distT="0" distB="0" distL="0" distR="0" wp14:anchorId="2B117DBC" wp14:editId="59116445">
            <wp:extent cx="6098650" cy="3387256"/>
            <wp:effectExtent l="0" t="0" r="1651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7D3598" w:rsidRDefault="007D3598">
      <w:pPr>
        <w:pStyle w:val="Text3"/>
        <w:ind w:left="0"/>
        <w:rPr>
          <w:noProof/>
          <w:szCs w:val="24"/>
        </w:rPr>
      </w:pPr>
    </w:p>
    <w:p w:rsidR="007D3598" w:rsidRDefault="00F8547B">
      <w:pPr>
        <w:jc w:val="both"/>
        <w:rPr>
          <w:noProof/>
        </w:rPr>
      </w:pPr>
      <w:r>
        <w:rPr>
          <w:noProof/>
        </w:rPr>
        <w:t>The implementation rate, on the other hand, shows that Member States are ac</w:t>
      </w:r>
      <w:r>
        <w:rPr>
          <w:noProof/>
        </w:rPr>
        <w:t>tually much more advanced in their implementation on the ground and that the difference between the two rates is expected to be claimed in the financial records over the following years.</w:t>
      </w:r>
    </w:p>
    <w:p w:rsidR="007D3598" w:rsidRDefault="007D3598">
      <w:pPr>
        <w:keepNext/>
        <w:jc w:val="both"/>
        <w:rPr>
          <w:rFonts w:eastAsia="Calibri"/>
          <w:i/>
          <w:noProof/>
          <w:sz w:val="18"/>
          <w:szCs w:val="24"/>
          <w:lang w:eastAsia="nl-BE"/>
        </w:rPr>
      </w:pPr>
      <w:bookmarkStart w:id="349" w:name="_Ref503461904"/>
      <w:bookmarkStart w:id="350" w:name="_Toc505670741"/>
    </w:p>
    <w:bookmarkEnd w:id="349"/>
    <w:bookmarkEnd w:id="350"/>
    <w:p w:rsidR="007D3598" w:rsidRDefault="00F8547B">
      <w:pPr>
        <w:jc w:val="both"/>
        <w:rPr>
          <w:noProof/>
        </w:rPr>
      </w:pPr>
      <w:r>
        <w:rPr>
          <w:noProof/>
        </w:rPr>
        <w:t xml:space="preserve">In addition, breaking up data by Member States (Figure 6), ES </w:t>
      </w:r>
      <w:r>
        <w:rPr>
          <w:noProof/>
        </w:rPr>
        <w:t>(EUR 208 million), EL (EUR 194 million), IT (EUR 188 million) and LT (EUR 180 million) are the four Member States which have the highest value of available resources for their adopted national programme. Overall, these Member States have been allocated 50 </w:t>
      </w:r>
      <w:r>
        <w:rPr>
          <w:noProof/>
        </w:rPr>
        <w:t>% of the total available EU resources 2014-2020.</w:t>
      </w:r>
    </w:p>
    <w:p w:rsidR="007D3598" w:rsidRDefault="007D3598">
      <w:pPr>
        <w:jc w:val="both"/>
        <w:rPr>
          <w:noProof/>
        </w:rPr>
      </w:pPr>
    </w:p>
    <w:p w:rsidR="007D3598" w:rsidRDefault="00F8547B">
      <w:pPr>
        <w:jc w:val="both"/>
        <w:rPr>
          <w:noProof/>
          <w:szCs w:val="24"/>
        </w:rPr>
      </w:pPr>
      <w:r>
        <w:rPr>
          <w:noProof/>
        </w:rPr>
        <w:t>In terms of the implementation rate, EE has attained a percentage of 87 %, followed by MT (83 %), AT (69 %), BG (66 %), LV (61 %) and BE (61 %). 18 Member States</w:t>
      </w:r>
      <w:r>
        <w:rPr>
          <w:rStyle w:val="FootnoteReference"/>
          <w:noProof/>
          <w:szCs w:val="24"/>
        </w:rPr>
        <w:footnoteReference w:id="43"/>
      </w:r>
      <w:r>
        <w:rPr>
          <w:noProof/>
          <w:szCs w:val="24"/>
        </w:rPr>
        <w:t xml:space="preserve"> have currently achieved an implementation r</w:t>
      </w:r>
      <w:r>
        <w:rPr>
          <w:noProof/>
          <w:szCs w:val="24"/>
        </w:rPr>
        <w:t>ate of between 12 </w:t>
      </w:r>
      <w:r>
        <w:rPr>
          <w:noProof/>
        </w:rPr>
        <w:t xml:space="preserve">% and </w:t>
      </w:r>
      <w:r>
        <w:rPr>
          <w:noProof/>
          <w:szCs w:val="24"/>
        </w:rPr>
        <w:t>60 %</w:t>
      </w:r>
      <w:r>
        <w:rPr>
          <w:noProof/>
        </w:rPr>
        <w:t>.</w:t>
      </w:r>
      <w:r>
        <w:rPr>
          <w:noProof/>
          <w:szCs w:val="24"/>
        </w:rPr>
        <w:t xml:space="preserve"> Finally, 2 Member States</w:t>
      </w:r>
      <w:r>
        <w:rPr>
          <w:rStyle w:val="FootnoteReference"/>
          <w:noProof/>
          <w:szCs w:val="24"/>
        </w:rPr>
        <w:footnoteReference w:id="44"/>
      </w:r>
      <w:r>
        <w:rPr>
          <w:noProof/>
          <w:szCs w:val="24"/>
        </w:rPr>
        <w:t xml:space="preserve"> have not committed resources, displaying a rate of 0 %. The payment rates vary significantly across Member States: only 1 Member States, EE, has attained a percentage of 50 %, 16 Member States</w:t>
      </w:r>
      <w:r>
        <w:rPr>
          <w:rStyle w:val="FootnoteReference"/>
          <w:noProof/>
          <w:szCs w:val="24"/>
        </w:rPr>
        <w:footnoteReference w:id="45"/>
      </w:r>
      <w:r>
        <w:rPr>
          <w:noProof/>
          <w:szCs w:val="24"/>
        </w:rPr>
        <w:t xml:space="preserve"> have c</w:t>
      </w:r>
      <w:r>
        <w:rPr>
          <w:noProof/>
          <w:szCs w:val="24"/>
        </w:rPr>
        <w:t>urrently achieved a payment rate between 1 </w:t>
      </w:r>
      <w:r>
        <w:rPr>
          <w:noProof/>
        </w:rPr>
        <w:t xml:space="preserve">% and </w:t>
      </w:r>
      <w:r>
        <w:rPr>
          <w:noProof/>
          <w:szCs w:val="24"/>
        </w:rPr>
        <w:t>26 %, whereas 5 Member States</w:t>
      </w:r>
      <w:r>
        <w:rPr>
          <w:rStyle w:val="FootnoteReference"/>
          <w:noProof/>
          <w:szCs w:val="24"/>
        </w:rPr>
        <w:footnoteReference w:id="46"/>
      </w:r>
      <w:r>
        <w:rPr>
          <w:noProof/>
          <w:szCs w:val="24"/>
        </w:rPr>
        <w:t xml:space="preserve"> display a payment rate under 1 %. Finally, 4 Member States</w:t>
      </w:r>
      <w:r>
        <w:rPr>
          <w:rStyle w:val="FootnoteReference"/>
          <w:noProof/>
          <w:szCs w:val="24"/>
        </w:rPr>
        <w:footnoteReference w:id="47"/>
      </w:r>
      <w:r>
        <w:rPr>
          <w:noProof/>
          <w:szCs w:val="24"/>
        </w:rPr>
        <w:t xml:space="preserve"> display a payment rate of 0 %.</w:t>
      </w:r>
      <w:bookmarkStart w:id="351" w:name="_Toc505670742"/>
    </w:p>
    <w:p w:rsidR="007D3598" w:rsidRDefault="007D3598">
      <w:pPr>
        <w:jc w:val="both"/>
        <w:rPr>
          <w:noProof/>
          <w:szCs w:val="24"/>
        </w:rPr>
      </w:pPr>
    </w:p>
    <w:p w:rsidR="007D3598" w:rsidRDefault="007D3598">
      <w:pPr>
        <w:jc w:val="both"/>
        <w:rPr>
          <w:noProof/>
          <w:szCs w:val="24"/>
        </w:rPr>
      </w:pPr>
    </w:p>
    <w:p w:rsidR="007D3598" w:rsidRDefault="007D3598">
      <w:pPr>
        <w:jc w:val="both"/>
        <w:rPr>
          <w:noProof/>
          <w:szCs w:val="24"/>
        </w:rPr>
      </w:pPr>
    </w:p>
    <w:p w:rsidR="007D3598" w:rsidRDefault="007D3598">
      <w:pPr>
        <w:jc w:val="both"/>
        <w:rPr>
          <w:noProof/>
          <w:szCs w:val="24"/>
        </w:rPr>
      </w:pPr>
    </w:p>
    <w:p w:rsidR="007D3598" w:rsidRDefault="00F8547B">
      <w:pPr>
        <w:jc w:val="both"/>
        <w:rPr>
          <w:rFonts w:eastAsia="Calibri"/>
          <w:i/>
          <w:noProof/>
          <w:sz w:val="20"/>
          <w:lang w:eastAsia="nl-BE"/>
        </w:rPr>
      </w:pPr>
      <w:r>
        <w:rPr>
          <w:rFonts w:eastAsia="Calibri"/>
          <w:i/>
          <w:noProof/>
          <w:sz w:val="20"/>
          <w:lang w:eastAsia="nl-BE"/>
        </w:rPr>
        <w:t>Figure 6: Available EU resources 2014-2020 for adopted national programmes, Membe</w:t>
      </w:r>
      <w:r>
        <w:rPr>
          <w:rFonts w:eastAsia="Calibri"/>
          <w:i/>
          <w:noProof/>
          <w:sz w:val="20"/>
          <w:lang w:eastAsia="nl-BE"/>
        </w:rPr>
        <w:t>r States commitment (2014-2016) and accounts amounts (2014-2016), by Member States</w:t>
      </w:r>
      <w:bookmarkEnd w:id="351"/>
      <w:r>
        <w:rPr>
          <w:rFonts w:eastAsia="Calibri"/>
          <w:i/>
          <w:noProof/>
          <w:sz w:val="20"/>
          <w:lang w:eastAsia="nl-BE"/>
        </w:rPr>
        <w:t xml:space="preserve"> (EUR million), including top-ups.</w:t>
      </w:r>
    </w:p>
    <w:p w:rsidR="007D3598" w:rsidRDefault="007D3598">
      <w:pPr>
        <w:jc w:val="both"/>
        <w:rPr>
          <w:rFonts w:eastAsia="Calibri"/>
          <w:i/>
          <w:noProof/>
          <w:sz w:val="20"/>
          <w:lang w:eastAsia="nl-BE"/>
        </w:rPr>
      </w:pPr>
    </w:p>
    <w:p w:rsidR="007D3598" w:rsidRDefault="00F8547B">
      <w:pPr>
        <w:jc w:val="center"/>
        <w:rPr>
          <w:noProof/>
          <w:szCs w:val="24"/>
        </w:rPr>
      </w:pPr>
      <w:r>
        <w:rPr>
          <w:noProof/>
          <w:lang w:eastAsia="en-GB"/>
        </w:rPr>
        <w:drawing>
          <wp:inline distT="0" distB="0" distL="0" distR="0" wp14:anchorId="0B409624" wp14:editId="47CCAC35">
            <wp:extent cx="6098650" cy="3529965"/>
            <wp:effectExtent l="0" t="0" r="16510"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7D3598" w:rsidRDefault="007D3598">
      <w:pPr>
        <w:rPr>
          <w:rFonts w:eastAsiaTheme="minorHAnsi"/>
          <w:b/>
          <w:i/>
          <w:noProof/>
        </w:rPr>
      </w:pPr>
    </w:p>
    <w:p w:rsidR="007D3598" w:rsidRDefault="00F8547B">
      <w:pPr>
        <w:jc w:val="both"/>
        <w:rPr>
          <w:rFonts w:eastAsiaTheme="minorHAnsi"/>
          <w:noProof/>
        </w:rPr>
      </w:pPr>
      <w:bookmarkStart w:id="352" w:name="_Toc504475673"/>
      <w:bookmarkStart w:id="353" w:name="_Toc506393748"/>
      <w:r>
        <w:rPr>
          <w:rFonts w:eastAsiaTheme="minorHAnsi"/>
          <w:noProof/>
        </w:rPr>
        <w:t>Taking into consideration the annual accounts for 2017 submitted by the Member States in mid-February, we can conclude that the overall</w:t>
      </w:r>
      <w:r>
        <w:rPr>
          <w:rFonts w:eastAsiaTheme="minorHAnsi"/>
          <w:noProof/>
        </w:rPr>
        <w:t xml:space="preserve"> payment rate improved from 12 % to 24 %, with Italy, Lithuania, Spain and many other Member States making significant improvements as illustrated in the figure below.</w:t>
      </w:r>
    </w:p>
    <w:p w:rsidR="007D3598" w:rsidRDefault="007D3598">
      <w:pPr>
        <w:jc w:val="both"/>
        <w:rPr>
          <w:rFonts w:eastAsiaTheme="minorHAnsi"/>
          <w:noProof/>
        </w:rPr>
      </w:pPr>
    </w:p>
    <w:p w:rsidR="007D3598" w:rsidRDefault="007D3598">
      <w:pPr>
        <w:jc w:val="both"/>
        <w:rPr>
          <w:rFonts w:eastAsiaTheme="minorHAnsi"/>
          <w:noProof/>
        </w:rPr>
      </w:pPr>
    </w:p>
    <w:p w:rsidR="007D3598" w:rsidRDefault="00F8547B">
      <w:pPr>
        <w:rPr>
          <w:rFonts w:eastAsia="Calibri"/>
          <w:i/>
          <w:noProof/>
          <w:sz w:val="20"/>
          <w:lang w:eastAsia="nl-BE"/>
        </w:rPr>
      </w:pPr>
      <w:r>
        <w:rPr>
          <w:rFonts w:eastAsia="Calibri"/>
          <w:i/>
          <w:noProof/>
          <w:sz w:val="20"/>
          <w:lang w:eastAsia="nl-BE"/>
        </w:rPr>
        <w:br w:type="page"/>
      </w:r>
    </w:p>
    <w:p w:rsidR="007D3598" w:rsidRDefault="00F8547B">
      <w:pPr>
        <w:rPr>
          <w:rFonts w:eastAsia="Calibri"/>
          <w:i/>
          <w:noProof/>
          <w:sz w:val="20"/>
          <w:lang w:eastAsia="nl-BE"/>
        </w:rPr>
      </w:pPr>
      <w:r>
        <w:rPr>
          <w:rFonts w:eastAsia="Calibri"/>
          <w:i/>
          <w:noProof/>
          <w:sz w:val="20"/>
          <w:lang w:eastAsia="nl-BE"/>
        </w:rPr>
        <w:t>Figure 7: ISF-BV payments 2015-2017 (EUR million)</w:t>
      </w:r>
    </w:p>
    <w:p w:rsidR="007D3598" w:rsidRDefault="007D3598">
      <w:pPr>
        <w:rPr>
          <w:rFonts w:eastAsia="Calibri"/>
          <w:i/>
          <w:noProof/>
          <w:sz w:val="20"/>
          <w:lang w:eastAsia="nl-BE"/>
        </w:rPr>
      </w:pPr>
    </w:p>
    <w:p w:rsidR="007D3598" w:rsidRDefault="00F8547B">
      <w:pPr>
        <w:rPr>
          <w:rFonts w:eastAsia="Calibri"/>
          <w:i/>
          <w:noProof/>
          <w:sz w:val="20"/>
          <w:lang w:eastAsia="nl-BE"/>
        </w:rPr>
      </w:pPr>
      <w:r>
        <w:rPr>
          <w:noProof/>
          <w:lang w:eastAsia="en-GB"/>
        </w:rPr>
        <w:drawing>
          <wp:inline distT="0" distB="0" distL="0" distR="0" wp14:anchorId="11F751E3" wp14:editId="580D22C4">
            <wp:extent cx="6098650" cy="3524250"/>
            <wp:effectExtent l="0" t="0" r="165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7D3598" w:rsidRDefault="007D3598">
      <w:pPr>
        <w:rPr>
          <w:noProof/>
        </w:rPr>
      </w:pPr>
    </w:p>
    <w:p w:rsidR="007D3598" w:rsidRDefault="00F8547B">
      <w:pPr>
        <w:pStyle w:val="HH3"/>
        <w:spacing w:before="0" w:after="0"/>
        <w:contextualSpacing w:val="0"/>
        <w:rPr>
          <w:noProof/>
        </w:rPr>
      </w:pPr>
      <w:r>
        <w:rPr>
          <w:noProof/>
        </w:rPr>
        <w:t>Direct management</w:t>
      </w:r>
      <w:bookmarkEnd w:id="352"/>
      <w:bookmarkEnd w:id="353"/>
    </w:p>
    <w:p w:rsidR="007D3598" w:rsidRDefault="007D3598">
      <w:pPr>
        <w:pStyle w:val="Body"/>
        <w:spacing w:before="0" w:after="0" w:line="240" w:lineRule="auto"/>
        <w:rPr>
          <w:rFonts w:ascii="Times New Roman" w:hAnsi="Times New Roman"/>
          <w:noProof/>
        </w:rPr>
      </w:pPr>
    </w:p>
    <w:p w:rsidR="007D3598" w:rsidRDefault="00F8547B">
      <w:pPr>
        <w:jc w:val="both"/>
        <w:rPr>
          <w:noProof/>
          <w:szCs w:val="24"/>
        </w:rPr>
      </w:pPr>
      <w:r>
        <w:rPr>
          <w:noProof/>
          <w:szCs w:val="24"/>
        </w:rPr>
        <w:t>The AWPs fo</w:t>
      </w:r>
      <w:r>
        <w:rPr>
          <w:noProof/>
          <w:szCs w:val="24"/>
        </w:rPr>
        <w:t>r 2014-2017 allocated a total amount of EUR 414 million for EMAS (EUR 372 million) and UAs (EUR 42 million). Over the period 2014-2017, 90 % of resources have been allocated for EMAS, whereas only 10 % was allocated for UAs. UAs have been planned by the EU</w:t>
      </w:r>
      <w:r>
        <w:rPr>
          <w:noProof/>
          <w:szCs w:val="24"/>
        </w:rPr>
        <w:t xml:space="preserve"> to allow for transnational actions or actions of particular interest to the EU to be funded. These actions concern the general, specific, and operational objectives set by Art. 3 of Regulation (EU) 515/2014</w:t>
      </w:r>
      <w:r>
        <w:rPr>
          <w:rStyle w:val="FootnoteReference"/>
          <w:noProof/>
        </w:rPr>
        <w:footnoteReference w:id="48"/>
      </w:r>
      <w:r>
        <w:rPr>
          <w:noProof/>
          <w:szCs w:val="24"/>
        </w:rPr>
        <w:t>. EMAS actions have been planned to allow Member</w:t>
      </w:r>
      <w:r>
        <w:rPr>
          <w:noProof/>
          <w:szCs w:val="24"/>
        </w:rPr>
        <w:t xml:space="preserve"> States to address urgent and specific needs in emergency and unpredictable situations requiring a timely and effective response</w:t>
      </w:r>
      <w:r>
        <w:rPr>
          <w:rStyle w:val="FootnoteReference"/>
          <w:noProof/>
        </w:rPr>
        <w:footnoteReference w:id="49"/>
      </w:r>
      <w:r>
        <w:rPr>
          <w:noProof/>
          <w:szCs w:val="24"/>
        </w:rPr>
        <w:t>.</w:t>
      </w:r>
      <w:r>
        <w:rPr>
          <w:noProof/>
          <w:szCs w:val="24"/>
          <w:vertAlign w:val="superscript"/>
        </w:rPr>
        <w:t xml:space="preserve"> </w:t>
      </w:r>
      <w:r>
        <w:rPr>
          <w:noProof/>
          <w:szCs w:val="24"/>
        </w:rPr>
        <w:t>The original planned amount envisaged for EMAS was multiplied by 11. Therefore, the reason behind the disproportionate planning between UAs and EMAS may be found in the need to properly face the unexpected and unprecedented migratory flows, which put signi</w:t>
      </w:r>
      <w:r>
        <w:rPr>
          <w:noProof/>
          <w:szCs w:val="24"/>
        </w:rPr>
        <w:t xml:space="preserve">ficant pressure on the most affected Member States, during 2015 and 2016. </w:t>
      </w:r>
      <w:bookmarkStart w:id="354" w:name="_Toc504757366"/>
    </w:p>
    <w:bookmarkEnd w:id="354"/>
    <w:p w:rsidR="007D3598" w:rsidRDefault="007D3598">
      <w:pPr>
        <w:jc w:val="both"/>
        <w:rPr>
          <w:noProof/>
          <w:szCs w:val="24"/>
        </w:rPr>
      </w:pPr>
    </w:p>
    <w:p w:rsidR="007D3598" w:rsidRDefault="00F8547B">
      <w:pPr>
        <w:jc w:val="both"/>
        <w:rPr>
          <w:noProof/>
          <w:szCs w:val="24"/>
        </w:rPr>
      </w:pPr>
      <w:r>
        <w:rPr>
          <w:noProof/>
          <w:szCs w:val="24"/>
        </w:rPr>
        <w:t xml:space="preserve">By 30 June 2017, a total of 123 actions (46 EMAS and 77 UAs) were financed under the direct management for a total amount of EUR 383 million out of the EUR 414 million planned for </w:t>
      </w:r>
      <w:r>
        <w:rPr>
          <w:noProof/>
          <w:szCs w:val="24"/>
        </w:rPr>
        <w:t xml:space="preserve">resources for the 2014-2017 AWPs. In terms of the </w:t>
      </w:r>
      <w:r>
        <w:rPr>
          <w:b/>
          <w:noProof/>
          <w:szCs w:val="24"/>
        </w:rPr>
        <w:t>implementation rate</w:t>
      </w:r>
      <w:r>
        <w:rPr>
          <w:rStyle w:val="FootnoteReference"/>
          <w:noProof/>
        </w:rPr>
        <w:footnoteReference w:id="50"/>
      </w:r>
      <w:r>
        <w:rPr>
          <w:noProof/>
          <w:szCs w:val="24"/>
        </w:rPr>
        <w:t>, beneficiaries spent 6 % of total committed resources (EUR 271 million), with a total payments amounting to EUR 17 million.</w:t>
      </w:r>
    </w:p>
    <w:p w:rsidR="007D3598" w:rsidRDefault="007D3598">
      <w:pPr>
        <w:jc w:val="both"/>
        <w:rPr>
          <w:rFonts w:eastAsia="Calibri"/>
          <w:i/>
          <w:noProof/>
          <w:sz w:val="20"/>
          <w:lang w:eastAsia="nl-BE"/>
        </w:rPr>
      </w:pPr>
    </w:p>
    <w:p w:rsidR="007D3598" w:rsidRDefault="007D3598">
      <w:pPr>
        <w:jc w:val="both"/>
        <w:rPr>
          <w:rFonts w:eastAsia="Calibri"/>
          <w:i/>
          <w:noProof/>
          <w:sz w:val="20"/>
          <w:lang w:eastAsia="nl-BE"/>
        </w:rPr>
      </w:pPr>
    </w:p>
    <w:p w:rsidR="007D3598" w:rsidRDefault="007D3598">
      <w:pPr>
        <w:jc w:val="both"/>
        <w:rPr>
          <w:rFonts w:eastAsia="Calibri"/>
          <w:i/>
          <w:noProof/>
          <w:sz w:val="20"/>
          <w:lang w:eastAsia="nl-BE"/>
        </w:rPr>
      </w:pPr>
    </w:p>
    <w:p w:rsidR="007D3598" w:rsidRDefault="007D3598">
      <w:pPr>
        <w:jc w:val="both"/>
        <w:rPr>
          <w:rFonts w:eastAsia="Calibri"/>
          <w:i/>
          <w:noProof/>
          <w:sz w:val="20"/>
          <w:lang w:eastAsia="nl-BE"/>
        </w:rPr>
      </w:pPr>
    </w:p>
    <w:p w:rsidR="007D3598" w:rsidRDefault="007D3598">
      <w:pPr>
        <w:jc w:val="both"/>
        <w:rPr>
          <w:rFonts w:eastAsia="Calibri"/>
          <w:i/>
          <w:noProof/>
          <w:sz w:val="20"/>
          <w:lang w:eastAsia="nl-BE"/>
        </w:rPr>
      </w:pPr>
    </w:p>
    <w:p w:rsidR="007D3598" w:rsidRDefault="007D3598">
      <w:pPr>
        <w:jc w:val="both"/>
        <w:rPr>
          <w:rFonts w:eastAsia="Calibri"/>
          <w:i/>
          <w:noProof/>
          <w:sz w:val="20"/>
          <w:lang w:eastAsia="nl-BE"/>
        </w:rPr>
      </w:pPr>
    </w:p>
    <w:p w:rsidR="007D3598" w:rsidRDefault="00F8547B">
      <w:pPr>
        <w:jc w:val="both"/>
        <w:rPr>
          <w:rFonts w:eastAsia="Calibri"/>
          <w:i/>
          <w:noProof/>
          <w:sz w:val="20"/>
          <w:lang w:eastAsia="nl-BE"/>
        </w:rPr>
      </w:pPr>
      <w:r>
        <w:rPr>
          <w:rFonts w:eastAsia="Calibri"/>
          <w:i/>
          <w:noProof/>
          <w:sz w:val="20"/>
          <w:lang w:eastAsia="nl-BE"/>
        </w:rPr>
        <w:t xml:space="preserve">Table 6: AWPs planned resources, by different </w:t>
      </w:r>
      <w:r>
        <w:rPr>
          <w:rFonts w:eastAsia="Calibri"/>
          <w:i/>
          <w:noProof/>
          <w:sz w:val="20"/>
          <w:lang w:eastAsia="nl-BE"/>
        </w:rPr>
        <w:t>implementation mechanisms</w:t>
      </w:r>
    </w:p>
    <w:p w:rsidR="007D3598" w:rsidRDefault="007D3598">
      <w:pPr>
        <w:jc w:val="both"/>
        <w:rPr>
          <w:noProof/>
          <w:szCs w:val="24"/>
        </w:rPr>
      </w:pPr>
    </w:p>
    <w:tbl>
      <w:tblPr>
        <w:tblStyle w:val="TableGrid"/>
        <w:tblW w:w="0" w:type="auto"/>
        <w:tblLook w:val="04A0" w:firstRow="1" w:lastRow="0" w:firstColumn="1" w:lastColumn="0" w:noHBand="0" w:noVBand="1"/>
      </w:tblPr>
      <w:tblGrid>
        <w:gridCol w:w="1642"/>
        <w:gridCol w:w="1642"/>
        <w:gridCol w:w="1642"/>
        <w:gridCol w:w="1642"/>
        <w:gridCol w:w="1643"/>
        <w:gridCol w:w="1643"/>
      </w:tblGrid>
      <w:tr w:rsidR="007D3598">
        <w:tc>
          <w:tcPr>
            <w:tcW w:w="1642" w:type="dxa"/>
            <w:shd w:val="clear" w:color="auto" w:fill="4F81BD" w:themeFill="accent1"/>
          </w:tcPr>
          <w:p w:rsidR="007D3598" w:rsidRDefault="007D3598">
            <w:pPr>
              <w:jc w:val="both"/>
              <w:rPr>
                <w:noProof/>
                <w:color w:val="FFFFFF" w:themeColor="background1"/>
                <w:szCs w:val="24"/>
              </w:rPr>
            </w:pPr>
          </w:p>
        </w:tc>
        <w:tc>
          <w:tcPr>
            <w:tcW w:w="1642" w:type="dxa"/>
            <w:shd w:val="clear" w:color="auto" w:fill="4F81BD" w:themeFill="accent1"/>
          </w:tcPr>
          <w:p w:rsidR="007D3598" w:rsidRDefault="00F8547B">
            <w:pPr>
              <w:jc w:val="center"/>
              <w:rPr>
                <w:noProof/>
                <w:color w:val="FFFFFF" w:themeColor="background1"/>
                <w:szCs w:val="24"/>
              </w:rPr>
            </w:pPr>
            <w:r>
              <w:rPr>
                <w:noProof/>
                <w:color w:val="FFFFFF" w:themeColor="background1"/>
                <w:sz w:val="20"/>
              </w:rPr>
              <w:t>AWP 2014</w:t>
            </w:r>
          </w:p>
        </w:tc>
        <w:tc>
          <w:tcPr>
            <w:tcW w:w="1642" w:type="dxa"/>
            <w:shd w:val="clear" w:color="auto" w:fill="4F81BD" w:themeFill="accent1"/>
          </w:tcPr>
          <w:p w:rsidR="007D3598" w:rsidRDefault="00F8547B">
            <w:pPr>
              <w:jc w:val="center"/>
              <w:rPr>
                <w:noProof/>
                <w:color w:val="FFFFFF" w:themeColor="background1"/>
                <w:szCs w:val="24"/>
              </w:rPr>
            </w:pPr>
            <w:r>
              <w:rPr>
                <w:noProof/>
                <w:color w:val="FFFFFF" w:themeColor="background1"/>
                <w:sz w:val="20"/>
              </w:rPr>
              <w:t>AWP 2015</w:t>
            </w:r>
          </w:p>
        </w:tc>
        <w:tc>
          <w:tcPr>
            <w:tcW w:w="1642" w:type="dxa"/>
            <w:shd w:val="clear" w:color="auto" w:fill="4F81BD" w:themeFill="accent1"/>
          </w:tcPr>
          <w:p w:rsidR="007D3598" w:rsidRDefault="00F8547B">
            <w:pPr>
              <w:jc w:val="center"/>
              <w:rPr>
                <w:noProof/>
                <w:color w:val="FFFFFF" w:themeColor="background1"/>
                <w:szCs w:val="24"/>
              </w:rPr>
            </w:pPr>
            <w:r>
              <w:rPr>
                <w:noProof/>
                <w:color w:val="FFFFFF" w:themeColor="background1"/>
                <w:sz w:val="20"/>
              </w:rPr>
              <w:t>AWP 2016</w:t>
            </w:r>
          </w:p>
        </w:tc>
        <w:tc>
          <w:tcPr>
            <w:tcW w:w="1643" w:type="dxa"/>
            <w:shd w:val="clear" w:color="auto" w:fill="4F81BD" w:themeFill="accent1"/>
          </w:tcPr>
          <w:p w:rsidR="007D3598" w:rsidRDefault="00F8547B">
            <w:pPr>
              <w:jc w:val="center"/>
              <w:rPr>
                <w:noProof/>
                <w:color w:val="FFFFFF" w:themeColor="background1"/>
                <w:szCs w:val="24"/>
              </w:rPr>
            </w:pPr>
            <w:r>
              <w:rPr>
                <w:noProof/>
                <w:color w:val="FFFFFF" w:themeColor="background1"/>
                <w:sz w:val="20"/>
              </w:rPr>
              <w:t>AWP 2017</w:t>
            </w:r>
          </w:p>
        </w:tc>
        <w:tc>
          <w:tcPr>
            <w:tcW w:w="1643" w:type="dxa"/>
            <w:shd w:val="clear" w:color="auto" w:fill="4F81BD" w:themeFill="accent1"/>
          </w:tcPr>
          <w:p w:rsidR="007D3598" w:rsidRDefault="00F8547B">
            <w:pPr>
              <w:jc w:val="center"/>
              <w:rPr>
                <w:noProof/>
                <w:color w:val="FFFFFF" w:themeColor="background1"/>
                <w:szCs w:val="24"/>
              </w:rPr>
            </w:pPr>
            <w:r>
              <w:rPr>
                <w:noProof/>
                <w:color w:val="FFFFFF" w:themeColor="background1"/>
                <w:szCs w:val="24"/>
              </w:rPr>
              <w:t>Total</w:t>
            </w:r>
          </w:p>
        </w:tc>
      </w:tr>
      <w:tr w:rsidR="007D3598">
        <w:tc>
          <w:tcPr>
            <w:tcW w:w="1642" w:type="dxa"/>
          </w:tcPr>
          <w:p w:rsidR="007D3598" w:rsidRDefault="00F8547B">
            <w:pPr>
              <w:jc w:val="center"/>
              <w:rPr>
                <w:noProof/>
                <w:szCs w:val="24"/>
              </w:rPr>
            </w:pPr>
            <w:r>
              <w:rPr>
                <w:noProof/>
                <w:sz w:val="20"/>
              </w:rPr>
              <w:t>Action grants</w:t>
            </w:r>
          </w:p>
        </w:tc>
        <w:tc>
          <w:tcPr>
            <w:tcW w:w="1642" w:type="dxa"/>
            <w:vAlign w:val="center"/>
          </w:tcPr>
          <w:p w:rsidR="007D3598" w:rsidRDefault="00F8547B">
            <w:pPr>
              <w:jc w:val="right"/>
              <w:rPr>
                <w:noProof/>
                <w:szCs w:val="24"/>
              </w:rPr>
            </w:pPr>
            <w:r>
              <w:rPr>
                <w:noProof/>
                <w:sz w:val="20"/>
              </w:rPr>
              <w:t>€9 163 194</w:t>
            </w:r>
          </w:p>
        </w:tc>
        <w:tc>
          <w:tcPr>
            <w:tcW w:w="1642" w:type="dxa"/>
            <w:vAlign w:val="center"/>
          </w:tcPr>
          <w:p w:rsidR="007D3598" w:rsidRDefault="00F8547B">
            <w:pPr>
              <w:jc w:val="right"/>
              <w:rPr>
                <w:noProof/>
                <w:szCs w:val="24"/>
              </w:rPr>
            </w:pPr>
            <w:r>
              <w:rPr>
                <w:noProof/>
                <w:sz w:val="20"/>
              </w:rPr>
              <w:t>€45 800 000</w:t>
            </w:r>
          </w:p>
        </w:tc>
        <w:tc>
          <w:tcPr>
            <w:tcW w:w="1642" w:type="dxa"/>
            <w:vAlign w:val="center"/>
          </w:tcPr>
          <w:p w:rsidR="007D3598" w:rsidRDefault="00F8547B">
            <w:pPr>
              <w:jc w:val="right"/>
              <w:rPr>
                <w:noProof/>
                <w:szCs w:val="24"/>
              </w:rPr>
            </w:pPr>
            <w:r>
              <w:rPr>
                <w:noProof/>
                <w:sz w:val="20"/>
              </w:rPr>
              <w:t>€249 983 495</w:t>
            </w:r>
          </w:p>
        </w:tc>
        <w:tc>
          <w:tcPr>
            <w:tcW w:w="1643" w:type="dxa"/>
            <w:vAlign w:val="center"/>
          </w:tcPr>
          <w:p w:rsidR="007D3598" w:rsidRDefault="00F8547B">
            <w:pPr>
              <w:jc w:val="right"/>
              <w:rPr>
                <w:noProof/>
                <w:szCs w:val="24"/>
              </w:rPr>
            </w:pPr>
            <w:r>
              <w:rPr>
                <w:noProof/>
                <w:sz w:val="20"/>
              </w:rPr>
              <w:t>€77 976 516</w:t>
            </w:r>
          </w:p>
        </w:tc>
        <w:tc>
          <w:tcPr>
            <w:tcW w:w="1643" w:type="dxa"/>
            <w:shd w:val="clear" w:color="auto" w:fill="DBE5F1" w:themeFill="accent1" w:themeFillTint="33"/>
            <w:vAlign w:val="center"/>
          </w:tcPr>
          <w:p w:rsidR="007D3598" w:rsidRDefault="00F8547B">
            <w:pPr>
              <w:jc w:val="right"/>
              <w:rPr>
                <w:noProof/>
                <w:szCs w:val="24"/>
              </w:rPr>
            </w:pPr>
            <w:r>
              <w:rPr>
                <w:b/>
                <w:noProof/>
                <w:sz w:val="20"/>
              </w:rPr>
              <w:t>€382 923 205</w:t>
            </w:r>
          </w:p>
        </w:tc>
      </w:tr>
      <w:tr w:rsidR="007D3598">
        <w:tc>
          <w:tcPr>
            <w:tcW w:w="1642" w:type="dxa"/>
          </w:tcPr>
          <w:p w:rsidR="007D3598" w:rsidRDefault="00F8547B">
            <w:pPr>
              <w:jc w:val="center"/>
              <w:rPr>
                <w:noProof/>
                <w:szCs w:val="24"/>
              </w:rPr>
            </w:pPr>
            <w:r>
              <w:rPr>
                <w:noProof/>
                <w:sz w:val="20"/>
              </w:rPr>
              <w:t>Procurement</w:t>
            </w:r>
          </w:p>
        </w:tc>
        <w:tc>
          <w:tcPr>
            <w:tcW w:w="1642" w:type="dxa"/>
            <w:vAlign w:val="center"/>
          </w:tcPr>
          <w:p w:rsidR="007D3598" w:rsidRDefault="00F8547B">
            <w:pPr>
              <w:jc w:val="right"/>
              <w:rPr>
                <w:noProof/>
                <w:szCs w:val="24"/>
              </w:rPr>
            </w:pPr>
            <w:r>
              <w:rPr>
                <w:noProof/>
                <w:sz w:val="20"/>
              </w:rPr>
              <w:t>€1 600 000</w:t>
            </w:r>
          </w:p>
        </w:tc>
        <w:tc>
          <w:tcPr>
            <w:tcW w:w="1642" w:type="dxa"/>
            <w:vAlign w:val="center"/>
          </w:tcPr>
          <w:p w:rsidR="007D3598" w:rsidRDefault="00F8547B">
            <w:pPr>
              <w:jc w:val="right"/>
              <w:rPr>
                <w:noProof/>
                <w:szCs w:val="24"/>
              </w:rPr>
            </w:pPr>
            <w:r>
              <w:rPr>
                <w:noProof/>
                <w:sz w:val="20"/>
              </w:rPr>
              <w:t>€1 667 000</w:t>
            </w:r>
          </w:p>
        </w:tc>
        <w:tc>
          <w:tcPr>
            <w:tcW w:w="1642" w:type="dxa"/>
            <w:vAlign w:val="center"/>
          </w:tcPr>
          <w:p w:rsidR="007D3598" w:rsidRDefault="00F8547B">
            <w:pPr>
              <w:jc w:val="right"/>
              <w:rPr>
                <w:noProof/>
                <w:szCs w:val="24"/>
              </w:rPr>
            </w:pPr>
            <w:r>
              <w:rPr>
                <w:noProof/>
                <w:sz w:val="20"/>
              </w:rPr>
              <w:t>€2 200 000</w:t>
            </w:r>
          </w:p>
        </w:tc>
        <w:tc>
          <w:tcPr>
            <w:tcW w:w="1643" w:type="dxa"/>
            <w:vAlign w:val="center"/>
          </w:tcPr>
          <w:p w:rsidR="007D3598" w:rsidRDefault="00F8547B">
            <w:pPr>
              <w:jc w:val="right"/>
              <w:rPr>
                <w:noProof/>
                <w:szCs w:val="24"/>
              </w:rPr>
            </w:pPr>
            <w:r>
              <w:rPr>
                <w:noProof/>
                <w:sz w:val="20"/>
              </w:rPr>
              <w:t>€2 690 000</w:t>
            </w:r>
          </w:p>
        </w:tc>
        <w:tc>
          <w:tcPr>
            <w:tcW w:w="1643" w:type="dxa"/>
            <w:shd w:val="clear" w:color="auto" w:fill="DBE5F1" w:themeFill="accent1" w:themeFillTint="33"/>
            <w:vAlign w:val="center"/>
          </w:tcPr>
          <w:p w:rsidR="007D3598" w:rsidRDefault="00F8547B">
            <w:pPr>
              <w:jc w:val="right"/>
              <w:rPr>
                <w:noProof/>
                <w:szCs w:val="24"/>
              </w:rPr>
            </w:pPr>
            <w:r>
              <w:rPr>
                <w:b/>
                <w:noProof/>
                <w:sz w:val="20"/>
              </w:rPr>
              <w:t>€8 157 000</w:t>
            </w:r>
          </w:p>
        </w:tc>
      </w:tr>
      <w:tr w:rsidR="007D3598">
        <w:tc>
          <w:tcPr>
            <w:tcW w:w="1642" w:type="dxa"/>
          </w:tcPr>
          <w:p w:rsidR="007D3598" w:rsidRDefault="00F8547B">
            <w:pPr>
              <w:jc w:val="center"/>
              <w:rPr>
                <w:noProof/>
                <w:szCs w:val="24"/>
              </w:rPr>
            </w:pPr>
            <w:r>
              <w:rPr>
                <w:noProof/>
                <w:sz w:val="20"/>
              </w:rPr>
              <w:t>Delegation agreement</w:t>
            </w:r>
          </w:p>
        </w:tc>
        <w:tc>
          <w:tcPr>
            <w:tcW w:w="1642" w:type="dxa"/>
            <w:vAlign w:val="center"/>
          </w:tcPr>
          <w:p w:rsidR="007D3598" w:rsidRDefault="00F8547B">
            <w:pPr>
              <w:jc w:val="right"/>
              <w:rPr>
                <w:noProof/>
                <w:szCs w:val="24"/>
              </w:rPr>
            </w:pPr>
            <w:r>
              <w:rPr>
                <w:noProof/>
                <w:sz w:val="20"/>
              </w:rPr>
              <w:t>€4 500 000</w:t>
            </w:r>
          </w:p>
        </w:tc>
        <w:tc>
          <w:tcPr>
            <w:tcW w:w="1642" w:type="dxa"/>
            <w:vAlign w:val="center"/>
          </w:tcPr>
          <w:p w:rsidR="007D3598" w:rsidRDefault="00F8547B">
            <w:pPr>
              <w:jc w:val="right"/>
              <w:rPr>
                <w:noProof/>
                <w:szCs w:val="24"/>
              </w:rPr>
            </w:pPr>
            <w:r>
              <w:rPr>
                <w:noProof/>
                <w:sz w:val="20"/>
              </w:rPr>
              <w:t>-</w:t>
            </w:r>
          </w:p>
        </w:tc>
        <w:tc>
          <w:tcPr>
            <w:tcW w:w="1642" w:type="dxa"/>
            <w:vAlign w:val="center"/>
          </w:tcPr>
          <w:p w:rsidR="007D3598" w:rsidRDefault="00F8547B">
            <w:pPr>
              <w:jc w:val="right"/>
              <w:rPr>
                <w:noProof/>
                <w:szCs w:val="24"/>
              </w:rPr>
            </w:pPr>
            <w:r>
              <w:rPr>
                <w:noProof/>
                <w:sz w:val="20"/>
              </w:rPr>
              <w:t>€5 000 000</w:t>
            </w:r>
          </w:p>
        </w:tc>
        <w:tc>
          <w:tcPr>
            <w:tcW w:w="1643" w:type="dxa"/>
            <w:vAlign w:val="center"/>
          </w:tcPr>
          <w:p w:rsidR="007D3598" w:rsidRDefault="00F8547B">
            <w:pPr>
              <w:jc w:val="right"/>
              <w:rPr>
                <w:noProof/>
                <w:szCs w:val="24"/>
              </w:rPr>
            </w:pPr>
            <w:r>
              <w:rPr>
                <w:noProof/>
                <w:sz w:val="20"/>
              </w:rPr>
              <w:t>€2 300 000</w:t>
            </w:r>
          </w:p>
        </w:tc>
        <w:tc>
          <w:tcPr>
            <w:tcW w:w="1643" w:type="dxa"/>
            <w:shd w:val="clear" w:color="auto" w:fill="DBE5F1" w:themeFill="accent1" w:themeFillTint="33"/>
            <w:vAlign w:val="center"/>
          </w:tcPr>
          <w:p w:rsidR="007D3598" w:rsidRDefault="00F8547B">
            <w:pPr>
              <w:jc w:val="right"/>
              <w:rPr>
                <w:noProof/>
                <w:szCs w:val="24"/>
              </w:rPr>
            </w:pPr>
            <w:r>
              <w:rPr>
                <w:b/>
                <w:noProof/>
                <w:sz w:val="20"/>
              </w:rPr>
              <w:t>€11 800 000</w:t>
            </w:r>
          </w:p>
        </w:tc>
      </w:tr>
      <w:tr w:rsidR="007D3598">
        <w:tc>
          <w:tcPr>
            <w:tcW w:w="1642" w:type="dxa"/>
          </w:tcPr>
          <w:p w:rsidR="007D3598" w:rsidRDefault="00F8547B">
            <w:pPr>
              <w:jc w:val="center"/>
              <w:rPr>
                <w:noProof/>
                <w:szCs w:val="24"/>
              </w:rPr>
            </w:pPr>
            <w:r>
              <w:rPr>
                <w:noProof/>
                <w:sz w:val="20"/>
              </w:rPr>
              <w:t>Other</w:t>
            </w:r>
          </w:p>
        </w:tc>
        <w:tc>
          <w:tcPr>
            <w:tcW w:w="1642" w:type="dxa"/>
            <w:vAlign w:val="center"/>
          </w:tcPr>
          <w:p w:rsidR="007D3598" w:rsidRDefault="00F8547B">
            <w:pPr>
              <w:jc w:val="right"/>
              <w:rPr>
                <w:noProof/>
                <w:szCs w:val="24"/>
              </w:rPr>
            </w:pPr>
            <w:r>
              <w:rPr>
                <w:noProof/>
                <w:sz w:val="20"/>
              </w:rPr>
              <w:t>€450 000</w:t>
            </w:r>
          </w:p>
        </w:tc>
        <w:tc>
          <w:tcPr>
            <w:tcW w:w="1642" w:type="dxa"/>
            <w:vAlign w:val="center"/>
          </w:tcPr>
          <w:p w:rsidR="007D3598" w:rsidRDefault="00F8547B">
            <w:pPr>
              <w:jc w:val="right"/>
              <w:rPr>
                <w:noProof/>
                <w:szCs w:val="24"/>
              </w:rPr>
            </w:pPr>
            <w:r>
              <w:rPr>
                <w:noProof/>
                <w:sz w:val="20"/>
              </w:rPr>
              <w:t>€3 580 000</w:t>
            </w:r>
          </w:p>
        </w:tc>
        <w:tc>
          <w:tcPr>
            <w:tcW w:w="1642" w:type="dxa"/>
            <w:vAlign w:val="center"/>
          </w:tcPr>
          <w:p w:rsidR="007D3598" w:rsidRDefault="00F8547B">
            <w:pPr>
              <w:jc w:val="right"/>
              <w:rPr>
                <w:noProof/>
                <w:szCs w:val="24"/>
              </w:rPr>
            </w:pPr>
            <w:r>
              <w:rPr>
                <w:noProof/>
                <w:sz w:val="20"/>
              </w:rPr>
              <w:t>€2 750 000</w:t>
            </w:r>
          </w:p>
        </w:tc>
        <w:tc>
          <w:tcPr>
            <w:tcW w:w="1643" w:type="dxa"/>
            <w:vAlign w:val="center"/>
          </w:tcPr>
          <w:p w:rsidR="007D3598" w:rsidRDefault="00F8547B">
            <w:pPr>
              <w:jc w:val="right"/>
              <w:rPr>
                <w:noProof/>
                <w:szCs w:val="24"/>
              </w:rPr>
            </w:pPr>
            <w:r>
              <w:rPr>
                <w:noProof/>
                <w:sz w:val="20"/>
              </w:rPr>
              <w:t>€4 260 000</w:t>
            </w:r>
          </w:p>
        </w:tc>
        <w:tc>
          <w:tcPr>
            <w:tcW w:w="1643" w:type="dxa"/>
            <w:shd w:val="clear" w:color="auto" w:fill="DBE5F1" w:themeFill="accent1" w:themeFillTint="33"/>
            <w:vAlign w:val="center"/>
          </w:tcPr>
          <w:p w:rsidR="007D3598" w:rsidRDefault="00F8547B">
            <w:pPr>
              <w:jc w:val="right"/>
              <w:rPr>
                <w:noProof/>
                <w:szCs w:val="24"/>
              </w:rPr>
            </w:pPr>
            <w:r>
              <w:rPr>
                <w:b/>
                <w:noProof/>
                <w:sz w:val="20"/>
              </w:rPr>
              <w:t>€11 040 000</w:t>
            </w:r>
          </w:p>
        </w:tc>
      </w:tr>
      <w:tr w:rsidR="007D3598">
        <w:tc>
          <w:tcPr>
            <w:tcW w:w="1642" w:type="dxa"/>
          </w:tcPr>
          <w:p w:rsidR="007D3598" w:rsidRDefault="00F8547B">
            <w:pPr>
              <w:jc w:val="center"/>
              <w:rPr>
                <w:noProof/>
                <w:szCs w:val="24"/>
              </w:rPr>
            </w:pPr>
            <w:r>
              <w:rPr>
                <w:b/>
                <w:noProof/>
                <w:sz w:val="20"/>
              </w:rPr>
              <w:t>Total</w:t>
            </w:r>
          </w:p>
        </w:tc>
        <w:tc>
          <w:tcPr>
            <w:tcW w:w="1642" w:type="dxa"/>
            <w:vAlign w:val="center"/>
          </w:tcPr>
          <w:p w:rsidR="007D3598" w:rsidRDefault="00F8547B">
            <w:pPr>
              <w:jc w:val="right"/>
              <w:rPr>
                <w:noProof/>
                <w:szCs w:val="24"/>
              </w:rPr>
            </w:pPr>
            <w:r>
              <w:rPr>
                <w:b/>
                <w:noProof/>
                <w:sz w:val="20"/>
              </w:rPr>
              <w:t>€15 713 194</w:t>
            </w:r>
          </w:p>
        </w:tc>
        <w:tc>
          <w:tcPr>
            <w:tcW w:w="1642" w:type="dxa"/>
            <w:vAlign w:val="center"/>
          </w:tcPr>
          <w:p w:rsidR="007D3598" w:rsidRDefault="00F8547B">
            <w:pPr>
              <w:jc w:val="right"/>
              <w:rPr>
                <w:noProof/>
                <w:szCs w:val="24"/>
              </w:rPr>
            </w:pPr>
            <w:r>
              <w:rPr>
                <w:b/>
                <w:noProof/>
                <w:sz w:val="20"/>
              </w:rPr>
              <w:t>€51 047 000</w:t>
            </w:r>
          </w:p>
        </w:tc>
        <w:tc>
          <w:tcPr>
            <w:tcW w:w="1642" w:type="dxa"/>
            <w:vAlign w:val="center"/>
          </w:tcPr>
          <w:p w:rsidR="007D3598" w:rsidRDefault="00F8547B">
            <w:pPr>
              <w:jc w:val="right"/>
              <w:rPr>
                <w:noProof/>
                <w:szCs w:val="24"/>
              </w:rPr>
            </w:pPr>
            <w:r>
              <w:rPr>
                <w:b/>
                <w:noProof/>
                <w:sz w:val="20"/>
              </w:rPr>
              <w:t>€259 933 495</w:t>
            </w:r>
          </w:p>
        </w:tc>
        <w:tc>
          <w:tcPr>
            <w:tcW w:w="1643" w:type="dxa"/>
            <w:vAlign w:val="center"/>
          </w:tcPr>
          <w:p w:rsidR="007D3598" w:rsidRDefault="00F8547B">
            <w:pPr>
              <w:jc w:val="right"/>
              <w:rPr>
                <w:noProof/>
                <w:szCs w:val="24"/>
              </w:rPr>
            </w:pPr>
            <w:r>
              <w:rPr>
                <w:b/>
                <w:noProof/>
                <w:sz w:val="20"/>
              </w:rPr>
              <w:t>€87 226 516</w:t>
            </w:r>
          </w:p>
        </w:tc>
        <w:tc>
          <w:tcPr>
            <w:tcW w:w="1643" w:type="dxa"/>
            <w:shd w:val="clear" w:color="auto" w:fill="DBE5F1" w:themeFill="accent1" w:themeFillTint="33"/>
            <w:vAlign w:val="center"/>
          </w:tcPr>
          <w:p w:rsidR="007D3598" w:rsidRDefault="00F8547B">
            <w:pPr>
              <w:jc w:val="right"/>
              <w:rPr>
                <w:noProof/>
                <w:szCs w:val="24"/>
              </w:rPr>
            </w:pPr>
            <w:r>
              <w:rPr>
                <w:b/>
                <w:noProof/>
                <w:sz w:val="20"/>
              </w:rPr>
              <w:t>€413 920 205</w:t>
            </w:r>
          </w:p>
        </w:tc>
      </w:tr>
    </w:tbl>
    <w:p w:rsidR="007D3598" w:rsidRDefault="007D3598">
      <w:pPr>
        <w:jc w:val="both"/>
        <w:rPr>
          <w:noProof/>
          <w:szCs w:val="24"/>
        </w:rPr>
      </w:pPr>
    </w:p>
    <w:p w:rsidR="007D3598" w:rsidRDefault="00F8547B">
      <w:pPr>
        <w:pStyle w:val="Body"/>
        <w:spacing w:before="0" w:after="0" w:line="240" w:lineRule="auto"/>
        <w:jc w:val="both"/>
        <w:rPr>
          <w:rFonts w:ascii="Times New Roman" w:hAnsi="Times New Roman"/>
          <w:i/>
          <w:noProof/>
          <w:sz w:val="24"/>
          <w:szCs w:val="24"/>
          <w:u w:val="single"/>
        </w:rPr>
      </w:pPr>
      <w:r>
        <w:rPr>
          <w:rFonts w:ascii="Times New Roman" w:hAnsi="Times New Roman"/>
          <w:i/>
          <w:noProof/>
          <w:sz w:val="24"/>
          <w:szCs w:val="24"/>
          <w:u w:val="single"/>
        </w:rPr>
        <w:t>Emergency assistance measures</w:t>
      </w:r>
    </w:p>
    <w:p w:rsidR="007D3598" w:rsidRDefault="007D3598">
      <w:pPr>
        <w:pStyle w:val="Body"/>
        <w:spacing w:before="0" w:after="0" w:line="240" w:lineRule="auto"/>
        <w:jc w:val="both"/>
        <w:rPr>
          <w:rFonts w:ascii="Times New Roman" w:hAnsi="Times New Roman"/>
          <w:i/>
          <w:noProof/>
          <w:sz w:val="24"/>
          <w:szCs w:val="24"/>
          <w:u w:val="single"/>
        </w:rPr>
      </w:pPr>
    </w:p>
    <w:p w:rsidR="007D3598" w:rsidRDefault="00F8547B">
      <w:pPr>
        <w:jc w:val="both"/>
        <w:rPr>
          <w:noProof/>
          <w:szCs w:val="24"/>
        </w:rPr>
      </w:pPr>
      <w:r>
        <w:rPr>
          <w:noProof/>
          <w:szCs w:val="24"/>
        </w:rPr>
        <w:t xml:space="preserve">Over the period 2014-2017, the EU allocated a total amount </w:t>
      </w:r>
      <w:r>
        <w:rPr>
          <w:noProof/>
          <w:szCs w:val="24"/>
        </w:rPr>
        <w:t>of EUR 371.6 million to cover the priorities and objectives set by AWPs for EMAS. By 30 June 2017, 7 Member States</w:t>
      </w:r>
      <w:r>
        <w:rPr>
          <w:rStyle w:val="FootnoteReference"/>
          <w:noProof/>
          <w:szCs w:val="24"/>
        </w:rPr>
        <w:footnoteReference w:id="51"/>
      </w:r>
      <w:r>
        <w:rPr>
          <w:noProof/>
          <w:szCs w:val="24"/>
        </w:rPr>
        <w:t>, 1 EU Agency</w:t>
      </w:r>
      <w:r>
        <w:rPr>
          <w:rStyle w:val="FootnoteReference"/>
          <w:noProof/>
          <w:szCs w:val="24"/>
        </w:rPr>
        <w:footnoteReference w:id="52"/>
      </w:r>
      <w:r>
        <w:rPr>
          <w:noProof/>
          <w:szCs w:val="24"/>
        </w:rPr>
        <w:t xml:space="preserve"> and 1 international organisation</w:t>
      </w:r>
      <w:r>
        <w:rPr>
          <w:rStyle w:val="FootnoteReference"/>
          <w:noProof/>
          <w:szCs w:val="24"/>
        </w:rPr>
        <w:footnoteReference w:id="53"/>
      </w:r>
      <w:r>
        <w:rPr>
          <w:noProof/>
          <w:szCs w:val="24"/>
        </w:rPr>
        <w:t xml:space="preserve"> were beneficiaries of a total of 46 EMAS actions. The total committed resources amount to EU</w:t>
      </w:r>
      <w:r>
        <w:rPr>
          <w:noProof/>
          <w:szCs w:val="24"/>
        </w:rPr>
        <w:t>R 257.5 million, while payments, including both pre-financing and final payments, for completed actions stand at EUR 12.8 million. The pre-financing paid on ongoing EMAS actions amounted to EUR 143.7 million. It is important to highlight that, for EMAS mea</w:t>
      </w:r>
      <w:r>
        <w:rPr>
          <w:noProof/>
          <w:szCs w:val="24"/>
        </w:rPr>
        <w:t>sures, the maximum possible co-financing rate of eligible costs is up to 100 %</w:t>
      </w:r>
      <w:r>
        <w:rPr>
          <w:rStyle w:val="FootnoteReference"/>
          <w:noProof/>
        </w:rPr>
        <w:footnoteReference w:id="54"/>
      </w:r>
      <w:r>
        <w:rPr>
          <w:noProof/>
          <w:szCs w:val="24"/>
        </w:rPr>
        <w:t>.</w:t>
      </w:r>
    </w:p>
    <w:p w:rsidR="007D3598" w:rsidRDefault="007D3598">
      <w:pPr>
        <w:jc w:val="both"/>
        <w:rPr>
          <w:noProof/>
          <w:szCs w:val="24"/>
        </w:rPr>
      </w:pPr>
    </w:p>
    <w:p w:rsidR="007D3598" w:rsidRDefault="00F8547B">
      <w:pPr>
        <w:jc w:val="both"/>
        <w:rPr>
          <w:noProof/>
          <w:szCs w:val="24"/>
        </w:rPr>
      </w:pPr>
      <w:r>
        <w:rPr>
          <w:noProof/>
          <w:szCs w:val="24"/>
        </w:rPr>
        <w:t xml:space="preserve">In terms of the overall </w:t>
      </w:r>
      <w:r>
        <w:rPr>
          <w:b/>
          <w:noProof/>
          <w:szCs w:val="24"/>
        </w:rPr>
        <w:t>implementation rate</w:t>
      </w:r>
      <w:r>
        <w:rPr>
          <w:noProof/>
          <w:szCs w:val="24"/>
        </w:rPr>
        <w:t>, it stood at 5 % as of 30 June 2017, which is due to the fact that only 7 EMAS projects out of 46 had been completed by that time.</w:t>
      </w:r>
      <w:r>
        <w:rPr>
          <w:noProof/>
          <w:szCs w:val="24"/>
        </w:rPr>
        <w:t xml:space="preserve"> However, when we look at the implementation of those 7 completed projects, it stands at an impressive rate of 95 %.</w:t>
      </w:r>
    </w:p>
    <w:p w:rsidR="007D3598" w:rsidRDefault="007D3598">
      <w:pPr>
        <w:jc w:val="both"/>
        <w:rPr>
          <w:noProof/>
          <w:szCs w:val="24"/>
        </w:rPr>
      </w:pPr>
    </w:p>
    <w:p w:rsidR="007D3598" w:rsidRDefault="00F8547B">
      <w:pPr>
        <w:jc w:val="both"/>
        <w:rPr>
          <w:noProof/>
          <w:szCs w:val="24"/>
        </w:rPr>
      </w:pPr>
      <w:r>
        <w:rPr>
          <w:noProof/>
          <w:szCs w:val="24"/>
        </w:rPr>
        <w:t>Most EMAS actions were financed in 2015 (17) and 2016 (22) — the years when the migratory crisis peaked.</w:t>
      </w:r>
      <w:r>
        <w:rPr>
          <w:b/>
          <w:noProof/>
          <w:szCs w:val="24"/>
        </w:rPr>
        <w:t xml:space="preserve"> </w:t>
      </w:r>
      <w:r>
        <w:rPr>
          <w:noProof/>
          <w:szCs w:val="24"/>
        </w:rPr>
        <w:t>IT and EL</w:t>
      </w:r>
      <w:r>
        <w:rPr>
          <w:b/>
          <w:noProof/>
          <w:szCs w:val="24"/>
        </w:rPr>
        <w:t xml:space="preserve"> </w:t>
      </w:r>
      <w:r>
        <w:rPr>
          <w:noProof/>
          <w:szCs w:val="24"/>
        </w:rPr>
        <w:t>were the main beneficia</w:t>
      </w:r>
      <w:r>
        <w:rPr>
          <w:noProof/>
          <w:szCs w:val="24"/>
        </w:rPr>
        <w:t>ries of EMAS actions, with 18 and 17 measures financed respectively. Considering the financial support provided to each Member States, BG, IT and EL</w:t>
      </w:r>
      <w:r>
        <w:rPr>
          <w:b/>
          <w:noProof/>
          <w:szCs w:val="24"/>
        </w:rPr>
        <w:t xml:space="preserve"> </w:t>
      </w:r>
      <w:r>
        <w:rPr>
          <w:noProof/>
          <w:szCs w:val="24"/>
        </w:rPr>
        <w:t>are the main beneficiaries under EMAS, with an initial grant amount</w:t>
      </w:r>
      <w:r>
        <w:rPr>
          <w:rStyle w:val="FootnoteReference"/>
          <w:noProof/>
        </w:rPr>
        <w:footnoteReference w:id="55"/>
      </w:r>
      <w:r>
        <w:rPr>
          <w:noProof/>
          <w:szCs w:val="24"/>
        </w:rPr>
        <w:t xml:space="preserve"> of EUR 124.8, 59.5 and 55.9 million re</w:t>
      </w:r>
      <w:r>
        <w:rPr>
          <w:noProof/>
          <w:szCs w:val="24"/>
        </w:rPr>
        <w:t>spectively, followed by SI (EUR 4.9 million), HR (EUR 4.0 million), FR (EUR 1.7 million), and HU (EUR 1.5 million). As regards other organisations, UNHCR has received EUR 4.1 million and EASO has received EUR 1.1 million.</w:t>
      </w:r>
    </w:p>
    <w:p w:rsidR="007D3598" w:rsidRDefault="007D3598">
      <w:pPr>
        <w:jc w:val="both"/>
        <w:rPr>
          <w:noProof/>
          <w:szCs w:val="24"/>
        </w:rPr>
      </w:pPr>
    </w:p>
    <w:p w:rsidR="007D3598" w:rsidRDefault="00F8547B">
      <w:pPr>
        <w:keepNext/>
        <w:jc w:val="both"/>
        <w:rPr>
          <w:rFonts w:eastAsia="Calibri"/>
          <w:i/>
          <w:noProof/>
          <w:sz w:val="20"/>
          <w:lang w:eastAsia="nl-BE"/>
        </w:rPr>
      </w:pPr>
      <w:r>
        <w:rPr>
          <w:rFonts w:eastAsia="Calibri"/>
          <w:i/>
          <w:noProof/>
          <w:sz w:val="20"/>
          <w:lang w:eastAsia="nl-BE"/>
        </w:rPr>
        <w:t>Figure 8: Distribution of EMAS by</w:t>
      </w:r>
      <w:r>
        <w:rPr>
          <w:rFonts w:eastAsia="Calibri"/>
          <w:i/>
          <w:noProof/>
          <w:sz w:val="20"/>
          <w:lang w:eastAsia="nl-BE"/>
        </w:rPr>
        <w:t xml:space="preserve"> Member States, by committed and paid amounts by June 30.2017 (EUR million)</w:t>
      </w:r>
    </w:p>
    <w:p w:rsidR="007D3598" w:rsidRDefault="007D3598">
      <w:pPr>
        <w:keepNext/>
        <w:jc w:val="both"/>
        <w:rPr>
          <w:noProof/>
          <w:sz w:val="20"/>
        </w:rPr>
      </w:pPr>
    </w:p>
    <w:p w:rsidR="007D3598" w:rsidRDefault="00F8547B">
      <w:pPr>
        <w:jc w:val="center"/>
        <w:rPr>
          <w:noProof/>
          <w:szCs w:val="24"/>
        </w:rPr>
      </w:pPr>
      <w:r>
        <w:rPr>
          <w:noProof/>
          <w:lang w:eastAsia="en-GB"/>
        </w:rPr>
        <w:drawing>
          <wp:inline distT="0" distB="0" distL="0" distR="0" wp14:anchorId="0AFBA6FA" wp14:editId="73417C44">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7D3598" w:rsidRDefault="007D3598">
      <w:pPr>
        <w:jc w:val="both"/>
        <w:rPr>
          <w:noProof/>
          <w:szCs w:val="24"/>
        </w:rPr>
      </w:pPr>
    </w:p>
    <w:p w:rsidR="007D3598" w:rsidRDefault="007D3598">
      <w:pPr>
        <w:jc w:val="both"/>
        <w:rPr>
          <w:noProof/>
          <w:szCs w:val="24"/>
        </w:rPr>
      </w:pPr>
    </w:p>
    <w:p w:rsidR="007D3598" w:rsidRDefault="00F8547B">
      <w:pPr>
        <w:jc w:val="both"/>
        <w:rPr>
          <w:noProof/>
          <w:szCs w:val="24"/>
        </w:rPr>
      </w:pPr>
      <w:r>
        <w:rPr>
          <w:noProof/>
          <w:szCs w:val="24"/>
        </w:rPr>
        <w:t>Based on the type of measures put in place, EMAS can be grouped as follows:</w:t>
      </w:r>
    </w:p>
    <w:p w:rsidR="007D3598" w:rsidRDefault="007D3598">
      <w:pPr>
        <w:jc w:val="both"/>
        <w:rPr>
          <w:noProof/>
          <w:szCs w:val="24"/>
        </w:rPr>
      </w:pPr>
    </w:p>
    <w:p w:rsidR="007D3598" w:rsidRDefault="00F8547B">
      <w:pPr>
        <w:numPr>
          <w:ilvl w:val="0"/>
          <w:numId w:val="55"/>
        </w:numPr>
        <w:jc w:val="both"/>
        <w:rPr>
          <w:noProof/>
          <w:szCs w:val="24"/>
        </w:rPr>
      </w:pPr>
      <w:r>
        <w:rPr>
          <w:noProof/>
        </w:rPr>
        <w:t>improvement of operational capacities</w:t>
      </w:r>
      <w:r>
        <w:rPr>
          <w:noProof/>
          <w:szCs w:val="24"/>
        </w:rPr>
        <w:t xml:space="preserve"> (28 out of 46 measures);</w:t>
      </w:r>
    </w:p>
    <w:p w:rsidR="007D3598" w:rsidRDefault="00F8547B">
      <w:pPr>
        <w:numPr>
          <w:ilvl w:val="0"/>
          <w:numId w:val="55"/>
        </w:numPr>
        <w:jc w:val="both"/>
        <w:rPr>
          <w:noProof/>
          <w:szCs w:val="24"/>
        </w:rPr>
      </w:pPr>
      <w:r>
        <w:rPr>
          <w:noProof/>
        </w:rPr>
        <w:t xml:space="preserve">acquisition and purchase of </w:t>
      </w:r>
      <w:r>
        <w:rPr>
          <w:noProof/>
        </w:rPr>
        <w:t>transport, operating equipment</w:t>
      </w:r>
      <w:r>
        <w:rPr>
          <w:noProof/>
          <w:szCs w:val="24"/>
        </w:rPr>
        <w:t xml:space="preserve"> (such as search and rescue and border surveillance equipment, photo-finger printers), </w:t>
      </w:r>
      <w:r>
        <w:rPr>
          <w:noProof/>
        </w:rPr>
        <w:t>and IT systems</w:t>
      </w:r>
      <w:r>
        <w:rPr>
          <w:noProof/>
          <w:szCs w:val="24"/>
        </w:rPr>
        <w:t xml:space="preserve"> for a better and appropriate reaction to the emergency situation (8 out of 46 measures);</w:t>
      </w:r>
    </w:p>
    <w:p w:rsidR="007D3598" w:rsidRDefault="00F8547B">
      <w:pPr>
        <w:numPr>
          <w:ilvl w:val="0"/>
          <w:numId w:val="55"/>
        </w:numPr>
        <w:jc w:val="both"/>
        <w:rPr>
          <w:noProof/>
          <w:szCs w:val="24"/>
        </w:rPr>
      </w:pPr>
      <w:r>
        <w:rPr>
          <w:noProof/>
        </w:rPr>
        <w:t xml:space="preserve">support to staff and costs to keep </w:t>
      </w:r>
      <w:r>
        <w:rPr>
          <w:noProof/>
        </w:rPr>
        <w:t>equipment fit to address emergen</w:t>
      </w:r>
      <w:r>
        <w:rPr>
          <w:noProof/>
          <w:szCs w:val="24"/>
        </w:rPr>
        <w:t>cies (7 out of 46 measures);</w:t>
      </w:r>
    </w:p>
    <w:p w:rsidR="007D3598" w:rsidRDefault="00F8547B">
      <w:pPr>
        <w:numPr>
          <w:ilvl w:val="0"/>
          <w:numId w:val="55"/>
        </w:numPr>
        <w:jc w:val="both"/>
        <w:rPr>
          <w:noProof/>
          <w:szCs w:val="24"/>
        </w:rPr>
      </w:pPr>
      <w:r>
        <w:rPr>
          <w:noProof/>
        </w:rPr>
        <w:t xml:space="preserve">linguistic and intercultural mediation services </w:t>
      </w:r>
      <w:r>
        <w:rPr>
          <w:noProof/>
          <w:szCs w:val="24"/>
        </w:rPr>
        <w:t>(3 out of 46 measures).</w:t>
      </w:r>
    </w:p>
    <w:p w:rsidR="007D3598" w:rsidRDefault="007D3598">
      <w:pPr>
        <w:jc w:val="both"/>
        <w:rPr>
          <w:noProof/>
          <w:szCs w:val="24"/>
        </w:rPr>
      </w:pPr>
    </w:p>
    <w:p w:rsidR="007D3598" w:rsidRDefault="00F8547B">
      <w:pPr>
        <w:jc w:val="both"/>
        <w:rPr>
          <w:noProof/>
          <w:szCs w:val="24"/>
        </w:rPr>
      </w:pPr>
      <w:r>
        <w:rPr>
          <w:noProof/>
          <w:szCs w:val="24"/>
        </w:rPr>
        <w:t>EMAS has also contributed to the Greek hotspots</w:t>
      </w:r>
      <w:r>
        <w:rPr>
          <w:rStyle w:val="FootnoteReference"/>
          <w:noProof/>
          <w:szCs w:val="24"/>
        </w:rPr>
        <w:footnoteReference w:id="56"/>
      </w:r>
      <w:r>
        <w:rPr>
          <w:noProof/>
          <w:szCs w:val="24"/>
        </w:rPr>
        <w:t xml:space="preserve"> by providing funds for food, shelter, medicines and transport at the hots</w:t>
      </w:r>
      <w:r>
        <w:rPr>
          <w:noProof/>
          <w:szCs w:val="24"/>
        </w:rPr>
        <w:t>pots</w:t>
      </w:r>
      <w:r>
        <w:rPr>
          <w:rStyle w:val="FootnoteReference"/>
          <w:noProof/>
          <w:szCs w:val="24"/>
        </w:rPr>
        <w:footnoteReference w:id="57"/>
      </w:r>
      <w:r>
        <w:rPr>
          <w:noProof/>
          <w:szCs w:val="24"/>
        </w:rPr>
        <w:t xml:space="preserve"> and funds for strengthening the fingerprinting capacity</w:t>
      </w:r>
      <w:r>
        <w:rPr>
          <w:rStyle w:val="FootnoteReference"/>
          <w:noProof/>
          <w:szCs w:val="24"/>
        </w:rPr>
        <w:footnoteReference w:id="58"/>
      </w:r>
      <w:r>
        <w:rPr>
          <w:noProof/>
          <w:szCs w:val="24"/>
        </w:rPr>
        <w:t xml:space="preserve">.  </w:t>
      </w:r>
    </w:p>
    <w:p w:rsidR="007D3598" w:rsidRDefault="007D3598">
      <w:pPr>
        <w:jc w:val="both"/>
        <w:rPr>
          <w:noProof/>
          <w:szCs w:val="24"/>
        </w:rPr>
      </w:pPr>
    </w:p>
    <w:p w:rsidR="007D3598" w:rsidRDefault="00F8547B">
      <w:pPr>
        <w:pStyle w:val="Body"/>
        <w:keepNext/>
        <w:spacing w:before="0" w:after="0" w:line="240" w:lineRule="auto"/>
        <w:jc w:val="both"/>
        <w:rPr>
          <w:rFonts w:ascii="Times New Roman" w:hAnsi="Times New Roman"/>
          <w:i/>
          <w:noProof/>
          <w:sz w:val="24"/>
          <w:szCs w:val="24"/>
          <w:u w:val="single"/>
        </w:rPr>
      </w:pPr>
      <w:r>
        <w:rPr>
          <w:rFonts w:ascii="Times New Roman" w:hAnsi="Times New Roman"/>
          <w:i/>
          <w:noProof/>
          <w:sz w:val="24"/>
          <w:szCs w:val="24"/>
          <w:u w:val="single"/>
        </w:rPr>
        <w:t>Union Actions</w:t>
      </w:r>
    </w:p>
    <w:p w:rsidR="007D3598" w:rsidRDefault="007D3598">
      <w:pPr>
        <w:pStyle w:val="Body"/>
        <w:keepNext/>
        <w:spacing w:before="0" w:after="0" w:line="240" w:lineRule="auto"/>
        <w:jc w:val="both"/>
        <w:rPr>
          <w:rFonts w:ascii="Times New Roman" w:hAnsi="Times New Roman"/>
          <w:i/>
          <w:noProof/>
          <w:sz w:val="24"/>
          <w:szCs w:val="24"/>
          <w:u w:val="single"/>
        </w:rPr>
      </w:pPr>
    </w:p>
    <w:p w:rsidR="007D3598" w:rsidRDefault="00F8547B">
      <w:pPr>
        <w:keepNext/>
        <w:jc w:val="both"/>
        <w:rPr>
          <w:noProof/>
          <w:szCs w:val="24"/>
        </w:rPr>
      </w:pPr>
      <w:r>
        <w:rPr>
          <w:noProof/>
          <w:szCs w:val="24"/>
        </w:rPr>
        <w:t xml:space="preserve">Over the period 2014-2017, the EU planned a total amount of EUR 42.3 million to meet the priorities and objectives set by AWPs for UAs. A total number of 77 UAs have funded </w:t>
      </w:r>
      <w:r>
        <w:rPr>
          <w:noProof/>
          <w:szCs w:val="24"/>
        </w:rPr>
        <w:t>beneficiaries based in nine Member States</w:t>
      </w:r>
      <w:r>
        <w:rPr>
          <w:rStyle w:val="FootnoteReference"/>
          <w:noProof/>
          <w:szCs w:val="24"/>
        </w:rPr>
        <w:footnoteReference w:id="59"/>
      </w:r>
      <w:r>
        <w:rPr>
          <w:noProof/>
          <w:szCs w:val="24"/>
        </w:rPr>
        <w:t>. It should be noted that 7 out of the 77 actions are being implemented via action grants with none completed by 30 June 2017, with the remaining ones being implemented via procurement of services directly by the C</w:t>
      </w:r>
      <w:r>
        <w:rPr>
          <w:noProof/>
          <w:szCs w:val="24"/>
        </w:rPr>
        <w:t>ommission.</w:t>
      </w:r>
    </w:p>
    <w:p w:rsidR="007D3598" w:rsidRDefault="007D3598">
      <w:pPr>
        <w:keepNext/>
        <w:jc w:val="both"/>
        <w:rPr>
          <w:noProof/>
          <w:szCs w:val="24"/>
        </w:rPr>
      </w:pPr>
    </w:p>
    <w:p w:rsidR="007D3598" w:rsidRDefault="00F8547B">
      <w:pPr>
        <w:pStyle w:val="ListParagraph"/>
        <w:keepNext/>
        <w:numPr>
          <w:ilvl w:val="0"/>
          <w:numId w:val="66"/>
        </w:numPr>
        <w:jc w:val="both"/>
        <w:rPr>
          <w:i/>
          <w:noProof/>
          <w:szCs w:val="24"/>
        </w:rPr>
      </w:pPr>
      <w:r>
        <w:rPr>
          <w:i/>
          <w:noProof/>
          <w:szCs w:val="24"/>
        </w:rPr>
        <w:t>Action grants</w:t>
      </w:r>
    </w:p>
    <w:p w:rsidR="007D3598" w:rsidRDefault="007D3598">
      <w:pPr>
        <w:keepNext/>
        <w:jc w:val="both"/>
        <w:rPr>
          <w:noProof/>
          <w:szCs w:val="24"/>
        </w:rPr>
      </w:pPr>
    </w:p>
    <w:p w:rsidR="007D3598" w:rsidRDefault="00F8547B">
      <w:pPr>
        <w:keepNext/>
        <w:jc w:val="both"/>
        <w:rPr>
          <w:noProof/>
          <w:szCs w:val="24"/>
        </w:rPr>
      </w:pPr>
      <w:r>
        <w:rPr>
          <w:noProof/>
          <w:szCs w:val="24"/>
        </w:rPr>
        <w:t>The total committed resources for the seven action grants amounted to EUR 3.8 million, while the implementation rate as of 30 June 2017 stood at 0 % with no final payments made by that date. The pre-financing paid to date amounte</w:t>
      </w:r>
      <w:r>
        <w:rPr>
          <w:noProof/>
          <w:szCs w:val="24"/>
        </w:rPr>
        <w:t>d to EUR 1.2 million. It is important to highlight that, for such measures, the maximum possible co-financing rate for eligible costs is up to 95 %</w:t>
      </w:r>
      <w:r>
        <w:rPr>
          <w:rStyle w:val="FootnoteReference"/>
          <w:noProof/>
        </w:rPr>
        <w:footnoteReference w:id="60"/>
      </w:r>
      <w:r>
        <w:rPr>
          <w:noProof/>
          <w:szCs w:val="24"/>
        </w:rPr>
        <w:t>.</w:t>
      </w:r>
    </w:p>
    <w:p w:rsidR="007D3598" w:rsidRDefault="007D3598">
      <w:pPr>
        <w:keepNext/>
        <w:jc w:val="both"/>
        <w:rPr>
          <w:noProof/>
          <w:szCs w:val="24"/>
        </w:rPr>
      </w:pPr>
    </w:p>
    <w:p w:rsidR="007D3598" w:rsidRDefault="00F8547B">
      <w:pPr>
        <w:jc w:val="both"/>
        <w:rPr>
          <w:noProof/>
          <w:szCs w:val="24"/>
        </w:rPr>
      </w:pPr>
      <w:r>
        <w:rPr>
          <w:noProof/>
        </w:rPr>
        <w:t>Based</w:t>
      </w:r>
      <w:r>
        <w:rPr>
          <w:noProof/>
          <w:szCs w:val="24"/>
        </w:rPr>
        <w:t xml:space="preserve"> on the type of measures put in place, action grants can be grouped as follows:</w:t>
      </w:r>
    </w:p>
    <w:p w:rsidR="007D3598" w:rsidRDefault="00F8547B">
      <w:pPr>
        <w:pStyle w:val="ListParagraph"/>
        <w:numPr>
          <w:ilvl w:val="0"/>
          <w:numId w:val="64"/>
        </w:numPr>
        <w:rPr>
          <w:noProof/>
          <w:szCs w:val="24"/>
        </w:rPr>
      </w:pPr>
      <w:r>
        <w:rPr>
          <w:noProof/>
          <w:szCs w:val="24"/>
        </w:rPr>
        <w:t>EUROSUR (two project</w:t>
      </w:r>
      <w:r>
        <w:rPr>
          <w:noProof/>
          <w:szCs w:val="24"/>
        </w:rPr>
        <w:t>s in ES and PT);</w:t>
      </w:r>
    </w:p>
    <w:p w:rsidR="007D3598" w:rsidRDefault="00F8547B">
      <w:pPr>
        <w:pStyle w:val="ListParagraph"/>
        <w:numPr>
          <w:ilvl w:val="0"/>
          <w:numId w:val="64"/>
        </w:numPr>
        <w:rPr>
          <w:noProof/>
          <w:szCs w:val="24"/>
        </w:rPr>
      </w:pPr>
      <w:r>
        <w:rPr>
          <w:noProof/>
          <w:szCs w:val="24"/>
        </w:rPr>
        <w:t>Visa processing (one project in DE);</w:t>
      </w:r>
    </w:p>
    <w:p w:rsidR="007D3598" w:rsidRDefault="00F8547B">
      <w:pPr>
        <w:pStyle w:val="ListParagraph"/>
        <w:numPr>
          <w:ilvl w:val="0"/>
          <w:numId w:val="64"/>
        </w:numPr>
        <w:rPr>
          <w:noProof/>
          <w:szCs w:val="24"/>
        </w:rPr>
      </w:pPr>
      <w:r>
        <w:rPr>
          <w:noProof/>
          <w:szCs w:val="24"/>
        </w:rPr>
        <w:t>Regional cooperation on border management (two projects in BG and EL);</w:t>
      </w:r>
    </w:p>
    <w:p w:rsidR="007D3598" w:rsidRDefault="00F8547B">
      <w:pPr>
        <w:pStyle w:val="ListParagraph"/>
        <w:numPr>
          <w:ilvl w:val="0"/>
          <w:numId w:val="64"/>
        </w:numPr>
        <w:rPr>
          <w:noProof/>
          <w:szCs w:val="24"/>
        </w:rPr>
      </w:pPr>
      <w:r>
        <w:rPr>
          <w:noProof/>
          <w:szCs w:val="24"/>
        </w:rPr>
        <w:t>Schengen Masterlist  Border Control Pilot (two projects in NO and PT)</w:t>
      </w:r>
      <w:r>
        <w:rPr>
          <w:rStyle w:val="FootnoteReference"/>
          <w:noProof/>
          <w:szCs w:val="24"/>
        </w:rPr>
        <w:footnoteReference w:id="61"/>
      </w:r>
    </w:p>
    <w:p w:rsidR="007D3598" w:rsidRDefault="007D3598">
      <w:pPr>
        <w:keepNext/>
        <w:jc w:val="both"/>
        <w:rPr>
          <w:noProof/>
          <w:szCs w:val="24"/>
        </w:rPr>
      </w:pPr>
    </w:p>
    <w:p w:rsidR="007D3598" w:rsidRDefault="00F8547B">
      <w:pPr>
        <w:keepNext/>
        <w:jc w:val="both"/>
        <w:rPr>
          <w:noProof/>
          <w:sz w:val="20"/>
        </w:rPr>
      </w:pPr>
      <w:r>
        <w:rPr>
          <w:rFonts w:eastAsia="Calibri"/>
          <w:i/>
          <w:noProof/>
          <w:sz w:val="20"/>
          <w:lang w:eastAsia="nl-BE"/>
        </w:rPr>
        <w:t xml:space="preserve">Figure 9: Distribution of action grants by identified </w:t>
      </w:r>
      <w:r>
        <w:rPr>
          <w:rFonts w:eastAsia="Calibri"/>
          <w:i/>
          <w:noProof/>
          <w:sz w:val="20"/>
          <w:lang w:eastAsia="nl-BE"/>
        </w:rPr>
        <w:t>clusters, by committed amounts by June 30 2017 (EUR thousand)</w:t>
      </w:r>
    </w:p>
    <w:p w:rsidR="007D3598" w:rsidRDefault="00F8547B">
      <w:pPr>
        <w:keepNext/>
        <w:jc w:val="both"/>
        <w:rPr>
          <w:noProof/>
          <w:szCs w:val="24"/>
        </w:rPr>
      </w:pPr>
      <w:r>
        <w:rPr>
          <w:noProof/>
          <w:lang w:eastAsia="en-GB"/>
        </w:rPr>
        <w:drawing>
          <wp:inline distT="0" distB="0" distL="0" distR="0" wp14:anchorId="3249266E" wp14:editId="3B5408D4">
            <wp:extent cx="5934075" cy="283845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7D3598" w:rsidRDefault="007D3598">
      <w:pPr>
        <w:keepNext/>
        <w:jc w:val="both"/>
        <w:rPr>
          <w:noProof/>
          <w:szCs w:val="24"/>
        </w:rPr>
      </w:pPr>
    </w:p>
    <w:p w:rsidR="007D3598" w:rsidRDefault="007D3598">
      <w:pPr>
        <w:keepNext/>
        <w:jc w:val="both"/>
        <w:rPr>
          <w:noProof/>
          <w:szCs w:val="24"/>
        </w:rPr>
      </w:pPr>
    </w:p>
    <w:p w:rsidR="007D3598" w:rsidRDefault="00F8547B">
      <w:pPr>
        <w:pStyle w:val="ListParagraph"/>
        <w:keepNext/>
        <w:numPr>
          <w:ilvl w:val="0"/>
          <w:numId w:val="66"/>
        </w:numPr>
        <w:jc w:val="both"/>
        <w:rPr>
          <w:i/>
          <w:noProof/>
          <w:szCs w:val="24"/>
        </w:rPr>
      </w:pPr>
      <w:r>
        <w:rPr>
          <w:i/>
          <w:noProof/>
          <w:szCs w:val="24"/>
        </w:rPr>
        <w:t>Procurement</w:t>
      </w:r>
    </w:p>
    <w:p w:rsidR="007D3598" w:rsidRDefault="007D3598">
      <w:pPr>
        <w:pStyle w:val="ListParagraph"/>
        <w:keepNext/>
        <w:jc w:val="both"/>
        <w:rPr>
          <w:i/>
          <w:noProof/>
          <w:szCs w:val="24"/>
        </w:rPr>
      </w:pPr>
    </w:p>
    <w:p w:rsidR="007D3598" w:rsidRDefault="00F8547B">
      <w:pPr>
        <w:jc w:val="both"/>
        <w:rPr>
          <w:noProof/>
        </w:rPr>
      </w:pPr>
      <w:r>
        <w:rPr>
          <w:noProof/>
          <w:szCs w:val="24"/>
        </w:rPr>
        <w:t>The total committed resources for 70 actions falling under the category of procurement, administrative arrangements and service level agreements amounted to EUR 9.4 million whil</w:t>
      </w:r>
      <w:r>
        <w:rPr>
          <w:noProof/>
          <w:szCs w:val="24"/>
        </w:rPr>
        <w:t xml:space="preserve">e payments on completed actions amounted to EUR 4.2 million, which corresponded to 52 completed actions out of 70 and an implementation rate of 45 % as of 30 June 2017. </w:t>
      </w:r>
      <w:r>
        <w:rPr>
          <w:noProof/>
        </w:rPr>
        <w:t>Procurement essentially covers services that the Commission purchased directly and focu</w:t>
      </w:r>
      <w:r>
        <w:rPr>
          <w:noProof/>
        </w:rPr>
        <w:t>ses primarily on the financing of different evaluation mechanisms, most of which are linked to the Schengen evaluation.</w:t>
      </w:r>
    </w:p>
    <w:p w:rsidR="007D3598" w:rsidRDefault="007D3598">
      <w:pPr>
        <w:keepNext/>
        <w:jc w:val="both"/>
        <w:rPr>
          <w:noProof/>
          <w:szCs w:val="24"/>
        </w:rPr>
      </w:pPr>
    </w:p>
    <w:p w:rsidR="007D3598" w:rsidRDefault="00F8547B">
      <w:pPr>
        <w:jc w:val="both"/>
        <w:rPr>
          <w:noProof/>
          <w:szCs w:val="24"/>
        </w:rPr>
      </w:pPr>
      <w:r>
        <w:rPr>
          <w:noProof/>
          <w:szCs w:val="24"/>
        </w:rPr>
        <w:t>Most of the contracts were concluded in 2015 and 2016</w:t>
      </w:r>
      <w:r>
        <w:rPr>
          <w:rStyle w:val="FootnoteReference"/>
          <w:noProof/>
        </w:rPr>
        <w:footnoteReference w:id="62"/>
      </w:r>
      <w:r>
        <w:rPr>
          <w:noProof/>
          <w:szCs w:val="24"/>
        </w:rPr>
        <w:t>.</w:t>
      </w:r>
      <w:r>
        <w:rPr>
          <w:noProof/>
          <w:szCs w:val="24"/>
          <w:vertAlign w:val="superscript"/>
        </w:rPr>
        <w:t xml:space="preserve"> </w:t>
      </w:r>
      <w:r>
        <w:rPr>
          <w:noProof/>
          <w:szCs w:val="24"/>
        </w:rPr>
        <w:t>Due to the nature of procurement, most contractors are based close to the Commi</w:t>
      </w:r>
      <w:r>
        <w:rPr>
          <w:noProof/>
          <w:szCs w:val="24"/>
        </w:rPr>
        <w:t>ssion’s headquarters.</w:t>
      </w:r>
      <w:r>
        <w:rPr>
          <w:b/>
          <w:noProof/>
          <w:szCs w:val="24"/>
        </w:rPr>
        <w:t xml:space="preserve"> </w:t>
      </w:r>
      <w:r>
        <w:rPr>
          <w:noProof/>
          <w:szCs w:val="24"/>
        </w:rPr>
        <w:t xml:space="preserve">Therefore, </w:t>
      </w:r>
      <w:r>
        <w:rPr>
          <w:b/>
          <w:noProof/>
          <w:szCs w:val="24"/>
        </w:rPr>
        <w:t>Belgium</w:t>
      </w:r>
      <w:r>
        <w:rPr>
          <w:noProof/>
          <w:szCs w:val="24"/>
        </w:rPr>
        <w:t xml:space="preserve"> is the Member States with the most contracts (57)</w:t>
      </w:r>
      <w:r>
        <w:rPr>
          <w:noProof/>
        </w:rPr>
        <w:t xml:space="preserve">, followed by </w:t>
      </w:r>
      <w:r>
        <w:rPr>
          <w:noProof/>
          <w:szCs w:val="24"/>
        </w:rPr>
        <w:t xml:space="preserve">France (9), </w:t>
      </w:r>
      <w:r>
        <w:rPr>
          <w:noProof/>
        </w:rPr>
        <w:t>Germany (3) and Luxembourg (1).</w:t>
      </w:r>
    </w:p>
    <w:p w:rsidR="007D3598" w:rsidRDefault="007D3598">
      <w:pPr>
        <w:jc w:val="both"/>
        <w:rPr>
          <w:noProof/>
        </w:rPr>
      </w:pPr>
    </w:p>
    <w:p w:rsidR="007D3598" w:rsidRDefault="00F8547B">
      <w:pPr>
        <w:jc w:val="both"/>
        <w:rPr>
          <w:noProof/>
          <w:szCs w:val="24"/>
        </w:rPr>
      </w:pPr>
      <w:r>
        <w:rPr>
          <w:noProof/>
        </w:rPr>
        <w:t>Based</w:t>
      </w:r>
      <w:r>
        <w:rPr>
          <w:noProof/>
          <w:szCs w:val="24"/>
        </w:rPr>
        <w:t xml:space="preserve"> on the type of measures put in place, procurements can be grouped as follows:</w:t>
      </w:r>
    </w:p>
    <w:p w:rsidR="007D3598" w:rsidRDefault="00F8547B">
      <w:pPr>
        <w:pStyle w:val="ListParagraph"/>
        <w:numPr>
          <w:ilvl w:val="0"/>
          <w:numId w:val="67"/>
        </w:numPr>
        <w:rPr>
          <w:noProof/>
          <w:szCs w:val="24"/>
        </w:rPr>
      </w:pPr>
      <w:r>
        <w:rPr>
          <w:noProof/>
          <w:szCs w:val="24"/>
        </w:rPr>
        <w:t xml:space="preserve">evaluation mechanisms, </w:t>
      </w:r>
      <w:r>
        <w:rPr>
          <w:noProof/>
          <w:szCs w:val="24"/>
        </w:rPr>
        <w:t>mainly Schengen evaluations (41 procurements);</w:t>
      </w:r>
    </w:p>
    <w:p w:rsidR="007D3598" w:rsidRDefault="00F8547B">
      <w:pPr>
        <w:pStyle w:val="ListParagraph"/>
        <w:numPr>
          <w:ilvl w:val="0"/>
          <w:numId w:val="67"/>
        </w:numPr>
        <w:rPr>
          <w:noProof/>
          <w:szCs w:val="24"/>
        </w:rPr>
      </w:pPr>
      <w:r>
        <w:rPr>
          <w:noProof/>
          <w:szCs w:val="24"/>
        </w:rPr>
        <w:t>IT Systems for border management (9);</w:t>
      </w:r>
    </w:p>
    <w:p w:rsidR="007D3598" w:rsidRDefault="00F8547B">
      <w:pPr>
        <w:pStyle w:val="ListParagraph"/>
        <w:numPr>
          <w:ilvl w:val="0"/>
          <w:numId w:val="67"/>
        </w:numPr>
        <w:rPr>
          <w:noProof/>
          <w:szCs w:val="24"/>
        </w:rPr>
      </w:pPr>
      <w:r>
        <w:rPr>
          <w:noProof/>
          <w:szCs w:val="24"/>
        </w:rPr>
        <w:t>visa processing (1);</w:t>
      </w:r>
    </w:p>
    <w:p w:rsidR="007D3598" w:rsidRDefault="00F8547B">
      <w:pPr>
        <w:pStyle w:val="ListParagraph"/>
        <w:numPr>
          <w:ilvl w:val="0"/>
          <w:numId w:val="67"/>
        </w:numPr>
        <w:rPr>
          <w:noProof/>
          <w:szCs w:val="24"/>
        </w:rPr>
      </w:pPr>
      <w:r>
        <w:rPr>
          <w:noProof/>
          <w:szCs w:val="24"/>
        </w:rPr>
        <w:t>immigration liaison officers</w:t>
      </w:r>
      <w:r>
        <w:rPr>
          <w:noProof/>
          <w:szCs w:val="24"/>
        </w:rPr>
        <w:tab/>
        <w:t>(2);</w:t>
      </w:r>
    </w:p>
    <w:p w:rsidR="007D3598" w:rsidRDefault="00F8547B">
      <w:pPr>
        <w:pStyle w:val="ListParagraph"/>
        <w:numPr>
          <w:ilvl w:val="0"/>
          <w:numId w:val="67"/>
        </w:numPr>
        <w:rPr>
          <w:noProof/>
          <w:szCs w:val="24"/>
        </w:rPr>
      </w:pPr>
      <w:r>
        <w:rPr>
          <w:noProof/>
          <w:szCs w:val="24"/>
        </w:rPr>
        <w:t>press brochure on Schengen (3);</w:t>
      </w:r>
    </w:p>
    <w:p w:rsidR="007D3598" w:rsidRDefault="00F8547B">
      <w:pPr>
        <w:pStyle w:val="ListParagraph"/>
        <w:numPr>
          <w:ilvl w:val="0"/>
          <w:numId w:val="67"/>
        </w:numPr>
        <w:rPr>
          <w:noProof/>
          <w:szCs w:val="24"/>
        </w:rPr>
      </w:pPr>
      <w:r>
        <w:rPr>
          <w:noProof/>
          <w:szCs w:val="24"/>
        </w:rPr>
        <w:t>webworks (1);</w:t>
      </w:r>
    </w:p>
    <w:p w:rsidR="007D3598" w:rsidRDefault="00F8547B">
      <w:pPr>
        <w:pStyle w:val="ListParagraph"/>
        <w:numPr>
          <w:ilvl w:val="0"/>
          <w:numId w:val="67"/>
        </w:numPr>
        <w:rPr>
          <w:noProof/>
          <w:szCs w:val="24"/>
        </w:rPr>
      </w:pPr>
      <w:r>
        <w:rPr>
          <w:noProof/>
          <w:szCs w:val="24"/>
        </w:rPr>
        <w:t>others</w:t>
      </w:r>
      <w:r>
        <w:rPr>
          <w:noProof/>
          <w:szCs w:val="24"/>
        </w:rPr>
        <w:tab/>
        <w:t>(13).</w:t>
      </w:r>
    </w:p>
    <w:p w:rsidR="007D3598" w:rsidRDefault="007D3598">
      <w:pPr>
        <w:jc w:val="both"/>
        <w:rPr>
          <w:noProof/>
          <w:szCs w:val="24"/>
          <w:highlight w:val="yellow"/>
        </w:rPr>
      </w:pPr>
    </w:p>
    <w:p w:rsidR="007D3598" w:rsidRDefault="00F8547B">
      <w:pPr>
        <w:keepNext/>
        <w:jc w:val="both"/>
        <w:rPr>
          <w:rFonts w:eastAsia="Calibri"/>
          <w:i/>
          <w:noProof/>
          <w:sz w:val="20"/>
          <w:lang w:eastAsia="nl-BE"/>
        </w:rPr>
      </w:pPr>
      <w:r>
        <w:rPr>
          <w:rFonts w:eastAsia="Calibri"/>
          <w:i/>
          <w:noProof/>
          <w:sz w:val="20"/>
          <w:lang w:eastAsia="nl-BE"/>
        </w:rPr>
        <w:t xml:space="preserve">Figure 10: Distribution of UAs by identified clusters, </w:t>
      </w:r>
      <w:r>
        <w:rPr>
          <w:rFonts w:eastAsia="Calibri"/>
          <w:i/>
          <w:noProof/>
          <w:sz w:val="20"/>
          <w:lang w:eastAsia="nl-BE"/>
        </w:rPr>
        <w:t>by committed and paid amounts by June 30 2017 (EUR thousand)</w:t>
      </w:r>
    </w:p>
    <w:p w:rsidR="007D3598" w:rsidRDefault="007D3598">
      <w:pPr>
        <w:keepNext/>
        <w:jc w:val="both"/>
        <w:rPr>
          <w:noProof/>
          <w:sz w:val="20"/>
        </w:rPr>
      </w:pPr>
    </w:p>
    <w:p w:rsidR="007D3598" w:rsidRDefault="00F8547B">
      <w:pPr>
        <w:jc w:val="center"/>
        <w:rPr>
          <w:noProof/>
          <w:szCs w:val="24"/>
        </w:rPr>
      </w:pPr>
      <w:r>
        <w:rPr>
          <w:noProof/>
          <w:lang w:eastAsia="en-GB"/>
        </w:rPr>
        <w:drawing>
          <wp:inline distT="0" distB="0" distL="0" distR="0" wp14:anchorId="21E36FB4" wp14:editId="2D411932">
            <wp:extent cx="5162550" cy="27717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7D3598" w:rsidRDefault="007D3598">
      <w:pPr>
        <w:jc w:val="both"/>
        <w:rPr>
          <w:noProof/>
          <w:szCs w:val="24"/>
        </w:rPr>
      </w:pPr>
      <w:bookmarkStart w:id="355" w:name="_Toc506393749"/>
      <w:bookmarkStart w:id="356" w:name="_Toc504475690"/>
    </w:p>
    <w:p w:rsidR="007D3598" w:rsidRDefault="007D3598">
      <w:pPr>
        <w:jc w:val="both"/>
        <w:rPr>
          <w:noProof/>
          <w:szCs w:val="24"/>
        </w:rPr>
      </w:pPr>
    </w:p>
    <w:p w:rsidR="007D3598" w:rsidRDefault="00F8547B">
      <w:pPr>
        <w:pStyle w:val="HH3"/>
        <w:spacing w:before="0" w:after="0"/>
        <w:contextualSpacing w:val="0"/>
        <w:rPr>
          <w:noProof/>
          <w:szCs w:val="24"/>
        </w:rPr>
      </w:pPr>
      <w:r>
        <w:rPr>
          <w:noProof/>
          <w:szCs w:val="24"/>
        </w:rPr>
        <w:t>Indirect management</w:t>
      </w:r>
      <w:bookmarkEnd w:id="355"/>
    </w:p>
    <w:bookmarkEnd w:id="356"/>
    <w:p w:rsidR="007D3598" w:rsidRDefault="007D3598">
      <w:pPr>
        <w:pStyle w:val="Text3"/>
        <w:jc w:val="both"/>
        <w:rPr>
          <w:noProof/>
          <w:szCs w:val="24"/>
        </w:rPr>
      </w:pPr>
    </w:p>
    <w:p w:rsidR="007D3598" w:rsidRDefault="00F8547B">
      <w:pPr>
        <w:jc w:val="both"/>
        <w:rPr>
          <w:noProof/>
          <w:szCs w:val="24"/>
        </w:rPr>
      </w:pPr>
      <w:r>
        <w:rPr>
          <w:noProof/>
          <w:szCs w:val="24"/>
        </w:rPr>
        <w:t xml:space="preserve">The 2014-2017 AWPs allocated, as of 30 June 2017, a total amount of EUR 12 million for indirect management instruments, out of which 42 % of the overall amount was </w:t>
      </w:r>
      <w:r>
        <w:rPr>
          <w:noProof/>
          <w:szCs w:val="24"/>
        </w:rPr>
        <w:t>allocated for 2016, 38 % for 2014, and only 20 % for 2017.</w:t>
      </w:r>
    </w:p>
    <w:p w:rsidR="007D3598" w:rsidRDefault="007D3598">
      <w:pPr>
        <w:jc w:val="both"/>
        <w:rPr>
          <w:noProof/>
          <w:szCs w:val="24"/>
        </w:rPr>
      </w:pPr>
    </w:p>
    <w:p w:rsidR="007D3598" w:rsidRDefault="00F8547B">
      <w:pPr>
        <w:jc w:val="both"/>
        <w:rPr>
          <w:noProof/>
          <w:szCs w:val="24"/>
        </w:rPr>
      </w:pPr>
      <w:r>
        <w:rPr>
          <w:noProof/>
          <w:szCs w:val="24"/>
        </w:rPr>
        <w:t>Operationally, 81 % of the overall resources provided for through the AWPs have been allocated, for a total amount of EUR 9.5 million. By 30 June 2017 a total amount of EUR 7.9 million was paid as</w:t>
      </w:r>
      <w:r>
        <w:rPr>
          <w:noProof/>
          <w:szCs w:val="24"/>
        </w:rPr>
        <w:t xml:space="preserve"> pre-financing with no final payment made by the cut-off date.</w:t>
      </w:r>
    </w:p>
    <w:p w:rsidR="007D3598" w:rsidRDefault="007D3598">
      <w:pPr>
        <w:jc w:val="both"/>
        <w:rPr>
          <w:noProof/>
          <w:szCs w:val="24"/>
        </w:rPr>
      </w:pPr>
    </w:p>
    <w:p w:rsidR="007D3598" w:rsidRDefault="00F8547B">
      <w:pPr>
        <w:jc w:val="both"/>
        <w:rPr>
          <w:noProof/>
          <w:szCs w:val="24"/>
        </w:rPr>
      </w:pPr>
      <w:r>
        <w:rPr>
          <w:noProof/>
          <w:szCs w:val="24"/>
        </w:rPr>
        <w:t xml:space="preserve">In particular, during the period 2014-2017, the EU entrusted budget implementation tasks, through delegation agreements to the following bodies. </w:t>
      </w:r>
    </w:p>
    <w:p w:rsidR="007D3598" w:rsidRDefault="007D3598">
      <w:pPr>
        <w:jc w:val="both"/>
        <w:rPr>
          <w:noProof/>
          <w:szCs w:val="24"/>
        </w:rPr>
      </w:pPr>
    </w:p>
    <w:p w:rsidR="007D3598" w:rsidRDefault="00F8547B">
      <w:pPr>
        <w:numPr>
          <w:ilvl w:val="2"/>
          <w:numId w:val="54"/>
        </w:numPr>
        <w:ind w:left="426"/>
        <w:jc w:val="both"/>
        <w:rPr>
          <w:noProof/>
          <w:szCs w:val="24"/>
        </w:rPr>
      </w:pPr>
      <w:r>
        <w:rPr>
          <w:b/>
          <w:noProof/>
        </w:rPr>
        <w:t>eu-LISA</w:t>
      </w:r>
      <w:r>
        <w:rPr>
          <w:noProof/>
          <w:szCs w:val="24"/>
        </w:rPr>
        <w:t xml:space="preserve"> in order to carry out the ‘Smart Bord</w:t>
      </w:r>
      <w:r>
        <w:rPr>
          <w:noProof/>
          <w:szCs w:val="24"/>
        </w:rPr>
        <w:t>ers Pilot’ testing phase, in the context of a ‘Proof of Concept’ exercise, as part of the Smart Borders Package adopted by the Commission on 28 February 2013. To implement the given tasks, the EU entrusted a total amount of EUR 3.5 million, with EUR 3.3 mi</w:t>
      </w:r>
      <w:r>
        <w:rPr>
          <w:noProof/>
          <w:szCs w:val="24"/>
        </w:rPr>
        <w:t>llion in pre-financing.</w:t>
      </w:r>
    </w:p>
    <w:p w:rsidR="007D3598" w:rsidRDefault="007D3598">
      <w:pPr>
        <w:ind w:left="426"/>
        <w:jc w:val="both"/>
        <w:rPr>
          <w:noProof/>
          <w:szCs w:val="24"/>
        </w:rPr>
      </w:pPr>
    </w:p>
    <w:p w:rsidR="007D3598" w:rsidRDefault="00F8547B">
      <w:pPr>
        <w:numPr>
          <w:ilvl w:val="2"/>
          <w:numId w:val="54"/>
        </w:numPr>
        <w:ind w:left="426"/>
        <w:jc w:val="both"/>
        <w:rPr>
          <w:noProof/>
          <w:szCs w:val="24"/>
        </w:rPr>
      </w:pPr>
      <w:r>
        <w:rPr>
          <w:noProof/>
          <w:szCs w:val="24"/>
        </w:rPr>
        <w:t>The International Centre for Migration Policy Development (</w:t>
      </w:r>
      <w:r>
        <w:rPr>
          <w:b/>
          <w:noProof/>
        </w:rPr>
        <w:t>ICMPD</w:t>
      </w:r>
      <w:r>
        <w:rPr>
          <w:noProof/>
          <w:szCs w:val="24"/>
        </w:rPr>
        <w:t>) to implement the action ‘Mobility Partnership Facility’, in order to support mobility partnerships and common agendas for migration and mobility, in the context of t</w:t>
      </w:r>
      <w:r>
        <w:rPr>
          <w:noProof/>
          <w:szCs w:val="24"/>
        </w:rPr>
        <w:t>he Global Approach to Migration and Mobility (GAMM)</w:t>
      </w:r>
      <w:r>
        <w:rPr>
          <w:rStyle w:val="FootnoteReference"/>
          <w:noProof/>
        </w:rPr>
        <w:footnoteReference w:id="63"/>
      </w:r>
      <w:r>
        <w:rPr>
          <w:noProof/>
          <w:szCs w:val="24"/>
        </w:rPr>
        <w:t>. The action has been put in place under different financial instruments (AMIF, ISF-Police and ISF-BV) for a total estimated amount of EUR 5.5 million, of which a maximum of EUR 1 million was entrusted un</w:t>
      </w:r>
      <w:r>
        <w:rPr>
          <w:noProof/>
          <w:szCs w:val="24"/>
        </w:rPr>
        <w:t>der the ISF-BV, with EUR 800 thousand paid in pre-financing up to 30 June 2017.</w:t>
      </w:r>
    </w:p>
    <w:p w:rsidR="007D3598" w:rsidRDefault="007D3598">
      <w:pPr>
        <w:ind w:left="426"/>
        <w:jc w:val="both"/>
        <w:rPr>
          <w:noProof/>
          <w:szCs w:val="24"/>
        </w:rPr>
      </w:pPr>
    </w:p>
    <w:p w:rsidR="007D3598" w:rsidRDefault="00F8547B">
      <w:pPr>
        <w:numPr>
          <w:ilvl w:val="2"/>
          <w:numId w:val="54"/>
        </w:numPr>
        <w:ind w:left="426"/>
        <w:jc w:val="both"/>
        <w:rPr>
          <w:noProof/>
          <w:szCs w:val="24"/>
        </w:rPr>
      </w:pPr>
      <w:r>
        <w:rPr>
          <w:b/>
          <w:noProof/>
        </w:rPr>
        <w:t>UNHCR</w:t>
      </w:r>
      <w:r>
        <w:rPr>
          <w:noProof/>
          <w:szCs w:val="24"/>
        </w:rPr>
        <w:t xml:space="preserve"> for implementing the action ‘Support to Greece for the development of the hotspot/relocation scheme as well as for developing asylum reception capacity’, helping to create 20 000 reception places. The action has been put in place under different financial</w:t>
      </w:r>
      <w:r>
        <w:rPr>
          <w:noProof/>
          <w:szCs w:val="24"/>
        </w:rPr>
        <w:t xml:space="preserve"> instruments (AMIF and ISF-BV) for a total estimated amount of EUR 83.3 million, of which EUR 5 million has been entrusted under the ISF-BV, with EUR 3.75 million paid in pre-financing up to 30 June 2017.</w:t>
      </w:r>
    </w:p>
    <w:p w:rsidR="007D3598" w:rsidRDefault="007D3598">
      <w:pPr>
        <w:pStyle w:val="Body"/>
        <w:spacing w:before="0" w:after="0" w:line="240" w:lineRule="auto"/>
        <w:jc w:val="both"/>
        <w:rPr>
          <w:rFonts w:ascii="Times New Roman" w:hAnsi="Times New Roman"/>
          <w:noProof/>
          <w:sz w:val="24"/>
          <w:szCs w:val="24"/>
          <w:lang w:eastAsia="en-GB"/>
        </w:rPr>
      </w:pPr>
      <w:bookmarkStart w:id="357" w:name="_Toc504475569"/>
      <w:bookmarkStart w:id="358" w:name="_Toc504475668"/>
      <w:bookmarkStart w:id="359" w:name="_Toc504504050"/>
      <w:bookmarkStart w:id="360" w:name="_Toc504553490"/>
      <w:bookmarkStart w:id="361" w:name="_Toc504475570"/>
      <w:bookmarkStart w:id="362" w:name="_Toc504475669"/>
      <w:bookmarkStart w:id="363" w:name="_Toc504504051"/>
      <w:bookmarkStart w:id="364" w:name="_Toc504553491"/>
      <w:bookmarkStart w:id="365" w:name="_Toc504475571"/>
      <w:bookmarkStart w:id="366" w:name="_Toc504475670"/>
      <w:bookmarkStart w:id="367" w:name="_Toc504504052"/>
      <w:bookmarkStart w:id="368" w:name="_Toc504553492"/>
      <w:bookmarkStart w:id="369" w:name="_Toc504475572"/>
      <w:bookmarkStart w:id="370" w:name="_Toc504475671"/>
      <w:bookmarkStart w:id="371" w:name="_Toc504504053"/>
      <w:bookmarkStart w:id="372" w:name="_Toc504553493"/>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7D3598" w:rsidRDefault="00F8547B">
      <w:pPr>
        <w:tabs>
          <w:tab w:val="center" w:pos="4819"/>
        </w:tabs>
        <w:rPr>
          <w:b/>
          <w:smallCaps/>
          <w:noProof/>
          <w:color w:val="365F91" w:themeColor="accent1" w:themeShade="BF"/>
          <w:sz w:val="32"/>
          <w:szCs w:val="32"/>
        </w:rPr>
      </w:pPr>
      <w:bookmarkStart w:id="373" w:name="_Toc504475597"/>
      <w:bookmarkStart w:id="374" w:name="_Toc504475696"/>
      <w:bookmarkStart w:id="375" w:name="_Toc504476812"/>
      <w:bookmarkStart w:id="376" w:name="_Toc504502743"/>
      <w:bookmarkStart w:id="377" w:name="_Toc504502835"/>
      <w:bookmarkStart w:id="378" w:name="_Toc504502927"/>
      <w:bookmarkStart w:id="379" w:name="_Toc504503075"/>
      <w:bookmarkStart w:id="380" w:name="_Toc504503152"/>
      <w:bookmarkStart w:id="381" w:name="_Toc504503397"/>
      <w:bookmarkStart w:id="382" w:name="_Toc504504055"/>
      <w:bookmarkStart w:id="383" w:name="_Toc504553495"/>
      <w:bookmarkStart w:id="384" w:name="_Toc505869916"/>
      <w:bookmarkStart w:id="385" w:name="_Toc505870180"/>
      <w:bookmarkStart w:id="386" w:name="_Toc505872791"/>
      <w:bookmarkStart w:id="387" w:name="_Toc505872898"/>
      <w:bookmarkStart w:id="388" w:name="_Toc504475697"/>
      <w:bookmarkStart w:id="389" w:name="_Toc506393751"/>
      <w:bookmarkStart w:id="390" w:name="_Toc506475205"/>
      <w:bookmarkStart w:id="391" w:name="_Toc506478823"/>
      <w:bookmarkStart w:id="392" w:name="_Toc506479775"/>
      <w:bookmarkStart w:id="393" w:name="_Toc506483913"/>
      <w:bookmarkStart w:id="394" w:name="_Toc506529838"/>
      <w:bookmarkStart w:id="395" w:name="_Toc506531963"/>
      <w:bookmarkStart w:id="396" w:name="_Toc507083602"/>
      <w:bookmarkEnd w:id="34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noProof/>
        </w:rPr>
        <w:br w:type="page"/>
      </w:r>
      <w:r>
        <w:rPr>
          <w:noProof/>
        </w:rPr>
        <w:tab/>
      </w:r>
    </w:p>
    <w:p w:rsidR="007D3598" w:rsidRDefault="00F8547B">
      <w:pPr>
        <w:pStyle w:val="HH1"/>
        <w:spacing w:before="0" w:after="0"/>
        <w:contextualSpacing w:val="0"/>
        <w:rPr>
          <w:noProof/>
        </w:rPr>
      </w:pPr>
      <w:bookmarkStart w:id="397" w:name="_Toc508279323"/>
      <w:bookmarkStart w:id="398" w:name="_Toc508369307"/>
      <w:bookmarkStart w:id="399" w:name="_Toc508375518"/>
      <w:bookmarkStart w:id="400" w:name="_Toc508715369"/>
      <w:bookmarkStart w:id="401" w:name="_Toc508975875"/>
      <w:bookmarkStart w:id="402" w:name="_Toc515270139"/>
      <w:r>
        <w:rPr>
          <w:noProof/>
        </w:rPr>
        <w:t>Method</w:t>
      </w:r>
      <w:bookmarkStart w:id="403" w:name="_Toc504504057"/>
      <w:bookmarkStart w:id="404" w:name="_Toc504553497"/>
      <w:bookmarkStart w:id="405" w:name="_Toc505869918"/>
      <w:bookmarkStart w:id="406" w:name="_Toc505870182"/>
      <w:bookmarkStart w:id="407" w:name="_Toc506389096"/>
      <w:bookmarkStart w:id="408" w:name="_Toc506393648"/>
      <w:bookmarkStart w:id="409" w:name="_Toc506393700"/>
      <w:bookmarkStart w:id="410" w:name="_Toc506393752"/>
      <w:bookmarkStart w:id="411" w:name="_Toc506395186"/>
      <w:bookmarkStart w:id="412" w:name="_Toc506459526"/>
      <w:bookmarkStart w:id="413" w:name="_Toc506466805"/>
      <w:bookmarkStart w:id="414" w:name="_Toc506468207"/>
      <w:bookmarkStart w:id="415" w:name="_Toc506468834"/>
      <w:bookmarkStart w:id="416" w:name="_Toc506472166"/>
      <w:bookmarkStart w:id="417" w:name="_Toc506474717"/>
      <w:bookmarkStart w:id="418" w:name="_Toc506474111"/>
      <w:bookmarkStart w:id="419" w:name="_Toc506475206"/>
      <w:bookmarkStart w:id="420" w:name="_Toc506476276"/>
      <w:bookmarkStart w:id="421" w:name="_Toc506475392"/>
      <w:bookmarkStart w:id="422" w:name="_Toc506477304"/>
      <w:bookmarkStart w:id="423" w:name="_Toc506477410"/>
      <w:bookmarkStart w:id="424" w:name="_Toc506478278"/>
      <w:bookmarkStart w:id="425" w:name="_Toc506478584"/>
      <w:bookmarkStart w:id="426" w:name="_Toc506478824"/>
      <w:bookmarkStart w:id="427" w:name="_Toc506479776"/>
      <w:bookmarkStart w:id="428" w:name="_Toc506483591"/>
      <w:bookmarkStart w:id="429" w:name="_Toc506483813"/>
      <w:bookmarkStart w:id="430" w:name="_Toc506483914"/>
      <w:bookmarkStart w:id="431" w:name="_Toc506529752"/>
      <w:bookmarkStart w:id="432" w:name="_Toc506529839"/>
      <w:bookmarkStart w:id="433" w:name="_Toc506530098"/>
      <w:bookmarkStart w:id="434" w:name="_Toc506389097"/>
      <w:bookmarkStart w:id="435" w:name="_Toc506393649"/>
      <w:bookmarkStart w:id="436" w:name="_Toc506393701"/>
      <w:bookmarkStart w:id="437" w:name="_Toc506393753"/>
      <w:bookmarkStart w:id="438" w:name="_Toc506395187"/>
      <w:bookmarkStart w:id="439" w:name="_Toc506459527"/>
      <w:bookmarkStart w:id="440" w:name="_Toc506466806"/>
      <w:bookmarkStart w:id="441" w:name="_Toc506468208"/>
      <w:bookmarkStart w:id="442" w:name="_Toc506468835"/>
      <w:bookmarkStart w:id="443" w:name="_Toc506472167"/>
      <w:bookmarkStart w:id="444" w:name="_Toc506474718"/>
      <w:bookmarkStart w:id="445" w:name="_Toc506474112"/>
      <w:bookmarkStart w:id="446" w:name="_Toc506475207"/>
      <w:bookmarkStart w:id="447" w:name="_Toc506476277"/>
      <w:bookmarkStart w:id="448" w:name="_Toc506475393"/>
      <w:bookmarkStart w:id="449" w:name="_Toc506477305"/>
      <w:bookmarkStart w:id="450" w:name="_Toc506477411"/>
      <w:bookmarkStart w:id="451" w:name="_Toc506478279"/>
      <w:bookmarkStart w:id="452" w:name="_Toc506478585"/>
      <w:bookmarkStart w:id="453" w:name="_Toc506478825"/>
      <w:bookmarkStart w:id="454" w:name="_Toc506479777"/>
      <w:bookmarkStart w:id="455" w:name="_Toc506483592"/>
      <w:bookmarkStart w:id="456" w:name="_Toc506483814"/>
      <w:bookmarkStart w:id="457" w:name="_Toc506483915"/>
      <w:bookmarkStart w:id="458" w:name="_Toc506529753"/>
      <w:bookmarkStart w:id="459" w:name="_Toc506529840"/>
      <w:bookmarkStart w:id="460" w:name="_Toc506530099"/>
      <w:bookmarkStart w:id="461" w:name="_Toc506389098"/>
      <w:bookmarkStart w:id="462" w:name="_Toc506393650"/>
      <w:bookmarkStart w:id="463" w:name="_Toc506393702"/>
      <w:bookmarkStart w:id="464" w:name="_Toc506393754"/>
      <w:bookmarkStart w:id="465" w:name="_Toc506395188"/>
      <w:bookmarkStart w:id="466" w:name="_Toc506459528"/>
      <w:bookmarkStart w:id="467" w:name="_Toc506466807"/>
      <w:bookmarkStart w:id="468" w:name="_Toc506468209"/>
      <w:bookmarkStart w:id="469" w:name="_Toc506468836"/>
      <w:bookmarkStart w:id="470" w:name="_Toc506472168"/>
      <w:bookmarkStart w:id="471" w:name="_Toc506474719"/>
      <w:bookmarkStart w:id="472" w:name="_Toc506474113"/>
      <w:bookmarkStart w:id="473" w:name="_Toc506475208"/>
      <w:bookmarkStart w:id="474" w:name="_Toc506476278"/>
      <w:bookmarkStart w:id="475" w:name="_Toc506475394"/>
      <w:bookmarkStart w:id="476" w:name="_Toc506477306"/>
      <w:bookmarkStart w:id="477" w:name="_Toc506477412"/>
      <w:bookmarkStart w:id="478" w:name="_Toc506478280"/>
      <w:bookmarkStart w:id="479" w:name="_Toc506478586"/>
      <w:bookmarkStart w:id="480" w:name="_Toc506478826"/>
      <w:bookmarkStart w:id="481" w:name="_Toc506479778"/>
      <w:bookmarkStart w:id="482" w:name="_Toc506483593"/>
      <w:bookmarkStart w:id="483" w:name="_Toc506483815"/>
      <w:bookmarkStart w:id="484" w:name="_Toc506483916"/>
      <w:bookmarkStart w:id="485" w:name="_Toc506529754"/>
      <w:bookmarkStart w:id="486" w:name="_Toc506529841"/>
      <w:bookmarkStart w:id="487" w:name="_Toc506530100"/>
      <w:bookmarkStart w:id="488" w:name="_Toc506389099"/>
      <w:bookmarkStart w:id="489" w:name="_Toc506393651"/>
      <w:bookmarkStart w:id="490" w:name="_Toc506393703"/>
      <w:bookmarkStart w:id="491" w:name="_Toc506393755"/>
      <w:bookmarkStart w:id="492" w:name="_Toc506395189"/>
      <w:bookmarkStart w:id="493" w:name="_Toc506459529"/>
      <w:bookmarkStart w:id="494" w:name="_Toc506466808"/>
      <w:bookmarkStart w:id="495" w:name="_Toc506468210"/>
      <w:bookmarkStart w:id="496" w:name="_Toc506468837"/>
      <w:bookmarkStart w:id="497" w:name="_Toc506472169"/>
      <w:bookmarkStart w:id="498" w:name="_Toc506474720"/>
      <w:bookmarkStart w:id="499" w:name="_Toc506474114"/>
      <w:bookmarkStart w:id="500" w:name="_Toc506475209"/>
      <w:bookmarkStart w:id="501" w:name="_Toc506476279"/>
      <w:bookmarkStart w:id="502" w:name="_Toc506475395"/>
      <w:bookmarkStart w:id="503" w:name="_Toc506477307"/>
      <w:bookmarkStart w:id="504" w:name="_Toc506477413"/>
      <w:bookmarkStart w:id="505" w:name="_Toc506478281"/>
      <w:bookmarkStart w:id="506" w:name="_Toc506478587"/>
      <w:bookmarkStart w:id="507" w:name="_Toc506478827"/>
      <w:bookmarkStart w:id="508" w:name="_Toc506479779"/>
      <w:bookmarkStart w:id="509" w:name="_Toc506483594"/>
      <w:bookmarkStart w:id="510" w:name="_Toc506483816"/>
      <w:bookmarkStart w:id="511" w:name="_Toc506483917"/>
      <w:bookmarkStart w:id="512" w:name="_Toc506529755"/>
      <w:bookmarkStart w:id="513" w:name="_Toc506529842"/>
      <w:bookmarkStart w:id="514" w:name="_Toc506530101"/>
      <w:bookmarkStart w:id="515" w:name="_Toc504475698"/>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7D3598" w:rsidRDefault="007D3598">
      <w:pPr>
        <w:rPr>
          <w:noProof/>
        </w:rPr>
      </w:pPr>
      <w:bookmarkStart w:id="516" w:name="_Toc506393756"/>
      <w:bookmarkStart w:id="517" w:name="_Toc506475210"/>
      <w:bookmarkStart w:id="518" w:name="_Toc506478828"/>
      <w:bookmarkStart w:id="519" w:name="_Toc506479780"/>
      <w:bookmarkStart w:id="520" w:name="_Toc506483918"/>
      <w:bookmarkStart w:id="521" w:name="_Toc506529843"/>
      <w:bookmarkStart w:id="522" w:name="_Toc506531964"/>
    </w:p>
    <w:p w:rsidR="007D3598" w:rsidRDefault="00F8547B">
      <w:pPr>
        <w:pStyle w:val="HH2"/>
        <w:spacing w:before="0" w:after="0"/>
        <w:contextualSpacing w:val="0"/>
        <w:rPr>
          <w:noProof/>
        </w:rPr>
      </w:pPr>
      <w:bookmarkStart w:id="523" w:name="_Toc507083603"/>
      <w:bookmarkStart w:id="524" w:name="_Toc508279324"/>
      <w:bookmarkStart w:id="525" w:name="_Toc508369308"/>
      <w:bookmarkStart w:id="526" w:name="_Toc508375519"/>
      <w:bookmarkStart w:id="527" w:name="_Toc508715370"/>
      <w:bookmarkStart w:id="528" w:name="_Toc508975876"/>
      <w:bookmarkStart w:id="529" w:name="_Toc515270140"/>
      <w:r>
        <w:rPr>
          <w:noProof/>
        </w:rPr>
        <w:t>Short description of methodology</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7D3598" w:rsidRDefault="007D3598">
      <w:pPr>
        <w:jc w:val="both"/>
        <w:rPr>
          <w:noProof/>
          <w:szCs w:val="24"/>
        </w:rPr>
      </w:pPr>
    </w:p>
    <w:p w:rsidR="007D3598" w:rsidRDefault="00F8547B">
      <w:pPr>
        <w:jc w:val="both"/>
        <w:rPr>
          <w:noProof/>
          <w:szCs w:val="24"/>
        </w:rPr>
      </w:pPr>
      <w:r>
        <w:rPr>
          <w:noProof/>
          <w:szCs w:val="24"/>
        </w:rPr>
        <w:t xml:space="preserve">This </w:t>
      </w:r>
      <w:r>
        <w:rPr>
          <w:noProof/>
          <w:szCs w:val="24"/>
        </w:rPr>
        <w:t>evaluation assesses how the Fund has worked so far and informs the national authorities, the EU institutions, the stakeholders and the general public about the key achievements and limitations of ISF-BV. It does attempt to explain how the Member States and</w:t>
      </w:r>
      <w:r>
        <w:rPr>
          <w:noProof/>
          <w:szCs w:val="24"/>
        </w:rPr>
        <w:t xml:space="preserve"> the Commission plan to address weaknesses and overcome obstacles identified, to ensure that during the second half of the implementation period corrective actions are taken and the impact of any weaknesses are minimised. This forward-looking aspect of the</w:t>
      </w:r>
      <w:r>
        <w:rPr>
          <w:noProof/>
          <w:szCs w:val="24"/>
        </w:rPr>
        <w:t xml:space="preserve"> interim evaluation will also contribute to the preparation of the next generation of funding instruments going beyond 2020.</w:t>
      </w:r>
    </w:p>
    <w:p w:rsidR="007D3598" w:rsidRDefault="007D3598">
      <w:pPr>
        <w:jc w:val="both"/>
        <w:rPr>
          <w:noProof/>
          <w:szCs w:val="24"/>
        </w:rPr>
      </w:pPr>
    </w:p>
    <w:p w:rsidR="007D3598" w:rsidRDefault="00F8547B">
      <w:pPr>
        <w:jc w:val="both"/>
        <w:rPr>
          <w:noProof/>
          <w:szCs w:val="24"/>
        </w:rPr>
      </w:pPr>
      <w:r>
        <w:rPr>
          <w:noProof/>
          <w:szCs w:val="24"/>
        </w:rPr>
        <w:t>Similarly to the</w:t>
      </w:r>
      <w:r>
        <w:rPr>
          <w:i/>
          <w:noProof/>
          <w:szCs w:val="24"/>
        </w:rPr>
        <w:t xml:space="preserve"> ex post</w:t>
      </w:r>
      <w:r>
        <w:rPr>
          <w:noProof/>
          <w:szCs w:val="24"/>
        </w:rPr>
        <w:t xml:space="preserve"> evaluation of the EBF, the predecessor programme, this evaluation was carried out by an external consulti</w:t>
      </w:r>
      <w:r>
        <w:rPr>
          <w:noProof/>
          <w:szCs w:val="24"/>
        </w:rPr>
        <w:t>ng firm Ernst &amp; Young between September 2017 and February 2018. It was coordinated by the HOME Funds Evaluation Team in Unit E3 of the Commission’s Directorate-General for Migration and Home Affairs with the support of an Inter-Service Steering Group compr</w:t>
      </w:r>
      <w:r>
        <w:rPr>
          <w:noProof/>
          <w:szCs w:val="24"/>
        </w:rPr>
        <w:t>ising other Commission services.</w:t>
      </w:r>
    </w:p>
    <w:p w:rsidR="007D3598" w:rsidRDefault="007D3598">
      <w:pPr>
        <w:pStyle w:val="NormalIndent"/>
        <w:ind w:left="0"/>
        <w:jc w:val="both"/>
        <w:rPr>
          <w:noProof/>
          <w:szCs w:val="24"/>
        </w:rPr>
      </w:pPr>
    </w:p>
    <w:p w:rsidR="007D3598" w:rsidRDefault="00F8547B">
      <w:pPr>
        <w:pStyle w:val="NormalIndent"/>
        <w:ind w:left="0"/>
        <w:jc w:val="both"/>
        <w:rPr>
          <w:noProof/>
          <w:szCs w:val="24"/>
        </w:rPr>
      </w:pPr>
      <w:r>
        <w:rPr>
          <w:noProof/>
          <w:szCs w:val="24"/>
        </w:rPr>
        <w:t xml:space="preserve">The Commission’s evaluation relied on an external study. It required a systemic synthesis of the evidence regarding the ISF-BV’s implementation. The methodology for data collection included both </w:t>
      </w:r>
      <w:r>
        <w:rPr>
          <w:noProof/>
        </w:rPr>
        <w:t xml:space="preserve">desk </w:t>
      </w:r>
      <w:r>
        <w:rPr>
          <w:noProof/>
          <w:szCs w:val="24"/>
        </w:rPr>
        <w:t xml:space="preserve">and </w:t>
      </w:r>
      <w:r>
        <w:rPr>
          <w:noProof/>
        </w:rPr>
        <w:t>field research</w:t>
      </w:r>
      <w:r>
        <w:rPr>
          <w:noProof/>
          <w:szCs w:val="24"/>
        </w:rPr>
        <w:t>. Th</w:t>
      </w:r>
      <w:r>
        <w:rPr>
          <w:noProof/>
          <w:szCs w:val="24"/>
        </w:rPr>
        <w:t>e data collected was subject to quantitative and qualitative analysis.</w:t>
      </w:r>
    </w:p>
    <w:p w:rsidR="007D3598" w:rsidRDefault="007D3598">
      <w:pPr>
        <w:pStyle w:val="NormalIndent"/>
        <w:ind w:left="0"/>
        <w:jc w:val="both"/>
        <w:rPr>
          <w:noProof/>
          <w:szCs w:val="24"/>
        </w:rPr>
      </w:pPr>
    </w:p>
    <w:p w:rsidR="007D3598" w:rsidRDefault="00F8547B">
      <w:pPr>
        <w:pStyle w:val="NormalIndent"/>
        <w:ind w:left="0"/>
        <w:jc w:val="both"/>
        <w:rPr>
          <w:noProof/>
          <w:szCs w:val="24"/>
        </w:rPr>
      </w:pPr>
      <w:r>
        <w:rPr>
          <w:b/>
          <w:noProof/>
          <w:szCs w:val="24"/>
        </w:rPr>
        <w:t>Desk research</w:t>
      </w:r>
      <w:r>
        <w:rPr>
          <w:noProof/>
          <w:szCs w:val="24"/>
        </w:rPr>
        <w:t xml:space="preserve"> essentially consisted of a review of:</w:t>
      </w:r>
    </w:p>
    <w:p w:rsidR="007D3598" w:rsidRDefault="007D3598">
      <w:pPr>
        <w:pStyle w:val="NormalIndent"/>
        <w:ind w:left="0"/>
        <w:jc w:val="both"/>
        <w:rPr>
          <w:noProof/>
          <w:szCs w:val="24"/>
        </w:rPr>
      </w:pPr>
    </w:p>
    <w:p w:rsidR="007D3598" w:rsidRDefault="00F8547B">
      <w:pPr>
        <w:pStyle w:val="NormalIndent"/>
        <w:numPr>
          <w:ilvl w:val="0"/>
          <w:numId w:val="88"/>
        </w:numPr>
        <w:jc w:val="both"/>
        <w:rPr>
          <w:bCs/>
          <w:iCs/>
          <w:noProof/>
          <w:szCs w:val="24"/>
        </w:rPr>
      </w:pPr>
      <w:r>
        <w:rPr>
          <w:noProof/>
          <w:szCs w:val="24"/>
        </w:rPr>
        <w:t>the relevant legislative documents (i.e. EU Treaties, ISF-BV Regulation);</w:t>
      </w:r>
    </w:p>
    <w:p w:rsidR="007D3598" w:rsidRDefault="00F8547B">
      <w:pPr>
        <w:pStyle w:val="NormalIndent"/>
        <w:numPr>
          <w:ilvl w:val="0"/>
          <w:numId w:val="88"/>
        </w:numPr>
        <w:jc w:val="both"/>
        <w:rPr>
          <w:bCs/>
          <w:iCs/>
          <w:noProof/>
          <w:szCs w:val="24"/>
        </w:rPr>
      </w:pPr>
      <w:r>
        <w:rPr>
          <w:noProof/>
          <w:szCs w:val="24"/>
        </w:rPr>
        <w:t xml:space="preserve">policy documents (i.e. European agendas on migration and </w:t>
      </w:r>
      <w:r>
        <w:rPr>
          <w:noProof/>
          <w:szCs w:val="24"/>
        </w:rPr>
        <w:t>on security</w:t>
      </w:r>
      <w:r>
        <w:rPr>
          <w:noProof/>
        </w:rPr>
        <w:t>;</w:t>
      </w:r>
    </w:p>
    <w:p w:rsidR="007D3598" w:rsidRDefault="00F8547B">
      <w:pPr>
        <w:pStyle w:val="NormalIndent"/>
        <w:numPr>
          <w:ilvl w:val="0"/>
          <w:numId w:val="88"/>
        </w:numPr>
        <w:jc w:val="both"/>
        <w:rPr>
          <w:bCs/>
          <w:iCs/>
          <w:noProof/>
          <w:szCs w:val="24"/>
        </w:rPr>
      </w:pPr>
      <w:r>
        <w:rPr>
          <w:noProof/>
        </w:rPr>
        <w:t>Commission communications;</w:t>
      </w:r>
    </w:p>
    <w:p w:rsidR="007D3598" w:rsidRDefault="00F8547B">
      <w:pPr>
        <w:pStyle w:val="NormalIndent"/>
        <w:numPr>
          <w:ilvl w:val="0"/>
          <w:numId w:val="88"/>
        </w:numPr>
        <w:jc w:val="both"/>
        <w:rPr>
          <w:bCs/>
          <w:iCs/>
          <w:noProof/>
          <w:szCs w:val="24"/>
        </w:rPr>
      </w:pPr>
      <w:r>
        <w:rPr>
          <w:i/>
          <w:noProof/>
        </w:rPr>
        <w:t>ex post</w:t>
      </w:r>
      <w:r>
        <w:rPr>
          <w:noProof/>
        </w:rPr>
        <w:t xml:space="preserve"> evaluations of SOLID funds (in particular the EBF);</w:t>
      </w:r>
    </w:p>
    <w:p w:rsidR="007D3598" w:rsidRDefault="00F8547B">
      <w:pPr>
        <w:pStyle w:val="NormalIndent"/>
        <w:numPr>
          <w:ilvl w:val="0"/>
          <w:numId w:val="88"/>
        </w:numPr>
        <w:jc w:val="both"/>
        <w:rPr>
          <w:bCs/>
          <w:iCs/>
          <w:noProof/>
          <w:szCs w:val="24"/>
        </w:rPr>
      </w:pPr>
      <w:r>
        <w:rPr>
          <w:noProof/>
          <w:szCs w:val="24"/>
        </w:rPr>
        <w:t>Member States national programmes;</w:t>
      </w:r>
    </w:p>
    <w:p w:rsidR="007D3598" w:rsidRDefault="00F8547B">
      <w:pPr>
        <w:pStyle w:val="NormalIndent"/>
        <w:numPr>
          <w:ilvl w:val="0"/>
          <w:numId w:val="88"/>
        </w:numPr>
        <w:jc w:val="both"/>
        <w:rPr>
          <w:bCs/>
          <w:iCs/>
          <w:noProof/>
          <w:szCs w:val="24"/>
        </w:rPr>
      </w:pPr>
      <w:r>
        <w:rPr>
          <w:noProof/>
          <w:szCs w:val="24"/>
        </w:rPr>
        <w:t>AIRs</w:t>
      </w:r>
      <w:r>
        <w:rPr>
          <w:noProof/>
        </w:rPr>
        <w:t>;</w:t>
      </w:r>
    </w:p>
    <w:p w:rsidR="007D3598" w:rsidRDefault="00F8547B">
      <w:pPr>
        <w:pStyle w:val="NormalIndent"/>
        <w:numPr>
          <w:ilvl w:val="0"/>
          <w:numId w:val="88"/>
        </w:numPr>
        <w:jc w:val="both"/>
        <w:rPr>
          <w:bCs/>
          <w:iCs/>
          <w:noProof/>
          <w:szCs w:val="24"/>
        </w:rPr>
      </w:pPr>
      <w:r>
        <w:rPr>
          <w:noProof/>
        </w:rPr>
        <w:t>national interim evaluation r</w:t>
      </w:r>
      <w:r>
        <w:rPr>
          <w:noProof/>
          <w:szCs w:val="24"/>
        </w:rPr>
        <w:t>eports</w:t>
      </w:r>
      <w:r>
        <w:rPr>
          <w:rStyle w:val="FootnoteReference"/>
          <w:noProof/>
          <w:szCs w:val="24"/>
        </w:rPr>
        <w:footnoteReference w:id="64"/>
      </w:r>
      <w:r>
        <w:rPr>
          <w:noProof/>
          <w:szCs w:val="24"/>
        </w:rPr>
        <w:t xml:space="preserve"> (NIERs);</w:t>
      </w:r>
    </w:p>
    <w:p w:rsidR="007D3598" w:rsidRDefault="00F8547B">
      <w:pPr>
        <w:pStyle w:val="NormalIndent"/>
        <w:numPr>
          <w:ilvl w:val="0"/>
          <w:numId w:val="88"/>
        </w:numPr>
        <w:jc w:val="both"/>
        <w:rPr>
          <w:bCs/>
          <w:iCs/>
          <w:noProof/>
          <w:szCs w:val="24"/>
        </w:rPr>
      </w:pPr>
      <w:r>
        <w:rPr>
          <w:noProof/>
          <w:szCs w:val="24"/>
        </w:rPr>
        <w:t>grant agreements;</w:t>
      </w:r>
    </w:p>
    <w:p w:rsidR="007D3598" w:rsidRDefault="00F8547B">
      <w:pPr>
        <w:pStyle w:val="NormalIndent"/>
        <w:numPr>
          <w:ilvl w:val="0"/>
          <w:numId w:val="88"/>
        </w:numPr>
        <w:jc w:val="both"/>
        <w:rPr>
          <w:bCs/>
          <w:iCs/>
          <w:noProof/>
          <w:szCs w:val="24"/>
        </w:rPr>
      </w:pPr>
      <w:r>
        <w:rPr>
          <w:noProof/>
          <w:szCs w:val="24"/>
        </w:rPr>
        <w:t>final technical implementation reports</w:t>
      </w:r>
      <w:r>
        <w:rPr>
          <w:noProof/>
        </w:rPr>
        <w:t>;</w:t>
      </w:r>
    </w:p>
    <w:p w:rsidR="007D3598" w:rsidRDefault="00F8547B">
      <w:pPr>
        <w:pStyle w:val="NormalIndent"/>
        <w:numPr>
          <w:ilvl w:val="0"/>
          <w:numId w:val="88"/>
        </w:numPr>
        <w:jc w:val="both"/>
        <w:rPr>
          <w:bCs/>
          <w:iCs/>
          <w:noProof/>
          <w:szCs w:val="24"/>
        </w:rPr>
      </w:pPr>
      <w:r>
        <w:rPr>
          <w:noProof/>
        </w:rPr>
        <w:t xml:space="preserve">final </w:t>
      </w:r>
      <w:r>
        <w:rPr>
          <w:noProof/>
        </w:rPr>
        <w:t>financial implementation reports</w:t>
      </w:r>
      <w:r>
        <w:rPr>
          <w:noProof/>
          <w:szCs w:val="24"/>
        </w:rPr>
        <w:t>;</w:t>
      </w:r>
    </w:p>
    <w:p w:rsidR="007D3598" w:rsidRDefault="00F8547B">
      <w:pPr>
        <w:pStyle w:val="NormalIndent"/>
        <w:numPr>
          <w:ilvl w:val="0"/>
          <w:numId w:val="88"/>
        </w:numPr>
        <w:jc w:val="both"/>
        <w:rPr>
          <w:bCs/>
          <w:iCs/>
          <w:noProof/>
          <w:szCs w:val="24"/>
        </w:rPr>
      </w:pPr>
      <w:r>
        <w:rPr>
          <w:noProof/>
          <w:szCs w:val="24"/>
        </w:rPr>
        <w:t>mission reports from monitoring visits to beneficiaries carried out by the Commission staff;</w:t>
      </w:r>
    </w:p>
    <w:p w:rsidR="007D3598" w:rsidRDefault="00F8547B">
      <w:pPr>
        <w:pStyle w:val="NormalIndent"/>
        <w:numPr>
          <w:ilvl w:val="0"/>
          <w:numId w:val="88"/>
        </w:numPr>
        <w:jc w:val="both"/>
        <w:rPr>
          <w:bCs/>
          <w:iCs/>
          <w:noProof/>
          <w:szCs w:val="24"/>
        </w:rPr>
      </w:pPr>
      <w:r>
        <w:rPr>
          <w:i/>
          <w:noProof/>
          <w:szCs w:val="24"/>
        </w:rPr>
        <w:t>ex post</w:t>
      </w:r>
      <w:r>
        <w:rPr>
          <w:noProof/>
          <w:szCs w:val="24"/>
        </w:rPr>
        <w:t xml:space="preserve"> audit reports;</w:t>
      </w:r>
    </w:p>
    <w:p w:rsidR="007D3598" w:rsidRDefault="00F8547B">
      <w:pPr>
        <w:pStyle w:val="NormalIndent"/>
        <w:numPr>
          <w:ilvl w:val="0"/>
          <w:numId w:val="88"/>
        </w:numPr>
        <w:jc w:val="both"/>
        <w:rPr>
          <w:bCs/>
          <w:iCs/>
          <w:noProof/>
          <w:szCs w:val="24"/>
        </w:rPr>
      </w:pPr>
      <w:r>
        <w:rPr>
          <w:noProof/>
          <w:szCs w:val="24"/>
        </w:rPr>
        <w:t xml:space="preserve">results of the mid-term review: and </w:t>
      </w:r>
    </w:p>
    <w:p w:rsidR="007D3598" w:rsidRDefault="00F8547B">
      <w:pPr>
        <w:pStyle w:val="NormalIndent"/>
        <w:numPr>
          <w:ilvl w:val="0"/>
          <w:numId w:val="88"/>
        </w:numPr>
        <w:jc w:val="both"/>
        <w:rPr>
          <w:bCs/>
          <w:iCs/>
          <w:noProof/>
          <w:szCs w:val="24"/>
        </w:rPr>
      </w:pPr>
      <w:r>
        <w:rPr>
          <w:noProof/>
          <w:szCs w:val="24"/>
        </w:rPr>
        <w:t>minutes from policy dialogues preceding the set-up of ISF-BV.</w:t>
      </w:r>
    </w:p>
    <w:p w:rsidR="007D3598" w:rsidRDefault="007D3598">
      <w:pPr>
        <w:pStyle w:val="NormalIndent"/>
        <w:ind w:left="0"/>
        <w:jc w:val="both"/>
        <w:rPr>
          <w:noProof/>
          <w:szCs w:val="24"/>
        </w:rPr>
      </w:pPr>
    </w:p>
    <w:p w:rsidR="007D3598" w:rsidRDefault="00F8547B">
      <w:pPr>
        <w:pStyle w:val="NormalIndent"/>
        <w:ind w:left="0"/>
        <w:jc w:val="both"/>
        <w:rPr>
          <w:bCs/>
          <w:iCs/>
          <w:noProof/>
          <w:szCs w:val="24"/>
        </w:rPr>
      </w:pPr>
      <w:r>
        <w:rPr>
          <w:bCs/>
          <w:iCs/>
          <w:noProof/>
          <w:szCs w:val="24"/>
        </w:rPr>
        <w:t>The an</w:t>
      </w:r>
      <w:r>
        <w:rPr>
          <w:bCs/>
          <w:iCs/>
          <w:noProof/>
          <w:szCs w:val="24"/>
        </w:rPr>
        <w:t xml:space="preserve">alysis also relied on </w:t>
      </w:r>
      <w:r>
        <w:rPr>
          <w:noProof/>
        </w:rPr>
        <w:t>statistical data from SFC2014</w:t>
      </w:r>
      <w:r>
        <w:rPr>
          <w:bCs/>
          <w:iCs/>
          <w:noProof/>
          <w:szCs w:val="24"/>
        </w:rPr>
        <w:t xml:space="preserve"> for shared management </w:t>
      </w:r>
      <w:r>
        <w:rPr>
          <w:noProof/>
        </w:rPr>
        <w:t>actions and on ABAC</w:t>
      </w:r>
      <w:r>
        <w:rPr>
          <w:rStyle w:val="FootnoteReference"/>
          <w:bCs/>
          <w:iCs/>
          <w:noProof/>
          <w:szCs w:val="24"/>
        </w:rPr>
        <w:footnoteReference w:id="65"/>
      </w:r>
      <w:r>
        <w:rPr>
          <w:bCs/>
          <w:iCs/>
          <w:noProof/>
          <w:szCs w:val="24"/>
        </w:rPr>
        <w:t xml:space="preserve"> data for direct and indirect management actions</w:t>
      </w:r>
      <w:r>
        <w:rPr>
          <w:noProof/>
        </w:rPr>
        <w:t>.</w:t>
      </w:r>
    </w:p>
    <w:p w:rsidR="007D3598" w:rsidRDefault="007D3598">
      <w:pPr>
        <w:pStyle w:val="NormalIndent"/>
        <w:ind w:left="0"/>
        <w:jc w:val="both"/>
        <w:rPr>
          <w:b/>
          <w:bCs/>
          <w:iCs/>
          <w:noProof/>
          <w:szCs w:val="24"/>
        </w:rPr>
      </w:pPr>
    </w:p>
    <w:p w:rsidR="007D3598" w:rsidRDefault="00F8547B">
      <w:pPr>
        <w:pStyle w:val="NormalIndent"/>
        <w:ind w:left="0"/>
        <w:jc w:val="both"/>
        <w:rPr>
          <w:noProof/>
        </w:rPr>
      </w:pPr>
      <w:r>
        <w:rPr>
          <w:b/>
          <w:bCs/>
          <w:iCs/>
          <w:noProof/>
          <w:szCs w:val="24"/>
        </w:rPr>
        <w:t>Field research</w:t>
      </w:r>
      <w:r>
        <w:rPr>
          <w:bCs/>
          <w:iCs/>
          <w:noProof/>
          <w:szCs w:val="24"/>
        </w:rPr>
        <w:t xml:space="preserve"> covered </w:t>
      </w:r>
      <w:r>
        <w:rPr>
          <w:noProof/>
        </w:rPr>
        <w:t>different tools used to include multiple stakeholders categories according to the consul</w:t>
      </w:r>
      <w:r>
        <w:rPr>
          <w:noProof/>
        </w:rPr>
        <w:t>tation strategy presented in Annex 2</w:t>
      </w:r>
      <w:r>
        <w:rPr>
          <w:bCs/>
          <w:iCs/>
          <w:noProof/>
          <w:szCs w:val="24"/>
        </w:rPr>
        <w:t xml:space="preserve">. It consisted of 50 phone interviews — </w:t>
      </w:r>
      <w:r>
        <w:rPr>
          <w:bCs/>
          <w:iCs/>
          <w:noProof/>
          <w:szCs w:val="24"/>
          <w:u w:val="single"/>
        </w:rPr>
        <w:t>exploratory phone interviews</w:t>
      </w:r>
      <w:r>
        <w:rPr>
          <w:bCs/>
          <w:iCs/>
          <w:noProof/>
          <w:szCs w:val="24"/>
        </w:rPr>
        <w:t xml:space="preserve"> conducted during the inception phase</w:t>
      </w:r>
      <w:r>
        <w:rPr>
          <w:noProof/>
        </w:rPr>
        <w:t xml:space="preserve"> and</w:t>
      </w:r>
      <w:r>
        <w:rPr>
          <w:bCs/>
          <w:iCs/>
          <w:noProof/>
          <w:szCs w:val="24"/>
        </w:rPr>
        <w:t xml:space="preserve"> </w:t>
      </w:r>
      <w:r>
        <w:rPr>
          <w:bCs/>
          <w:iCs/>
          <w:noProof/>
          <w:szCs w:val="24"/>
          <w:u w:val="single"/>
        </w:rPr>
        <w:t>phone interviews</w:t>
      </w:r>
      <w:r>
        <w:rPr>
          <w:bCs/>
          <w:iCs/>
          <w:noProof/>
          <w:szCs w:val="24"/>
        </w:rPr>
        <w:t xml:space="preserve"> with natio</w:t>
      </w:r>
      <w:r>
        <w:rPr>
          <w:noProof/>
        </w:rPr>
        <w:t>nal responsible authorities (RAs),</w:t>
      </w:r>
      <w:r>
        <w:rPr>
          <w:bCs/>
          <w:iCs/>
          <w:noProof/>
          <w:szCs w:val="24"/>
        </w:rPr>
        <w:t xml:space="preserve"> </w:t>
      </w:r>
      <w:r>
        <w:rPr>
          <w:noProof/>
        </w:rPr>
        <w:t>delegated authorities (DAs) and with relevant Co</w:t>
      </w:r>
      <w:r>
        <w:rPr>
          <w:noProof/>
        </w:rPr>
        <w:t xml:space="preserve">mmission services and agencies. </w:t>
      </w:r>
      <w:r>
        <w:rPr>
          <w:rFonts w:eastAsia="Verdana"/>
          <w:noProof/>
          <w:szCs w:val="24"/>
        </w:rPr>
        <w:t xml:space="preserve">Interviews at national level covered all Member States with external borders and that issued high number of visas, ensuring geographical and EU funding balance. </w:t>
      </w:r>
      <w:r>
        <w:rPr>
          <w:noProof/>
        </w:rPr>
        <w:t xml:space="preserve">An </w:t>
      </w:r>
      <w:r>
        <w:rPr>
          <w:noProof/>
          <w:u w:val="single"/>
        </w:rPr>
        <w:t>online survey</w:t>
      </w:r>
      <w:r>
        <w:rPr>
          <w:noProof/>
        </w:rPr>
        <w:t xml:space="preserve"> was also carried out to address a wider number of stakeholders, including audit authorities (AAs), beneficiaries of multiannual programmes and union actions, members of the monitoring committees and experts. </w:t>
      </w:r>
      <w:bookmarkStart w:id="530" w:name="_Ref500857932"/>
      <w:bookmarkStart w:id="531" w:name="_Toc503464557"/>
      <w:r>
        <w:rPr>
          <w:noProof/>
        </w:rPr>
        <w:t>The response rate to the survey was almost 15 %</w:t>
      </w:r>
      <w:r>
        <w:rPr>
          <w:noProof/>
        </w:rPr>
        <w:t xml:space="preserve">. </w:t>
      </w:r>
      <w:bookmarkEnd w:id="530"/>
      <w:bookmarkEnd w:id="531"/>
      <w:r>
        <w:rPr>
          <w:noProof/>
        </w:rPr>
        <w:t xml:space="preserve">Moreover, </w:t>
      </w:r>
      <w:r>
        <w:rPr>
          <w:noProof/>
          <w:u w:val="single"/>
        </w:rPr>
        <w:t>eight case studies</w:t>
      </w:r>
      <w:r>
        <w:rPr>
          <w:noProof/>
        </w:rPr>
        <w:t xml:space="preserve"> were produced with a close focus on six Member States (BG, EL, ES, FI, IT, and LT), EUROSUR (covering both direct and shared management) and consular cooperation (specific action). The case studies illustrate practical exampl</w:t>
      </w:r>
      <w:r>
        <w:rPr>
          <w:noProof/>
        </w:rPr>
        <w:t xml:space="preserve">es of projects carried out by Member States with ISF-BV support. Finally, information gathered through the </w:t>
      </w:r>
      <w:r>
        <w:rPr>
          <w:noProof/>
          <w:u w:val="single"/>
        </w:rPr>
        <w:t>targeted public consultation</w:t>
      </w:r>
      <w:r>
        <w:rPr>
          <w:noProof/>
          <w:szCs w:val="24"/>
        </w:rPr>
        <w:t>,</w:t>
      </w:r>
      <w:r>
        <w:rPr>
          <w:noProof/>
        </w:rPr>
        <w:t xml:space="preserve"> launched by the Commission in December 2017 was also analysed</w:t>
      </w:r>
      <w:r>
        <w:rPr>
          <w:rStyle w:val="FootnoteReference"/>
          <w:noProof/>
        </w:rPr>
        <w:footnoteReference w:id="66"/>
      </w:r>
      <w:r>
        <w:rPr>
          <w:noProof/>
        </w:rPr>
        <w:t>. Information was triangulated to ensure validity and rob</w:t>
      </w:r>
      <w:r>
        <w:rPr>
          <w:noProof/>
        </w:rPr>
        <w:t>ustness.</w:t>
      </w:r>
    </w:p>
    <w:p w:rsidR="007D3598" w:rsidRDefault="007D3598">
      <w:pPr>
        <w:pStyle w:val="Body"/>
        <w:spacing w:before="0" w:after="0" w:line="240" w:lineRule="auto"/>
        <w:jc w:val="both"/>
        <w:rPr>
          <w:rFonts w:ascii="Times New Roman" w:hAnsi="Times New Roman"/>
          <w:noProof/>
          <w:szCs w:val="24"/>
        </w:rPr>
      </w:pPr>
    </w:p>
    <w:p w:rsidR="007D3598" w:rsidRDefault="00F8547B">
      <w:pPr>
        <w:pStyle w:val="HH2"/>
        <w:spacing w:before="0" w:after="0"/>
        <w:contextualSpacing w:val="0"/>
        <w:rPr>
          <w:noProof/>
        </w:rPr>
      </w:pPr>
      <w:bookmarkStart w:id="532" w:name="_Toc506393757"/>
      <w:bookmarkStart w:id="533" w:name="_Toc506475211"/>
      <w:bookmarkStart w:id="534" w:name="_Toc506478829"/>
      <w:bookmarkStart w:id="535" w:name="_Toc506479781"/>
      <w:bookmarkStart w:id="536" w:name="_Toc506483919"/>
      <w:bookmarkStart w:id="537" w:name="_Toc506529844"/>
      <w:bookmarkStart w:id="538" w:name="_Toc506531965"/>
      <w:bookmarkStart w:id="539" w:name="_Toc507083604"/>
      <w:bookmarkStart w:id="540" w:name="_Toc508279325"/>
      <w:bookmarkStart w:id="541" w:name="_Toc508369309"/>
      <w:bookmarkStart w:id="542" w:name="_Toc508375520"/>
      <w:bookmarkStart w:id="543" w:name="_Toc508715371"/>
      <w:bookmarkStart w:id="544" w:name="_Toc508975877"/>
      <w:bookmarkStart w:id="545" w:name="_Toc515270141"/>
      <w:bookmarkStart w:id="546" w:name="_Toc504475699"/>
      <w:r>
        <w:rPr>
          <w:noProof/>
        </w:rPr>
        <w:t>Evaluation questions</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7D3598" w:rsidRDefault="007D3598">
      <w:pPr>
        <w:pStyle w:val="Text2"/>
        <w:rPr>
          <w:noProof/>
        </w:rPr>
      </w:pPr>
    </w:p>
    <w:p w:rsidR="007D3598" w:rsidRDefault="00F8547B">
      <w:pPr>
        <w:jc w:val="both"/>
        <w:rPr>
          <w:noProof/>
          <w:szCs w:val="24"/>
        </w:rPr>
      </w:pPr>
      <w:r>
        <w:rPr>
          <w:noProof/>
          <w:szCs w:val="24"/>
        </w:rPr>
        <w:t>In line with the Better Regulation guidelines, this interim evaluation addresses evaluation questions structured around the five evaluation criteria of effectiveness, efficiency, relevance, coherence and EU added value, as w</w:t>
      </w:r>
      <w:r>
        <w:rPr>
          <w:noProof/>
          <w:szCs w:val="24"/>
        </w:rPr>
        <w:t>ell as the criteria of complementarity, sustainability, and simplification and reduction of administrative burden introduced by the Horizontal regulation</w:t>
      </w:r>
      <w:r>
        <w:rPr>
          <w:rStyle w:val="FootnoteReference"/>
          <w:noProof/>
          <w:szCs w:val="24"/>
        </w:rPr>
        <w:footnoteReference w:id="67"/>
      </w:r>
      <w:r>
        <w:rPr>
          <w:noProof/>
          <w:szCs w:val="24"/>
        </w:rPr>
        <w:t>.</w:t>
      </w:r>
    </w:p>
    <w:p w:rsidR="007D3598" w:rsidRDefault="007D3598">
      <w:pPr>
        <w:jc w:val="both"/>
        <w:rPr>
          <w:noProof/>
          <w:szCs w:val="24"/>
        </w:rPr>
      </w:pPr>
    </w:p>
    <w:p w:rsidR="007D3598" w:rsidRDefault="00F8547B">
      <w:pPr>
        <w:jc w:val="both"/>
        <w:rPr>
          <w:noProof/>
          <w:szCs w:val="24"/>
        </w:rPr>
      </w:pPr>
      <w:r>
        <w:rPr>
          <w:noProof/>
          <w:szCs w:val="24"/>
        </w:rPr>
        <w:t>The complete list of evaluation questions as set in the legal base can be found in Annex 4. An over</w:t>
      </w:r>
      <w:r>
        <w:rPr>
          <w:noProof/>
          <w:szCs w:val="24"/>
        </w:rPr>
        <w:t>view of the answers to the evaluation questions can be found in Annex 4.</w:t>
      </w:r>
    </w:p>
    <w:p w:rsidR="007D3598" w:rsidRDefault="007D3598">
      <w:pPr>
        <w:jc w:val="both"/>
        <w:rPr>
          <w:noProof/>
          <w:szCs w:val="24"/>
        </w:rPr>
      </w:pPr>
    </w:p>
    <w:p w:rsidR="007D3598" w:rsidRDefault="00F8547B">
      <w:pPr>
        <w:pStyle w:val="HH2"/>
        <w:spacing w:before="0" w:after="0"/>
        <w:contextualSpacing w:val="0"/>
        <w:rPr>
          <w:noProof/>
        </w:rPr>
      </w:pPr>
      <w:bookmarkStart w:id="547" w:name="_Toc506393758"/>
      <w:bookmarkStart w:id="548" w:name="_Toc506475212"/>
      <w:bookmarkStart w:id="549" w:name="_Toc506478830"/>
      <w:bookmarkStart w:id="550" w:name="_Toc506479782"/>
      <w:bookmarkStart w:id="551" w:name="_Toc506483920"/>
      <w:bookmarkStart w:id="552" w:name="_Toc506529845"/>
      <w:bookmarkStart w:id="553" w:name="_Toc506531966"/>
      <w:bookmarkStart w:id="554" w:name="_Toc507083605"/>
      <w:bookmarkStart w:id="555" w:name="_Toc508279326"/>
      <w:bookmarkStart w:id="556" w:name="_Toc508369310"/>
      <w:bookmarkStart w:id="557" w:name="_Toc508375521"/>
      <w:bookmarkStart w:id="558" w:name="_Toc508715372"/>
      <w:bookmarkStart w:id="559" w:name="_Toc508975878"/>
      <w:bookmarkStart w:id="560" w:name="_Toc515270142"/>
      <w:r>
        <w:rPr>
          <w:noProof/>
        </w:rPr>
        <w:t>Limitations and robustness of findings</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7D3598" w:rsidRDefault="007D3598">
      <w:pPr>
        <w:pStyle w:val="Text2"/>
        <w:rPr>
          <w:noProof/>
        </w:rPr>
      </w:pPr>
    </w:p>
    <w:p w:rsidR="007D3598" w:rsidRDefault="00F8547B">
      <w:pPr>
        <w:jc w:val="both"/>
        <w:rPr>
          <w:noProof/>
        </w:rPr>
      </w:pPr>
      <w:r>
        <w:rPr>
          <w:noProof/>
        </w:rPr>
        <w:t>A first limitation of this interim evaluation concerns its timing: it is taking place only 3 years after the ISF-BV was launched, with many na</w:t>
      </w:r>
      <w:r>
        <w:rPr>
          <w:noProof/>
        </w:rPr>
        <w:t>tional programmes only being approved after delays, while most projects have only just started, making their assessment very challenging. Therefore, the evidence on the results and impact of the Fund is very limited. Nonetheless, this evaluation is not abl</w:t>
      </w:r>
      <w:r>
        <w:rPr>
          <w:noProof/>
        </w:rPr>
        <w:t>e to produce a full picture of the programme’s results and impacts and cannot draw final conclusions, as insufficient time has lapsed since the beginning of the programming period and the Fund is still being implemented.</w:t>
      </w:r>
    </w:p>
    <w:p w:rsidR="007D3598" w:rsidRDefault="007D3598">
      <w:pPr>
        <w:jc w:val="both"/>
        <w:rPr>
          <w:noProof/>
        </w:rPr>
      </w:pPr>
    </w:p>
    <w:p w:rsidR="007D3598" w:rsidRDefault="00F8547B">
      <w:pPr>
        <w:jc w:val="both"/>
        <w:rPr>
          <w:noProof/>
          <w:szCs w:val="24"/>
        </w:rPr>
      </w:pPr>
      <w:r>
        <w:rPr>
          <w:noProof/>
        </w:rPr>
        <w:t>Concerning the indicators, limitat</w:t>
      </w:r>
      <w:r>
        <w:rPr>
          <w:noProof/>
        </w:rPr>
        <w:t>ions include issues related to data availability and the measurability of impacts (for example, most of the ISF-BV’s indicators focus on outputs).  Often, these indicators are not linked to the Fund’s specific objectives. Therefore it is really difficult t</w:t>
      </w:r>
      <w:r>
        <w:rPr>
          <w:noProof/>
        </w:rPr>
        <w:t xml:space="preserve">o attribute the observed changes to the Fund. </w:t>
      </w:r>
      <w:r>
        <w:rPr>
          <w:noProof/>
          <w:szCs w:val="24"/>
        </w:rPr>
        <w:t>The information gathered though primary sources is limited, since stakeholders have no clear idea of the results brought about by the Fund. Therefore the gathering of information focused more on procedural issu</w:t>
      </w:r>
      <w:r>
        <w:rPr>
          <w:noProof/>
          <w:szCs w:val="24"/>
        </w:rPr>
        <w:t>es, providing a very general perspective on the Fund’s implementation, with sporadic examples found on the ground. Also, the reliability of Member States indicators was rather low as in many cases common indicators were not available or equal to 0. This hi</w:t>
      </w:r>
      <w:r>
        <w:rPr>
          <w:noProof/>
          <w:szCs w:val="24"/>
        </w:rPr>
        <w:t>ndered the statistical analysis of the Fund’s implementation and financial progress as well as the data comparison across Member States. In some cases, misalignment of data was noted between the national programmes, AIRs and in the NIERs.</w:t>
      </w:r>
    </w:p>
    <w:p w:rsidR="007D3598" w:rsidRDefault="007D3598">
      <w:pPr>
        <w:jc w:val="both"/>
        <w:rPr>
          <w:noProof/>
        </w:rPr>
      </w:pPr>
    </w:p>
    <w:p w:rsidR="007D3598" w:rsidRDefault="00F8547B">
      <w:pPr>
        <w:jc w:val="both"/>
        <w:rPr>
          <w:noProof/>
        </w:rPr>
      </w:pPr>
      <w:r>
        <w:rPr>
          <w:noProof/>
        </w:rPr>
        <w:t xml:space="preserve">Concerning the </w:t>
      </w:r>
      <w:r>
        <w:rPr>
          <w:noProof/>
        </w:rPr>
        <w:t>period covered by the interim evaluation, for shared management actions the cut-off date was 31 December 2016, which is linked to the period covered by the latest set of accounts submitted by the Member States and cleared by the Commission. For actions und</w:t>
      </w:r>
      <w:r>
        <w:rPr>
          <w:noProof/>
        </w:rPr>
        <w:t>er direct and indirect management, the cut-off date was 30 June 2017. The different cut-off dates did not allow the Fund to carry out a parallel assessment and comparison of results achieved under different implementation modes.</w:t>
      </w:r>
    </w:p>
    <w:p w:rsidR="007D3598" w:rsidRDefault="007D3598">
      <w:pPr>
        <w:jc w:val="both"/>
        <w:rPr>
          <w:noProof/>
        </w:rPr>
      </w:pPr>
    </w:p>
    <w:p w:rsidR="007D3598" w:rsidRDefault="00F8547B">
      <w:pPr>
        <w:jc w:val="both"/>
        <w:rPr>
          <w:noProof/>
        </w:rPr>
      </w:pPr>
      <w:r>
        <w:rPr>
          <w:noProof/>
        </w:rPr>
        <w:t>Another limitation has bee</w:t>
      </w:r>
      <w:r>
        <w:rPr>
          <w:noProof/>
        </w:rPr>
        <w:t>n the lack of benchmarks to compare performance, mainly because AMIF and ISF are the first home affairs programmes to have a common monitoring and evaluation framework and a set of indicators (common, result and impact). In addition, many of these indicato</w:t>
      </w:r>
      <w:r>
        <w:rPr>
          <w:noProof/>
        </w:rPr>
        <w:t>rs have been viewed as being not relevant or not easy to populate with data and maintain.</w:t>
      </w:r>
    </w:p>
    <w:p w:rsidR="007D3598" w:rsidRDefault="007D3598">
      <w:pPr>
        <w:jc w:val="both"/>
        <w:rPr>
          <w:noProof/>
        </w:rPr>
      </w:pPr>
    </w:p>
    <w:p w:rsidR="007D3598" w:rsidRDefault="00F8547B">
      <w:pPr>
        <w:jc w:val="both"/>
        <w:rPr>
          <w:noProof/>
        </w:rPr>
      </w:pPr>
      <w:r>
        <w:rPr>
          <w:noProof/>
        </w:rPr>
        <w:t>The contextual exogenous factors linked to the migration crisis itself are also a significant limitation. The Fund adapted itself to the changing needs, which made i</w:t>
      </w:r>
      <w:r>
        <w:rPr>
          <w:noProof/>
        </w:rPr>
        <w:t>t difficult to evaluate its functioning and implementation against its initial design.</w:t>
      </w:r>
    </w:p>
    <w:p w:rsidR="007D3598" w:rsidRDefault="007D3598">
      <w:pPr>
        <w:jc w:val="both"/>
        <w:rPr>
          <w:noProof/>
        </w:rPr>
      </w:pPr>
    </w:p>
    <w:p w:rsidR="007D3598" w:rsidRDefault="00F8547B">
      <w:pPr>
        <w:jc w:val="both"/>
        <w:rPr>
          <w:noProof/>
        </w:rPr>
      </w:pPr>
      <w:r>
        <w:rPr>
          <w:noProof/>
        </w:rPr>
        <w:t>Furthermore, while most of the interviews were conducted as planned, the response rate to both the online survey (15 %) and the Open Public Consultation (OPC, only four</w:t>
      </w:r>
      <w:r>
        <w:rPr>
          <w:noProof/>
        </w:rPr>
        <w:t xml:space="preserve"> respondents) was very low. This hindered data triangulation, allowing comparison only for those issues for which responses were provided. Therefore, in some cases, evidence is based only on desk research, in other cases the documentary analysis is triangu</w:t>
      </w:r>
      <w:r>
        <w:rPr>
          <w:noProof/>
        </w:rPr>
        <w:t>lated with interviews, and in fewer cases triangulation also included the survey and the OPC.</w:t>
      </w:r>
    </w:p>
    <w:p w:rsidR="007D3598" w:rsidRDefault="007D3598">
      <w:pPr>
        <w:jc w:val="both"/>
        <w:rPr>
          <w:noProof/>
        </w:rPr>
      </w:pPr>
    </w:p>
    <w:p w:rsidR="007D3598" w:rsidRDefault="00F8547B">
      <w:pPr>
        <w:jc w:val="both"/>
        <w:rPr>
          <w:noProof/>
        </w:rPr>
      </w:pPr>
      <w:r>
        <w:rPr>
          <w:noProof/>
        </w:rPr>
        <w:t xml:space="preserve">Regarding the STS operated by Lithuania, it should be noted that the Lithuanian national interim evaluation report does not contain an evaluation of the scheme. </w:t>
      </w:r>
      <w:r>
        <w:rPr>
          <w:noProof/>
        </w:rPr>
        <w:t>Wherever there are references made to the STS throughout this document, they are solely based on the interviews carried out by the external consultant with the relevant stakeholders.</w:t>
      </w:r>
    </w:p>
    <w:p w:rsidR="007D3598" w:rsidRDefault="007D3598">
      <w:pPr>
        <w:jc w:val="both"/>
        <w:rPr>
          <w:noProof/>
        </w:rPr>
      </w:pPr>
    </w:p>
    <w:p w:rsidR="007D3598" w:rsidRDefault="00F8547B">
      <w:pPr>
        <w:jc w:val="both"/>
        <w:rPr>
          <w:noProof/>
        </w:rPr>
      </w:pPr>
      <w:bookmarkStart w:id="561" w:name="_Toc504475601"/>
      <w:bookmarkStart w:id="562" w:name="_Toc504475700"/>
      <w:bookmarkStart w:id="563" w:name="_Toc504476816"/>
      <w:bookmarkStart w:id="564" w:name="_Toc504502747"/>
      <w:bookmarkStart w:id="565" w:name="_Toc504502839"/>
      <w:bookmarkStart w:id="566" w:name="_Toc504502931"/>
      <w:bookmarkStart w:id="567" w:name="_Toc504503079"/>
      <w:bookmarkStart w:id="568" w:name="_Toc504503156"/>
      <w:bookmarkStart w:id="569" w:name="_Toc504503401"/>
      <w:bookmarkStart w:id="570" w:name="_Toc504504060"/>
      <w:bookmarkStart w:id="571" w:name="_Toc504553500"/>
      <w:bookmarkEnd w:id="561"/>
      <w:bookmarkEnd w:id="562"/>
      <w:bookmarkEnd w:id="563"/>
      <w:bookmarkEnd w:id="564"/>
      <w:bookmarkEnd w:id="565"/>
      <w:bookmarkEnd w:id="566"/>
      <w:bookmarkEnd w:id="567"/>
      <w:bookmarkEnd w:id="568"/>
      <w:bookmarkEnd w:id="569"/>
      <w:bookmarkEnd w:id="570"/>
      <w:bookmarkEnd w:id="571"/>
      <w:r>
        <w:rPr>
          <w:noProof/>
        </w:rPr>
        <w:t>In the evaluation, these limitations were mitigated to the extent possib</w:t>
      </w:r>
      <w:r>
        <w:rPr>
          <w:noProof/>
        </w:rPr>
        <w:t>le. The analysis of the evidence has allowed the Commission’s services to identify problems with data availability and quality that could be overcome over the course of the interim evaluation. Conclusions have been drawn, where possible, based on the trian</w:t>
      </w:r>
      <w:r>
        <w:rPr>
          <w:noProof/>
        </w:rPr>
        <w:t>gulation of evidence from various data sources, indicated transparently. The use of multiple information sources made it possible to have an overview of the implementation state-of-play and of the Fund’s results. When answers were not provided to the onlin</w:t>
      </w:r>
      <w:r>
        <w:rPr>
          <w:noProof/>
        </w:rPr>
        <w:t>e survey, information was gathered through the analysis of the national documents and, in some cases, confirmed (or not) by interviewees. The low number of participants to the surveys was counterbalanced by the analysis of national interim evaluation repor</w:t>
      </w:r>
      <w:r>
        <w:rPr>
          <w:noProof/>
        </w:rPr>
        <w:t xml:space="preserve">ts. Even though these reports were often not exhaustive, they made it possible to gather information on all Member States, and identify trends and divergences across them. Whenever possible, the </w:t>
      </w:r>
      <w:r>
        <w:rPr>
          <w:i/>
          <w:noProof/>
        </w:rPr>
        <w:t>ex post</w:t>
      </w:r>
      <w:r>
        <w:rPr>
          <w:noProof/>
        </w:rPr>
        <w:t xml:space="preserve"> evaluations of the predecessor SOLID programmes have </w:t>
      </w:r>
      <w:r>
        <w:rPr>
          <w:noProof/>
        </w:rPr>
        <w:t>been used as a benchmark.</w:t>
      </w:r>
    </w:p>
    <w:p w:rsidR="007D3598" w:rsidRDefault="007D3598">
      <w:pPr>
        <w:jc w:val="both"/>
        <w:rPr>
          <w:noProof/>
        </w:rPr>
      </w:pPr>
    </w:p>
    <w:p w:rsidR="007D3598" w:rsidRDefault="00F8547B">
      <w:pPr>
        <w:rPr>
          <w:noProof/>
        </w:rPr>
      </w:pPr>
      <w:r>
        <w:rPr>
          <w:noProof/>
        </w:rPr>
        <w:br w:type="page"/>
      </w:r>
    </w:p>
    <w:p w:rsidR="007D3598" w:rsidRDefault="00F8547B">
      <w:pPr>
        <w:pStyle w:val="HH1"/>
        <w:spacing w:before="0" w:after="0"/>
        <w:contextualSpacing w:val="0"/>
        <w:rPr>
          <w:noProof/>
        </w:rPr>
      </w:pPr>
      <w:bookmarkStart w:id="572" w:name="_Toc505869921"/>
      <w:bookmarkStart w:id="573" w:name="_Toc505870185"/>
      <w:bookmarkStart w:id="574" w:name="_Toc505872795"/>
      <w:bookmarkStart w:id="575" w:name="_Toc505872902"/>
      <w:bookmarkStart w:id="576" w:name="_Toc504475701"/>
      <w:bookmarkStart w:id="577" w:name="_Toc506393759"/>
      <w:bookmarkStart w:id="578" w:name="_Toc506475213"/>
      <w:bookmarkStart w:id="579" w:name="_Toc506478831"/>
      <w:bookmarkStart w:id="580" w:name="_Toc506479783"/>
      <w:bookmarkStart w:id="581" w:name="_Toc506483921"/>
      <w:bookmarkStart w:id="582" w:name="_Toc506529846"/>
      <w:bookmarkStart w:id="583" w:name="_Toc506531967"/>
      <w:bookmarkStart w:id="584" w:name="_Toc507083606"/>
      <w:bookmarkStart w:id="585" w:name="_Toc508279327"/>
      <w:bookmarkStart w:id="586" w:name="_Toc508369311"/>
      <w:bookmarkStart w:id="587" w:name="_Toc508375522"/>
      <w:bookmarkStart w:id="588" w:name="_Toc508715373"/>
      <w:bookmarkStart w:id="589" w:name="_Toc508975879"/>
      <w:bookmarkStart w:id="590" w:name="_Toc515270143"/>
      <w:bookmarkEnd w:id="572"/>
      <w:bookmarkEnd w:id="573"/>
      <w:bookmarkEnd w:id="574"/>
      <w:bookmarkEnd w:id="575"/>
      <w:r>
        <w:rPr>
          <w:noProof/>
        </w:rPr>
        <w:t>Analysis and answers to the evaluation questions</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7D3598" w:rsidRDefault="007D3598">
      <w:pPr>
        <w:rPr>
          <w:noProof/>
        </w:rPr>
      </w:pPr>
      <w:bookmarkStart w:id="591" w:name="_Toc505869923"/>
      <w:bookmarkStart w:id="592" w:name="_Toc506389104"/>
      <w:bookmarkStart w:id="593" w:name="_Toc506393656"/>
      <w:bookmarkStart w:id="594" w:name="_Toc506393708"/>
      <w:bookmarkStart w:id="595" w:name="_Toc506393760"/>
      <w:bookmarkStart w:id="596" w:name="_Toc506395194"/>
      <w:bookmarkStart w:id="597" w:name="_Toc506459534"/>
      <w:bookmarkStart w:id="598" w:name="_Toc506466813"/>
      <w:bookmarkStart w:id="599" w:name="_Toc506468215"/>
      <w:bookmarkStart w:id="600" w:name="_Toc506468842"/>
      <w:bookmarkStart w:id="601" w:name="_Toc506472174"/>
      <w:bookmarkStart w:id="602" w:name="_Toc506474725"/>
      <w:bookmarkStart w:id="603" w:name="_Toc506474119"/>
      <w:bookmarkStart w:id="604" w:name="_Toc506475214"/>
      <w:bookmarkStart w:id="605" w:name="_Toc506476284"/>
      <w:bookmarkStart w:id="606" w:name="_Toc506475400"/>
      <w:bookmarkStart w:id="607" w:name="_Toc506477312"/>
      <w:bookmarkStart w:id="608" w:name="_Toc506477418"/>
      <w:bookmarkStart w:id="609" w:name="_Toc506478286"/>
      <w:bookmarkStart w:id="610" w:name="_Toc506478592"/>
      <w:bookmarkStart w:id="611" w:name="_Toc506478832"/>
      <w:bookmarkStart w:id="612" w:name="_Toc506479784"/>
      <w:bookmarkStart w:id="613" w:name="_Toc506483599"/>
      <w:bookmarkStart w:id="614" w:name="_Toc506483821"/>
      <w:bookmarkStart w:id="615" w:name="_Toc506483922"/>
      <w:bookmarkStart w:id="616" w:name="_Toc506529760"/>
      <w:bookmarkStart w:id="617" w:name="_Toc506529847"/>
      <w:bookmarkStart w:id="618" w:name="_Toc506530106"/>
      <w:bookmarkStart w:id="619" w:name="_Toc506531392"/>
      <w:bookmarkStart w:id="620" w:name="_Toc506534951"/>
      <w:bookmarkStart w:id="621" w:name="_Toc506531968"/>
      <w:bookmarkStart w:id="622" w:name="_Toc506535767"/>
      <w:bookmarkStart w:id="623" w:name="_Toc507063115"/>
      <w:bookmarkStart w:id="624" w:name="_Toc507064062"/>
      <w:bookmarkStart w:id="625" w:name="_Toc507070930"/>
      <w:bookmarkStart w:id="626" w:name="_Toc507082247"/>
      <w:bookmarkStart w:id="627" w:name="_Toc507082287"/>
      <w:bookmarkStart w:id="628" w:name="_Toc507082327"/>
      <w:bookmarkStart w:id="629" w:name="_Toc507083607"/>
      <w:bookmarkStart w:id="630" w:name="_Toc507087266"/>
      <w:bookmarkStart w:id="631" w:name="_Toc506393761"/>
      <w:bookmarkStart w:id="632" w:name="_Toc506475215"/>
      <w:bookmarkStart w:id="633" w:name="_Toc506478833"/>
      <w:bookmarkStart w:id="634" w:name="_Toc506479785"/>
      <w:bookmarkStart w:id="635" w:name="_Toc506483923"/>
      <w:bookmarkStart w:id="636" w:name="_Toc506529848"/>
      <w:bookmarkStart w:id="637" w:name="_Toc506531969"/>
      <w:bookmarkStart w:id="638" w:name="_Toc503465891"/>
      <w:bookmarkStart w:id="639" w:name="_Toc504475702"/>
      <w:bookmarkStart w:id="640" w:name="_Toc499543641"/>
      <w:bookmarkStart w:id="641" w:name="_Toc499549901"/>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7D3598" w:rsidRDefault="00F8547B">
      <w:pPr>
        <w:pStyle w:val="HH2"/>
        <w:spacing w:before="0" w:after="0"/>
        <w:contextualSpacing w:val="0"/>
        <w:rPr>
          <w:noProof/>
        </w:rPr>
      </w:pPr>
      <w:bookmarkStart w:id="642" w:name="_Toc507083608"/>
      <w:bookmarkStart w:id="643" w:name="_Toc508279328"/>
      <w:bookmarkStart w:id="644" w:name="_Toc508369312"/>
      <w:bookmarkStart w:id="645" w:name="_Toc508375523"/>
      <w:bookmarkStart w:id="646" w:name="_Toc508715374"/>
      <w:bookmarkStart w:id="647" w:name="_Toc508975880"/>
      <w:bookmarkStart w:id="648" w:name="_Toc515270144"/>
      <w:r>
        <w:rPr>
          <w:noProof/>
        </w:rPr>
        <w:t>How effective has ISF-BV been so far?</w:t>
      </w:r>
      <w:bookmarkEnd w:id="631"/>
      <w:bookmarkEnd w:id="632"/>
      <w:bookmarkEnd w:id="633"/>
      <w:bookmarkEnd w:id="634"/>
      <w:bookmarkEnd w:id="635"/>
      <w:bookmarkEnd w:id="636"/>
      <w:bookmarkEnd w:id="637"/>
      <w:bookmarkEnd w:id="642"/>
      <w:bookmarkEnd w:id="643"/>
      <w:bookmarkEnd w:id="644"/>
      <w:bookmarkEnd w:id="645"/>
      <w:bookmarkEnd w:id="646"/>
      <w:bookmarkEnd w:id="647"/>
      <w:bookmarkEnd w:id="648"/>
    </w:p>
    <w:p w:rsidR="007D3598" w:rsidRDefault="007D3598">
      <w:pPr>
        <w:rPr>
          <w:noProof/>
        </w:rPr>
      </w:pPr>
    </w:p>
    <w:p w:rsidR="007D3598" w:rsidRDefault="00F8547B">
      <w:pPr>
        <w:jc w:val="both"/>
        <w:rPr>
          <w:noProof/>
          <w:szCs w:val="24"/>
          <w:lang w:eastAsia="nl-BE"/>
        </w:rPr>
      </w:pPr>
      <w:r>
        <w:rPr>
          <w:noProof/>
          <w:lang w:eastAsia="nl-BE"/>
        </w:rPr>
        <w:t>This evaluation question aims to provide an insight into whether ISF-BV is on track to meet its objectives. The borders and visa instrumen</w:t>
      </w:r>
      <w:r>
        <w:rPr>
          <w:noProof/>
          <w:lang w:eastAsia="nl-BE"/>
        </w:rPr>
        <w:t xml:space="preserve">t has two specific objectives — one linked to a </w:t>
      </w:r>
      <w:r>
        <w:rPr>
          <w:b/>
          <w:noProof/>
          <w:lang w:eastAsia="nl-BE"/>
        </w:rPr>
        <w:t>common visa policy</w:t>
      </w:r>
      <w:r>
        <w:rPr>
          <w:noProof/>
          <w:lang w:eastAsia="nl-BE"/>
        </w:rPr>
        <w:t xml:space="preserve"> and the other to supporting </w:t>
      </w:r>
      <w:r>
        <w:rPr>
          <w:b/>
          <w:noProof/>
          <w:lang w:eastAsia="nl-BE"/>
        </w:rPr>
        <w:t>integrated border management</w:t>
      </w:r>
      <w:r>
        <w:rPr>
          <w:noProof/>
          <w:lang w:eastAsia="nl-BE"/>
        </w:rPr>
        <w:t>. Overall there are seven operational objectives — four of which are relevant for the common visa policy and six of which are relevan</w:t>
      </w:r>
      <w:r>
        <w:rPr>
          <w:noProof/>
          <w:lang w:eastAsia="nl-BE"/>
        </w:rPr>
        <w:t>t for the integrated border management. There are evaluation questions (see Annex 4</w:t>
      </w:r>
      <w:r>
        <w:rPr>
          <w:noProof/>
          <w:szCs w:val="24"/>
          <w:lang w:eastAsia="nl-BE"/>
        </w:rPr>
        <w:t xml:space="preserve">) </w:t>
      </w:r>
      <w:r>
        <w:rPr>
          <w:noProof/>
          <w:lang w:eastAsia="nl-BE"/>
        </w:rPr>
        <w:t>addressing each operational objective (see Table 4)</w:t>
      </w:r>
      <w:r>
        <w:rPr>
          <w:noProof/>
          <w:szCs w:val="24"/>
          <w:lang w:eastAsia="nl-BE"/>
        </w:rPr>
        <w:t>.</w:t>
      </w:r>
    </w:p>
    <w:p w:rsidR="007D3598" w:rsidRDefault="007D3598">
      <w:pPr>
        <w:jc w:val="both"/>
        <w:rPr>
          <w:noProof/>
          <w:szCs w:val="24"/>
          <w:lang w:eastAsia="nl-BE"/>
        </w:rPr>
      </w:pPr>
    </w:p>
    <w:p w:rsidR="007D3598" w:rsidRDefault="00F8547B">
      <w:pPr>
        <w:pStyle w:val="HH3"/>
        <w:spacing w:before="0" w:after="0"/>
        <w:contextualSpacing w:val="0"/>
        <w:rPr>
          <w:noProof/>
        </w:rPr>
      </w:pPr>
      <w:r>
        <w:rPr>
          <w:noProof/>
        </w:rPr>
        <w:t>Effectiveness in supporting a common visa policy</w:t>
      </w:r>
    </w:p>
    <w:p w:rsidR="007D3598" w:rsidRDefault="007D3598">
      <w:pPr>
        <w:pStyle w:val="Body"/>
        <w:spacing w:before="0" w:after="0" w:line="240" w:lineRule="auto"/>
        <w:rPr>
          <w:rFonts w:ascii="Times New Roman" w:hAnsi="Times New Roman"/>
          <w:i/>
          <w:noProof/>
          <w:sz w:val="24"/>
        </w:rPr>
      </w:pPr>
    </w:p>
    <w:p w:rsidR="007D3598" w:rsidRDefault="00F8547B">
      <w:pPr>
        <w:pStyle w:val="Body"/>
        <w:spacing w:before="0" w:after="0" w:line="240" w:lineRule="auto"/>
        <w:rPr>
          <w:rFonts w:ascii="Times New Roman" w:hAnsi="Times New Roman"/>
          <w:i/>
          <w:noProof/>
          <w:sz w:val="24"/>
        </w:rPr>
      </w:pPr>
      <w:r>
        <w:rPr>
          <w:rFonts w:ascii="Times New Roman" w:hAnsi="Times New Roman"/>
          <w:noProof/>
          <w:szCs w:val="24"/>
          <w:lang w:eastAsia="en-GB"/>
        </w:rPr>
        <mc:AlternateContent>
          <mc:Choice Requires="wps">
            <w:drawing>
              <wp:anchor distT="0" distB="0" distL="114300" distR="114300" simplePos="0" relativeHeight="251660288" behindDoc="0" locked="0" layoutInCell="1" allowOverlap="1" wp14:anchorId="35704D9C" wp14:editId="305E2739">
                <wp:simplePos x="0" y="0"/>
                <wp:positionH relativeFrom="column">
                  <wp:posOffset>0</wp:posOffset>
                </wp:positionH>
                <wp:positionV relativeFrom="paragraph">
                  <wp:posOffset>325120</wp:posOffset>
                </wp:positionV>
                <wp:extent cx="6090285" cy="1687830"/>
                <wp:effectExtent l="0" t="0" r="24765" b="24765"/>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687830"/>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pStyle w:val="BulletBoxFindings"/>
                              <w:tabs>
                                <w:tab w:val="clear" w:pos="1492"/>
                              </w:tabs>
                              <w:spacing w:before="0" w:after="0" w:line="240" w:lineRule="auto"/>
                              <w:ind w:left="0" w:firstLine="0"/>
                              <w:rPr>
                                <w:rFonts w:ascii="Times New Roman" w:hAnsi="Times New Roman"/>
                                <w:sz w:val="24"/>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szCs w:val="24"/>
                              </w:rPr>
                              <w:t xml:space="preserve">The Fund has contributed to implementing the EU </w:t>
                            </w:r>
                            <w:r>
                              <w:rPr>
                                <w:rFonts w:ascii="Times New Roman" w:hAnsi="Times New Roman"/>
                                <w:sz w:val="24"/>
                                <w:szCs w:val="24"/>
                              </w:rPr>
                              <w:t>common visa policy in an effective manner. It facilitated legitimate travel. Information-exchange and training activities contributed to the EU’s acquis on visa policy being uniformly implemented. The Fund played an instrumental role in developing IT syste</w:t>
                            </w:r>
                            <w:r>
                              <w:rPr>
                                <w:rFonts w:ascii="Times New Roman" w:hAnsi="Times New Roman"/>
                                <w:sz w:val="24"/>
                                <w:szCs w:val="24"/>
                              </w:rPr>
                              <w:t>ms supporting a common visa policy. All these together contributed towards (</w:t>
                            </w:r>
                            <w:proofErr w:type="spellStart"/>
                            <w:r>
                              <w:rPr>
                                <w:rFonts w:ascii="Times New Roman" w:hAnsi="Times New Roman"/>
                                <w:sz w:val="24"/>
                                <w:szCs w:val="24"/>
                              </w:rPr>
                              <w:t>i</w:t>
                            </w:r>
                            <w:proofErr w:type="spellEnd"/>
                            <w:r>
                              <w:rPr>
                                <w:rFonts w:ascii="Times New Roman" w:hAnsi="Times New Roman"/>
                                <w:sz w:val="24"/>
                                <w:szCs w:val="24"/>
                              </w:rPr>
                              <w:t>) a high quality service for visa applicants, (ii) equal treatment of third-country nationals and (iii) tackling illegal migration. The Fund’s contribution in consular cooperation</w:t>
                            </w:r>
                            <w:r>
                              <w:rPr>
                                <w:rFonts w:ascii="Times New Roman" w:hAnsi="Times New Roman"/>
                                <w:sz w:val="24"/>
                                <w:szCs w:val="24"/>
                              </w:rPr>
                              <w:t xml:space="preserve"> and in strengthening cooperation with third countries has so far been limited.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25.6pt;width:479.55pt;height:132.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" strokecolor="#4f81bd [3204]" strokeweight="1.5pt">
                <v:textbox style="mso-fit-shape-to-text:t">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pStyle w:val="BulletBoxFindings"/>
                        <w:tabs>
                          <w:tab w:val="clear" w:pos="1492"/>
                        </w:tabs>
                        <w:spacing w:before="0" w:after="0" w:line="240" w:lineRule="auto"/>
                        <w:ind w:left="0" w:firstLine="0"/>
                        <w:rPr>
                          <w:rFonts w:ascii="Times New Roman" w:hAnsi="Times New Roman"/>
                          <w:sz w:val="24"/>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szCs w:val="24"/>
                        </w:rPr>
                        <w:t xml:space="preserve">The Fund has contributed to implementing the EU </w:t>
                      </w:r>
                      <w:r>
                        <w:rPr>
                          <w:rFonts w:ascii="Times New Roman" w:hAnsi="Times New Roman"/>
                          <w:sz w:val="24"/>
                          <w:szCs w:val="24"/>
                        </w:rPr>
                        <w:t>common visa policy in an effective manner. It facilitated legitimate travel. Information-exchange and training activities contributed to the EU’s acquis on visa policy being uniformly implemented. The Fund played an instrumental role in developing IT syste</w:t>
                      </w:r>
                      <w:r>
                        <w:rPr>
                          <w:rFonts w:ascii="Times New Roman" w:hAnsi="Times New Roman"/>
                          <w:sz w:val="24"/>
                          <w:szCs w:val="24"/>
                        </w:rPr>
                        <w:t>ms supporting a common visa policy. All these together contributed towards (</w:t>
                      </w:r>
                      <w:proofErr w:type="spellStart"/>
                      <w:r>
                        <w:rPr>
                          <w:rFonts w:ascii="Times New Roman" w:hAnsi="Times New Roman"/>
                          <w:sz w:val="24"/>
                          <w:szCs w:val="24"/>
                        </w:rPr>
                        <w:t>i</w:t>
                      </w:r>
                      <w:proofErr w:type="spellEnd"/>
                      <w:r>
                        <w:rPr>
                          <w:rFonts w:ascii="Times New Roman" w:hAnsi="Times New Roman"/>
                          <w:sz w:val="24"/>
                          <w:szCs w:val="24"/>
                        </w:rPr>
                        <w:t>) a high quality service for visa applicants, (ii) equal treatment of third-country nationals and (iii) tackling illegal migration. The Fund’s contribution in consular cooperation</w:t>
                      </w:r>
                      <w:r>
                        <w:rPr>
                          <w:rFonts w:ascii="Times New Roman" w:hAnsi="Times New Roman"/>
                          <w:sz w:val="24"/>
                          <w:szCs w:val="24"/>
                        </w:rPr>
                        <w:t xml:space="preserve"> and in strengthening cooperation with third countries has so far been limited.</w:t>
                      </w:r>
                    </w:p>
                  </w:txbxContent>
                </v:textbox>
                <w10:wrap type="topAndBottom"/>
              </v:shape>
            </w:pict>
          </mc:Fallback>
        </mc:AlternateContent>
      </w:r>
      <w:r>
        <w:rPr>
          <w:rFonts w:ascii="Times New Roman" w:hAnsi="Times New Roman"/>
          <w:i/>
          <w:noProof/>
          <w:sz w:val="24"/>
        </w:rPr>
        <w:t>Shared management</w:t>
      </w:r>
    </w:p>
    <w:p w:rsidR="007D3598" w:rsidRDefault="007D3598">
      <w:pPr>
        <w:pStyle w:val="Body"/>
        <w:spacing w:before="0" w:after="0" w:line="240" w:lineRule="auto"/>
        <w:rPr>
          <w:rFonts w:ascii="Times New Roman" w:hAnsi="Times New Roman"/>
          <w:noProof/>
        </w:rPr>
      </w:pPr>
    </w:p>
    <w:p w:rsidR="007D3598" w:rsidRDefault="007D3598">
      <w:pPr>
        <w:jc w:val="both"/>
        <w:rPr>
          <w:noProof/>
        </w:rPr>
      </w:pPr>
    </w:p>
    <w:p w:rsidR="007D3598" w:rsidRDefault="00F8547B">
      <w:pPr>
        <w:jc w:val="both"/>
        <w:rPr>
          <w:noProof/>
        </w:rPr>
      </w:pPr>
      <w:r>
        <w:rPr>
          <w:noProof/>
        </w:rPr>
        <w:t>The EU has a common visa policy for short-stay visits to the Schengen area, comprising of a set of harmonised rules setting out (i) the countries whose nati</w:t>
      </w:r>
      <w:r>
        <w:rPr>
          <w:noProof/>
        </w:rPr>
        <w:t>onals require a visa to travel to the EU and those who do not, (ii) the procedures and conditions for issuing short-stay visas, (iii) a uniform format for visa stickers and (iv) a common Visa Information System that records all visa applications and decisi</w:t>
      </w:r>
      <w:r>
        <w:rPr>
          <w:noProof/>
        </w:rPr>
        <w:t>ons. EU Member States are among the world’s leading tourist destinations — the number of visa applications processed by Member States has increased considerably over the last 8 years and continues to expand. Since 2009, applications for EU visas have risen</w:t>
      </w:r>
      <w:r>
        <w:rPr>
          <w:noProof/>
        </w:rPr>
        <w:t xml:space="preserve"> 50 % — from 10.2 million to 15.2 million in 2016 coupled with increased costs of processing of visa applications. The EU’s common visa policy has also been affected by the migration crisis with increased pressure on consular staff worldwide and an increas</w:t>
      </w:r>
      <w:r>
        <w:rPr>
          <w:noProof/>
        </w:rPr>
        <w:t xml:space="preserve">ing need for </w:t>
      </w:r>
      <w:r>
        <w:rPr>
          <w:bCs/>
          <w:noProof/>
          <w:szCs w:val="24"/>
          <w:lang w:eastAsia="en-GB"/>
        </w:rPr>
        <w:t>cooperation on irregular migration and return</w:t>
      </w:r>
      <w:r>
        <w:rPr>
          <w:noProof/>
        </w:rPr>
        <w:t>.</w:t>
      </w:r>
    </w:p>
    <w:p w:rsidR="007D3598" w:rsidRDefault="007D3598">
      <w:pPr>
        <w:jc w:val="both"/>
        <w:rPr>
          <w:noProof/>
        </w:rPr>
      </w:pPr>
    </w:p>
    <w:p w:rsidR="007D3598" w:rsidRDefault="00F8547B">
      <w:pPr>
        <w:jc w:val="both"/>
        <w:rPr>
          <w:noProof/>
        </w:rPr>
      </w:pPr>
      <w:r>
        <w:rPr>
          <w:noProof/>
        </w:rPr>
        <w:t>Overall, the Fund has significantly contributed towards the achievement of a common visa policy, as confirmed both by the stakeholders and by the implementation results of the national evaluation</w:t>
      </w:r>
      <w:r>
        <w:rPr>
          <w:noProof/>
        </w:rPr>
        <w:t xml:space="preserve"> reports</w:t>
      </w:r>
      <w:r>
        <w:rPr>
          <w:rStyle w:val="FootnoteReference"/>
          <w:noProof/>
          <w:lang w:eastAsia="nl-BE"/>
        </w:rPr>
        <w:footnoteReference w:id="68"/>
      </w:r>
      <w:r>
        <w:rPr>
          <w:noProof/>
        </w:rPr>
        <w:t xml:space="preserve">. The following five aspects of the common visa policy were addressed in the evaluation: </w:t>
      </w:r>
    </w:p>
    <w:p w:rsidR="007D3598" w:rsidRDefault="00F8547B">
      <w:pPr>
        <w:jc w:val="both"/>
        <w:rPr>
          <w:noProof/>
        </w:rPr>
      </w:pPr>
      <w:r>
        <w:rPr>
          <w:noProof/>
        </w:rPr>
        <w:t>1) facilitation of legitimate travel;</w:t>
      </w:r>
    </w:p>
    <w:p w:rsidR="007D3598" w:rsidRDefault="00F8547B">
      <w:pPr>
        <w:jc w:val="both"/>
        <w:rPr>
          <w:noProof/>
        </w:rPr>
      </w:pPr>
      <w:r>
        <w:rPr>
          <w:noProof/>
        </w:rPr>
        <w:t>2) better consular coverage and harmonised practices on visa issuance;</w:t>
      </w:r>
    </w:p>
    <w:p w:rsidR="007D3598" w:rsidRDefault="00F8547B">
      <w:pPr>
        <w:jc w:val="both"/>
        <w:rPr>
          <w:noProof/>
        </w:rPr>
      </w:pPr>
      <w:r>
        <w:rPr>
          <w:noProof/>
        </w:rPr>
        <w:t xml:space="preserve">3) implementation of EU’s </w:t>
      </w:r>
      <w:r>
        <w:rPr>
          <w:i/>
          <w:noProof/>
        </w:rPr>
        <w:t>acquis</w:t>
      </w:r>
      <w:r>
        <w:rPr>
          <w:noProof/>
        </w:rPr>
        <w:t xml:space="preserve"> on visas;</w:t>
      </w:r>
    </w:p>
    <w:p w:rsidR="007D3598" w:rsidRDefault="00F8547B">
      <w:pPr>
        <w:jc w:val="both"/>
        <w:rPr>
          <w:noProof/>
        </w:rPr>
      </w:pPr>
      <w:r>
        <w:rPr>
          <w:noProof/>
        </w:rPr>
        <w:t>4) co</w:t>
      </w:r>
      <w:r>
        <w:rPr>
          <w:noProof/>
        </w:rPr>
        <w:t>operation between Member States; and</w:t>
      </w:r>
    </w:p>
    <w:p w:rsidR="007D3598" w:rsidRDefault="00F8547B">
      <w:pPr>
        <w:jc w:val="both"/>
        <w:rPr>
          <w:noProof/>
        </w:rPr>
      </w:pPr>
      <w:r>
        <w:rPr>
          <w:noProof/>
        </w:rPr>
        <w:t>5) IT systems and communications infrastructure and equipment.</w:t>
      </w:r>
    </w:p>
    <w:p w:rsidR="007D3598" w:rsidRDefault="007D3598">
      <w:pPr>
        <w:jc w:val="both"/>
        <w:rPr>
          <w:noProof/>
        </w:rPr>
      </w:pPr>
    </w:p>
    <w:p w:rsidR="007D3598" w:rsidRDefault="00F8547B">
      <w:pPr>
        <w:jc w:val="both"/>
        <w:rPr>
          <w:noProof/>
        </w:rPr>
      </w:pPr>
      <w:r>
        <w:rPr>
          <w:noProof/>
        </w:rPr>
        <w:t xml:space="preserve">The Fund contributed to the </w:t>
      </w:r>
      <w:r>
        <w:rPr>
          <w:b/>
          <w:noProof/>
        </w:rPr>
        <w:t>facilitation of legitimate travel</w:t>
      </w:r>
      <w:bookmarkStart w:id="649" w:name="ISF_facilitated_legitimate_travel"/>
      <w:bookmarkEnd w:id="649"/>
      <w:r>
        <w:rPr>
          <w:noProof/>
        </w:rPr>
        <w:t>, strengthening Members States’ national capacities by, for instance: (i</w:t>
      </w:r>
      <w:r>
        <w:rPr>
          <w:noProof/>
        </w:rPr>
        <w:tab/>
        <w:t>) co-financing projec</w:t>
      </w:r>
      <w:r>
        <w:rPr>
          <w:noProof/>
        </w:rPr>
        <w:t>ts for strengthening national capacity to verify the authenticity of documents used for visa applications, (ii) developing information systems for coordinating visa applications</w:t>
      </w:r>
      <w:r>
        <w:rPr>
          <w:rStyle w:val="FootnoteReference"/>
          <w:noProof/>
        </w:rPr>
        <w:footnoteReference w:id="69"/>
      </w:r>
      <w:r>
        <w:rPr>
          <w:noProof/>
        </w:rPr>
        <w:t>, and (iii) procuring</w:t>
      </w:r>
      <w:r>
        <w:rPr>
          <w:b/>
          <w:noProof/>
        </w:rPr>
        <w:t xml:space="preserve"> </w:t>
      </w:r>
      <w:r>
        <w:rPr>
          <w:noProof/>
        </w:rPr>
        <w:t>security equipment for consular representations in third</w:t>
      </w:r>
      <w:r>
        <w:rPr>
          <w:noProof/>
        </w:rPr>
        <w:t xml:space="preserve"> countries. All this leads to Member States being in a better position to grant visas to those visa applicants with legitimate applications. In particular, projects under the Fund supported the purchase of technical equipment (e.g. document checking device</w:t>
      </w:r>
      <w:r>
        <w:rPr>
          <w:noProof/>
        </w:rPr>
        <w:t>s, communication equipment) to make the processing of Schengen visa applications more efficient and to support national information-sharing platforms to combat visa abuse and document fraud. Training also supported legitimate travel</w:t>
      </w:r>
      <w:r>
        <w:rPr>
          <w:rStyle w:val="FootnoteReference"/>
          <w:noProof/>
        </w:rPr>
        <w:footnoteReference w:id="70"/>
      </w:r>
      <w:r>
        <w:rPr>
          <w:noProof/>
        </w:rPr>
        <w:t>, by providing consular</w:t>
      </w:r>
      <w:r>
        <w:rPr>
          <w:noProof/>
        </w:rPr>
        <w:t xml:space="preserve"> staff with technical and up-to-date information on visa issues and related systems.</w:t>
      </w:r>
    </w:p>
    <w:p w:rsidR="007D3598" w:rsidRDefault="007D3598">
      <w:pPr>
        <w:jc w:val="both"/>
        <w:rPr>
          <w:noProof/>
        </w:rPr>
      </w:pPr>
    </w:p>
    <w:p w:rsidR="007D3598" w:rsidRDefault="00F8547B">
      <w:pPr>
        <w:jc w:val="both"/>
        <w:rPr>
          <w:noProof/>
          <w:szCs w:val="24"/>
        </w:rPr>
      </w:pPr>
      <w:r>
        <w:rPr>
          <w:noProof/>
        </w:rPr>
        <w:t xml:space="preserve">As regards </w:t>
      </w:r>
      <w:r>
        <w:rPr>
          <w:b/>
          <w:noProof/>
        </w:rPr>
        <w:t>consular cooperation</w:t>
      </w:r>
      <w:r>
        <w:rPr>
          <w:noProof/>
        </w:rPr>
        <w:t xml:space="preserve">, the </w:t>
      </w:r>
      <w:r>
        <w:rPr>
          <w:i/>
          <w:noProof/>
        </w:rPr>
        <w:t>ex post</w:t>
      </w:r>
      <w:r>
        <w:rPr>
          <w:noProof/>
        </w:rPr>
        <w:t xml:space="preserve"> evaluation of the EBF revealed that Member States showed little interest in developing projects in this area mainly due to (i) the perceived high cost of common visa application centres or (ii) perceived issues linked to cost-sharing with other Member Sta</w:t>
      </w:r>
      <w:r>
        <w:rPr>
          <w:noProof/>
        </w:rPr>
        <w:t xml:space="preserve">tes resulting in Member States choosing to keep their representations in third countries. The Commission decided to incentivise this area through offering co-financing at a rate of 90 % in the national programmes under ISF-BV, while the scope was extended </w:t>
      </w:r>
      <w:r>
        <w:rPr>
          <w:noProof/>
        </w:rPr>
        <w:t xml:space="preserve">beyond common application centres to include other types of consular cooperation in addition to refurbishment, adaptation and/or equipping of consulates. Despite these measures, the Fund’s contribution towards </w:t>
      </w:r>
      <w:r>
        <w:rPr>
          <w:noProof/>
          <w:szCs w:val="24"/>
        </w:rPr>
        <w:t xml:space="preserve">consular cooperation has been quite limited </w:t>
      </w:r>
      <w:r>
        <w:rPr>
          <w:noProof/>
        </w:rPr>
        <w:t>so</w:t>
      </w:r>
      <w:r>
        <w:rPr>
          <w:noProof/>
        </w:rPr>
        <w:t xml:space="preserve"> far</w:t>
      </w:r>
      <w:r>
        <w:rPr>
          <w:noProof/>
          <w:szCs w:val="24"/>
        </w:rPr>
        <w:t xml:space="preserve">, with many Member States not implementing any projects in the area yet. However, </w:t>
      </w:r>
      <w:r>
        <w:rPr>
          <w:noProof/>
        </w:rPr>
        <w:t xml:space="preserve">those Member States that have carried out consular cooperation activities gave positive feedback on the Fund’s contribution. For instance, it </w:t>
      </w:r>
      <w:r>
        <w:rPr>
          <w:noProof/>
          <w:lang w:eastAsia="nl-BE"/>
        </w:rPr>
        <w:t>helped increase</w:t>
      </w:r>
      <w:r>
        <w:rPr>
          <w:b/>
          <w:noProof/>
          <w:lang w:eastAsia="nl-BE"/>
        </w:rPr>
        <w:t xml:space="preserve"> consular cov</w:t>
      </w:r>
      <w:r>
        <w:rPr>
          <w:b/>
          <w:noProof/>
          <w:lang w:eastAsia="nl-BE"/>
        </w:rPr>
        <w:t>erage</w:t>
      </w:r>
      <w:r>
        <w:rPr>
          <w:noProof/>
          <w:lang w:eastAsia="nl-BE"/>
        </w:rPr>
        <w:t xml:space="preserve"> by supporting the establishment of </w:t>
      </w:r>
      <w:r>
        <w:rPr>
          <w:rFonts w:eastAsiaTheme="minorHAnsi" w:cs="TimesNewRoman"/>
          <w:noProof/>
        </w:rPr>
        <w:t>new consular posts and o</w:t>
      </w:r>
      <w:r>
        <w:rPr>
          <w:rFonts w:eastAsiaTheme="minorHAnsi"/>
          <w:noProof/>
        </w:rPr>
        <w:t xml:space="preserve">ther forms of cooperation </w:t>
      </w:r>
      <w:r>
        <w:rPr>
          <w:noProof/>
          <w:color w:val="000000"/>
          <w:lang w:eastAsia="fr-FR" w:bidi="fr-FR"/>
        </w:rPr>
        <w:t>(e.g. joint training courses, joint consular offices</w:t>
      </w:r>
      <w:r>
        <w:rPr>
          <w:rFonts w:eastAsiaTheme="minorHAnsi"/>
          <w:noProof/>
        </w:rPr>
        <w:t xml:space="preserve">) that incentivised Member States </w:t>
      </w:r>
      <w:r>
        <w:rPr>
          <w:noProof/>
          <w:lang w:eastAsia="nl-BE"/>
        </w:rPr>
        <w:t>to</w:t>
      </w:r>
      <w:r>
        <w:rPr>
          <w:noProof/>
        </w:rPr>
        <w:t xml:space="preserve"> e</w:t>
      </w:r>
      <w:r>
        <w:rPr>
          <w:rFonts w:eastAsiaTheme="minorHAnsi"/>
          <w:noProof/>
        </w:rPr>
        <w:t xml:space="preserve">stablish consular representation agreements to improve visa processing and </w:t>
      </w:r>
      <w:r>
        <w:rPr>
          <w:rFonts w:eastAsiaTheme="minorHAnsi"/>
          <w:noProof/>
        </w:rPr>
        <w:t>to promote a common approach to visa issuance</w:t>
      </w:r>
      <w:r>
        <w:rPr>
          <w:rStyle w:val="FootnoteReference"/>
          <w:rFonts w:eastAsiaTheme="minorHAnsi"/>
          <w:noProof/>
        </w:rPr>
        <w:footnoteReference w:id="71"/>
      </w:r>
      <w:r>
        <w:rPr>
          <w:rFonts w:eastAsiaTheme="minorHAnsi"/>
          <w:noProof/>
        </w:rPr>
        <w:t xml:space="preserve">. </w:t>
      </w:r>
      <w:r>
        <w:rPr>
          <w:noProof/>
          <w:szCs w:val="24"/>
        </w:rPr>
        <w:t>The use</w:t>
      </w:r>
      <w:r>
        <w:rPr>
          <w:noProof/>
        </w:rPr>
        <w:t xml:space="preserve"> of the Visa Information System facilitated the exchange of both information on fraudulent visa documents and best practices on implementing Schengen standards</w:t>
      </w:r>
      <w:r>
        <w:rPr>
          <w:rStyle w:val="FootnoteReference"/>
          <w:noProof/>
        </w:rPr>
        <w:footnoteReference w:id="72"/>
      </w:r>
      <w:r>
        <w:rPr>
          <w:noProof/>
        </w:rPr>
        <w:t>. Training courses also contributed towar</w:t>
      </w:r>
      <w:r>
        <w:rPr>
          <w:noProof/>
        </w:rPr>
        <w:t xml:space="preserve">ds </w:t>
      </w:r>
      <w:r>
        <w:rPr>
          <w:b/>
          <w:noProof/>
        </w:rPr>
        <w:t>harmonising practices on visa issuance</w:t>
      </w:r>
      <w:r>
        <w:rPr>
          <w:rStyle w:val="FootnoteReference"/>
          <w:noProof/>
        </w:rPr>
        <w:footnoteReference w:id="73"/>
      </w:r>
      <w:r>
        <w:rPr>
          <w:noProof/>
        </w:rPr>
        <w:t>. Many Member States</w:t>
      </w:r>
      <w:r>
        <w:rPr>
          <w:rStyle w:val="FootnoteReference"/>
          <w:noProof/>
        </w:rPr>
        <w:footnoteReference w:id="74"/>
      </w:r>
      <w:r>
        <w:rPr>
          <w:noProof/>
        </w:rPr>
        <w:t xml:space="preserve"> reported that visa harmonisation was supported through a better exchange of information and best practices being shared between Member States.</w:t>
      </w:r>
    </w:p>
    <w:p w:rsidR="007D3598" w:rsidRDefault="007D3598">
      <w:pPr>
        <w:jc w:val="both"/>
        <w:rPr>
          <w:noProof/>
        </w:rPr>
      </w:pPr>
    </w:p>
    <w:p w:rsidR="007D3598" w:rsidRDefault="00F8547B">
      <w:pPr>
        <w:jc w:val="both"/>
        <w:rPr>
          <w:noProof/>
        </w:rPr>
      </w:pPr>
      <w:r>
        <w:rPr>
          <w:noProof/>
        </w:rPr>
        <w:t xml:space="preserve">There were difficulties in implementing </w:t>
      </w:r>
      <w:r>
        <w:rPr>
          <w:noProof/>
          <w:szCs w:val="24"/>
        </w:rPr>
        <w:t>joint pr</w:t>
      </w:r>
      <w:r>
        <w:rPr>
          <w:noProof/>
          <w:szCs w:val="24"/>
        </w:rPr>
        <w:t>ojects between Member States</w:t>
      </w:r>
      <w:r>
        <w:rPr>
          <w:rStyle w:val="FootnoteReference"/>
          <w:noProof/>
          <w:lang w:eastAsia="nl-BE"/>
        </w:rPr>
        <w:footnoteReference w:id="75"/>
      </w:r>
      <w:r>
        <w:rPr>
          <w:noProof/>
        </w:rPr>
        <w:t xml:space="preserve"> </w:t>
      </w:r>
      <w:r>
        <w:rPr>
          <w:noProof/>
          <w:szCs w:val="24"/>
        </w:rPr>
        <w:t>due to the different national eligibility rules of expenditure, checks, and other rules related to the posting of staff</w:t>
      </w:r>
      <w:r>
        <w:rPr>
          <w:rStyle w:val="FootnoteReference"/>
          <w:noProof/>
          <w:szCs w:val="24"/>
        </w:rPr>
        <w:footnoteReference w:id="76"/>
      </w:r>
      <w:r>
        <w:rPr>
          <w:noProof/>
          <w:szCs w:val="24"/>
        </w:rPr>
        <w:t>. In particular, Member States</w:t>
      </w:r>
      <w:r>
        <w:rPr>
          <w:rStyle w:val="FootnoteReference"/>
          <w:noProof/>
          <w:lang w:eastAsia="nl-BE"/>
        </w:rPr>
        <w:footnoteReference w:id="77"/>
      </w:r>
      <w:r>
        <w:rPr>
          <w:noProof/>
          <w:szCs w:val="24"/>
        </w:rPr>
        <w:t xml:space="preserve"> involved in specific actions on consular cooperation asked for standard </w:t>
      </w:r>
      <w:r>
        <w:rPr>
          <w:noProof/>
        </w:rPr>
        <w:t>an</w:t>
      </w:r>
      <w:r>
        <w:rPr>
          <w:noProof/>
        </w:rPr>
        <w:t>d clearer eligibility and expenditure rules at EU level to harmonise and ease the management of such actions. Currently, it is not possible to assess the effectiveness of the specific action as only a few projects have started and even those are in their i</w:t>
      </w:r>
      <w:r>
        <w:rPr>
          <w:noProof/>
        </w:rPr>
        <w:t>nitial stages. However, it is interesting to note that most Member States considered the needs addressed by the specific actions — harmonisation of visa issuance and increasing visibility and consular coverage of Member States — as particularly appropriate</w:t>
      </w:r>
      <w:r>
        <w:rPr>
          <w:noProof/>
        </w:rPr>
        <w:t xml:space="preserve"> in light of current migration pressure</w:t>
      </w:r>
      <w:r>
        <w:rPr>
          <w:rStyle w:val="FootnoteReference"/>
          <w:noProof/>
        </w:rPr>
        <w:footnoteReference w:id="78"/>
      </w:r>
      <w:r>
        <w:rPr>
          <w:noProof/>
        </w:rPr>
        <w:t>.</w:t>
      </w:r>
    </w:p>
    <w:p w:rsidR="007D3598" w:rsidRDefault="007D3598">
      <w:pPr>
        <w:jc w:val="both"/>
        <w:rPr>
          <w:noProof/>
        </w:rPr>
      </w:pPr>
    </w:p>
    <w:p w:rsidR="007D3598" w:rsidRDefault="00F8547B">
      <w:pPr>
        <w:jc w:val="both"/>
        <w:rPr>
          <w:noProof/>
        </w:rPr>
      </w:pPr>
      <w:r>
        <w:rPr>
          <w:noProof/>
        </w:rPr>
        <w:t xml:space="preserve">Ensuring the correct and uniform application of the </w:t>
      </w:r>
      <w:r>
        <w:rPr>
          <w:b/>
          <w:noProof/>
          <w:szCs w:val="24"/>
        </w:rPr>
        <w:t xml:space="preserve">Union’s </w:t>
      </w:r>
      <w:r>
        <w:rPr>
          <w:b/>
          <w:i/>
          <w:noProof/>
          <w:szCs w:val="24"/>
        </w:rPr>
        <w:t>acquis</w:t>
      </w:r>
      <w:r>
        <w:rPr>
          <w:b/>
          <w:noProof/>
          <w:szCs w:val="24"/>
        </w:rPr>
        <w:t xml:space="preserve"> on visa</w:t>
      </w:r>
      <w:r>
        <w:rPr>
          <w:noProof/>
          <w:szCs w:val="24"/>
        </w:rPr>
        <w:t xml:space="preserve"> has been supported either </w:t>
      </w:r>
      <w:r>
        <w:rPr>
          <w:noProof/>
        </w:rPr>
        <w:t>through mixed projects also pursuing other objectives, or through projects targeted specifically to this objecti</w:t>
      </w:r>
      <w:r>
        <w:rPr>
          <w:noProof/>
        </w:rPr>
        <w:t>ve</w:t>
      </w:r>
      <w:r>
        <w:rPr>
          <w:noProof/>
          <w:szCs w:val="24"/>
        </w:rPr>
        <w:t xml:space="preserve">. </w:t>
      </w:r>
      <w:r>
        <w:rPr>
          <w:noProof/>
        </w:rPr>
        <w:t>Training courses targeted staff responsible for visa issuing</w:t>
      </w:r>
      <w:r>
        <w:rPr>
          <w:rStyle w:val="FootnoteReference"/>
          <w:noProof/>
        </w:rPr>
        <w:footnoteReference w:id="79"/>
      </w:r>
      <w:r>
        <w:rPr>
          <w:noProof/>
        </w:rPr>
        <w:t xml:space="preserve"> and consular officials, police, and border guards engaged in developing and implementing the common visa policy</w:t>
      </w:r>
      <w:r>
        <w:rPr>
          <w:rStyle w:val="FootnoteReference"/>
          <w:noProof/>
        </w:rPr>
        <w:footnoteReference w:id="80"/>
      </w:r>
      <w:r>
        <w:rPr>
          <w:noProof/>
        </w:rPr>
        <w:t>. In some cases, training courses aimed to disseminate best practices among co</w:t>
      </w:r>
      <w:r>
        <w:rPr>
          <w:noProof/>
        </w:rPr>
        <w:t>nsular officials and to provide them with specific language courses or knowledge on the changing legal situation at EU level in the field of visa. Some Member States organised training sessions for consular services on security (e.g. illegal migration) and</w:t>
      </w:r>
      <w:r>
        <w:rPr>
          <w:noProof/>
        </w:rPr>
        <w:t xml:space="preserve"> document verification (i.e. document fraud detection, counterfeit or forged travel documents, and documents necessary for visa application)</w:t>
      </w:r>
      <w:r>
        <w:rPr>
          <w:rStyle w:val="FootnoteReference"/>
          <w:noProof/>
        </w:rPr>
        <w:footnoteReference w:id="81"/>
      </w:r>
      <w:r>
        <w:rPr>
          <w:noProof/>
        </w:rPr>
        <w:t xml:space="preserve">. Other training courses supported the implementation of the EU common visa policy and the Schengen </w:t>
      </w:r>
      <w:r>
        <w:rPr>
          <w:i/>
          <w:noProof/>
        </w:rPr>
        <w:t>acquis</w:t>
      </w:r>
      <w:r>
        <w:rPr>
          <w:noProof/>
        </w:rPr>
        <w:t xml:space="preserve">, </w:t>
      </w:r>
      <w:r>
        <w:rPr>
          <w:noProof/>
        </w:rPr>
        <w:t>concerning in particular the Community Code on Visas (Visa Code), including instructions for running Visa Information System and IT systems. Training was also aimed at improving the quality of services provided to visa applicants, to ensure equal treatment</w:t>
      </w:r>
      <w:r>
        <w:rPr>
          <w:noProof/>
        </w:rPr>
        <w:t xml:space="preserve"> of third-country nationals in the visa-issuing process</w:t>
      </w:r>
      <w:r>
        <w:rPr>
          <w:rStyle w:val="FootnoteReference"/>
          <w:noProof/>
        </w:rPr>
        <w:footnoteReference w:id="82"/>
      </w:r>
      <w:r>
        <w:rPr>
          <w:noProof/>
        </w:rPr>
        <w:t>.</w:t>
      </w:r>
    </w:p>
    <w:p w:rsidR="007D3598" w:rsidRDefault="007D3598">
      <w:pPr>
        <w:jc w:val="both"/>
        <w:rPr>
          <w:noProof/>
          <w:szCs w:val="24"/>
        </w:rPr>
      </w:pPr>
    </w:p>
    <w:p w:rsidR="007D3598" w:rsidRDefault="00F8547B">
      <w:pPr>
        <w:jc w:val="both"/>
        <w:rPr>
          <w:noProof/>
        </w:rPr>
      </w:pPr>
      <w:r>
        <w:rPr>
          <w:noProof/>
          <w:szCs w:val="24"/>
        </w:rPr>
        <w:t xml:space="preserve">A number of Member States have used the Fund to </w:t>
      </w:r>
      <w:r>
        <w:rPr>
          <w:b/>
          <w:noProof/>
          <w:szCs w:val="24"/>
        </w:rPr>
        <w:t>strengthen cooperation with third countries</w:t>
      </w:r>
      <w:r>
        <w:rPr>
          <w:rStyle w:val="FootnoteReference"/>
          <w:noProof/>
        </w:rPr>
        <w:footnoteReference w:id="83"/>
      </w:r>
      <w:r>
        <w:rPr>
          <w:noProof/>
          <w:szCs w:val="24"/>
        </w:rPr>
        <w:t xml:space="preserve">. </w:t>
      </w:r>
      <w:r>
        <w:rPr>
          <w:noProof/>
        </w:rPr>
        <w:t>Most projects in this area improved the exchange of information between authorities along the migration</w:t>
      </w:r>
      <w:r>
        <w:rPr>
          <w:noProof/>
        </w:rPr>
        <w:t xml:space="preserve"> routes and on the return of illegal migrants. Furthermore, the Fund helped to tackle illegal migration by supporting the Member States in deploying temporary liaison officers and visa experts in consulates in third countries, who were directly responsible</w:t>
      </w:r>
      <w:r>
        <w:rPr>
          <w:noProof/>
        </w:rPr>
        <w:t xml:space="preserve"> for the fight against fraudulent documentation or through consulates regularly consulting with each other in order to detect counterfeit documents</w:t>
      </w:r>
      <w:r>
        <w:rPr>
          <w:rStyle w:val="FootnoteReference"/>
          <w:noProof/>
          <w:lang w:eastAsia="nl-BE"/>
        </w:rPr>
        <w:footnoteReference w:id="84"/>
      </w:r>
      <w:r>
        <w:rPr>
          <w:noProof/>
        </w:rPr>
        <w:t xml:space="preserve">. </w:t>
      </w:r>
      <w:r>
        <w:rPr>
          <w:noProof/>
          <w:szCs w:val="24"/>
        </w:rPr>
        <w:t>Responsi</w:t>
      </w:r>
      <w:r>
        <w:rPr>
          <w:noProof/>
        </w:rPr>
        <w:t>ble authorities involved in cooperation actions with third countries gave positive feedback on the</w:t>
      </w:r>
      <w:r>
        <w:rPr>
          <w:noProof/>
        </w:rPr>
        <w:t xml:space="preserve"> actions implemented</w:t>
      </w:r>
      <w:r>
        <w:rPr>
          <w:rStyle w:val="FootnoteReference"/>
          <w:noProof/>
        </w:rPr>
        <w:footnoteReference w:id="85"/>
      </w:r>
      <w:r>
        <w:rPr>
          <w:noProof/>
        </w:rPr>
        <w:t>.</w:t>
      </w:r>
    </w:p>
    <w:p w:rsidR="007D3598" w:rsidRDefault="007D3598">
      <w:pPr>
        <w:jc w:val="both"/>
        <w:rPr>
          <w:noProof/>
        </w:rPr>
      </w:pPr>
    </w:p>
    <w:p w:rsidR="007D3598" w:rsidRDefault="00F8547B">
      <w:pPr>
        <w:jc w:val="both"/>
        <w:rPr>
          <w:noProof/>
          <w:szCs w:val="24"/>
        </w:rPr>
      </w:pPr>
      <w:r>
        <w:rPr>
          <w:noProof/>
          <w:szCs w:val="24"/>
        </w:rPr>
        <w:t>The development of a common visa policy was also supported by means of</w:t>
      </w:r>
      <w:r>
        <w:rPr>
          <w:b/>
          <w:noProof/>
          <w:szCs w:val="24"/>
        </w:rPr>
        <w:t xml:space="preserve"> establishing and operating IT systems</w:t>
      </w:r>
      <w:r>
        <w:rPr>
          <w:noProof/>
          <w:szCs w:val="24"/>
        </w:rPr>
        <w:t xml:space="preserve">, with particular regard to national Visa Information System, in order to ensure an efficient and smoother visa processing. </w:t>
      </w:r>
      <w:r>
        <w:rPr>
          <w:noProof/>
          <w:szCs w:val="24"/>
        </w:rPr>
        <w:t>The use of new technologies enabled the authorities to comply with the changing technical/legal requirements of the common visa policy, including the introduction of the biometric passports and related compliance checks. The development of IT systems was o</w:t>
      </w:r>
      <w:r>
        <w:rPr>
          <w:noProof/>
          <w:szCs w:val="24"/>
        </w:rPr>
        <w:t>ften accompanied by staff training measures so as to ensure that consular officials, police and border guards have sufficient technical expertise, as well as to ensure sustainability.</w:t>
      </w:r>
    </w:p>
    <w:p w:rsidR="007D3598" w:rsidRDefault="007D3598">
      <w:pPr>
        <w:jc w:val="both"/>
        <w:rPr>
          <w:noProof/>
          <w:szCs w:val="24"/>
        </w:rPr>
      </w:pPr>
    </w:p>
    <w:p w:rsidR="007D3598" w:rsidRDefault="00F8547B">
      <w:pPr>
        <w:jc w:val="both"/>
        <w:rPr>
          <w:noProof/>
        </w:rPr>
      </w:pPr>
      <w:r>
        <w:rPr>
          <w:b/>
          <w:noProof/>
        </w:rPr>
        <w:t>Operating support</w:t>
      </w:r>
      <w:r>
        <w:rPr>
          <w:noProof/>
        </w:rPr>
        <w:t xml:space="preserve"> guarantees the capacity and uninterrupted functioning of the systems and maintenance of equipment</w:t>
      </w:r>
      <w:r>
        <w:rPr>
          <w:rStyle w:val="FootnoteReference"/>
          <w:noProof/>
        </w:rPr>
        <w:footnoteReference w:id="86"/>
      </w:r>
      <w:r>
        <w:rPr>
          <w:noProof/>
        </w:rPr>
        <w:t>. This is a key factor for ensuring security since well-functioning IT systems are crucial for promptly detecting potential threats. Operational shortcomings</w:t>
      </w:r>
      <w:r>
        <w:rPr>
          <w:noProof/>
        </w:rPr>
        <w:t xml:space="preserve"> may lead to  the security system being jeopardised. The operating support for Visa measures also proved to be useful in covering staff costs and other running costs related to the EU common visa policy’s implementation, notably by strengthening national c</w:t>
      </w:r>
      <w:r>
        <w:rPr>
          <w:noProof/>
        </w:rPr>
        <w:t>apabilities in the visa application process.</w:t>
      </w:r>
    </w:p>
    <w:p w:rsidR="007D3598" w:rsidRDefault="007D3598">
      <w:pPr>
        <w:jc w:val="both"/>
        <w:rPr>
          <w:noProof/>
          <w:lang w:eastAsia="nl-BE"/>
        </w:rPr>
      </w:pPr>
    </w:p>
    <w:p w:rsidR="007D3598" w:rsidRDefault="007D3598">
      <w:pPr>
        <w:jc w:val="both"/>
        <w:rPr>
          <w:noProof/>
          <w:lang w:eastAsia="nl-BE"/>
        </w:rPr>
      </w:pPr>
    </w:p>
    <w:p w:rsidR="007D3598" w:rsidRDefault="007D3598">
      <w:pPr>
        <w:jc w:val="both"/>
        <w:rPr>
          <w:noProof/>
          <w:lang w:eastAsia="nl-BE"/>
        </w:rPr>
      </w:pPr>
    </w:p>
    <w:p w:rsidR="007D3598" w:rsidRDefault="007D3598">
      <w:pPr>
        <w:jc w:val="both"/>
        <w:rPr>
          <w:noProof/>
          <w:lang w:eastAsia="nl-BE"/>
        </w:rPr>
      </w:pPr>
    </w:p>
    <w:p w:rsidR="007D3598" w:rsidRDefault="00F8547B">
      <w:pPr>
        <w:jc w:val="both"/>
        <w:rPr>
          <w:i/>
          <w:noProof/>
          <w:lang w:eastAsia="nl-BE"/>
        </w:rPr>
      </w:pPr>
      <w:r>
        <w:rPr>
          <w:i/>
          <w:noProof/>
          <w:lang w:eastAsia="nl-BE"/>
        </w:rPr>
        <w:t>Direct management</w:t>
      </w:r>
    </w:p>
    <w:p w:rsidR="007D3598" w:rsidRDefault="007D3598">
      <w:pPr>
        <w:jc w:val="both"/>
        <w:rPr>
          <w:noProof/>
        </w:rPr>
      </w:pPr>
    </w:p>
    <w:p w:rsidR="007D3598" w:rsidRDefault="00F8547B">
      <w:pPr>
        <w:jc w:val="both"/>
        <w:rPr>
          <w:noProof/>
        </w:rPr>
      </w:pPr>
      <w:r>
        <w:rPr>
          <w:noProof/>
        </w:rPr>
        <w:t>For direct management, only one action grant and one procurement were dedicated to the area of visa processing. However no conclusions can be drawn so far as they had not been finalised du</w:t>
      </w:r>
      <w:r>
        <w:rPr>
          <w:noProof/>
        </w:rPr>
        <w:t>ring the period covered by the interim evaluation.</w:t>
      </w:r>
    </w:p>
    <w:p w:rsidR="007D3598" w:rsidRDefault="007D3598">
      <w:pPr>
        <w:jc w:val="both"/>
        <w:rPr>
          <w:noProof/>
        </w:rPr>
      </w:pPr>
    </w:p>
    <w:p w:rsidR="007D3598" w:rsidRDefault="00F8547B">
      <w:pPr>
        <w:jc w:val="center"/>
        <w:rPr>
          <w:b/>
          <w:noProof/>
        </w:rPr>
      </w:pPr>
      <w:r>
        <w:rPr>
          <w:b/>
          <w:noProof/>
        </w:rPr>
        <w:t>Examples of different types of visa projects implemented by the Member States</w:t>
      </w:r>
    </w:p>
    <w:p w:rsidR="007D3598" w:rsidRDefault="007D3598">
      <w:pPr>
        <w:jc w:val="both"/>
        <w:rPr>
          <w:b/>
          <w:noProof/>
        </w:rPr>
      </w:pPr>
    </w:p>
    <w:tbl>
      <w:tblPr>
        <w:tblStyle w:val="TableE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854"/>
      </w:tblGrid>
      <w:tr w:rsidR="007D3598">
        <w:tc>
          <w:tcPr>
            <w:tcW w:w="5000" w:type="pct"/>
            <w:shd w:val="clear" w:color="auto" w:fill="E0E0E0"/>
          </w:tcPr>
          <w:p w:rsidR="007D3598" w:rsidRDefault="00F8547B">
            <w:pPr>
              <w:pStyle w:val="Body"/>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rPr>
              <w:t>The Fund supported the development of a Visa Information System in many Member States (AT, BE, BG, CZ, ES, FR, LT, LV, and RO</w:t>
            </w:r>
            <w:r>
              <w:rPr>
                <w:rFonts w:ascii="Times New Roman" w:hAnsi="Times New Roman"/>
                <w:noProof/>
                <w:sz w:val="24"/>
                <w:szCs w:val="24"/>
                <w:lang w:val="en-GB"/>
              </w:rPr>
              <w:t>)</w:t>
            </w:r>
            <w:r>
              <w:rPr>
                <w:rStyle w:val="FootnoteReference"/>
                <w:rFonts w:ascii="Times New Roman" w:hAnsi="Times New Roman"/>
                <w:noProof/>
                <w:sz w:val="24"/>
                <w:szCs w:val="24"/>
              </w:rPr>
              <w:footnoteReference w:id="87"/>
            </w:r>
            <w:r>
              <w:rPr>
                <w:rFonts w:ascii="Times New Roman" w:hAnsi="Times New Roman"/>
                <w:noProof/>
                <w:sz w:val="24"/>
                <w:szCs w:val="24"/>
                <w:lang w:val="en-GB"/>
              </w:rPr>
              <w:t xml:space="preserve">. In </w:t>
            </w:r>
            <w:r>
              <w:rPr>
                <w:rFonts w:ascii="Times New Roman" w:hAnsi="Times New Roman"/>
                <w:b/>
                <w:noProof/>
                <w:sz w:val="24"/>
                <w:szCs w:val="24"/>
                <w:lang w:val="en-GB"/>
              </w:rPr>
              <w:t>Spain</w:t>
            </w:r>
            <w:r>
              <w:rPr>
                <w:rFonts w:ascii="Times New Roman" w:hAnsi="Times New Roman"/>
                <w:noProof/>
                <w:sz w:val="24"/>
                <w:szCs w:val="24"/>
                <w:lang w:val="en-GB"/>
              </w:rPr>
              <w:t>, the visa-issuing procedures were boosted by: (i) including a Visa Information System in most consulates, (ii) improving and developing new functionalities in the national scheme for visas and VISMail; and (iii) developing measures complementary to Scheng</w:t>
            </w:r>
            <w:r>
              <w:rPr>
                <w:rFonts w:ascii="Times New Roman" w:hAnsi="Times New Roman"/>
                <w:noProof/>
                <w:sz w:val="24"/>
                <w:szCs w:val="24"/>
                <w:lang w:val="en-GB"/>
              </w:rPr>
              <w:t xml:space="preserve">en Information System II. </w:t>
            </w:r>
            <w:r>
              <w:rPr>
                <w:rFonts w:ascii="Times New Roman" w:hAnsi="Times New Roman"/>
                <w:b/>
                <w:noProof/>
                <w:sz w:val="24"/>
                <w:szCs w:val="24"/>
                <w:lang w:val="en-GB"/>
              </w:rPr>
              <w:t>France</w:t>
            </w:r>
            <w:r>
              <w:rPr>
                <w:rFonts w:ascii="Times New Roman" w:hAnsi="Times New Roman"/>
                <w:noProof/>
                <w:sz w:val="24"/>
                <w:szCs w:val="24"/>
                <w:lang w:val="en-GB"/>
              </w:rPr>
              <w:t xml:space="preserve"> has implemented a website https://france-visas.gouv.fr for visa applications that is already in use in 37 countries to facilitate the process of visa applications and to harmonise procedures. In </w:t>
            </w:r>
            <w:r>
              <w:rPr>
                <w:rFonts w:ascii="Times New Roman" w:hAnsi="Times New Roman"/>
                <w:b/>
                <w:noProof/>
                <w:sz w:val="24"/>
                <w:szCs w:val="24"/>
                <w:lang w:val="en-GB"/>
              </w:rPr>
              <w:t>Austria</w:t>
            </w:r>
            <w:r>
              <w:rPr>
                <w:rFonts w:ascii="Times New Roman" w:hAnsi="Times New Roman"/>
                <w:noProof/>
                <w:sz w:val="24"/>
                <w:szCs w:val="24"/>
                <w:lang w:val="en-GB"/>
              </w:rPr>
              <w:t>, the Ministry of For</w:t>
            </w:r>
            <w:r>
              <w:rPr>
                <w:rFonts w:ascii="Times New Roman" w:hAnsi="Times New Roman"/>
                <w:noProof/>
                <w:sz w:val="24"/>
                <w:szCs w:val="24"/>
                <w:lang w:val="en-GB"/>
              </w:rPr>
              <w:t>eign Affairs deployed experts to diplomatic representations to conduct web-based and onsite legal and technical training for staff dealing with Visa Information System, providing targeted knowledge on legal and technical innovations relating to the Visa In</w:t>
            </w:r>
            <w:r>
              <w:rPr>
                <w:rFonts w:ascii="Times New Roman" w:hAnsi="Times New Roman"/>
                <w:noProof/>
                <w:sz w:val="24"/>
                <w:szCs w:val="24"/>
                <w:lang w:val="en-GB"/>
              </w:rPr>
              <w:t xml:space="preserve">formation System rollout. Moreover, it provided regional training courses for consular staff focused on legal and technical visa issues and IT systems. In </w:t>
            </w:r>
            <w:r>
              <w:rPr>
                <w:rFonts w:ascii="Times New Roman" w:hAnsi="Times New Roman"/>
                <w:b/>
                <w:noProof/>
                <w:sz w:val="24"/>
                <w:szCs w:val="24"/>
                <w:lang w:val="en-GB"/>
              </w:rPr>
              <w:t>Finland</w:t>
            </w:r>
            <w:r>
              <w:rPr>
                <w:rFonts w:ascii="Times New Roman" w:hAnsi="Times New Roman"/>
                <w:noProof/>
                <w:sz w:val="24"/>
                <w:szCs w:val="24"/>
                <w:lang w:val="en-GB"/>
              </w:rPr>
              <w:t>, cooperation was boosted by means of strong support provided by the Immigration Liaison Offic</w:t>
            </w:r>
            <w:r>
              <w:rPr>
                <w:rFonts w:ascii="Times New Roman" w:hAnsi="Times New Roman"/>
                <w:noProof/>
                <w:sz w:val="24"/>
                <w:szCs w:val="24"/>
                <w:lang w:val="en-GB"/>
              </w:rPr>
              <w:t>er (ILO) network through the training of embassy personnel involved in the visa granting process. ILOs help prevent illegal immigration by investigating the background of visa applicants and by examining the authenticity of documents. Furthermore, ILOs sup</w:t>
            </w:r>
            <w:r>
              <w:rPr>
                <w:rFonts w:ascii="Times New Roman" w:hAnsi="Times New Roman"/>
                <w:noProof/>
                <w:sz w:val="24"/>
                <w:szCs w:val="24"/>
                <w:lang w:val="en-GB"/>
              </w:rPr>
              <w:t>port the training of embassy personnel.</w:t>
            </w:r>
          </w:p>
        </w:tc>
      </w:tr>
    </w:tbl>
    <w:p w:rsidR="007D3598" w:rsidRDefault="007D3598">
      <w:pPr>
        <w:jc w:val="both"/>
        <w:rPr>
          <w:noProof/>
          <w:lang w:eastAsia="nl-BE"/>
        </w:rPr>
      </w:pPr>
    </w:p>
    <w:p w:rsidR="007D3598" w:rsidRDefault="00F8547B">
      <w:pPr>
        <w:pStyle w:val="HH3"/>
        <w:spacing w:before="0" w:after="0"/>
        <w:contextualSpacing w:val="0"/>
        <w:rPr>
          <w:noProof/>
        </w:rPr>
      </w:pPr>
      <w:r>
        <w:rPr>
          <w:noProof/>
          <w:szCs w:val="24"/>
          <w:lang w:eastAsia="en-GB"/>
        </w:rPr>
        <mc:AlternateContent>
          <mc:Choice Requires="wps">
            <w:drawing>
              <wp:anchor distT="0" distB="0" distL="114300" distR="114300" simplePos="0" relativeHeight="251663360" behindDoc="0" locked="0" layoutInCell="1" allowOverlap="1" wp14:anchorId="27138F79" wp14:editId="3473DFA9">
                <wp:simplePos x="0" y="0"/>
                <wp:positionH relativeFrom="column">
                  <wp:posOffset>4445</wp:posOffset>
                </wp:positionH>
                <wp:positionV relativeFrom="paragraph">
                  <wp:posOffset>309245</wp:posOffset>
                </wp:positionV>
                <wp:extent cx="6090285" cy="2380615"/>
                <wp:effectExtent l="0" t="0" r="24765" b="1968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380615"/>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szCs w:val="24"/>
                              </w:rPr>
                              <w:t>The Fund has contributed to the implementation of integrated border management in an effective manner despite the migration and security crisis. The Fund contributed to the development of integrated border management policy. It increased solidarity among M</w:t>
                            </w:r>
                            <w:r>
                              <w:rPr>
                                <w:rFonts w:ascii="Times New Roman" w:hAnsi="Times New Roman"/>
                                <w:sz w:val="24"/>
                                <w:szCs w:val="24"/>
                              </w:rPr>
                              <w:t xml:space="preserve">ember States by co-financing equipment used in </w:t>
                            </w:r>
                            <w:proofErr w:type="spellStart"/>
                            <w:r>
                              <w:rPr>
                                <w:rFonts w:ascii="Times New Roman" w:hAnsi="Times New Roman"/>
                                <w:sz w:val="24"/>
                                <w:szCs w:val="24"/>
                              </w:rPr>
                              <w:t>Frontex</w:t>
                            </w:r>
                            <w:proofErr w:type="spellEnd"/>
                            <w:r>
                              <w:rPr>
                                <w:rFonts w:ascii="Times New Roman" w:hAnsi="Times New Roman"/>
                                <w:sz w:val="24"/>
                                <w:szCs w:val="24"/>
                              </w:rPr>
                              <w:t xml:space="preserve"> joint operations. The Fund helped to develop the EU’s acquis on border management. The Fund made a contribution to the development of EUROSUR and border management IT systems. Limited progress was regi</w:t>
                            </w:r>
                            <w:r>
                              <w:rPr>
                                <w:rFonts w:ascii="Times New Roman" w:hAnsi="Times New Roman"/>
                                <w:sz w:val="24"/>
                                <w:szCs w:val="24"/>
                              </w:rPr>
                              <w:t xml:space="preserve">stered regarding promoting the development, implementation and enforcement of policies with a view of ensuring the absence of any controls on persons, whichever their nationality. Currently, the Fund is not supporting </w:t>
                            </w:r>
                            <w:proofErr w:type="spellStart"/>
                            <w:r>
                              <w:rPr>
                                <w:rFonts w:ascii="Times New Roman" w:hAnsi="Times New Roman"/>
                                <w:sz w:val="24"/>
                                <w:szCs w:val="24"/>
                              </w:rPr>
                              <w:t>Memebr</w:t>
                            </w:r>
                            <w:proofErr w:type="spellEnd"/>
                            <w:r>
                              <w:rPr>
                                <w:rFonts w:ascii="Times New Roman" w:hAnsi="Times New Roman"/>
                                <w:sz w:val="24"/>
                                <w:szCs w:val="24"/>
                              </w:rPr>
                              <w:t xml:space="preserve"> States in the application of th</w:t>
                            </w:r>
                            <w:r>
                              <w:rPr>
                                <w:rFonts w:ascii="Times New Roman" w:hAnsi="Times New Roman"/>
                                <w:sz w:val="24"/>
                                <w:szCs w:val="24"/>
                              </w:rPr>
                              <w:t xml:space="preserve">e </w:t>
                            </w:r>
                            <w:r>
                              <w:rPr>
                                <w:rFonts w:ascii="Times New Roman" w:hAnsi="Times New Roman"/>
                                <w:i/>
                                <w:sz w:val="24"/>
                                <w:szCs w:val="24"/>
                              </w:rPr>
                              <w:t>non-</w:t>
                            </w:r>
                            <w:proofErr w:type="spellStart"/>
                            <w:r>
                              <w:rPr>
                                <w:rFonts w:ascii="Times New Roman" w:hAnsi="Times New Roman"/>
                                <w:i/>
                                <w:sz w:val="24"/>
                                <w:szCs w:val="24"/>
                              </w:rPr>
                              <w:t>refoulement</w:t>
                            </w:r>
                            <w:proofErr w:type="spellEnd"/>
                            <w:r>
                              <w:rPr>
                                <w:rFonts w:ascii="Times New Roman" w:hAnsi="Times New Roman"/>
                                <w:sz w:val="24"/>
                                <w:szCs w:val="24"/>
                              </w:rPr>
                              <w:t xml:space="preserve"> principle. EMAS played an important role in addressing the emergency needs at the beginning of the period and bridged the funding gap until the adoption of national programmes.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pt;margin-top:24.35pt;width:479.55pt;height:18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" strokecolor="#4f81bd [3204]" strokeweight="1.5pt">
                <v:textbo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szCs w:val="24"/>
                        </w:rPr>
                        <w:t>The Fund has contributed to the implementation of integrated border management in an effective manner despite the migration and security crisis. The Fund contributed to the development of integrated border management policy. It increased solidarity among M</w:t>
                      </w:r>
                      <w:r>
                        <w:rPr>
                          <w:rFonts w:ascii="Times New Roman" w:hAnsi="Times New Roman"/>
                          <w:sz w:val="24"/>
                          <w:szCs w:val="24"/>
                        </w:rPr>
                        <w:t xml:space="preserve">ember States by co-financing equipment used in </w:t>
                      </w:r>
                      <w:proofErr w:type="spellStart"/>
                      <w:r>
                        <w:rPr>
                          <w:rFonts w:ascii="Times New Roman" w:hAnsi="Times New Roman"/>
                          <w:sz w:val="24"/>
                          <w:szCs w:val="24"/>
                        </w:rPr>
                        <w:t>Frontex</w:t>
                      </w:r>
                      <w:proofErr w:type="spellEnd"/>
                      <w:r>
                        <w:rPr>
                          <w:rFonts w:ascii="Times New Roman" w:hAnsi="Times New Roman"/>
                          <w:sz w:val="24"/>
                          <w:szCs w:val="24"/>
                        </w:rPr>
                        <w:t xml:space="preserve"> joint operations. The Fund helped to develop the EU’s acquis on border management. The Fund made a contribution to the development of EUROSUR and border management IT systems. Limited progress was regi</w:t>
                      </w:r>
                      <w:r>
                        <w:rPr>
                          <w:rFonts w:ascii="Times New Roman" w:hAnsi="Times New Roman"/>
                          <w:sz w:val="24"/>
                          <w:szCs w:val="24"/>
                        </w:rPr>
                        <w:t xml:space="preserve">stered regarding promoting the development, implementation and enforcement of policies with a view of ensuring the absence of any controls on persons, whichever their nationality. Currently, the Fund is not supporting </w:t>
                      </w:r>
                      <w:proofErr w:type="spellStart"/>
                      <w:r>
                        <w:rPr>
                          <w:rFonts w:ascii="Times New Roman" w:hAnsi="Times New Roman"/>
                          <w:sz w:val="24"/>
                          <w:szCs w:val="24"/>
                        </w:rPr>
                        <w:t>Memebr</w:t>
                      </w:r>
                      <w:proofErr w:type="spellEnd"/>
                      <w:r>
                        <w:rPr>
                          <w:rFonts w:ascii="Times New Roman" w:hAnsi="Times New Roman"/>
                          <w:sz w:val="24"/>
                          <w:szCs w:val="24"/>
                        </w:rPr>
                        <w:t xml:space="preserve"> States in the application of th</w:t>
                      </w:r>
                      <w:r>
                        <w:rPr>
                          <w:rFonts w:ascii="Times New Roman" w:hAnsi="Times New Roman"/>
                          <w:sz w:val="24"/>
                          <w:szCs w:val="24"/>
                        </w:rPr>
                        <w:t xml:space="preserve">e </w:t>
                      </w:r>
                      <w:r>
                        <w:rPr>
                          <w:rFonts w:ascii="Times New Roman" w:hAnsi="Times New Roman"/>
                          <w:i/>
                          <w:sz w:val="24"/>
                          <w:szCs w:val="24"/>
                        </w:rPr>
                        <w:t>non-</w:t>
                      </w:r>
                      <w:proofErr w:type="spellStart"/>
                      <w:r>
                        <w:rPr>
                          <w:rFonts w:ascii="Times New Roman" w:hAnsi="Times New Roman"/>
                          <w:i/>
                          <w:sz w:val="24"/>
                          <w:szCs w:val="24"/>
                        </w:rPr>
                        <w:t>refoulement</w:t>
                      </w:r>
                      <w:proofErr w:type="spellEnd"/>
                      <w:r>
                        <w:rPr>
                          <w:rFonts w:ascii="Times New Roman" w:hAnsi="Times New Roman"/>
                          <w:sz w:val="24"/>
                          <w:szCs w:val="24"/>
                        </w:rPr>
                        <w:t xml:space="preserve"> principle. EMAS played an important role in addressing the emergency needs at the beginning of the period and bridged the funding gap until the adoption of national programmes. </w:t>
                      </w:r>
                    </w:p>
                  </w:txbxContent>
                </v:textbox>
                <w10:wrap type="topAndBottom"/>
              </v:shape>
            </w:pict>
          </mc:Fallback>
        </mc:AlternateContent>
      </w:r>
      <w:r>
        <w:rPr>
          <w:noProof/>
        </w:rPr>
        <w:t>Effectiveness in supporting integrated border management</w:t>
      </w:r>
    </w:p>
    <w:p w:rsidR="007D3598" w:rsidRDefault="007D3598">
      <w:pPr>
        <w:jc w:val="both"/>
        <w:rPr>
          <w:noProof/>
        </w:rPr>
      </w:pPr>
    </w:p>
    <w:p w:rsidR="007D3598" w:rsidRDefault="00F8547B">
      <w:pPr>
        <w:jc w:val="both"/>
        <w:rPr>
          <w:noProof/>
        </w:rPr>
      </w:pPr>
      <w:r>
        <w:rPr>
          <w:noProof/>
        </w:rPr>
        <w:t>Un</w:t>
      </w:r>
      <w:r>
        <w:rPr>
          <w:noProof/>
        </w:rPr>
        <w:t>der the integrated border management</w:t>
      </w:r>
      <w:r>
        <w:rPr>
          <w:b/>
          <w:noProof/>
        </w:rPr>
        <w:t xml:space="preserve"> </w:t>
      </w:r>
      <w:r>
        <w:rPr>
          <w:noProof/>
        </w:rPr>
        <w:t>concept</w:t>
      </w:r>
      <w:r>
        <w:rPr>
          <w:b/>
          <w:noProof/>
        </w:rPr>
        <w:t xml:space="preserve"> </w:t>
      </w:r>
      <w:r>
        <w:rPr>
          <w:noProof/>
        </w:rPr>
        <w:t xml:space="preserve">the evaluation looked into progress made and the Fund’s contribution in the following six aspects: </w:t>
      </w:r>
    </w:p>
    <w:p w:rsidR="007D3598" w:rsidRDefault="00F8547B">
      <w:pPr>
        <w:jc w:val="both"/>
        <w:rPr>
          <w:noProof/>
        </w:rPr>
      </w:pPr>
      <w:r>
        <w:rPr>
          <w:noProof/>
        </w:rPr>
        <w:t xml:space="preserve">1) absence of any checks on people when crossing the internal borders; </w:t>
      </w:r>
    </w:p>
    <w:p w:rsidR="007D3598" w:rsidRDefault="00F8547B">
      <w:pPr>
        <w:jc w:val="both"/>
        <w:rPr>
          <w:noProof/>
        </w:rPr>
      </w:pPr>
      <w:r>
        <w:rPr>
          <w:noProof/>
        </w:rPr>
        <w:t>2) efficient checks on people and effic</w:t>
      </w:r>
      <w:r>
        <w:rPr>
          <w:noProof/>
        </w:rPr>
        <w:t>ient monitoring of external border crossings;</w:t>
      </w:r>
    </w:p>
    <w:p w:rsidR="007D3598" w:rsidRDefault="00F8547B">
      <w:pPr>
        <w:jc w:val="both"/>
        <w:rPr>
          <w:noProof/>
        </w:rPr>
      </w:pPr>
      <w:r>
        <w:rPr>
          <w:noProof/>
        </w:rPr>
        <w:t>3) gradual establishment of an integrated management system for external borders based on solidarity and responsibility sharing;</w:t>
      </w:r>
    </w:p>
    <w:p w:rsidR="007D3598" w:rsidRDefault="00F8547B">
      <w:pPr>
        <w:jc w:val="both"/>
        <w:rPr>
          <w:noProof/>
        </w:rPr>
      </w:pPr>
      <w:r>
        <w:rPr>
          <w:noProof/>
        </w:rPr>
        <w:t xml:space="preserve">4) application of  EU’s </w:t>
      </w:r>
      <w:r>
        <w:rPr>
          <w:i/>
          <w:noProof/>
        </w:rPr>
        <w:t>acquis</w:t>
      </w:r>
      <w:r>
        <w:rPr>
          <w:noProof/>
        </w:rPr>
        <w:t xml:space="preserve"> on border management;</w:t>
      </w:r>
    </w:p>
    <w:p w:rsidR="007D3598" w:rsidRDefault="00F8547B">
      <w:pPr>
        <w:jc w:val="both"/>
        <w:rPr>
          <w:noProof/>
        </w:rPr>
      </w:pPr>
      <w:r>
        <w:rPr>
          <w:noProof/>
        </w:rPr>
        <w:t>5) boosting of situational a</w:t>
      </w:r>
      <w:r>
        <w:rPr>
          <w:noProof/>
        </w:rPr>
        <w:t xml:space="preserve">wareness at the external borders; and </w:t>
      </w:r>
    </w:p>
    <w:p w:rsidR="007D3598" w:rsidRDefault="00F8547B">
      <w:pPr>
        <w:jc w:val="both"/>
        <w:rPr>
          <w:noProof/>
        </w:rPr>
      </w:pPr>
      <w:r>
        <w:rPr>
          <w:noProof/>
        </w:rPr>
        <w:t>6) setting up and running IT systems including communication infrastructure and equipment.</w:t>
      </w:r>
    </w:p>
    <w:p w:rsidR="007D3598" w:rsidRDefault="007D3598">
      <w:pPr>
        <w:jc w:val="both"/>
        <w:rPr>
          <w:noProof/>
        </w:rPr>
      </w:pPr>
    </w:p>
    <w:p w:rsidR="007D3598" w:rsidRDefault="00F8547B">
      <w:pPr>
        <w:jc w:val="both"/>
        <w:rPr>
          <w:noProof/>
          <w:szCs w:val="24"/>
        </w:rPr>
      </w:pPr>
      <w:r>
        <w:rPr>
          <w:noProof/>
        </w:rPr>
        <w:t xml:space="preserve">Overall, the Fund contributed towards the overall objective on </w:t>
      </w:r>
      <w:r>
        <w:rPr>
          <w:b/>
          <w:noProof/>
        </w:rPr>
        <w:t>integrated border management</w:t>
      </w:r>
      <w:r>
        <w:rPr>
          <w:noProof/>
        </w:rPr>
        <w:t xml:space="preserve">, as confirmed both by the </w:t>
      </w:r>
      <w:r>
        <w:rPr>
          <w:noProof/>
        </w:rPr>
        <w:t>stakeholders and by the implementation results of the national evaluation reports</w:t>
      </w:r>
      <w:r>
        <w:rPr>
          <w:rStyle w:val="FootnoteReference"/>
          <w:noProof/>
        </w:rPr>
        <w:footnoteReference w:id="88"/>
      </w:r>
      <w:r>
        <w:rPr>
          <w:noProof/>
          <w:szCs w:val="24"/>
        </w:rPr>
        <w:t>.</w:t>
      </w:r>
    </w:p>
    <w:p w:rsidR="007D3598" w:rsidRDefault="007D3598">
      <w:pPr>
        <w:tabs>
          <w:tab w:val="left" w:pos="1816"/>
        </w:tabs>
        <w:jc w:val="both"/>
        <w:rPr>
          <w:noProof/>
        </w:rPr>
      </w:pPr>
    </w:p>
    <w:p w:rsidR="007D3598" w:rsidRDefault="00F8547B">
      <w:pPr>
        <w:jc w:val="both"/>
        <w:rPr>
          <w:noProof/>
        </w:rPr>
      </w:pPr>
      <w:r>
        <w:rPr>
          <w:noProof/>
          <w:lang w:eastAsia="nl-BE"/>
        </w:rPr>
        <w:t>In term of addressing the operational objective of ‘</w:t>
      </w:r>
      <w:r>
        <w:rPr>
          <w:b/>
          <w:noProof/>
          <w:lang w:eastAsia="nl-BE"/>
        </w:rPr>
        <w:t>promoting the development, implementation and enforcement of policies with a view of ensuring the absence of any contro</w:t>
      </w:r>
      <w:r>
        <w:rPr>
          <w:b/>
          <w:noProof/>
          <w:lang w:eastAsia="nl-BE"/>
        </w:rPr>
        <w:t>ls on persons, whatever their nationality, when crossing the internal borders and to carry out check on persons and monitoring efficiently the crossing of external borders</w:t>
      </w:r>
      <w:r>
        <w:rPr>
          <w:noProof/>
          <w:lang w:eastAsia="nl-BE"/>
        </w:rPr>
        <w:t>’ the effectiveness of ISF-BV was greatly influenced by the security and migration cr</w:t>
      </w:r>
      <w:r>
        <w:rPr>
          <w:noProof/>
          <w:lang w:eastAsia="nl-BE"/>
        </w:rPr>
        <w:t xml:space="preserve">isis at the beginning of the programming period. </w:t>
      </w:r>
      <w:r>
        <w:rPr>
          <w:noProof/>
        </w:rPr>
        <w:t xml:space="preserve">The </w:t>
      </w:r>
      <w:r>
        <w:rPr>
          <w:noProof/>
          <w:szCs w:val="24"/>
          <w:lang w:eastAsia="en-GB"/>
        </w:rPr>
        <w:t>unprecedented flow of migrants into the EU during this initial phase of the Fund’s implementation, who crossed the EU’s external border unchecked, resulted in secondary movements</w:t>
      </w:r>
      <w:r>
        <w:rPr>
          <w:rStyle w:val="FootnoteReference"/>
          <w:noProof/>
          <w:szCs w:val="24"/>
          <w:lang w:eastAsia="en-GB"/>
        </w:rPr>
        <w:footnoteReference w:id="89"/>
      </w:r>
      <w:r>
        <w:rPr>
          <w:noProof/>
          <w:szCs w:val="24"/>
          <w:lang w:eastAsia="en-GB"/>
        </w:rPr>
        <w:t xml:space="preserve"> of non-registered irreg</w:t>
      </w:r>
      <w:r>
        <w:rPr>
          <w:noProof/>
          <w:szCs w:val="24"/>
          <w:lang w:eastAsia="en-GB"/>
        </w:rPr>
        <w:t xml:space="preserve">ular migrants across the Schengen Area. This caused a severe strain on the Schengen </w:t>
      </w:r>
      <w:r>
        <w:rPr>
          <w:i/>
          <w:noProof/>
          <w:szCs w:val="24"/>
          <w:lang w:eastAsia="en-GB"/>
        </w:rPr>
        <w:t>Acquis</w:t>
      </w:r>
      <w:r>
        <w:rPr>
          <w:noProof/>
          <w:szCs w:val="24"/>
          <w:lang w:eastAsia="en-GB"/>
        </w:rPr>
        <w:t xml:space="preserve">, since </w:t>
      </w:r>
      <w:r>
        <w:rPr>
          <w:noProof/>
        </w:rPr>
        <w:t>the absence of internal border control is directly linked to the effectiveness of the controls at the external borders of the EU. As a consequence of the seco</w:t>
      </w:r>
      <w:r>
        <w:rPr>
          <w:noProof/>
        </w:rPr>
        <w:t>ndary movements and the security crisis, some Member States had to temporarily reintroduce internal border controls therefore affecting the Fund’s effectiveness. Moreover, the crisis put a specific</w:t>
      </w:r>
      <w:r>
        <w:rPr>
          <w:noProof/>
          <w:lang w:eastAsia="nl-BE"/>
        </w:rPr>
        <w:t xml:space="preserve"> focus on the management of the EU’s external borders</w:t>
      </w:r>
      <w:r>
        <w:rPr>
          <w:noProof/>
        </w:rPr>
        <w:t>.</w:t>
      </w:r>
    </w:p>
    <w:p w:rsidR="007D3598" w:rsidRDefault="007D3598">
      <w:pPr>
        <w:jc w:val="both"/>
        <w:rPr>
          <w:noProof/>
          <w:szCs w:val="24"/>
        </w:rPr>
      </w:pPr>
    </w:p>
    <w:p w:rsidR="007D3598" w:rsidRDefault="00F8547B">
      <w:pPr>
        <w:jc w:val="both"/>
        <w:rPr>
          <w:noProof/>
        </w:rPr>
      </w:pPr>
      <w:r>
        <w:rPr>
          <w:noProof/>
        </w:rPr>
        <w:t>How</w:t>
      </w:r>
      <w:r>
        <w:rPr>
          <w:noProof/>
        </w:rPr>
        <w:t xml:space="preserve">ever, the Fund contributed towards the </w:t>
      </w:r>
      <w:r>
        <w:rPr>
          <w:b/>
          <w:noProof/>
        </w:rPr>
        <w:t>effectiveness of the border controls at the external borders</w:t>
      </w:r>
      <w:r>
        <w:rPr>
          <w:noProof/>
        </w:rPr>
        <w:t xml:space="preserve"> by supporting measures focused on the replacement/upgrading of:</w:t>
      </w:r>
    </w:p>
    <w:p w:rsidR="007D3598" w:rsidRDefault="00F8547B">
      <w:pPr>
        <w:pStyle w:val="ListParagraph"/>
        <w:numPr>
          <w:ilvl w:val="0"/>
          <w:numId w:val="105"/>
        </w:numPr>
        <w:jc w:val="both"/>
        <w:rPr>
          <w:noProof/>
        </w:rPr>
      </w:pPr>
      <w:r>
        <w:rPr>
          <w:noProof/>
        </w:rPr>
        <w:t>border control equipment (e.g. work stations, portable computers, border check stamps, commu</w:t>
      </w:r>
      <w:r>
        <w:rPr>
          <w:noProof/>
        </w:rPr>
        <w:t xml:space="preserve">nication equipment, copiers, specialised biometric identification equipment, optronic devices, </w:t>
      </w:r>
      <w:r>
        <w:rPr>
          <w:bCs/>
          <w:noProof/>
        </w:rPr>
        <w:t xml:space="preserve">mobile </w:t>
      </w:r>
      <w:r>
        <w:rPr>
          <w:noProof/>
        </w:rPr>
        <w:t>equipment for border offices); and</w:t>
      </w:r>
    </w:p>
    <w:p w:rsidR="007D3598" w:rsidRDefault="00F8547B">
      <w:pPr>
        <w:pStyle w:val="ListParagraph"/>
        <w:numPr>
          <w:ilvl w:val="0"/>
          <w:numId w:val="105"/>
        </w:numPr>
        <w:jc w:val="both"/>
        <w:rPr>
          <w:noProof/>
        </w:rPr>
      </w:pPr>
      <w:r>
        <w:rPr>
          <w:noProof/>
        </w:rPr>
        <w:t>surveillance (e.g. development of electronic surveillance systems, thermovision cameras, USB microscopes that make it p</w:t>
      </w:r>
      <w:r>
        <w:rPr>
          <w:noProof/>
        </w:rPr>
        <w:t>ossible to verify documents at distance, aerial vehicles)</w:t>
      </w:r>
      <w:r>
        <w:rPr>
          <w:rStyle w:val="FootnoteReference"/>
          <w:noProof/>
        </w:rPr>
        <w:footnoteReference w:id="90"/>
      </w:r>
      <w:r>
        <w:rPr>
          <w:noProof/>
        </w:rPr>
        <w:t xml:space="preserve">. </w:t>
      </w:r>
    </w:p>
    <w:p w:rsidR="007D3598" w:rsidRDefault="007D3598">
      <w:pPr>
        <w:pStyle w:val="ListParagraph"/>
        <w:ind w:left="783"/>
        <w:jc w:val="both"/>
        <w:rPr>
          <w:noProof/>
        </w:rPr>
      </w:pPr>
    </w:p>
    <w:p w:rsidR="007D3598" w:rsidRDefault="00F8547B">
      <w:pPr>
        <w:jc w:val="both"/>
        <w:rPr>
          <w:noProof/>
        </w:rPr>
      </w:pPr>
      <w:r>
        <w:rPr>
          <w:noProof/>
        </w:rPr>
        <w:t xml:space="preserve">Border management capacity was addressed </w:t>
      </w:r>
      <w:bookmarkEnd w:id="638"/>
      <w:bookmarkEnd w:id="639"/>
      <w:r>
        <w:rPr>
          <w:noProof/>
        </w:rPr>
        <w:t>by means of introducing automated border control (ABC) gates</w:t>
      </w:r>
      <w:r>
        <w:rPr>
          <w:rStyle w:val="FootnoteReference"/>
          <w:noProof/>
        </w:rPr>
        <w:footnoteReference w:id="91"/>
      </w:r>
      <w:r>
        <w:rPr>
          <w:noProof/>
        </w:rPr>
        <w:t xml:space="preserve"> that speeded up the checks at the border crossing points. The ABC gates can be linked to na</w:t>
      </w:r>
      <w:r>
        <w:rPr>
          <w:noProof/>
        </w:rPr>
        <w:t>tional and international IT systems making the information exchange more efficient. Member States have also introduced the Public Key Directory</w:t>
      </w:r>
      <w:r>
        <w:rPr>
          <w:rStyle w:val="FootnoteReference"/>
          <w:noProof/>
        </w:rPr>
        <w:footnoteReference w:id="92"/>
      </w:r>
      <w:r>
        <w:rPr>
          <w:noProof/>
        </w:rPr>
        <w:t>, as a central repository for exchanging information required to authenticate ePassports and to verify the authe</w:t>
      </w:r>
      <w:r>
        <w:rPr>
          <w:noProof/>
        </w:rPr>
        <w:t xml:space="preserve">nticity of travel/identification documents. Further projects are carried out in the following fields: </w:t>
      </w:r>
    </w:p>
    <w:p w:rsidR="007D3598" w:rsidRDefault="00F8547B">
      <w:pPr>
        <w:pStyle w:val="ListParagraph"/>
        <w:numPr>
          <w:ilvl w:val="0"/>
          <w:numId w:val="89"/>
        </w:numPr>
        <w:jc w:val="both"/>
        <w:rPr>
          <w:noProof/>
        </w:rPr>
      </w:pPr>
      <w:r>
        <w:rPr>
          <w:noProof/>
        </w:rPr>
        <w:t xml:space="preserve">modern technical equipment for border surveillance, including engineering appliances and the TETRA communication system; </w:t>
      </w:r>
    </w:p>
    <w:p w:rsidR="007D3598" w:rsidRDefault="00F8547B">
      <w:pPr>
        <w:pStyle w:val="ListParagraph"/>
        <w:numPr>
          <w:ilvl w:val="0"/>
          <w:numId w:val="89"/>
        </w:numPr>
        <w:jc w:val="both"/>
        <w:rPr>
          <w:noProof/>
        </w:rPr>
      </w:pPr>
      <w:r>
        <w:rPr>
          <w:noProof/>
        </w:rPr>
        <w:t xml:space="preserve">document verification devices such as document testing equipment for faster and more efficient processes; </w:t>
      </w:r>
    </w:p>
    <w:p w:rsidR="007D3598" w:rsidRDefault="00F8547B">
      <w:pPr>
        <w:pStyle w:val="ListParagraph"/>
        <w:numPr>
          <w:ilvl w:val="0"/>
          <w:numId w:val="89"/>
        </w:numPr>
        <w:jc w:val="both"/>
        <w:rPr>
          <w:noProof/>
        </w:rPr>
      </w:pPr>
      <w:r>
        <w:rPr>
          <w:noProof/>
        </w:rPr>
        <w:t>mobile scanning vehicles;</w:t>
      </w:r>
    </w:p>
    <w:p w:rsidR="007D3598" w:rsidRDefault="00F8547B">
      <w:pPr>
        <w:pStyle w:val="ListParagraph"/>
        <w:numPr>
          <w:ilvl w:val="0"/>
          <w:numId w:val="89"/>
        </w:numPr>
        <w:jc w:val="both"/>
        <w:rPr>
          <w:noProof/>
        </w:rPr>
      </w:pPr>
      <w:r>
        <w:rPr>
          <w:noProof/>
        </w:rPr>
        <w:t xml:space="preserve">mobile application for carrying out border checks; and </w:t>
      </w:r>
    </w:p>
    <w:p w:rsidR="007D3598" w:rsidRDefault="00F8547B">
      <w:pPr>
        <w:pStyle w:val="ListParagraph"/>
        <w:numPr>
          <w:ilvl w:val="0"/>
          <w:numId w:val="89"/>
        </w:numPr>
        <w:jc w:val="both"/>
        <w:rPr>
          <w:noProof/>
        </w:rPr>
      </w:pPr>
      <w:r>
        <w:rPr>
          <w:noProof/>
        </w:rPr>
        <w:t>purchase of document readers for portable border control devices</w:t>
      </w:r>
      <w:r>
        <w:rPr>
          <w:rStyle w:val="FootnoteReference"/>
          <w:noProof/>
        </w:rPr>
        <w:footnoteReference w:id="93"/>
      </w:r>
      <w:r>
        <w:rPr>
          <w:noProof/>
        </w:rPr>
        <w:t>.</w:t>
      </w:r>
    </w:p>
    <w:p w:rsidR="007D3598" w:rsidRDefault="007D3598">
      <w:pPr>
        <w:jc w:val="both"/>
        <w:rPr>
          <w:noProof/>
        </w:rPr>
      </w:pPr>
    </w:p>
    <w:p w:rsidR="007D3598" w:rsidRDefault="00F8547B">
      <w:pPr>
        <w:jc w:val="both"/>
        <w:rPr>
          <w:noProof/>
        </w:rPr>
      </w:pPr>
      <w:r>
        <w:rPr>
          <w:noProof/>
          <w:szCs w:val="24"/>
        </w:rPr>
        <w:t xml:space="preserve">With the Fund’s support Member States carried out </w:t>
      </w:r>
      <w:r>
        <w:rPr>
          <w:noProof/>
          <w:color w:val="000000"/>
          <w:szCs w:val="24"/>
        </w:rPr>
        <w:t>training activities</w:t>
      </w:r>
      <w:r>
        <w:rPr>
          <w:b/>
          <w:noProof/>
          <w:color w:val="000000"/>
          <w:szCs w:val="24"/>
        </w:rPr>
        <w:t xml:space="preserve"> </w:t>
      </w:r>
      <w:r>
        <w:rPr>
          <w:noProof/>
          <w:color w:val="000000"/>
          <w:szCs w:val="24"/>
        </w:rPr>
        <w:t xml:space="preserve">in the area of border management, with the aim of improving staff awareness and competencies in relation to border management and the use of related IT information systems. </w:t>
      </w:r>
      <w:r>
        <w:rPr>
          <w:noProof/>
        </w:rPr>
        <w:t>The Fund sup</w:t>
      </w:r>
      <w:r>
        <w:rPr>
          <w:noProof/>
        </w:rPr>
        <w:t xml:space="preserve">ported the implementation of the </w:t>
      </w:r>
      <w:r>
        <w:rPr>
          <w:b/>
          <w:noProof/>
        </w:rPr>
        <w:t xml:space="preserve">EU’s </w:t>
      </w:r>
      <w:r>
        <w:rPr>
          <w:b/>
          <w:i/>
          <w:noProof/>
        </w:rPr>
        <w:t>acquis</w:t>
      </w:r>
      <w:r>
        <w:rPr>
          <w:noProof/>
        </w:rPr>
        <w:t xml:space="preserve"> by co-financing training activities and programmes, which helped to improve the technical, operational and linguistic skills of the staff responsible for border management</w:t>
      </w:r>
      <w:r>
        <w:rPr>
          <w:rStyle w:val="FootnoteReference"/>
          <w:noProof/>
        </w:rPr>
        <w:footnoteReference w:id="94"/>
      </w:r>
      <w:r>
        <w:rPr>
          <w:noProof/>
        </w:rPr>
        <w:t>. Furthermore, this objective was indir</w:t>
      </w:r>
      <w:r>
        <w:rPr>
          <w:noProof/>
        </w:rPr>
        <w:t xml:space="preserve">ectly supported by actions aimed at facilitating the cooperation and exchange of information with other Member States since such interventions strengthened the awareness of the Member States obligations at EU level and supported harmonised practices among </w:t>
      </w:r>
      <w:r>
        <w:rPr>
          <w:noProof/>
        </w:rPr>
        <w:t>Member States</w:t>
      </w:r>
      <w:r>
        <w:rPr>
          <w:rStyle w:val="FootnoteReference"/>
          <w:noProof/>
        </w:rPr>
        <w:footnoteReference w:id="95"/>
      </w:r>
      <w:r>
        <w:rPr>
          <w:noProof/>
        </w:rPr>
        <w:t>.</w:t>
      </w:r>
    </w:p>
    <w:p w:rsidR="007D3598" w:rsidRDefault="007D3598">
      <w:pPr>
        <w:jc w:val="both"/>
        <w:rPr>
          <w:noProof/>
        </w:rPr>
      </w:pPr>
    </w:p>
    <w:p w:rsidR="007D3598" w:rsidRDefault="00F8547B">
      <w:pPr>
        <w:jc w:val="both"/>
        <w:rPr>
          <w:noProof/>
        </w:rPr>
      </w:pPr>
      <w:r>
        <w:rPr>
          <w:b/>
          <w:noProof/>
        </w:rPr>
        <w:t>Solidarity and responsibility sharing</w:t>
      </w:r>
      <w:r>
        <w:rPr>
          <w:noProof/>
        </w:rPr>
        <w:t xml:space="preserve"> between the Member States is expressed mainly through joint operations; cooperation between Member States under EUROSUR and through cooperation with Frontex. So far some EUR 200 million has been spent on specific actions to support the purchase of Frontex</w:t>
      </w:r>
      <w:r>
        <w:rPr>
          <w:noProof/>
        </w:rPr>
        <w:t xml:space="preserve"> equipment by 14 Member States, to be used in Frontex-coordinated joint operations</w:t>
      </w:r>
      <w:r>
        <w:rPr>
          <w:rStyle w:val="FootnoteReference"/>
          <w:noProof/>
        </w:rPr>
        <w:footnoteReference w:id="96"/>
      </w:r>
      <w:r>
        <w:rPr>
          <w:noProof/>
        </w:rPr>
        <w:t>.</w:t>
      </w:r>
    </w:p>
    <w:p w:rsidR="007D3598" w:rsidRDefault="007D3598">
      <w:pPr>
        <w:jc w:val="both"/>
        <w:rPr>
          <w:noProof/>
        </w:rPr>
      </w:pPr>
    </w:p>
    <w:p w:rsidR="007D3598" w:rsidRDefault="00F8547B">
      <w:pPr>
        <w:jc w:val="both"/>
        <w:rPr>
          <w:noProof/>
        </w:rPr>
      </w:pPr>
      <w:r>
        <w:rPr>
          <w:noProof/>
        </w:rPr>
        <w:t>The Fund contributed to the development of EUROSUR</w:t>
      </w:r>
      <w:r>
        <w:rPr>
          <w:rStyle w:val="FootnoteReference"/>
          <w:noProof/>
        </w:rPr>
        <w:footnoteReference w:id="97"/>
      </w:r>
      <w:r>
        <w:rPr>
          <w:noProof/>
        </w:rPr>
        <w:t xml:space="preserve"> by co-financing activities both under Member States national programmes and under Union actions. These activities aime</w:t>
      </w:r>
      <w:r>
        <w:rPr>
          <w:noProof/>
        </w:rPr>
        <w:t>d to improve situational awareness and increase the reaction capability at the external borders by detecting, preventing and combating illegal immigration and cross-border crime and by helping to protect and save the lives of migrants</w:t>
      </w:r>
      <w:r>
        <w:rPr>
          <w:rStyle w:val="FootnoteReference"/>
          <w:noProof/>
        </w:rPr>
        <w:footnoteReference w:id="98"/>
      </w:r>
      <w:r>
        <w:rPr>
          <w:noProof/>
        </w:rPr>
        <w:t>. Activities under EU</w:t>
      </w:r>
      <w:r>
        <w:rPr>
          <w:noProof/>
        </w:rPr>
        <w:t>ROSUR also contributed towards solidarity and responsibility between Member States which is an important aspect of the operational objective on integrated border management. It needs to be pointed out that the actions financed by the Fund under the nationa</w:t>
      </w:r>
      <w:r>
        <w:rPr>
          <w:noProof/>
        </w:rPr>
        <w:t>l objective of EUROSUR are interpreted in a much broader manner than the implementation of the action provided for by the EUROSUR Regulation (2013/1052). For example Member States could include in their national programmes, under the national objective EUR</w:t>
      </w:r>
      <w:r>
        <w:rPr>
          <w:noProof/>
        </w:rPr>
        <w:t>OSUR, projects such as purchasing surveillance equipment or developing border surveillance systems which are linked to border surveillance in general, but not directly to EUROSUR’s implementation.</w:t>
      </w:r>
    </w:p>
    <w:p w:rsidR="007D3598" w:rsidRDefault="007D3598">
      <w:pPr>
        <w:jc w:val="both"/>
        <w:rPr>
          <w:noProof/>
        </w:rPr>
      </w:pPr>
    </w:p>
    <w:p w:rsidR="007D3598" w:rsidRDefault="00F8547B">
      <w:pPr>
        <w:jc w:val="both"/>
        <w:rPr>
          <w:noProof/>
        </w:rPr>
      </w:pPr>
      <w:r>
        <w:rPr>
          <w:noProof/>
        </w:rPr>
        <w:t xml:space="preserve">The Fund also provided support for the </w:t>
      </w:r>
      <w:r>
        <w:rPr>
          <w:b/>
          <w:noProof/>
        </w:rPr>
        <w:t>development of IT s</w:t>
      </w:r>
      <w:r>
        <w:rPr>
          <w:b/>
          <w:noProof/>
        </w:rPr>
        <w:t>ystems</w:t>
      </w:r>
      <w:r>
        <w:rPr>
          <w:noProof/>
        </w:rPr>
        <w:t>, notably for the upgrading and operation (under operating support) of the Schengen Information System (Schengen Information System II). This allowed the Member States to upgrade and maintain the IT systems and ensure their interoperability</w:t>
      </w:r>
      <w:r>
        <w:rPr>
          <w:rStyle w:val="FootnoteReference"/>
          <w:rFonts w:eastAsiaTheme="minorHAnsi"/>
          <w:noProof/>
          <w:szCs w:val="24"/>
        </w:rPr>
        <w:footnoteReference w:id="99"/>
      </w:r>
      <w:r>
        <w:rPr>
          <w:noProof/>
        </w:rPr>
        <w:t xml:space="preserve"> and inte</w:t>
      </w:r>
      <w:r>
        <w:rPr>
          <w:noProof/>
        </w:rPr>
        <w:t>rconnectivity between the different national systems, which in turn contributed to a more effective management of the EU’s external borders.</w:t>
      </w:r>
    </w:p>
    <w:p w:rsidR="007D3598" w:rsidRDefault="007D3598">
      <w:pPr>
        <w:jc w:val="both"/>
        <w:rPr>
          <w:noProof/>
        </w:rPr>
      </w:pPr>
    </w:p>
    <w:p w:rsidR="007D3598" w:rsidRDefault="00F8547B">
      <w:pPr>
        <w:jc w:val="both"/>
        <w:rPr>
          <w:noProof/>
        </w:rPr>
      </w:pPr>
      <w:bookmarkStart w:id="650" w:name="_Toc505869928"/>
      <w:bookmarkStart w:id="651" w:name="_Toc505870191"/>
      <w:bookmarkStart w:id="652" w:name="_Toc505872801"/>
      <w:bookmarkStart w:id="653" w:name="_Toc505872908"/>
      <w:bookmarkStart w:id="654" w:name="_Toc505869929"/>
      <w:bookmarkStart w:id="655" w:name="_Toc505870192"/>
      <w:bookmarkStart w:id="656" w:name="_Toc505872802"/>
      <w:bookmarkStart w:id="657" w:name="_Toc505872909"/>
      <w:bookmarkStart w:id="658" w:name="_Toc505869930"/>
      <w:bookmarkStart w:id="659" w:name="_Toc505870193"/>
      <w:bookmarkStart w:id="660" w:name="_Toc505872803"/>
      <w:bookmarkStart w:id="661" w:name="_Toc505872910"/>
      <w:bookmarkStart w:id="662" w:name="_Toc505869931"/>
      <w:bookmarkStart w:id="663" w:name="_Toc505870194"/>
      <w:bookmarkStart w:id="664" w:name="_Toc505872804"/>
      <w:bookmarkStart w:id="665" w:name="_Toc505872911"/>
      <w:bookmarkStart w:id="666" w:name="_Toc505869932"/>
      <w:bookmarkStart w:id="667" w:name="_Toc505870195"/>
      <w:bookmarkStart w:id="668" w:name="_Toc505872805"/>
      <w:bookmarkStart w:id="669" w:name="_Toc505872912"/>
      <w:bookmarkStart w:id="670" w:name="_Toc505869933"/>
      <w:bookmarkStart w:id="671" w:name="_Toc505870196"/>
      <w:bookmarkStart w:id="672" w:name="_Toc505872806"/>
      <w:bookmarkStart w:id="673" w:name="_Toc505872913"/>
      <w:bookmarkStart w:id="674" w:name="_Toc505869934"/>
      <w:bookmarkStart w:id="675" w:name="_Toc505870197"/>
      <w:bookmarkStart w:id="676" w:name="_Toc505872807"/>
      <w:bookmarkStart w:id="677" w:name="_Toc505872914"/>
      <w:bookmarkStart w:id="678" w:name="_Toc505869935"/>
      <w:bookmarkStart w:id="679" w:name="_Toc505870198"/>
      <w:bookmarkStart w:id="680" w:name="_Toc505872808"/>
      <w:bookmarkStart w:id="681" w:name="_Toc505872915"/>
      <w:bookmarkStart w:id="682" w:name="_Toc505869936"/>
      <w:bookmarkStart w:id="683" w:name="_Toc505870199"/>
      <w:bookmarkStart w:id="684" w:name="_Toc505872809"/>
      <w:bookmarkStart w:id="685" w:name="_Toc505872916"/>
      <w:bookmarkStart w:id="686" w:name="_Toc505869937"/>
      <w:bookmarkStart w:id="687" w:name="_Toc505870200"/>
      <w:bookmarkStart w:id="688" w:name="_Toc505872810"/>
      <w:bookmarkStart w:id="689" w:name="_Toc505872917"/>
      <w:bookmarkStart w:id="690" w:name="_Toc505869938"/>
      <w:bookmarkStart w:id="691" w:name="_Toc505870201"/>
      <w:bookmarkStart w:id="692" w:name="_Toc505872811"/>
      <w:bookmarkStart w:id="693" w:name="_Toc505872918"/>
      <w:bookmarkStart w:id="694" w:name="_Toc505869939"/>
      <w:bookmarkStart w:id="695" w:name="_Toc505870202"/>
      <w:bookmarkStart w:id="696" w:name="_Toc505872812"/>
      <w:bookmarkStart w:id="697" w:name="_Toc505872919"/>
      <w:bookmarkStart w:id="698" w:name="_Toc505869940"/>
      <w:bookmarkStart w:id="699" w:name="_Toc505870203"/>
      <w:bookmarkStart w:id="700" w:name="_Toc505872813"/>
      <w:bookmarkStart w:id="701" w:name="_Toc505872920"/>
      <w:bookmarkStart w:id="702" w:name="_Toc505869941"/>
      <w:bookmarkStart w:id="703" w:name="_Toc505870204"/>
      <w:bookmarkStart w:id="704" w:name="_Toc505872814"/>
      <w:bookmarkStart w:id="705" w:name="_Toc505872921"/>
      <w:bookmarkStart w:id="706" w:name="_Toc505869942"/>
      <w:bookmarkStart w:id="707" w:name="_Toc505870205"/>
      <w:bookmarkStart w:id="708" w:name="_Toc505872815"/>
      <w:bookmarkStart w:id="709" w:name="_Toc505872922"/>
      <w:bookmarkStart w:id="710" w:name="_Toc505869943"/>
      <w:bookmarkStart w:id="711" w:name="_Toc505870206"/>
      <w:bookmarkStart w:id="712" w:name="_Toc505872816"/>
      <w:bookmarkStart w:id="713" w:name="_Toc505872923"/>
      <w:bookmarkStart w:id="714" w:name="_Toc505869944"/>
      <w:bookmarkStart w:id="715" w:name="_Toc505870207"/>
      <w:bookmarkStart w:id="716" w:name="_Toc505872817"/>
      <w:bookmarkStart w:id="717" w:name="_Toc505872924"/>
      <w:bookmarkStart w:id="718" w:name="_Toc505869945"/>
      <w:bookmarkStart w:id="719" w:name="_Toc505870208"/>
      <w:bookmarkStart w:id="720" w:name="_Toc505872818"/>
      <w:bookmarkStart w:id="721" w:name="_Toc505872925"/>
      <w:bookmarkStart w:id="722" w:name="_Toc505869946"/>
      <w:bookmarkStart w:id="723" w:name="_Toc505870209"/>
      <w:bookmarkStart w:id="724" w:name="_Toc505872819"/>
      <w:bookmarkStart w:id="725" w:name="_Toc505872926"/>
      <w:bookmarkStart w:id="726" w:name="_Toc505869947"/>
      <w:bookmarkStart w:id="727" w:name="_Toc505870210"/>
      <w:bookmarkStart w:id="728" w:name="_Toc505872820"/>
      <w:bookmarkStart w:id="729" w:name="_Toc505872927"/>
      <w:bookmarkStart w:id="730" w:name="_Toc505869948"/>
      <w:bookmarkStart w:id="731" w:name="_Toc505870211"/>
      <w:bookmarkStart w:id="732" w:name="_Toc505872821"/>
      <w:bookmarkStart w:id="733" w:name="_Toc505872928"/>
      <w:bookmarkStart w:id="734" w:name="_Toc505869949"/>
      <w:bookmarkStart w:id="735" w:name="_Toc505870212"/>
      <w:bookmarkStart w:id="736" w:name="_Toc505872822"/>
      <w:bookmarkStart w:id="737" w:name="_Toc505872929"/>
      <w:bookmarkStart w:id="738" w:name="_Toc505869951"/>
      <w:bookmarkStart w:id="739" w:name="_Toc505870214"/>
      <w:bookmarkStart w:id="740" w:name="_Toc505872824"/>
      <w:bookmarkStart w:id="741" w:name="_Toc505872931"/>
      <w:bookmarkStart w:id="742" w:name="_Toc505869952"/>
      <w:bookmarkStart w:id="743" w:name="_Toc505870215"/>
      <w:bookmarkStart w:id="744" w:name="_Toc505872825"/>
      <w:bookmarkStart w:id="745" w:name="_Toc505872932"/>
      <w:bookmarkStart w:id="746" w:name="_Toc505869953"/>
      <w:bookmarkStart w:id="747" w:name="_Toc505870216"/>
      <w:bookmarkStart w:id="748" w:name="_Toc505872826"/>
      <w:bookmarkStart w:id="749" w:name="_Toc505872933"/>
      <w:bookmarkStart w:id="750" w:name="_Toc505869954"/>
      <w:bookmarkStart w:id="751" w:name="_Toc505870217"/>
      <w:bookmarkStart w:id="752" w:name="_Toc505872827"/>
      <w:bookmarkStart w:id="753" w:name="_Toc505872934"/>
      <w:bookmarkStart w:id="754" w:name="_Toc505869955"/>
      <w:bookmarkStart w:id="755" w:name="_Toc505870218"/>
      <w:bookmarkStart w:id="756" w:name="_Toc505872828"/>
      <w:bookmarkStart w:id="757" w:name="_Toc505872935"/>
      <w:bookmarkStart w:id="758" w:name="_Toc505869956"/>
      <w:bookmarkStart w:id="759" w:name="_Toc505870219"/>
      <w:bookmarkStart w:id="760" w:name="_Toc505872829"/>
      <w:bookmarkStart w:id="761" w:name="_Toc505872936"/>
      <w:bookmarkStart w:id="762" w:name="_Toc505869957"/>
      <w:bookmarkStart w:id="763" w:name="_Toc505870220"/>
      <w:bookmarkStart w:id="764" w:name="_Toc505872830"/>
      <w:bookmarkStart w:id="765" w:name="_Toc505872937"/>
      <w:bookmarkStart w:id="766" w:name="_Toc505869958"/>
      <w:bookmarkStart w:id="767" w:name="_Toc505870221"/>
      <w:bookmarkStart w:id="768" w:name="_Toc505872831"/>
      <w:bookmarkStart w:id="769" w:name="_Toc505872938"/>
      <w:bookmarkStart w:id="770" w:name="_Toc505869959"/>
      <w:bookmarkStart w:id="771" w:name="_Toc505870222"/>
      <w:bookmarkStart w:id="772" w:name="_Toc505872832"/>
      <w:bookmarkStart w:id="773" w:name="_Toc505872939"/>
      <w:bookmarkStart w:id="774" w:name="_Toc505869960"/>
      <w:bookmarkStart w:id="775" w:name="_Toc505870223"/>
      <w:bookmarkStart w:id="776" w:name="_Toc505872833"/>
      <w:bookmarkStart w:id="777" w:name="_Toc505872940"/>
      <w:bookmarkStart w:id="778" w:name="_Toc505869961"/>
      <w:bookmarkStart w:id="779" w:name="_Toc505870224"/>
      <w:bookmarkStart w:id="780" w:name="_Toc505872834"/>
      <w:bookmarkStart w:id="781" w:name="_Toc505872941"/>
      <w:bookmarkStart w:id="782" w:name="_Toc505869962"/>
      <w:bookmarkStart w:id="783" w:name="_Toc505870225"/>
      <w:bookmarkStart w:id="784" w:name="_Toc505872835"/>
      <w:bookmarkStart w:id="785" w:name="_Toc505872942"/>
      <w:bookmarkStart w:id="786" w:name="_Toc505869963"/>
      <w:bookmarkStart w:id="787" w:name="_Toc505870226"/>
      <w:bookmarkStart w:id="788" w:name="_Toc505872836"/>
      <w:bookmarkStart w:id="789" w:name="_Toc505872943"/>
      <w:bookmarkStart w:id="790" w:name="_Toc505869964"/>
      <w:bookmarkStart w:id="791" w:name="_Toc505870227"/>
      <w:bookmarkStart w:id="792" w:name="_Toc505872837"/>
      <w:bookmarkStart w:id="793" w:name="_Toc505872944"/>
      <w:bookmarkStart w:id="794" w:name="_Toc505869965"/>
      <w:bookmarkStart w:id="795" w:name="_Toc505870228"/>
      <w:bookmarkStart w:id="796" w:name="_Toc505872838"/>
      <w:bookmarkStart w:id="797" w:name="_Toc505872945"/>
      <w:bookmarkStart w:id="798" w:name="_Toc505869966"/>
      <w:bookmarkStart w:id="799" w:name="_Toc505870229"/>
      <w:bookmarkStart w:id="800" w:name="_Toc505872839"/>
      <w:bookmarkStart w:id="801" w:name="_Toc505872946"/>
      <w:bookmarkStart w:id="802" w:name="_Toc506393762"/>
      <w:bookmarkStart w:id="803" w:name="_Toc506475216"/>
      <w:bookmarkStart w:id="804" w:name="_Toc506478834"/>
      <w:bookmarkStart w:id="805" w:name="_Toc506479786"/>
      <w:bookmarkStart w:id="806" w:name="_Toc506483924"/>
      <w:bookmarkStart w:id="807" w:name="_Toc506529849"/>
      <w:bookmarkStart w:id="808" w:name="_Toc506531970"/>
      <w:bookmarkStart w:id="809" w:name="_Toc507083609"/>
      <w:bookmarkEnd w:id="640"/>
      <w:bookmarkEnd w:id="641"/>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Pr>
          <w:noProof/>
        </w:rPr>
        <w:t xml:space="preserve">Under the specific objective of integrated border management, it is specifically indicated that the Member States </w:t>
      </w:r>
      <w:r>
        <w:rPr>
          <w:noProof/>
        </w:rPr>
        <w:t xml:space="preserve">should respect human rights and the principle of </w:t>
      </w:r>
      <w:r>
        <w:rPr>
          <w:i/>
          <w:noProof/>
        </w:rPr>
        <w:t>non-refoulement</w:t>
      </w:r>
      <w:r>
        <w:rPr>
          <w:noProof/>
        </w:rPr>
        <w:t>. Two Member States</w:t>
      </w:r>
      <w:r>
        <w:rPr>
          <w:rStyle w:val="FootnoteReference"/>
          <w:noProof/>
        </w:rPr>
        <w:footnoteReference w:id="100"/>
      </w:r>
      <w:r>
        <w:rPr>
          <w:noProof/>
        </w:rPr>
        <w:t xml:space="preserve"> reported that the maintenance and modernisation of  border control buildings and facilities, and the introduction of modern technologies for border control contributed to </w:t>
      </w:r>
      <w:r>
        <w:rPr>
          <w:noProof/>
        </w:rPr>
        <w:t>ensuring international protection for those needing it and respect for the fundamental rights and the human dignity of third-country nationals. Two Member States</w:t>
      </w:r>
      <w:r>
        <w:rPr>
          <w:rStyle w:val="FootnoteReference"/>
          <w:noProof/>
        </w:rPr>
        <w:footnoteReference w:id="101"/>
      </w:r>
      <w:r>
        <w:rPr>
          <w:noProof/>
        </w:rPr>
        <w:t xml:space="preserve"> reported that human rights issues were tackled through specific training sessions, with the s</w:t>
      </w:r>
      <w:r>
        <w:rPr>
          <w:noProof/>
        </w:rPr>
        <w:t>upport of EU agencies and international organisations working in the field of migration and human rights (e.g. IOM, UNHCR, and Frontex).  One Member States</w:t>
      </w:r>
      <w:r>
        <w:rPr>
          <w:rStyle w:val="FootnoteReference"/>
          <w:noProof/>
        </w:rPr>
        <w:footnoteReference w:id="102"/>
      </w:r>
      <w:r>
        <w:rPr>
          <w:noProof/>
        </w:rPr>
        <w:t xml:space="preserve"> reported implementing an action focused on acquiring linguistic and cultural mediation, aiming of f</w:t>
      </w:r>
      <w:r>
        <w:rPr>
          <w:noProof/>
        </w:rPr>
        <w:t>acilitate communication between the State Police and migrants during landing and/or rescue operations as well as when applying for international protection. Furthermore, another Member States</w:t>
      </w:r>
      <w:r>
        <w:rPr>
          <w:rStyle w:val="FootnoteReference"/>
          <w:noProof/>
        </w:rPr>
        <w:footnoteReference w:id="103"/>
      </w:r>
      <w:r>
        <w:rPr>
          <w:noProof/>
        </w:rPr>
        <w:t xml:space="preserve">  reported a project still being implemented that aims to streng</w:t>
      </w:r>
      <w:r>
        <w:rPr>
          <w:noProof/>
        </w:rPr>
        <w:t xml:space="preserve">then the development of training schemes on human rights and fundamental freedoms. Currently, the Fund is not supporting Member States in applying the </w:t>
      </w:r>
      <w:r>
        <w:rPr>
          <w:i/>
          <w:noProof/>
        </w:rPr>
        <w:t xml:space="preserve">non-refoulement </w:t>
      </w:r>
      <w:r>
        <w:rPr>
          <w:noProof/>
        </w:rPr>
        <w:t>principle.</w:t>
      </w:r>
    </w:p>
    <w:p w:rsidR="007D3598" w:rsidRDefault="007D3598">
      <w:pPr>
        <w:jc w:val="both"/>
        <w:rPr>
          <w:noProof/>
        </w:rPr>
      </w:pPr>
    </w:p>
    <w:p w:rsidR="007D3598" w:rsidRDefault="00F8547B">
      <w:pPr>
        <w:jc w:val="both"/>
        <w:rPr>
          <w:noProof/>
        </w:rPr>
      </w:pPr>
      <w:r>
        <w:rPr>
          <w:noProof/>
        </w:rPr>
        <w:t>Regarding direct management, 6 out of 7 action grants awarded under UAs are l</w:t>
      </w:r>
      <w:r>
        <w:rPr>
          <w:noProof/>
        </w:rPr>
        <w:t xml:space="preserve">inked to border control, surveillance or management. However none of them had been completed within the evaluation period. Therefore, it is premature to reach any conclusions on their effectiveness. </w:t>
      </w:r>
    </w:p>
    <w:p w:rsidR="007D3598" w:rsidRDefault="007D3598">
      <w:pPr>
        <w:jc w:val="both"/>
        <w:rPr>
          <w:noProof/>
        </w:rPr>
      </w:pPr>
    </w:p>
    <w:p w:rsidR="007D3598" w:rsidRDefault="00F8547B">
      <w:pPr>
        <w:jc w:val="both"/>
        <w:rPr>
          <w:noProof/>
        </w:rPr>
      </w:pPr>
      <w:r>
        <w:rPr>
          <w:noProof/>
        </w:rPr>
        <w:t>As for Emergency assistance (EMAS), only 7 out of 46 EM</w:t>
      </w:r>
      <w:r>
        <w:rPr>
          <w:noProof/>
        </w:rPr>
        <w:t>AS actions had been finalised in the period covered by the interim evaluation. EMAS has been used in seven Member States, especially in Greece, Italy and Bulgaria during the migration crisis to deal with the extra pressures at the external borders. In Bulg</w:t>
      </w:r>
      <w:r>
        <w:rPr>
          <w:noProof/>
        </w:rPr>
        <w:t>aria, for example, the amount of EMAS support in the period 2014-2017 amounts to EUR 124.8 million which is three times higher than the allocation for the national programme covering the whole period 2014-2020. Therefore, the Fund’s effectiveness in this s</w:t>
      </w:r>
      <w:r>
        <w:rPr>
          <w:noProof/>
        </w:rPr>
        <w:t>pecific case depends to a large extent on the interaction between the EMAS support and the national programme. EMAS support has been considered essential in addressing emergency needs. The situation is somewhat different in both Greece and Italy as their E</w:t>
      </w:r>
      <w:r>
        <w:rPr>
          <w:noProof/>
        </w:rPr>
        <w:t>MAS allocations under ISF-BV are smaller than in the case of Bulgaria but the size of their respective national programmes are much larger. Nevertheless, EMAS has been an important component in all these countries in dealing with the crisis especially when</w:t>
      </w:r>
      <w:r>
        <w:rPr>
          <w:noProof/>
        </w:rPr>
        <w:t xml:space="preserve"> the national programmes were not yet running due to delays in approval.</w:t>
      </w:r>
    </w:p>
    <w:p w:rsidR="007D3598" w:rsidRDefault="007D3598">
      <w:pPr>
        <w:jc w:val="both"/>
        <w:rPr>
          <w:noProof/>
        </w:rPr>
      </w:pPr>
    </w:p>
    <w:p w:rsidR="007D3598" w:rsidRDefault="00F8547B">
      <w:pPr>
        <w:jc w:val="both"/>
        <w:rPr>
          <w:noProof/>
        </w:rPr>
      </w:pPr>
      <w:r>
        <w:rPr>
          <w:noProof/>
        </w:rPr>
        <w:t>While EMAS measures proved to be a very efficient instrument in rapidly addressing a number of emergency situations arising from the migration crisis, action grants under UAs were le</w:t>
      </w:r>
      <w:r>
        <w:rPr>
          <w:noProof/>
        </w:rPr>
        <w:t xml:space="preserve">ss popular. Member States expressed limited interest in them with few proposals received to the calls published by the Commission. They are also subject to lengthy delays in implementation. Perhaps their design including eligibility rules could be adapted </w:t>
      </w:r>
      <w:r>
        <w:rPr>
          <w:noProof/>
        </w:rPr>
        <w:t>to better address Member States’ needs.</w:t>
      </w:r>
    </w:p>
    <w:p w:rsidR="007D3598" w:rsidRDefault="007D3598">
      <w:pPr>
        <w:jc w:val="both"/>
        <w:rPr>
          <w:noProof/>
        </w:rPr>
      </w:pPr>
    </w:p>
    <w:p w:rsidR="007D3598" w:rsidRDefault="00F8547B">
      <w:pPr>
        <w:jc w:val="both"/>
        <w:rPr>
          <w:noProof/>
        </w:rPr>
      </w:pPr>
      <w:r>
        <w:rPr>
          <w:noProof/>
        </w:rPr>
        <w:t>Overall, the Fund has contributed towards ensuring a high level of security in the EU as far as it is possible at this stage of the implementation, also taking into account the migration and security crisis. The res</w:t>
      </w:r>
      <w:r>
        <w:rPr>
          <w:noProof/>
        </w:rPr>
        <w:t>ults achieved so far show that the Fund is an effective tool in supporting Member States in achieving a common visa policy and an integrated border management. Implementation delays were mainly linked to the late approval of the national programmes, but no</w:t>
      </w:r>
      <w:r>
        <w:rPr>
          <w:noProof/>
        </w:rPr>
        <w:t>w that programmes are running, the Fund’s implementation is on track. All the Fund’s implementation modes contributed towards the achieving the Fund’s objectives. As regards shared management, the Fund contributed to ensuring a high level of security in th</w:t>
      </w:r>
      <w:r>
        <w:rPr>
          <w:noProof/>
        </w:rPr>
        <w:t>e EU while facilitating legitimate travel, through a uniform and high level of control of the EU’s external borders and the effective processing of Schengen visas. Direct and indirect management modes contributed to more effective border and visa managemen</w:t>
      </w:r>
      <w:r>
        <w:rPr>
          <w:noProof/>
        </w:rPr>
        <w:t>t through addressing urgent and specific needs in emergency and unpredictable situations requiring a timely and effective response and through projects promoting transnational actions or actions of particular interest to the EU. These actions helped to str</w:t>
      </w:r>
      <w:r>
        <w:rPr>
          <w:noProof/>
        </w:rPr>
        <w:t>engthen the national capacity in the operational management of both borders and visa matters.</w:t>
      </w:r>
    </w:p>
    <w:p w:rsidR="007D3598" w:rsidRDefault="007D3598">
      <w:pPr>
        <w:jc w:val="both"/>
        <w:rPr>
          <w:noProof/>
        </w:rPr>
      </w:pPr>
    </w:p>
    <w:p w:rsidR="007D3598" w:rsidRDefault="00F8547B">
      <w:pPr>
        <w:jc w:val="center"/>
        <w:rPr>
          <w:b/>
          <w:noProof/>
        </w:rPr>
      </w:pPr>
      <w:bookmarkStart w:id="810" w:name="_Toc508279329"/>
      <w:bookmarkStart w:id="811" w:name="_Toc508369313"/>
      <w:bookmarkStart w:id="812" w:name="_Toc508375524"/>
      <w:bookmarkStart w:id="813" w:name="_Toc508715375"/>
      <w:r>
        <w:rPr>
          <w:b/>
          <w:noProof/>
        </w:rPr>
        <w:t>Examples of different types of border management projects implemented by the Member States</w:t>
      </w:r>
    </w:p>
    <w:p w:rsidR="007D3598" w:rsidRDefault="007D3598">
      <w:pPr>
        <w:jc w:val="center"/>
        <w:rPr>
          <w:b/>
          <w:noProof/>
        </w:rPr>
      </w:pPr>
    </w:p>
    <w:tbl>
      <w:tblPr>
        <w:tblStyle w:val="TableE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854"/>
      </w:tblGrid>
      <w:tr w:rsidR="007D3598">
        <w:tc>
          <w:tcPr>
            <w:tcW w:w="5000" w:type="pct"/>
            <w:shd w:val="clear" w:color="auto" w:fill="E0E0E0"/>
          </w:tcPr>
          <w:p w:rsidR="007D3598" w:rsidRDefault="00F8547B">
            <w:pPr>
              <w:pStyle w:val="Body"/>
              <w:spacing w:before="0" w:after="0" w:line="240" w:lineRule="auto"/>
              <w:jc w:val="both"/>
              <w:rPr>
                <w:rFonts w:ascii="Times New Roman" w:hAnsi="Times New Roman"/>
                <w:noProof/>
                <w:sz w:val="24"/>
                <w:szCs w:val="24"/>
                <w:lang w:val="en-GB"/>
              </w:rPr>
            </w:pPr>
            <w:r>
              <w:rPr>
                <w:rFonts w:ascii="Times New Roman" w:hAnsi="Times New Roman"/>
                <w:b/>
                <w:noProof/>
                <w:sz w:val="24"/>
                <w:szCs w:val="24"/>
                <w:lang w:val="en-GB"/>
              </w:rPr>
              <w:t>Austria</w:t>
            </w:r>
            <w:r>
              <w:rPr>
                <w:rFonts w:ascii="Times New Roman" w:hAnsi="Times New Roman"/>
                <w:noProof/>
                <w:sz w:val="24"/>
                <w:szCs w:val="24"/>
                <w:lang w:val="en-GB"/>
              </w:rPr>
              <w:t xml:space="preserve"> supported the procurement of thermal imaging vehicles for Frontex operations to increase the value of border police operations in other Member States, simplifying and improving border management. Also in the </w:t>
            </w:r>
            <w:r>
              <w:rPr>
                <w:rFonts w:ascii="Times New Roman" w:hAnsi="Times New Roman"/>
                <w:b/>
                <w:noProof/>
                <w:sz w:val="24"/>
                <w:szCs w:val="24"/>
                <w:lang w:val="en-GB"/>
              </w:rPr>
              <w:t>Czech Republic</w:t>
            </w:r>
            <w:r>
              <w:rPr>
                <w:rFonts w:ascii="Times New Roman" w:hAnsi="Times New Roman"/>
                <w:noProof/>
                <w:sz w:val="24"/>
                <w:szCs w:val="24"/>
                <w:lang w:val="en-GB"/>
              </w:rPr>
              <w:t xml:space="preserve"> and </w:t>
            </w:r>
            <w:r>
              <w:rPr>
                <w:rFonts w:ascii="Times New Roman" w:hAnsi="Times New Roman"/>
                <w:b/>
                <w:noProof/>
                <w:sz w:val="24"/>
                <w:szCs w:val="24"/>
                <w:lang w:val="en-GB"/>
              </w:rPr>
              <w:t xml:space="preserve">Poland, </w:t>
            </w:r>
            <w:r>
              <w:rPr>
                <w:rFonts w:ascii="Times New Roman" w:hAnsi="Times New Roman"/>
                <w:noProof/>
                <w:sz w:val="24"/>
                <w:szCs w:val="24"/>
                <w:lang w:val="en-GB"/>
              </w:rPr>
              <w:t>the Fund co-financed</w:t>
            </w:r>
            <w:r>
              <w:rPr>
                <w:rFonts w:ascii="Times New Roman" w:hAnsi="Times New Roman"/>
                <w:noProof/>
                <w:sz w:val="24"/>
                <w:szCs w:val="24"/>
                <w:lang w:val="en-GB"/>
              </w:rPr>
              <w:t xml:space="preserve"> the acquisition of thermal processing to strengthen the protection and surveillance of the external borders. In </w:t>
            </w:r>
            <w:r>
              <w:rPr>
                <w:rFonts w:ascii="Times New Roman" w:hAnsi="Times New Roman"/>
                <w:b/>
                <w:noProof/>
                <w:sz w:val="24"/>
                <w:szCs w:val="24"/>
                <w:lang w:val="en-GB"/>
              </w:rPr>
              <w:t>Slovenia</w:t>
            </w:r>
            <w:r>
              <w:rPr>
                <w:rFonts w:ascii="Times New Roman" w:hAnsi="Times New Roman"/>
                <w:noProof/>
                <w:sz w:val="24"/>
                <w:szCs w:val="24"/>
                <w:lang w:val="en-GB"/>
              </w:rPr>
              <w:t>, a key investment in strengthening the situational awareness at the external borders was the purchasing of two police patrol boats for</w:t>
            </w:r>
            <w:r>
              <w:rPr>
                <w:rFonts w:ascii="Times New Roman" w:hAnsi="Times New Roman"/>
                <w:noProof/>
                <w:sz w:val="24"/>
                <w:szCs w:val="24"/>
                <w:lang w:val="en-GB"/>
              </w:rPr>
              <w:t xml:space="preserve"> the control of its maritime border to obtain data for the national situational picture using the navigation systems and by reporting important events. Both vessels are permanently in use, and data are collected and processed within the national coordinati</w:t>
            </w:r>
            <w:r>
              <w:rPr>
                <w:rFonts w:ascii="Times New Roman" w:hAnsi="Times New Roman"/>
                <w:noProof/>
                <w:sz w:val="24"/>
                <w:szCs w:val="24"/>
                <w:lang w:val="en-GB"/>
              </w:rPr>
              <w:t>on centre.</w:t>
            </w:r>
          </w:p>
        </w:tc>
      </w:tr>
    </w:tbl>
    <w:p w:rsidR="007D3598" w:rsidRDefault="007D3598">
      <w:pPr>
        <w:jc w:val="both"/>
        <w:rPr>
          <w:noProof/>
        </w:rPr>
      </w:pPr>
    </w:p>
    <w:p w:rsidR="007D3598" w:rsidRDefault="00F8547B">
      <w:pPr>
        <w:pStyle w:val="HH2"/>
        <w:spacing w:before="0" w:after="0"/>
        <w:contextualSpacing w:val="0"/>
        <w:rPr>
          <w:noProof/>
        </w:rPr>
      </w:pPr>
      <w:bookmarkStart w:id="814" w:name="_Toc508975881"/>
      <w:bookmarkStart w:id="815" w:name="_Toc515270145"/>
      <w:r>
        <w:rPr>
          <w:noProof/>
        </w:rPr>
        <w:t>How efficient has ISF-BV been so far?</w:t>
      </w:r>
      <w:bookmarkStart w:id="816" w:name="_Toc500856907"/>
      <w:bookmarkStart w:id="817" w:name="_Toc500858345"/>
      <w:bookmarkStart w:id="818" w:name="_Toc500869273"/>
      <w:bookmarkStart w:id="819" w:name="_Toc500872764"/>
      <w:bookmarkStart w:id="820" w:name="_Toc500873065"/>
      <w:bookmarkStart w:id="821" w:name="_Toc503465893"/>
      <w:bookmarkStart w:id="822" w:name="_Toc504475717"/>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7D3598" w:rsidRDefault="007D3598">
      <w:pPr>
        <w:pStyle w:val="Text2"/>
        <w:ind w:left="0"/>
        <w:jc w:val="both"/>
        <w:rPr>
          <w:noProof/>
        </w:rPr>
      </w:pPr>
    </w:p>
    <w:p w:rsidR="007D3598" w:rsidRDefault="00F8547B">
      <w:pPr>
        <w:pStyle w:val="Text2"/>
        <w:ind w:left="0"/>
        <w:jc w:val="both"/>
        <w:rPr>
          <w:noProof/>
        </w:rPr>
      </w:pPr>
      <w:r>
        <w:rPr>
          <w:rFonts w:eastAsiaTheme="minorHAnsi"/>
          <w:noProof/>
          <w:szCs w:val="24"/>
          <w:lang w:eastAsia="en-GB"/>
        </w:rPr>
        <mc:AlternateContent>
          <mc:Choice Requires="wps">
            <w:drawing>
              <wp:anchor distT="0" distB="0" distL="114300" distR="114300" simplePos="0" relativeHeight="251659264" behindDoc="0" locked="0" layoutInCell="1" allowOverlap="1" wp14:anchorId="5C5833E7" wp14:editId="3ECC1922">
                <wp:simplePos x="0" y="0"/>
                <wp:positionH relativeFrom="column">
                  <wp:posOffset>3175</wp:posOffset>
                </wp:positionH>
                <wp:positionV relativeFrom="paragraph">
                  <wp:posOffset>1047750</wp:posOffset>
                </wp:positionV>
                <wp:extent cx="6090285" cy="1446530"/>
                <wp:effectExtent l="0" t="0" r="24765" b="2032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446530"/>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jc w:val="both"/>
                            </w:pPr>
                            <w:r>
                              <w:rPr>
                                <w:rFonts w:cs="EC Square Sans Pro"/>
                                <w:color w:val="000000"/>
                                <w:szCs w:val="24"/>
                              </w:rPr>
                              <w:t xml:space="preserve">Overall, in the limits of available data, it could be considered that </w:t>
                            </w:r>
                            <w:r>
                              <w:rPr>
                                <w:szCs w:val="24"/>
                              </w:rPr>
                              <w:t>the results of the Fund were achieved at a reasonable cost in terms of both human and financial resources. Some Member States have put in place national efficiency measures. However, most Member States face problems with the EU guidance, common indicators,</w:t>
                            </w:r>
                            <w:r>
                              <w:rPr>
                                <w:szCs w:val="24"/>
                              </w:rPr>
                              <w:t xml:space="preserve"> and the reporting/monitoring calendar. The perceived administrative burden can be considered as a factor that undermines efficiency.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5pt;margin-top:82.5pt;width:479.55pt;height:1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" strokecolor="#4f81bd [3204]" strokeweight="1.5pt">
                <v:textbo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jc w:val="both"/>
                      </w:pPr>
                      <w:r>
                        <w:rPr>
                          <w:rFonts w:cs="EC Square Sans Pro"/>
                          <w:color w:val="000000"/>
                          <w:szCs w:val="24"/>
                        </w:rPr>
                        <w:t xml:space="preserve">Overall, in the limits of available data, it could be considered that </w:t>
                      </w:r>
                      <w:r>
                        <w:rPr>
                          <w:szCs w:val="24"/>
                        </w:rPr>
                        <w:t>the results of the Fund were achieved at a reasonable cost in terms of both human and financial resources. Some Member States have put in place national efficiency measures. However, most Member States face problems with the EU guidance, common indicators,</w:t>
                      </w:r>
                      <w:r>
                        <w:rPr>
                          <w:szCs w:val="24"/>
                        </w:rPr>
                        <w:t xml:space="preserve"> and the reporting/monitoring calendar. The perceived administrative burden can be considered as a factor that undermines efficiency. </w:t>
                      </w:r>
                    </w:p>
                  </w:txbxContent>
                </v:textbox>
                <w10:wrap type="topAndBottom"/>
              </v:shape>
            </w:pict>
          </mc:Fallback>
        </mc:AlternateContent>
      </w:r>
      <w:r>
        <w:rPr>
          <w:noProof/>
        </w:rPr>
        <w:t>This question aims to consider the relationship between the Fund’s inputs (i.e. resources, budget etc.) and the outputs a</w:t>
      </w:r>
      <w:r>
        <w:rPr>
          <w:noProof/>
        </w:rPr>
        <w:t>nd results that it achieved. It tries to answer two questions: (i) to what extent the effects of the ISF-BV actions were achieved at a reasonable cost in terms of financial and human resources deployed and (ii) what measures were put in place to prevent, d</w:t>
      </w:r>
      <w:r>
        <w:rPr>
          <w:noProof/>
        </w:rPr>
        <w:t>etect, report and follow-up cases of fraud, and other irregularities.</w:t>
      </w:r>
    </w:p>
    <w:p w:rsidR="007D3598" w:rsidRDefault="007D3598">
      <w:pPr>
        <w:pStyle w:val="Text2"/>
        <w:ind w:left="0"/>
        <w:jc w:val="both"/>
        <w:rPr>
          <w:noProof/>
        </w:rPr>
      </w:pPr>
    </w:p>
    <w:p w:rsidR="007D3598" w:rsidRDefault="00F8547B">
      <w:pPr>
        <w:pStyle w:val="Text2"/>
        <w:ind w:left="0"/>
        <w:jc w:val="both"/>
        <w:rPr>
          <w:i/>
          <w:noProof/>
          <w:szCs w:val="24"/>
        </w:rPr>
      </w:pPr>
      <w:r>
        <w:rPr>
          <w:i/>
          <w:noProof/>
          <w:szCs w:val="24"/>
        </w:rPr>
        <w:t>Shared management</w:t>
      </w:r>
    </w:p>
    <w:p w:rsidR="007D3598" w:rsidRDefault="007D3598">
      <w:pPr>
        <w:pStyle w:val="Text2"/>
        <w:ind w:left="0"/>
        <w:jc w:val="both"/>
        <w:rPr>
          <w:noProof/>
          <w:szCs w:val="24"/>
        </w:rPr>
      </w:pPr>
    </w:p>
    <w:p w:rsidR="007D3598" w:rsidRDefault="00F8547B">
      <w:pPr>
        <w:pStyle w:val="Text2"/>
        <w:ind w:left="0"/>
        <w:jc w:val="both"/>
        <w:rPr>
          <w:noProof/>
        </w:rPr>
      </w:pPr>
      <w:r>
        <w:rPr>
          <w:noProof/>
          <w:szCs w:val="24"/>
        </w:rPr>
        <w:t xml:space="preserve">A number of findings from the EBF </w:t>
      </w:r>
      <w:r>
        <w:rPr>
          <w:i/>
          <w:noProof/>
          <w:szCs w:val="24"/>
        </w:rPr>
        <w:t>ex post</w:t>
      </w:r>
      <w:r>
        <w:rPr>
          <w:noProof/>
          <w:szCs w:val="24"/>
        </w:rPr>
        <w:t xml:space="preserve"> evaluation address issues related to efficiency, which have been taken into account in the ISF-BV’s design such as more flex</w:t>
      </w:r>
      <w:r>
        <w:rPr>
          <w:noProof/>
          <w:szCs w:val="24"/>
        </w:rPr>
        <w:t>ible multiannual programmes, sufficient allocation of resources at Member States level, simplified structure of the Fund, improvement of the overall evaluation tools, etc. all of which have an impact on the Fund’s efficiency.</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rPr>
        <w:t xml:space="preserve">According to the evidence </w:t>
      </w:r>
      <w:r>
        <w:rPr>
          <w:rFonts w:ascii="Times New Roman" w:hAnsi="Times New Roman"/>
          <w:noProof/>
          <w:sz w:val="24"/>
          <w:szCs w:val="24"/>
        </w:rPr>
        <w:t>gathered by the external evaluation, overall, the results of the Fund were achieved at a reasonable cost in terms of both human and financial resources</w:t>
      </w:r>
      <w:r>
        <w:rPr>
          <w:rStyle w:val="FootnoteReference"/>
          <w:rFonts w:ascii="Times New Roman" w:hAnsi="Times New Roman"/>
          <w:noProof/>
          <w:color w:val="000000"/>
          <w:lang w:eastAsia="en-GB"/>
        </w:rPr>
        <w:footnoteReference w:id="104"/>
      </w:r>
      <w:r>
        <w:rPr>
          <w:rFonts w:ascii="Times New Roman" w:hAnsi="Times New Roman"/>
          <w:noProof/>
          <w:sz w:val="24"/>
          <w:szCs w:val="24"/>
        </w:rPr>
        <w:t xml:space="preserve"> as far as it is possible to assess at this stage. </w:t>
      </w:r>
      <w:r>
        <w:rPr>
          <w:rFonts w:ascii="Times New Roman" w:hAnsi="Times New Roman"/>
          <w:noProof/>
          <w:sz w:val="24"/>
          <w:szCs w:val="24"/>
          <w:lang w:eastAsia="en-GB"/>
        </w:rPr>
        <w:t>The perceived administrative burden can be considered</w:t>
      </w:r>
      <w:r>
        <w:rPr>
          <w:rFonts w:ascii="Times New Roman" w:hAnsi="Times New Roman"/>
          <w:noProof/>
          <w:sz w:val="24"/>
          <w:szCs w:val="24"/>
          <w:lang w:eastAsia="en-GB"/>
        </w:rPr>
        <w:t xml:space="preserve"> as the main factor that undermines efficiency.</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jc w:val="both"/>
        <w:rPr>
          <w:noProof/>
          <w:szCs w:val="24"/>
          <w:lang w:eastAsia="it-IT"/>
        </w:rPr>
      </w:pPr>
      <w:r>
        <w:rPr>
          <w:noProof/>
          <w:szCs w:val="24"/>
          <w:lang w:eastAsia="en-GB"/>
        </w:rPr>
        <w:t>The national programmes’ implementation started very slowly creating challenges for evaluating the Fund’s cost-effectiveness because the majority of the projects are still ongoing. The Fund’s overall impleme</w:t>
      </w:r>
      <w:r>
        <w:rPr>
          <w:noProof/>
          <w:szCs w:val="24"/>
          <w:lang w:eastAsia="en-GB"/>
        </w:rPr>
        <w:t xml:space="preserve">ntation is now on track. </w:t>
      </w:r>
      <w:r>
        <w:rPr>
          <w:noProof/>
          <w:szCs w:val="24"/>
          <w:lang w:eastAsia="it-IT"/>
        </w:rPr>
        <w:t xml:space="preserve">For shared management, </w:t>
      </w:r>
      <w:r>
        <w:rPr>
          <w:noProof/>
          <w:szCs w:val="24"/>
        </w:rPr>
        <w:t>a 38 % implementation rate</w:t>
      </w:r>
      <w:r>
        <w:rPr>
          <w:noProof/>
          <w:szCs w:val="24"/>
          <w:lang w:eastAsia="it-IT"/>
        </w:rPr>
        <w:t xml:space="preserve"> has been achieved. The payment rate stood at 12 % by the end of 2016</w:t>
      </w:r>
      <w:r>
        <w:rPr>
          <w:noProof/>
          <w:szCs w:val="24"/>
        </w:rPr>
        <w:t xml:space="preserve">. </w:t>
      </w:r>
      <w:r>
        <w:rPr>
          <w:noProof/>
          <w:szCs w:val="24"/>
          <w:lang w:eastAsia="it-IT"/>
        </w:rPr>
        <w:t xml:space="preserve">Possible reasons for such a low payment rate may include: </w:t>
      </w:r>
    </w:p>
    <w:p w:rsidR="007D3598" w:rsidRDefault="00F8547B">
      <w:pPr>
        <w:jc w:val="both"/>
        <w:rPr>
          <w:noProof/>
          <w:szCs w:val="24"/>
          <w:lang w:eastAsia="it-IT"/>
        </w:rPr>
      </w:pPr>
      <w:r>
        <w:rPr>
          <w:noProof/>
          <w:szCs w:val="24"/>
          <w:lang w:eastAsia="it-IT"/>
        </w:rPr>
        <w:t>1) late approval of most of the national programmes;</w:t>
      </w:r>
    </w:p>
    <w:p w:rsidR="007D3598" w:rsidRDefault="00F8547B">
      <w:pPr>
        <w:jc w:val="both"/>
        <w:rPr>
          <w:noProof/>
          <w:szCs w:val="24"/>
          <w:lang w:eastAsia="it-IT"/>
        </w:rPr>
      </w:pPr>
      <w:r>
        <w:rPr>
          <w:noProof/>
          <w:szCs w:val="24"/>
          <w:lang w:eastAsia="it-IT"/>
        </w:rPr>
        <w:t>2) complexity and length of public procurement procedures that delayed implementation, especially the purchasing of patrolling equipment such as vessels, boats, helicopters etc.;</w:t>
      </w:r>
    </w:p>
    <w:p w:rsidR="007D3598" w:rsidRDefault="00F8547B">
      <w:pPr>
        <w:jc w:val="both"/>
        <w:rPr>
          <w:noProof/>
          <w:szCs w:val="24"/>
          <w:lang w:eastAsia="it-IT"/>
        </w:rPr>
      </w:pPr>
      <w:r>
        <w:rPr>
          <w:noProof/>
          <w:szCs w:val="24"/>
          <w:lang w:eastAsia="it-IT"/>
        </w:rPr>
        <w:t>3) administrative burden (i.e. reporting requirements in relation to the ann</w:t>
      </w:r>
      <w:r>
        <w:rPr>
          <w:noProof/>
          <w:szCs w:val="24"/>
          <w:lang w:eastAsia="it-IT"/>
        </w:rPr>
        <w:t>ual accounts) that delayed implementation; and</w:t>
      </w:r>
    </w:p>
    <w:p w:rsidR="007D3598" w:rsidRDefault="00F8547B">
      <w:pPr>
        <w:jc w:val="both"/>
        <w:rPr>
          <w:noProof/>
          <w:szCs w:val="24"/>
          <w:lang w:eastAsia="it-IT"/>
        </w:rPr>
      </w:pPr>
      <w:r>
        <w:rPr>
          <w:noProof/>
          <w:szCs w:val="24"/>
          <w:lang w:eastAsia="it-IT"/>
        </w:rPr>
        <w:t>4) low pre-financing rates, hampering Member States commitment and the payments</w:t>
      </w:r>
      <w:r>
        <w:rPr>
          <w:rStyle w:val="FootnoteReference"/>
          <w:noProof/>
        </w:rPr>
        <w:footnoteReference w:id="105"/>
      </w:r>
      <w:r>
        <w:rPr>
          <w:noProof/>
          <w:szCs w:val="24"/>
          <w:lang w:eastAsia="it-IT"/>
        </w:rPr>
        <w:t>.</w:t>
      </w:r>
    </w:p>
    <w:p w:rsidR="007D3598" w:rsidRDefault="007D3598">
      <w:pPr>
        <w:jc w:val="both"/>
        <w:rPr>
          <w:noProof/>
          <w:szCs w:val="24"/>
          <w:lang w:eastAsia="it-IT"/>
        </w:rPr>
      </w:pPr>
    </w:p>
    <w:p w:rsidR="007D3598" w:rsidRDefault="00F8547B">
      <w:pPr>
        <w:jc w:val="both"/>
        <w:rPr>
          <w:noProof/>
          <w:szCs w:val="24"/>
          <w:lang w:eastAsia="it-IT"/>
        </w:rPr>
      </w:pPr>
      <w:r>
        <w:rPr>
          <w:rFonts w:eastAsiaTheme="minorHAnsi"/>
          <w:noProof/>
        </w:rPr>
        <w:t>Taking into consideration the annual accounts for 2017 submitted by the Member States in mid-February, we can conclude that th</w:t>
      </w:r>
      <w:r>
        <w:rPr>
          <w:rFonts w:eastAsiaTheme="minorHAnsi"/>
          <w:noProof/>
        </w:rPr>
        <w:t>e overall payment rate improved from 12 % to 24 %, with significant improvements noted for Italy, Lithuania, Spain and many other Member States as illustrated in Figure 7.</w:t>
      </w:r>
    </w:p>
    <w:p w:rsidR="007D3598" w:rsidRDefault="007D3598">
      <w:pPr>
        <w:jc w:val="both"/>
        <w:rPr>
          <w:noProof/>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Low levels of costs for human resources were associated with the national programme</w:t>
      </w:r>
      <w:r>
        <w:rPr>
          <w:rFonts w:ascii="Times New Roman" w:hAnsi="Times New Roman"/>
          <w:noProof/>
          <w:sz w:val="24"/>
          <w:lang w:eastAsia="en-GB"/>
        </w:rPr>
        <w:t>s’ implementation (at responsible authority or delegated authority level). In terms of number of full-time equivalents (FTEs) in the responsible authority, delegated authority and audit authority in comparison to the number of projects implemented, the lar</w:t>
      </w:r>
      <w:r>
        <w:rPr>
          <w:rFonts w:ascii="Times New Roman" w:hAnsi="Times New Roman"/>
          <w:noProof/>
          <w:sz w:val="24"/>
          <w:lang w:eastAsia="en-GB"/>
        </w:rPr>
        <w:t xml:space="preserve">ge variation found may suggest that the </w:t>
      </w:r>
      <w:r>
        <w:rPr>
          <w:rFonts w:ascii="Times New Roman" w:hAnsi="Times New Roman"/>
          <w:noProof/>
          <w:sz w:val="24"/>
          <w:szCs w:val="24"/>
          <w:lang w:eastAsia="en-GB"/>
        </w:rPr>
        <w:t>method of award (direct award, call for proposals etc.) and the type of action to be implemented (i.e. specific action or regular project under the national programme) affect the number of FTEs needed.</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On average, 7</w:t>
      </w:r>
      <w:r>
        <w:rPr>
          <w:rFonts w:ascii="Times New Roman" w:hAnsi="Times New Roman"/>
          <w:noProof/>
          <w:sz w:val="24"/>
          <w:szCs w:val="24"/>
          <w:lang w:eastAsia="en-GB"/>
        </w:rPr>
        <w:t>.08 FTEs per Member States have been involved in managing the Fund and have been paid through technical assistance</w:t>
      </w:r>
      <w:r>
        <w:rPr>
          <w:rStyle w:val="FootnoteReference"/>
          <w:rFonts w:ascii="Times New Roman" w:hAnsi="Times New Roman"/>
          <w:noProof/>
          <w:szCs w:val="24"/>
          <w:lang w:eastAsia="en-GB"/>
        </w:rPr>
        <w:footnoteReference w:id="106"/>
      </w:r>
      <w:r>
        <w:rPr>
          <w:rFonts w:ascii="Times New Roman" w:hAnsi="Times New Roman"/>
          <w:noProof/>
          <w:sz w:val="24"/>
          <w:szCs w:val="24"/>
          <w:lang w:eastAsia="en-GB"/>
        </w:rPr>
        <w:t xml:space="preserve"> and/or national budgets, with remarkable differences between the different Member States. For example, at the time, Belgium had 3 FTEs to ma</w:t>
      </w:r>
      <w:r>
        <w:rPr>
          <w:rFonts w:ascii="Times New Roman" w:hAnsi="Times New Roman"/>
          <w:noProof/>
          <w:sz w:val="24"/>
          <w:szCs w:val="24"/>
          <w:lang w:eastAsia="en-GB"/>
        </w:rPr>
        <w:t>nage 27 projects and an allocation for the national programme of EUR 17.5 million, while Italy has involved 14 FTEs in managing 22 projects and an allocation of EUR 156.3 million. Overall, considering the average number of projects implemented by 2017 (12.</w:t>
      </w:r>
      <w:r>
        <w:rPr>
          <w:rFonts w:ascii="Times New Roman" w:hAnsi="Times New Roman"/>
          <w:noProof/>
          <w:sz w:val="24"/>
          <w:szCs w:val="24"/>
          <w:lang w:eastAsia="en-GB"/>
        </w:rPr>
        <w:t>84), an average of 0.55 FTEs was engaged per project.</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Overall, Member States show a growing or stable number of FTEs over the years from 2014 to 2017, except Germany (FTEs decreased in number from 25 to 21) and Malta (FTEs decreased from 13 to 10). On ave</w:t>
      </w:r>
      <w:r>
        <w:rPr>
          <w:rFonts w:ascii="Times New Roman" w:hAnsi="Times New Roman"/>
          <w:noProof/>
          <w:sz w:val="24"/>
          <w:szCs w:val="24"/>
          <w:lang w:eastAsia="en-GB"/>
        </w:rPr>
        <w:t xml:space="preserve">rage, the number of FTEs increased from 2.44 in 2014 to 6.80 in 2016, increasing further in 2017. In addition, considering the ratio between technical assistance, plus the administrative indirect cost, and the amount of the funds claimed for the financial </w:t>
      </w:r>
      <w:r>
        <w:rPr>
          <w:rFonts w:ascii="Times New Roman" w:hAnsi="Times New Roman"/>
          <w:noProof/>
          <w:sz w:val="24"/>
          <w:szCs w:val="24"/>
          <w:lang w:eastAsia="en-GB"/>
        </w:rPr>
        <w:t>year, on average the ratio stood around 1.41. In this regard, the ratio increased significantly over the years from 0.16 in 2015 to 0.67 in 2016, and more than doubled in 2017. Considering the ratio FTE (average)/amount of the funds claimed for the financi</w:t>
      </w:r>
      <w:r>
        <w:rPr>
          <w:rFonts w:ascii="Times New Roman" w:hAnsi="Times New Roman"/>
          <w:noProof/>
          <w:sz w:val="24"/>
          <w:szCs w:val="24"/>
          <w:lang w:eastAsia="en-GB"/>
        </w:rPr>
        <w:t>al year (average), 0.5 FTEs have been involved per million for the implementation of the ISF. In this regard, there has been a significant decrease over the years, dropping from an average of 1.35 FTEs in 2014, to 0.72 FTEs in 2016, with a further decrease</w:t>
      </w:r>
      <w:r>
        <w:rPr>
          <w:rFonts w:ascii="Times New Roman" w:hAnsi="Times New Roman"/>
          <w:noProof/>
          <w:sz w:val="24"/>
          <w:szCs w:val="24"/>
          <w:lang w:eastAsia="en-GB"/>
        </w:rPr>
        <w:t xml:space="preserve"> in 2017 to 0.5 FTEs, leading to decreasing labour intensity of fund management.</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According to stakeholders, some of the success factors that brought efficiency have been the following: </w:t>
      </w:r>
    </w:p>
    <w:p w:rsidR="007D3598" w:rsidRDefault="00F8547B">
      <w:pPr>
        <w:pStyle w:val="Body"/>
        <w:numPr>
          <w:ilvl w:val="0"/>
          <w:numId w:val="90"/>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public agencies, as beneficiaries of the Fund could use their own net</w:t>
      </w:r>
      <w:r>
        <w:rPr>
          <w:rFonts w:ascii="Times New Roman" w:hAnsi="Times New Roman"/>
          <w:noProof/>
          <w:sz w:val="24"/>
          <w:szCs w:val="24"/>
          <w:lang w:eastAsia="en-GB"/>
        </w:rPr>
        <w:t>works to involve additional resources on an ad hoc basis and at no extra cost for the project;</w:t>
      </w:r>
    </w:p>
    <w:p w:rsidR="007D3598" w:rsidRDefault="00F8547B">
      <w:pPr>
        <w:pStyle w:val="Body"/>
        <w:numPr>
          <w:ilvl w:val="0"/>
          <w:numId w:val="90"/>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considerable knowledge and expertise had been gained through experience from previous projects (especially from SOLID and other programmes with multiannual proje</w:t>
      </w:r>
      <w:r>
        <w:rPr>
          <w:rFonts w:ascii="Times New Roman" w:hAnsi="Times New Roman"/>
          <w:noProof/>
          <w:sz w:val="24"/>
          <w:szCs w:val="24"/>
          <w:lang w:eastAsia="en-GB"/>
        </w:rPr>
        <w:t>cts);</w:t>
      </w:r>
    </w:p>
    <w:p w:rsidR="007D3598" w:rsidRDefault="00F8547B">
      <w:pPr>
        <w:pStyle w:val="Body"/>
        <w:numPr>
          <w:ilvl w:val="0"/>
          <w:numId w:val="90"/>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staff were already employed in the organisation; and</w:t>
      </w:r>
    </w:p>
    <w:p w:rsidR="007D3598" w:rsidRDefault="00F8547B">
      <w:pPr>
        <w:pStyle w:val="Body"/>
        <w:numPr>
          <w:ilvl w:val="0"/>
          <w:numId w:val="90"/>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the flexibility of the national programmes (their multiannuality).</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Furthermore national measures concerning the application, implementation, monitoring and reporting processes have been put in pla</w:t>
      </w:r>
      <w:r>
        <w:rPr>
          <w:rFonts w:ascii="Times New Roman" w:hAnsi="Times New Roman"/>
          <w:noProof/>
          <w:sz w:val="24"/>
          <w:szCs w:val="24"/>
          <w:lang w:eastAsia="en-GB"/>
        </w:rPr>
        <w:t>ce in some Member States</w:t>
      </w:r>
      <w:r>
        <w:rPr>
          <w:rStyle w:val="FootnoteReference"/>
          <w:rFonts w:ascii="Times New Roman" w:hAnsi="Times New Roman"/>
          <w:noProof/>
          <w:lang w:eastAsia="en-GB"/>
        </w:rPr>
        <w:footnoteReference w:id="107"/>
      </w:r>
      <w:r>
        <w:rPr>
          <w:rFonts w:ascii="Times New Roman" w:hAnsi="Times New Roman"/>
          <w:noProof/>
          <w:sz w:val="24"/>
          <w:szCs w:val="24"/>
          <w:lang w:eastAsia="en-GB"/>
        </w:rPr>
        <w:t xml:space="preserve"> to ensure efficiency which include some of the following actions:</w:t>
      </w:r>
    </w:p>
    <w:p w:rsidR="007D3598" w:rsidRDefault="00F8547B">
      <w:pPr>
        <w:pStyle w:val="Body"/>
        <w:numPr>
          <w:ilvl w:val="0"/>
          <w:numId w:val="91"/>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administrative and technical project approval procedures;</w:t>
      </w:r>
    </w:p>
    <w:p w:rsidR="007D3598" w:rsidRDefault="00F8547B">
      <w:pPr>
        <w:pStyle w:val="Body"/>
        <w:numPr>
          <w:ilvl w:val="0"/>
          <w:numId w:val="91"/>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procedures to assess appropriateness of expenditure;</w:t>
      </w:r>
    </w:p>
    <w:p w:rsidR="007D3598" w:rsidRDefault="00F8547B">
      <w:pPr>
        <w:pStyle w:val="Body"/>
        <w:numPr>
          <w:ilvl w:val="0"/>
          <w:numId w:val="91"/>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responsible authority project monitoring mechanisms; </w:t>
      </w:r>
      <w:r>
        <w:rPr>
          <w:rFonts w:ascii="Times New Roman" w:hAnsi="Times New Roman"/>
          <w:noProof/>
          <w:sz w:val="24"/>
          <w:szCs w:val="24"/>
          <w:lang w:eastAsia="en-GB"/>
        </w:rPr>
        <w:t>and</w:t>
      </w:r>
    </w:p>
    <w:p w:rsidR="007D3598" w:rsidRDefault="00F8547B">
      <w:pPr>
        <w:pStyle w:val="Body"/>
        <w:numPr>
          <w:ilvl w:val="0"/>
          <w:numId w:val="91"/>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national coordination mechanisms. </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There are also a number of issues that Member States believe negatively affect efficiency and these are: </w:t>
      </w:r>
    </w:p>
    <w:p w:rsidR="007D3598" w:rsidRDefault="00F8547B">
      <w:pPr>
        <w:pStyle w:val="Body"/>
        <w:numPr>
          <w:ilvl w:val="0"/>
          <w:numId w:val="92"/>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the requirement to allocate minimum percentages among national objectives</w:t>
      </w:r>
      <w:r>
        <w:rPr>
          <w:rStyle w:val="FootnoteReference"/>
          <w:rFonts w:ascii="Times New Roman" w:hAnsi="Times New Roman"/>
          <w:noProof/>
          <w:color w:val="000000"/>
          <w:lang w:eastAsia="en-GB"/>
        </w:rPr>
        <w:footnoteReference w:id="108"/>
      </w:r>
      <w:r>
        <w:rPr>
          <w:rFonts w:ascii="Times New Roman" w:hAnsi="Times New Roman"/>
          <w:noProof/>
          <w:sz w:val="24"/>
          <w:szCs w:val="24"/>
          <w:lang w:eastAsia="en-GB"/>
        </w:rPr>
        <w:t>;</w:t>
      </w:r>
    </w:p>
    <w:p w:rsidR="007D3598" w:rsidRDefault="00F8547B">
      <w:pPr>
        <w:pStyle w:val="Body"/>
        <w:numPr>
          <w:ilvl w:val="0"/>
          <w:numId w:val="92"/>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complex and recurrent reports</w:t>
      </w:r>
      <w:r>
        <w:rPr>
          <w:rStyle w:val="FootnoteReference"/>
          <w:rFonts w:ascii="Times New Roman" w:hAnsi="Times New Roman"/>
          <w:noProof/>
          <w:color w:val="000000"/>
          <w:lang w:eastAsia="en-GB"/>
        </w:rPr>
        <w:footnoteReference w:id="109"/>
      </w:r>
      <w:r>
        <w:rPr>
          <w:rFonts w:ascii="Times New Roman" w:hAnsi="Times New Roman"/>
          <w:noProof/>
          <w:sz w:val="24"/>
          <w:szCs w:val="24"/>
          <w:lang w:eastAsia="en-GB"/>
        </w:rPr>
        <w:t>;</w:t>
      </w:r>
    </w:p>
    <w:p w:rsidR="007D3598" w:rsidRDefault="00F8547B">
      <w:pPr>
        <w:pStyle w:val="Body"/>
        <w:numPr>
          <w:ilvl w:val="0"/>
          <w:numId w:val="92"/>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common indicators</w:t>
      </w:r>
      <w:r>
        <w:rPr>
          <w:rStyle w:val="FootnoteReference"/>
          <w:rFonts w:ascii="Times New Roman" w:hAnsi="Times New Roman"/>
          <w:noProof/>
        </w:rPr>
        <w:footnoteReference w:id="110"/>
      </w:r>
      <w:r>
        <w:rPr>
          <w:rFonts w:ascii="Times New Roman" w:hAnsi="Times New Roman"/>
          <w:noProof/>
          <w:sz w:val="24"/>
          <w:szCs w:val="24"/>
          <w:lang w:eastAsia="en-GB"/>
        </w:rPr>
        <w:t xml:space="preserve">: and </w:t>
      </w:r>
    </w:p>
    <w:p w:rsidR="007D3598" w:rsidRDefault="00F8547B">
      <w:pPr>
        <w:pStyle w:val="Body"/>
        <w:numPr>
          <w:ilvl w:val="0"/>
          <w:numId w:val="92"/>
        </w:numPr>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the alignment of monitoring calendars</w:t>
      </w:r>
      <w:r>
        <w:rPr>
          <w:rStyle w:val="FootnoteReference"/>
          <w:rFonts w:ascii="Times New Roman" w:hAnsi="Times New Roman"/>
          <w:noProof/>
        </w:rPr>
        <w:footnoteReference w:id="111"/>
      </w:r>
      <w:r>
        <w:rPr>
          <w:rFonts w:ascii="Times New Roman" w:hAnsi="Times New Roman"/>
          <w:noProof/>
          <w:sz w:val="24"/>
          <w:szCs w:val="24"/>
          <w:lang w:eastAsia="en-GB"/>
        </w:rPr>
        <w:t>.</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lang w:eastAsia="en-GB"/>
        </w:rPr>
      </w:pPr>
      <w:r>
        <w:rPr>
          <w:rFonts w:ascii="Times New Roman" w:hAnsi="Times New Roman"/>
          <w:noProof/>
          <w:sz w:val="24"/>
          <w:lang w:eastAsia="en-GB"/>
        </w:rPr>
        <w:t>Measures put in place to prevent, detect, report and follow-up cases of suspected fraud and other irregularities include:</w:t>
      </w:r>
    </w:p>
    <w:p w:rsidR="007D3598" w:rsidRDefault="00F8547B">
      <w:pPr>
        <w:pStyle w:val="Body"/>
        <w:numPr>
          <w:ilvl w:val="0"/>
          <w:numId w:val="62"/>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on the side of prevention:</w:t>
      </w:r>
    </w:p>
    <w:p w:rsidR="007D3598" w:rsidRDefault="00F8547B">
      <w:pPr>
        <w:pStyle w:val="Body"/>
        <w:numPr>
          <w:ilvl w:val="0"/>
          <w:numId w:val="93"/>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careful examination of project applicatio</w:t>
      </w:r>
      <w:r>
        <w:rPr>
          <w:rFonts w:ascii="Times New Roman" w:hAnsi="Times New Roman"/>
          <w:noProof/>
          <w:sz w:val="24"/>
          <w:lang w:eastAsia="en-GB"/>
        </w:rPr>
        <w:t>ns;</w:t>
      </w:r>
    </w:p>
    <w:p w:rsidR="007D3598" w:rsidRDefault="00F8547B">
      <w:pPr>
        <w:pStyle w:val="Body"/>
        <w:numPr>
          <w:ilvl w:val="0"/>
          <w:numId w:val="93"/>
        </w:numPr>
        <w:spacing w:before="0" w:after="0" w:line="240" w:lineRule="auto"/>
        <w:jc w:val="both"/>
        <w:rPr>
          <w:rFonts w:ascii="Times New Roman" w:hAnsi="Times New Roman"/>
          <w:noProof/>
          <w:sz w:val="24"/>
          <w:szCs w:val="24"/>
          <w:lang w:eastAsia="en-GB"/>
        </w:rPr>
      </w:pPr>
      <w:r>
        <w:rPr>
          <w:rFonts w:ascii="Times New Roman" w:hAnsi="Times New Roman"/>
          <w:i/>
          <w:noProof/>
          <w:sz w:val="24"/>
          <w:lang w:eastAsia="en-GB"/>
        </w:rPr>
        <w:t>ex ante</w:t>
      </w:r>
      <w:r>
        <w:rPr>
          <w:rFonts w:ascii="Times New Roman" w:hAnsi="Times New Roman"/>
          <w:noProof/>
          <w:sz w:val="24"/>
          <w:lang w:eastAsia="en-GB"/>
        </w:rPr>
        <w:t xml:space="preserve"> public procurement control systems;</w:t>
      </w:r>
    </w:p>
    <w:p w:rsidR="007D3598" w:rsidRDefault="00F8547B">
      <w:pPr>
        <w:pStyle w:val="Body"/>
        <w:numPr>
          <w:ilvl w:val="0"/>
          <w:numId w:val="93"/>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risk analyses by the responsible authority/delegated authority;</w:t>
      </w:r>
    </w:p>
    <w:p w:rsidR="007D3598" w:rsidRDefault="00F8547B">
      <w:pPr>
        <w:pStyle w:val="Body"/>
        <w:numPr>
          <w:ilvl w:val="0"/>
          <w:numId w:val="93"/>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training courses on fraud prevention or fraud risk management;</w:t>
      </w:r>
    </w:p>
    <w:p w:rsidR="007D3598" w:rsidRDefault="00F8547B">
      <w:pPr>
        <w:pStyle w:val="Body"/>
        <w:numPr>
          <w:ilvl w:val="0"/>
          <w:numId w:val="93"/>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provision of guidance tools; and</w:t>
      </w:r>
    </w:p>
    <w:p w:rsidR="007D3598" w:rsidRDefault="00F8547B">
      <w:pPr>
        <w:pStyle w:val="Body"/>
        <w:numPr>
          <w:ilvl w:val="0"/>
          <w:numId w:val="93"/>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regular communication between projects and respo</w:t>
      </w:r>
      <w:r>
        <w:rPr>
          <w:rFonts w:ascii="Times New Roman" w:hAnsi="Times New Roman"/>
          <w:noProof/>
          <w:sz w:val="24"/>
          <w:lang w:eastAsia="en-GB"/>
        </w:rPr>
        <w:t>nsible authority staff;</w:t>
      </w:r>
    </w:p>
    <w:p w:rsidR="007D3598" w:rsidRDefault="00F8547B">
      <w:pPr>
        <w:pStyle w:val="Body"/>
        <w:numPr>
          <w:ilvl w:val="0"/>
          <w:numId w:val="62"/>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on the side of detection :</w:t>
      </w:r>
    </w:p>
    <w:p w:rsidR="007D3598" w:rsidRDefault="00F8547B">
      <w:pPr>
        <w:pStyle w:val="Body"/>
        <w:numPr>
          <w:ilvl w:val="0"/>
          <w:numId w:val="94"/>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administrative control checks;</w:t>
      </w:r>
    </w:p>
    <w:p w:rsidR="007D3598" w:rsidRDefault="00F8547B">
      <w:pPr>
        <w:pStyle w:val="Body"/>
        <w:numPr>
          <w:ilvl w:val="0"/>
          <w:numId w:val="94"/>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operational on-the-spot checks;</w:t>
      </w:r>
    </w:p>
    <w:p w:rsidR="007D3598" w:rsidRDefault="00F8547B">
      <w:pPr>
        <w:pStyle w:val="Body"/>
        <w:numPr>
          <w:ilvl w:val="0"/>
          <w:numId w:val="94"/>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financial on-the-spot checks; and</w:t>
      </w:r>
    </w:p>
    <w:p w:rsidR="007D3598" w:rsidRDefault="00F8547B">
      <w:pPr>
        <w:pStyle w:val="Body"/>
        <w:numPr>
          <w:ilvl w:val="0"/>
          <w:numId w:val="94"/>
        </w:numPr>
        <w:spacing w:before="0" w:after="0" w:line="240" w:lineRule="auto"/>
        <w:jc w:val="both"/>
        <w:rPr>
          <w:rFonts w:ascii="Times New Roman" w:hAnsi="Times New Roman"/>
          <w:noProof/>
          <w:sz w:val="24"/>
          <w:szCs w:val="24"/>
          <w:lang w:eastAsia="en-GB"/>
        </w:rPr>
      </w:pPr>
      <w:r>
        <w:rPr>
          <w:rFonts w:ascii="Times New Roman" w:hAnsi="Times New Roman"/>
          <w:i/>
          <w:noProof/>
          <w:sz w:val="24"/>
          <w:lang w:eastAsia="en-GB"/>
        </w:rPr>
        <w:t>ex post</w:t>
      </w:r>
      <w:r>
        <w:rPr>
          <w:rFonts w:ascii="Times New Roman" w:hAnsi="Times New Roman"/>
          <w:noProof/>
          <w:sz w:val="24"/>
          <w:lang w:eastAsia="en-GB"/>
        </w:rPr>
        <w:t xml:space="preserve"> audits;</w:t>
      </w:r>
    </w:p>
    <w:p w:rsidR="007D3598" w:rsidRDefault="00F8547B">
      <w:pPr>
        <w:pStyle w:val="Body"/>
        <w:numPr>
          <w:ilvl w:val="0"/>
          <w:numId w:val="62"/>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on the side of reporting and follow-up:</w:t>
      </w:r>
    </w:p>
    <w:p w:rsidR="007D3598" w:rsidRDefault="00F8547B">
      <w:pPr>
        <w:pStyle w:val="Body"/>
        <w:numPr>
          <w:ilvl w:val="0"/>
          <w:numId w:val="95"/>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implementation of communication instruments;</w:t>
      </w:r>
    </w:p>
    <w:p w:rsidR="007D3598" w:rsidRDefault="00F8547B">
      <w:pPr>
        <w:pStyle w:val="Body"/>
        <w:numPr>
          <w:ilvl w:val="0"/>
          <w:numId w:val="95"/>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establishment of procedures for reporting suspected fraud; and</w:t>
      </w:r>
    </w:p>
    <w:p w:rsidR="007D3598" w:rsidRDefault="00F8547B">
      <w:pPr>
        <w:pStyle w:val="Body"/>
        <w:numPr>
          <w:ilvl w:val="0"/>
          <w:numId w:val="95"/>
        </w:numPr>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establishment of procedures for corrective and deterrent measures.</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The majority of Member States claims that the anti-fraud measures are appropriate and effective, stating that stringent mecha</w:t>
      </w:r>
      <w:r>
        <w:rPr>
          <w:rFonts w:ascii="Times New Roman" w:hAnsi="Times New Roman"/>
          <w:noProof/>
          <w:sz w:val="24"/>
          <w:szCs w:val="24"/>
          <w:lang w:eastAsia="en-GB"/>
        </w:rPr>
        <w:t xml:space="preserve">nisms ensure the effective prevention of fraud and irregularities. Experience suggests, however, that there is always a potential trade-off between the procedures in place to prevent fraud and irregularities and the Fund’s overall efficiency, in the sense </w:t>
      </w:r>
      <w:r>
        <w:rPr>
          <w:rFonts w:ascii="Times New Roman" w:hAnsi="Times New Roman"/>
          <w:noProof/>
          <w:sz w:val="24"/>
          <w:szCs w:val="24"/>
          <w:lang w:eastAsia="en-GB"/>
        </w:rPr>
        <w:t>that measures can be seen as very effective for preventing fraud, but they are not necessarily very efficient from a management perspective.</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i/>
          <w:noProof/>
          <w:sz w:val="24"/>
          <w:szCs w:val="24"/>
          <w:lang w:eastAsia="en-GB"/>
        </w:rPr>
      </w:pPr>
      <w:r>
        <w:rPr>
          <w:rFonts w:ascii="Times New Roman" w:hAnsi="Times New Roman"/>
          <w:i/>
          <w:noProof/>
          <w:sz w:val="24"/>
          <w:szCs w:val="24"/>
          <w:lang w:eastAsia="en-GB"/>
        </w:rPr>
        <w:t>Direct management</w:t>
      </w:r>
    </w:p>
    <w:p w:rsidR="007D3598" w:rsidRDefault="007D3598">
      <w:pPr>
        <w:pStyle w:val="Body"/>
        <w:spacing w:before="0" w:after="0" w:line="240" w:lineRule="auto"/>
        <w:jc w:val="both"/>
        <w:rPr>
          <w:rFonts w:ascii="Times New Roman" w:hAnsi="Times New Roman"/>
          <w:i/>
          <w:noProof/>
          <w:sz w:val="24"/>
          <w:szCs w:val="24"/>
          <w:lang w:eastAsia="en-GB"/>
        </w:rPr>
      </w:pPr>
      <w:bookmarkStart w:id="823" w:name="_Toc503465896"/>
      <w:bookmarkStart w:id="824" w:name="_Toc504475722"/>
      <w:bookmarkStart w:id="825" w:name="_Ref504566537"/>
      <w:bookmarkStart w:id="826" w:name="_Toc506393763"/>
      <w:bookmarkStart w:id="827" w:name="_Toc506475217"/>
      <w:bookmarkStart w:id="828" w:name="_Toc506478835"/>
      <w:bookmarkStart w:id="829" w:name="_Toc506479787"/>
      <w:bookmarkStart w:id="830" w:name="_Toc506483925"/>
      <w:bookmarkStart w:id="831" w:name="_Toc506529850"/>
      <w:bookmarkStart w:id="832" w:name="_Toc506531971"/>
      <w:bookmarkStart w:id="833" w:name="_Toc507083610"/>
      <w:bookmarkEnd w:id="823"/>
      <w:bookmarkEnd w:id="824"/>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Regarding the 7 action grants awarded under the UAs, none of them had been completed by 30 June</w:t>
      </w:r>
      <w:r>
        <w:rPr>
          <w:rFonts w:ascii="Times New Roman" w:hAnsi="Times New Roman"/>
          <w:noProof/>
          <w:sz w:val="24"/>
          <w:szCs w:val="24"/>
          <w:lang w:eastAsia="en-GB"/>
        </w:rPr>
        <w:t xml:space="preserve"> 2017 and only 7 out of 46 EMAS actions had been finalised in the corresponding period. Consequently, their overall implementation rate is very low and it is too premature to reach any conclusions on their efficiency. However, it is worthwhile noting that </w:t>
      </w:r>
      <w:r>
        <w:rPr>
          <w:rFonts w:ascii="Times New Roman" w:hAnsi="Times New Roman"/>
          <w:noProof/>
          <w:sz w:val="24"/>
          <w:szCs w:val="24"/>
          <w:lang w:eastAsia="en-GB"/>
        </w:rPr>
        <w:t>for the seven completed EMAS actions the implementation rate was close to 100 %. As for procurement, which constitutes 19 % of UAs, its implementation follows the relevant Commission procedures and is considered to be efficient.</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The human resources at the</w:t>
      </w:r>
      <w:r>
        <w:rPr>
          <w:rFonts w:ascii="Times New Roman" w:hAnsi="Times New Roman"/>
          <w:noProof/>
          <w:sz w:val="24"/>
          <w:szCs w:val="24"/>
          <w:lang w:eastAsia="en-GB"/>
        </w:rPr>
        <w:t xml:space="preserve"> EU level have only slightly increased, despite the large increase in value of the EMAS and the emergency situation on the ground following the migration crisis, and the need to closely follow-up and assist those Member States under pressure while implemen</w:t>
      </w:r>
      <w:r>
        <w:rPr>
          <w:rFonts w:ascii="Times New Roman" w:hAnsi="Times New Roman"/>
          <w:noProof/>
          <w:sz w:val="24"/>
          <w:szCs w:val="24"/>
          <w:lang w:eastAsia="en-GB"/>
        </w:rPr>
        <w:t>ting their respective national programme. These factors have put an enormous strain on the Commission’s services.</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No data was available at the time of performing this interim evaluation on actions under indirect management.</w:t>
      </w:r>
    </w:p>
    <w:p w:rsidR="007D3598" w:rsidRDefault="007D3598">
      <w:pPr>
        <w:jc w:val="both"/>
        <w:rPr>
          <w:noProof/>
        </w:rPr>
      </w:pPr>
    </w:p>
    <w:p w:rsidR="007D3598" w:rsidRDefault="007D3598">
      <w:pPr>
        <w:jc w:val="both"/>
        <w:rPr>
          <w:noProof/>
          <w:szCs w:val="24"/>
          <w:lang w:eastAsia="en-GB"/>
        </w:rPr>
      </w:pPr>
    </w:p>
    <w:p w:rsidR="007D3598" w:rsidRDefault="00F8547B">
      <w:pPr>
        <w:pStyle w:val="HH2"/>
        <w:spacing w:before="0" w:after="0"/>
        <w:contextualSpacing w:val="0"/>
        <w:rPr>
          <w:noProof/>
        </w:rPr>
      </w:pPr>
      <w:bookmarkStart w:id="834" w:name="_Toc506393767"/>
      <w:bookmarkStart w:id="835" w:name="_Toc506475221"/>
      <w:bookmarkStart w:id="836" w:name="_Toc506478839"/>
      <w:bookmarkStart w:id="837" w:name="_Toc506479791"/>
      <w:bookmarkStart w:id="838" w:name="_Toc506483929"/>
      <w:bookmarkStart w:id="839" w:name="_Toc506529854"/>
      <w:bookmarkStart w:id="840" w:name="_Toc506531975"/>
      <w:bookmarkStart w:id="841" w:name="_Toc507083614"/>
      <w:bookmarkStart w:id="842" w:name="_Toc508279334"/>
      <w:bookmarkStart w:id="843" w:name="_Toc508369318"/>
      <w:bookmarkStart w:id="844" w:name="_Toc508375529"/>
      <w:bookmarkStart w:id="845" w:name="_Toc508715380"/>
      <w:bookmarkStart w:id="846" w:name="_Toc508975886"/>
      <w:bookmarkStart w:id="847" w:name="_Toc515270146"/>
      <w:bookmarkStart w:id="848" w:name="_Toc508279330"/>
      <w:bookmarkStart w:id="849" w:name="_Toc508369314"/>
      <w:bookmarkStart w:id="850" w:name="_Toc508375525"/>
      <w:bookmarkStart w:id="851" w:name="_Toc508715376"/>
      <w:bookmarkStart w:id="852" w:name="_Toc508975882"/>
      <w:r>
        <w:rPr>
          <w:noProof/>
        </w:rPr>
        <w:t>How much simplification and r</w:t>
      </w:r>
      <w:r>
        <w:rPr>
          <w:noProof/>
        </w:rPr>
        <w:t>eductions of administrative burden has ISF-BV brought so far?</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rsidR="007D3598" w:rsidRDefault="007D3598">
      <w:pPr>
        <w:pStyle w:val="Text2"/>
        <w:ind w:left="0"/>
        <w:rPr>
          <w:noProof/>
        </w:rPr>
      </w:pPr>
    </w:p>
    <w:p w:rsidR="007D3598" w:rsidRDefault="00F8547B">
      <w:pPr>
        <w:pStyle w:val="Text2"/>
        <w:ind w:left="0"/>
        <w:jc w:val="both"/>
        <w:rPr>
          <w:noProof/>
        </w:rPr>
      </w:pPr>
      <w:r>
        <w:rPr>
          <w:noProof/>
        </w:rPr>
        <w:t xml:space="preserve">The interim evaluation of the Fund proved that progress has been made in simplifying procedures for the beneficiaries under shared management with some room for improvement noted in relation to simplified cost options and the perceived high administrative </w:t>
      </w:r>
      <w:r>
        <w:rPr>
          <w:noProof/>
        </w:rPr>
        <w:t xml:space="preserve">burden. </w:t>
      </w:r>
      <w:bookmarkStart w:id="853" w:name="_Toc499543644"/>
      <w:bookmarkStart w:id="854" w:name="_Toc499549904"/>
      <w:r>
        <w:rPr>
          <w:noProof/>
        </w:rPr>
        <w:t>Beneficiaries under direct management benefited from increased simplification of procedures. Nonetheless, it is difficult to quantify how much simplification was brought by the ISF-BV overall. Therefore, a qualitative assessment has been made.</w:t>
      </w:r>
    </w:p>
    <w:p w:rsidR="007D3598" w:rsidRDefault="00F8547B">
      <w:pPr>
        <w:pStyle w:val="Text2"/>
        <w:ind w:left="0"/>
        <w:jc w:val="both"/>
        <w:rPr>
          <w:noProof/>
        </w:rPr>
      </w:pPr>
      <w:r>
        <w:rPr>
          <w:rFonts w:eastAsiaTheme="minorHAnsi"/>
          <w:noProof/>
          <w:szCs w:val="24"/>
          <w:lang w:eastAsia="en-GB"/>
        </w:rPr>
        <mc:AlternateContent>
          <mc:Choice Requires="wps">
            <w:drawing>
              <wp:anchor distT="0" distB="0" distL="114300" distR="114300" simplePos="0" relativeHeight="251667456" behindDoc="0" locked="0" layoutInCell="1" allowOverlap="1" wp14:anchorId="36ECFCA0" wp14:editId="3CA466B5">
                <wp:simplePos x="0" y="0"/>
                <wp:positionH relativeFrom="column">
                  <wp:posOffset>0</wp:posOffset>
                </wp:positionH>
                <wp:positionV relativeFrom="paragraph">
                  <wp:posOffset>173990</wp:posOffset>
                </wp:positionV>
                <wp:extent cx="6090285" cy="1208405"/>
                <wp:effectExtent l="0" t="0" r="24765" b="10795"/>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208405"/>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w:t>
                            </w:r>
                            <w:r>
                              <w:rPr>
                                <w:rFonts w:cs="EC Square Sans Pro"/>
                                <w:b/>
                                <w:color w:val="000000"/>
                                <w:szCs w:val="24"/>
                              </w:rPr>
                              <w:t>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rPr>
                              <w:t xml:space="preserve">A number of measures that aimed to simplify management procedures and reduce administrative burden have been put in place. Despite these measures, Member States still perceive administrative burden as being high and the implementation of the </w:t>
                            </w:r>
                            <w:r>
                              <w:rPr>
                                <w:rFonts w:ascii="Times New Roman" w:hAnsi="Times New Roman"/>
                                <w:sz w:val="24"/>
                              </w:rPr>
                              <w:t xml:space="preserve">simplified cost options as problematic. </w:t>
                            </w:r>
                            <w:r>
                              <w:rPr>
                                <w:rFonts w:ascii="Times New Roman" w:hAnsi="Times New Roman"/>
                                <w:sz w:val="24"/>
                                <w:szCs w:val="24"/>
                              </w:rPr>
                              <w:t>Increased simplification has been noted under direct management.</w:t>
                            </w:r>
                            <w:r>
                              <w:rPr>
                                <w:rFonts w:ascii="Times New Roman" w:hAnsi="Times New Roman"/>
                                <w:sz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3.7pt;width:479.55pt;height:9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" strokecolor="#4f81bd [3204]" strokeweight="1.5pt">
                <v:textbox>
                  <w:txbxContent>
                    <w:p w:rsidR="007D3598" w:rsidRDefault="00F8547B">
                      <w:pPr>
                        <w:jc w:val="both"/>
                        <w:rPr>
                          <w:rFonts w:cs="EC Square Sans Pro"/>
                          <w:b/>
                          <w:color w:val="000000"/>
                          <w:szCs w:val="24"/>
                        </w:rPr>
                      </w:pPr>
                      <w:r>
                        <w:rPr>
                          <w:rFonts w:cs="EC Square Sans Pro"/>
                          <w:b/>
                          <w:color w:val="000000"/>
                          <w:szCs w:val="24"/>
                        </w:rPr>
                        <w:t>I</w:t>
                      </w:r>
                      <w:r>
                        <w:rPr>
                          <w:rFonts w:cs="EC Square Sans Pro"/>
                          <w:b/>
                          <w:color w:val="000000"/>
                          <w:szCs w:val="24"/>
                        </w:rPr>
                        <w:t>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rPr>
                        <w:t xml:space="preserve">A number of measures that aimed to simplify management procedures and reduce administrative burden have been put in place. Despite these measures, Member States still perceive administrative burden as being high and the implementation of the </w:t>
                      </w:r>
                      <w:r>
                        <w:rPr>
                          <w:rFonts w:ascii="Times New Roman" w:hAnsi="Times New Roman"/>
                          <w:sz w:val="24"/>
                        </w:rPr>
                        <w:t xml:space="preserve">simplified cost options as problematic. </w:t>
                      </w:r>
                      <w:r>
                        <w:rPr>
                          <w:rFonts w:ascii="Times New Roman" w:hAnsi="Times New Roman"/>
                          <w:sz w:val="24"/>
                          <w:szCs w:val="24"/>
                        </w:rPr>
                        <w:t>Increased simplification has been noted under direct management.</w:t>
                      </w:r>
                      <w:r>
                        <w:rPr>
                          <w:rFonts w:ascii="Times New Roman" w:hAnsi="Times New Roman"/>
                          <w:sz w:val="24"/>
                        </w:rPr>
                        <w:t xml:space="preserve"> </w:t>
                      </w:r>
                    </w:p>
                  </w:txbxContent>
                </v:textbox>
                <w10:wrap type="topAndBottom"/>
              </v:shape>
            </w:pict>
          </mc:Fallback>
        </mc:AlternateContent>
      </w:r>
    </w:p>
    <w:p w:rsidR="007D3598" w:rsidRDefault="00F8547B">
      <w:pPr>
        <w:pStyle w:val="Body"/>
        <w:spacing w:before="0" w:after="0" w:line="240" w:lineRule="auto"/>
        <w:jc w:val="both"/>
        <w:rPr>
          <w:rFonts w:ascii="Times New Roman" w:hAnsi="Times New Roman"/>
          <w:i/>
          <w:noProof/>
          <w:sz w:val="24"/>
          <w:szCs w:val="24"/>
        </w:rPr>
      </w:pPr>
      <w:r>
        <w:rPr>
          <w:rFonts w:ascii="Times New Roman" w:hAnsi="Times New Roman"/>
          <w:i/>
          <w:noProof/>
          <w:sz w:val="24"/>
          <w:szCs w:val="24"/>
        </w:rPr>
        <w:t>Shared management</w:t>
      </w:r>
    </w:p>
    <w:p w:rsidR="007D3598" w:rsidRDefault="007D3598">
      <w:pPr>
        <w:pStyle w:val="Body"/>
        <w:spacing w:before="0" w:after="0" w:line="240" w:lineRule="auto"/>
        <w:jc w:val="both"/>
        <w:rPr>
          <w:rFonts w:ascii="Times New Roman" w:hAnsi="Times New Roman"/>
          <w:i/>
          <w:noProof/>
          <w:sz w:val="24"/>
          <w:szCs w:val="24"/>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rPr>
        <w:t xml:space="preserve">The EBF </w:t>
      </w:r>
      <w:r>
        <w:rPr>
          <w:rFonts w:ascii="Times New Roman" w:hAnsi="Times New Roman"/>
          <w:i/>
          <w:noProof/>
          <w:sz w:val="24"/>
          <w:szCs w:val="24"/>
        </w:rPr>
        <w:t>ex post</w:t>
      </w:r>
      <w:r>
        <w:rPr>
          <w:rFonts w:ascii="Times New Roman" w:hAnsi="Times New Roman"/>
          <w:noProof/>
          <w:sz w:val="24"/>
          <w:szCs w:val="24"/>
        </w:rPr>
        <w:t xml:space="preserve"> evaluation</w:t>
      </w:r>
      <w:r>
        <w:rPr>
          <w:rStyle w:val="FootnoteReference"/>
          <w:rFonts w:ascii="Times New Roman" w:hAnsi="Times New Roman"/>
          <w:noProof/>
          <w:sz w:val="24"/>
          <w:szCs w:val="24"/>
        </w:rPr>
        <w:footnoteReference w:id="112"/>
      </w:r>
      <w:r>
        <w:rPr>
          <w:rFonts w:ascii="Times New Roman" w:hAnsi="Times New Roman"/>
          <w:noProof/>
          <w:sz w:val="24"/>
          <w:szCs w:val="24"/>
          <w:lang w:eastAsia="en-GB"/>
        </w:rPr>
        <w:t xml:space="preserve"> raised some efficiency issues also connected to simplification matters (i.e. the short terms of the programming cycle, the need to ascribe long-standing investments related to a multiannual programming framework to specific annual programmes). The Commiss</w:t>
      </w:r>
      <w:r>
        <w:rPr>
          <w:rFonts w:ascii="Times New Roman" w:hAnsi="Times New Roman"/>
          <w:noProof/>
          <w:sz w:val="24"/>
          <w:szCs w:val="24"/>
          <w:lang w:eastAsia="en-GB"/>
        </w:rPr>
        <w:t xml:space="preserve">ion Staff Working Paper — Impact Assessment for </w:t>
      </w:r>
      <w:r>
        <w:rPr>
          <w:rFonts w:ascii="Times New Roman" w:hAnsi="Times New Roman"/>
          <w:noProof/>
          <w:sz w:val="24"/>
          <w:lang w:eastAsia="en-GB"/>
        </w:rPr>
        <w:t>AMIF and ISF</w:t>
      </w:r>
      <w:r>
        <w:rPr>
          <w:rFonts w:ascii="Times New Roman" w:hAnsi="Times New Roman"/>
          <w:noProof/>
          <w:sz w:val="24"/>
        </w:rPr>
        <w:t xml:space="preserve"> recommended the introduction of the following components in order </w:t>
      </w:r>
      <w:r>
        <w:rPr>
          <w:rFonts w:ascii="Times New Roman" w:hAnsi="Times New Roman"/>
          <w:noProof/>
          <w:sz w:val="24"/>
          <w:szCs w:val="24"/>
          <w:lang w:eastAsia="en-GB"/>
        </w:rPr>
        <w:t xml:space="preserve">to increase simplification of management procedures and reduce administrative burden: </w:t>
      </w: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1) limiting </w:t>
      </w:r>
      <w:r>
        <w:rPr>
          <w:rFonts w:ascii="Times New Roman" w:hAnsi="Times New Roman"/>
          <w:noProof/>
          <w:sz w:val="24"/>
          <w:lang w:eastAsia="en-GB"/>
        </w:rPr>
        <w:t>the number of financial instru</w:t>
      </w:r>
      <w:r>
        <w:rPr>
          <w:rFonts w:ascii="Times New Roman" w:hAnsi="Times New Roman"/>
          <w:noProof/>
          <w:sz w:val="24"/>
          <w:lang w:eastAsia="en-GB"/>
        </w:rPr>
        <w:t xml:space="preserve">ments to a </w:t>
      </w:r>
      <w:r>
        <w:rPr>
          <w:rFonts w:ascii="Times New Roman" w:hAnsi="Times New Roman"/>
          <w:b/>
          <w:noProof/>
          <w:sz w:val="24"/>
          <w:lang w:eastAsia="en-GB"/>
        </w:rPr>
        <w:t>two-f</w:t>
      </w:r>
      <w:r>
        <w:rPr>
          <w:rFonts w:ascii="Times New Roman" w:hAnsi="Times New Roman"/>
          <w:b/>
          <w:noProof/>
          <w:sz w:val="24"/>
          <w:szCs w:val="24"/>
          <w:lang w:eastAsia="en-GB"/>
        </w:rPr>
        <w:t>und structure</w:t>
      </w:r>
      <w:r>
        <w:rPr>
          <w:rFonts w:ascii="Times New Roman" w:hAnsi="Times New Roman"/>
          <w:noProof/>
          <w:sz w:val="24"/>
          <w:szCs w:val="24"/>
          <w:lang w:eastAsia="en-GB"/>
        </w:rPr>
        <w:t>;</w:t>
      </w: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2) </w:t>
      </w:r>
      <w:r>
        <w:rPr>
          <w:rFonts w:ascii="Times New Roman" w:hAnsi="Times New Roman"/>
          <w:noProof/>
          <w:sz w:val="24"/>
          <w:lang w:eastAsia="en-GB"/>
        </w:rPr>
        <w:t>setting up a common, underpinning instrument, laying down uniform rules and procedures under both Funds (</w:t>
      </w:r>
      <w:r>
        <w:rPr>
          <w:rFonts w:ascii="Times New Roman" w:hAnsi="Times New Roman"/>
          <w:b/>
          <w:noProof/>
          <w:sz w:val="24"/>
          <w:szCs w:val="24"/>
          <w:lang w:eastAsia="en-GB"/>
        </w:rPr>
        <w:t>Horizontal Regulation</w:t>
      </w:r>
      <w:r>
        <w:rPr>
          <w:rFonts w:ascii="Times New Roman" w:hAnsi="Times New Roman"/>
          <w:noProof/>
          <w:sz w:val="24"/>
          <w:szCs w:val="24"/>
          <w:lang w:eastAsia="en-GB"/>
        </w:rPr>
        <w:t>); and</w:t>
      </w: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lang w:eastAsia="en-GB"/>
        </w:rPr>
        <w:t xml:space="preserve">3) a </w:t>
      </w:r>
      <w:r>
        <w:rPr>
          <w:rFonts w:ascii="Times New Roman" w:hAnsi="Times New Roman"/>
          <w:b/>
          <w:noProof/>
          <w:sz w:val="24"/>
          <w:szCs w:val="24"/>
          <w:lang w:eastAsia="en-GB"/>
        </w:rPr>
        <w:t>multiannual programming cycle</w:t>
      </w:r>
      <w:r>
        <w:rPr>
          <w:rStyle w:val="FootnoteReference"/>
          <w:rFonts w:ascii="Times New Roman" w:hAnsi="Times New Roman"/>
          <w:noProof/>
          <w:color w:val="000000"/>
          <w:sz w:val="24"/>
          <w:szCs w:val="24"/>
          <w:lang w:eastAsia="en-GB"/>
        </w:rPr>
        <w:footnoteReference w:id="113"/>
      </w:r>
      <w:r>
        <w:rPr>
          <w:rFonts w:ascii="Times New Roman" w:hAnsi="Times New Roman"/>
          <w:noProof/>
          <w:sz w:val="24"/>
          <w:szCs w:val="24"/>
          <w:lang w:eastAsia="en-GB"/>
        </w:rPr>
        <w:t>.</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color w:val="000000"/>
          <w:sz w:val="24"/>
          <w:szCs w:val="24"/>
          <w:lang w:eastAsia="en-GB"/>
        </w:rPr>
      </w:pPr>
      <w:r>
        <w:rPr>
          <w:rFonts w:ascii="Times New Roman" w:hAnsi="Times New Roman"/>
          <w:noProof/>
          <w:sz w:val="24"/>
          <w:szCs w:val="24"/>
          <w:lang w:eastAsia="en-GB"/>
        </w:rPr>
        <w:t xml:space="preserve">All these recommendations have been taken on board </w:t>
      </w:r>
      <w:r>
        <w:rPr>
          <w:rFonts w:ascii="Times New Roman" w:hAnsi="Times New Roman"/>
          <w:noProof/>
          <w:sz w:val="24"/>
          <w:szCs w:val="24"/>
          <w:lang w:eastAsia="en-GB"/>
        </w:rPr>
        <w:t xml:space="preserve">by ISF-BV. </w:t>
      </w:r>
      <w:r>
        <w:rPr>
          <w:rStyle w:val="BodyChar"/>
          <w:rFonts w:ascii="Times New Roman" w:hAnsi="Times New Roman"/>
          <w:noProof/>
          <w:sz w:val="24"/>
          <w:szCs w:val="24"/>
        </w:rPr>
        <w:t>First of all, the different instruments under the SOLID and SSL programmes have been replaced by only two funds: AMIF and ISF. In addition, Regulation (EU) 514/2014 (Horizontal Regulation), common to both Funds, and delegated acts have been intr</w:t>
      </w:r>
      <w:r>
        <w:rPr>
          <w:rStyle w:val="BodyChar"/>
          <w:rFonts w:ascii="Times New Roman" w:hAnsi="Times New Roman"/>
          <w:noProof/>
          <w:sz w:val="24"/>
          <w:szCs w:val="24"/>
        </w:rPr>
        <w:t>oduced laying down a shared management framework to improve operational harmonisation and simplify implementation, monitoring, and evaluation mechanisms</w:t>
      </w:r>
      <w:r>
        <w:rPr>
          <w:rStyle w:val="FootnoteReference"/>
          <w:rFonts w:ascii="Times New Roman" w:hAnsi="Times New Roman"/>
          <w:noProof/>
          <w:sz w:val="24"/>
          <w:szCs w:val="24"/>
        </w:rPr>
        <w:footnoteReference w:id="114"/>
      </w:r>
      <w:r>
        <w:rPr>
          <w:rFonts w:ascii="Times New Roman" w:hAnsi="Times New Roman"/>
          <w:noProof/>
          <w:sz w:val="24"/>
          <w:szCs w:val="24"/>
          <w:lang w:eastAsia="nl-BE"/>
        </w:rPr>
        <w:t>.</w:t>
      </w:r>
      <w:r>
        <w:rPr>
          <w:rFonts w:ascii="Times New Roman" w:hAnsi="Times New Roman"/>
          <w:noProof/>
          <w:sz w:val="24"/>
          <w:szCs w:val="24"/>
        </w:rPr>
        <w:t xml:space="preserve"> </w:t>
      </w:r>
      <w:r>
        <w:rPr>
          <w:rFonts w:ascii="Times New Roman" w:hAnsi="Times New Roman"/>
          <w:noProof/>
          <w:sz w:val="24"/>
          <w:szCs w:val="24"/>
          <w:lang w:eastAsia="en-GB"/>
        </w:rPr>
        <w:t xml:space="preserve">Furthermore, the Fund has been built up in line with a more </w:t>
      </w:r>
      <w:r>
        <w:rPr>
          <w:rFonts w:ascii="Times New Roman" w:hAnsi="Times New Roman"/>
          <w:noProof/>
          <w:color w:val="000000"/>
          <w:sz w:val="24"/>
          <w:szCs w:val="24"/>
          <w:lang w:eastAsia="en-GB"/>
        </w:rPr>
        <w:t>flexible multiannual programming cycle</w:t>
      </w:r>
      <w:r>
        <w:rPr>
          <w:rStyle w:val="FootnoteReference"/>
          <w:rFonts w:ascii="Times New Roman" w:hAnsi="Times New Roman"/>
          <w:noProof/>
          <w:color w:val="000000"/>
          <w:sz w:val="24"/>
          <w:szCs w:val="24"/>
          <w:lang w:eastAsia="en-GB"/>
        </w:rPr>
        <w:footnoteReference w:id="115"/>
      </w:r>
      <w:r>
        <w:rPr>
          <w:rFonts w:ascii="Times New Roman" w:hAnsi="Times New Roman"/>
          <w:noProof/>
          <w:sz w:val="24"/>
          <w:szCs w:val="24"/>
          <w:lang w:eastAsia="nl-BE"/>
        </w:rPr>
        <w:t>,</w:t>
      </w:r>
      <w:r>
        <w:rPr>
          <w:rFonts w:ascii="Times New Roman" w:hAnsi="Times New Roman"/>
          <w:noProof/>
          <w:color w:val="000000"/>
          <w:sz w:val="24"/>
          <w:szCs w:val="24"/>
          <w:lang w:eastAsia="en-GB"/>
        </w:rPr>
        <w:t xml:space="preserve"> providing the right balance between the duration of EU terms of office and the need to ensure the higher stability of programming cycles, and allow higher investments’ value</w:t>
      </w:r>
      <w:r>
        <w:rPr>
          <w:rFonts w:ascii="Times New Roman" w:hAnsi="Times New Roman"/>
          <w:noProof/>
          <w:color w:val="000000"/>
          <w:sz w:val="24"/>
          <w:lang w:eastAsia="en-GB"/>
        </w:rPr>
        <w:t xml:space="preserve"> and</w:t>
      </w:r>
      <w:r>
        <w:rPr>
          <w:rFonts w:ascii="Times New Roman" w:hAnsi="Times New Roman"/>
          <w:noProof/>
          <w:color w:val="000000"/>
          <w:sz w:val="24"/>
          <w:szCs w:val="24"/>
          <w:lang w:eastAsia="en-GB"/>
        </w:rPr>
        <w:t xml:space="preserve"> predictability</w:t>
      </w:r>
      <w:r>
        <w:rPr>
          <w:rStyle w:val="FootnoteReference"/>
          <w:rFonts w:ascii="Times New Roman" w:hAnsi="Times New Roman"/>
          <w:noProof/>
          <w:color w:val="000000"/>
          <w:sz w:val="24"/>
          <w:szCs w:val="24"/>
          <w:lang w:eastAsia="en-GB"/>
        </w:rPr>
        <w:footnoteReference w:id="116"/>
      </w:r>
      <w:r>
        <w:rPr>
          <w:rFonts w:ascii="Times New Roman" w:hAnsi="Times New Roman"/>
          <w:noProof/>
          <w:color w:val="000000"/>
          <w:sz w:val="24"/>
          <w:szCs w:val="24"/>
          <w:lang w:eastAsia="en-GB"/>
        </w:rPr>
        <w:t>. All Member States confirmed the advantages entailed by the m</w:t>
      </w:r>
      <w:r>
        <w:rPr>
          <w:rFonts w:ascii="Times New Roman" w:hAnsi="Times New Roman"/>
          <w:noProof/>
          <w:color w:val="000000"/>
          <w:sz w:val="24"/>
          <w:szCs w:val="24"/>
          <w:lang w:eastAsia="en-GB"/>
        </w:rPr>
        <w:t>ultiannual programming</w:t>
      </w:r>
      <w:r>
        <w:rPr>
          <w:rStyle w:val="FootnoteReference"/>
          <w:rFonts w:ascii="Times New Roman" w:hAnsi="Times New Roman"/>
          <w:noProof/>
          <w:sz w:val="24"/>
          <w:szCs w:val="24"/>
        </w:rPr>
        <w:footnoteReference w:id="117"/>
      </w:r>
      <w:r>
        <w:rPr>
          <w:rFonts w:ascii="Times New Roman" w:hAnsi="Times New Roman"/>
          <w:i/>
          <w:noProof/>
          <w:sz w:val="24"/>
          <w:szCs w:val="24"/>
        </w:rPr>
        <w:t>,</w:t>
      </w:r>
      <w:r>
        <w:rPr>
          <w:rFonts w:ascii="Times New Roman" w:hAnsi="Times New Roman"/>
          <w:noProof/>
          <w:color w:val="000000"/>
          <w:sz w:val="24"/>
          <w:szCs w:val="24"/>
          <w:lang w:eastAsia="en-GB"/>
        </w:rPr>
        <w:t xml:space="preserve"> including</w:t>
      </w:r>
      <w:r>
        <w:rPr>
          <w:rFonts w:ascii="Times New Roman" w:hAnsi="Times New Roman"/>
          <w:noProof/>
          <w:sz w:val="24"/>
          <w:szCs w:val="24"/>
          <w:lang w:eastAsia="en-GB"/>
        </w:rPr>
        <w:t>:</w:t>
      </w:r>
    </w:p>
    <w:p w:rsidR="007D3598" w:rsidRDefault="00F8547B">
      <w:pPr>
        <w:pStyle w:val="Body"/>
        <w:numPr>
          <w:ilvl w:val="0"/>
          <w:numId w:val="56"/>
        </w:numPr>
        <w:spacing w:before="0" w:after="0" w:line="240" w:lineRule="auto"/>
        <w:jc w:val="both"/>
        <w:rPr>
          <w:rFonts w:ascii="Times New Roman" w:hAnsi="Times New Roman"/>
          <w:noProof/>
          <w:color w:val="000000"/>
          <w:sz w:val="24"/>
          <w:szCs w:val="24"/>
          <w:lang w:eastAsia="en-GB"/>
        </w:rPr>
      </w:pPr>
      <w:r>
        <w:rPr>
          <w:rFonts w:ascii="Times New Roman" w:hAnsi="Times New Roman"/>
          <w:noProof/>
          <w:color w:val="000000"/>
          <w:sz w:val="24"/>
          <w:szCs w:val="24"/>
          <w:lang w:eastAsia="en-GB"/>
        </w:rPr>
        <w:t>the possibility to promptly identify strategic and long-term priorities, as well as to establish new emerging priorities to address up-and-coming unforeseen needs;</w:t>
      </w:r>
    </w:p>
    <w:p w:rsidR="007D3598" w:rsidRDefault="00F8547B">
      <w:pPr>
        <w:pStyle w:val="Body"/>
        <w:numPr>
          <w:ilvl w:val="0"/>
          <w:numId w:val="56"/>
        </w:numPr>
        <w:spacing w:before="0" w:after="0" w:line="240" w:lineRule="auto"/>
        <w:jc w:val="both"/>
        <w:rPr>
          <w:rFonts w:ascii="Times New Roman" w:hAnsi="Times New Roman"/>
          <w:noProof/>
          <w:color w:val="000000"/>
          <w:sz w:val="24"/>
          <w:szCs w:val="24"/>
          <w:lang w:eastAsia="en-GB"/>
        </w:rPr>
      </w:pPr>
      <w:r>
        <w:rPr>
          <w:rFonts w:ascii="Times New Roman" w:hAnsi="Times New Roman"/>
          <w:noProof/>
          <w:color w:val="000000"/>
          <w:sz w:val="24"/>
          <w:szCs w:val="24"/>
          <w:lang w:eastAsia="en-GB"/>
        </w:rPr>
        <w:t xml:space="preserve">the possibility to plan and implement large investments </w:t>
      </w:r>
      <w:r>
        <w:rPr>
          <w:rFonts w:ascii="Times New Roman" w:hAnsi="Times New Roman"/>
          <w:noProof/>
          <w:color w:val="000000"/>
          <w:sz w:val="24"/>
          <w:szCs w:val="24"/>
          <w:lang w:eastAsia="en-GB"/>
        </w:rPr>
        <w:t>in the long run, without restrictions imposed by the annual implementation cycle; and</w:t>
      </w:r>
    </w:p>
    <w:p w:rsidR="007D3598" w:rsidRDefault="00F8547B">
      <w:pPr>
        <w:pStyle w:val="Body"/>
        <w:numPr>
          <w:ilvl w:val="0"/>
          <w:numId w:val="56"/>
        </w:numPr>
        <w:spacing w:before="0" w:after="0" w:line="240" w:lineRule="auto"/>
        <w:jc w:val="both"/>
        <w:rPr>
          <w:rFonts w:ascii="Times New Roman" w:hAnsi="Times New Roman"/>
          <w:noProof/>
          <w:color w:val="000000"/>
          <w:sz w:val="24"/>
          <w:szCs w:val="24"/>
          <w:lang w:eastAsia="en-GB"/>
        </w:rPr>
      </w:pPr>
      <w:r>
        <w:rPr>
          <w:rFonts w:ascii="Times New Roman" w:hAnsi="Times New Roman"/>
          <w:noProof/>
          <w:color w:val="000000"/>
          <w:sz w:val="24"/>
          <w:szCs w:val="24"/>
          <w:lang w:eastAsia="en-GB"/>
        </w:rPr>
        <w:t>the reduction of administrative overlaps and burden thanks to the annual programming cycle.</w:t>
      </w:r>
    </w:p>
    <w:p w:rsidR="007D3598" w:rsidRDefault="00F8547B">
      <w:pPr>
        <w:pStyle w:val="Body"/>
        <w:spacing w:before="0" w:after="0" w:line="240" w:lineRule="auto"/>
        <w:jc w:val="both"/>
        <w:rPr>
          <w:rFonts w:ascii="Times New Roman" w:hAnsi="Times New Roman"/>
          <w:noProof/>
          <w:sz w:val="24"/>
          <w:lang w:eastAsia="en-GB"/>
        </w:rPr>
      </w:pPr>
      <w:r>
        <w:rPr>
          <w:rFonts w:ascii="Times New Roman" w:hAnsi="Times New Roman"/>
          <w:noProof/>
          <w:sz w:val="24"/>
          <w:szCs w:val="24"/>
          <w:lang w:eastAsia="en-GB"/>
        </w:rPr>
        <w:t>A number of measures were introduced to increase overall simplification The in</w:t>
      </w:r>
      <w:r>
        <w:rPr>
          <w:rFonts w:ascii="Times New Roman" w:hAnsi="Times New Roman"/>
          <w:noProof/>
          <w:sz w:val="24"/>
          <w:szCs w:val="24"/>
          <w:lang w:eastAsia="en-GB"/>
        </w:rPr>
        <w:t xml:space="preserve">troduction of </w:t>
      </w:r>
      <w:r>
        <w:rPr>
          <w:rFonts w:ascii="Times New Roman" w:hAnsi="Times New Roman"/>
          <w:b/>
          <w:noProof/>
          <w:sz w:val="24"/>
          <w:szCs w:val="24"/>
          <w:lang w:eastAsia="en-GB"/>
        </w:rPr>
        <w:t>national eligibility rules</w:t>
      </w:r>
      <w:r>
        <w:rPr>
          <w:rFonts w:ascii="Times New Roman" w:hAnsi="Times New Roman"/>
          <w:noProof/>
          <w:sz w:val="24"/>
          <w:szCs w:val="24"/>
          <w:lang w:eastAsia="en-GB"/>
        </w:rPr>
        <w:t xml:space="preserve"> provided for some flexibility in the management of the Fund by RAs by means of clearer rules compliant with the different national legislation and administrative procedures, which allowed beneficiaries to improve th</w:t>
      </w:r>
      <w:r>
        <w:rPr>
          <w:rFonts w:ascii="Times New Roman" w:hAnsi="Times New Roman"/>
          <w:noProof/>
          <w:sz w:val="24"/>
          <w:szCs w:val="24"/>
          <w:lang w:eastAsia="en-GB"/>
        </w:rPr>
        <w:t>eir understanding and operational capacity, therefore reducing the time needed for processing applications and delays in implementation</w:t>
      </w:r>
      <w:r>
        <w:rPr>
          <w:rStyle w:val="FootnoteReference"/>
          <w:rFonts w:ascii="Times New Roman" w:hAnsi="Times New Roman"/>
          <w:noProof/>
          <w:sz w:val="24"/>
          <w:szCs w:val="24"/>
          <w:lang w:eastAsia="en-GB"/>
        </w:rPr>
        <w:footnoteReference w:id="118"/>
      </w:r>
      <w:r>
        <w:rPr>
          <w:rFonts w:ascii="Times New Roman" w:hAnsi="Times New Roman"/>
          <w:noProof/>
          <w:sz w:val="24"/>
          <w:szCs w:val="24"/>
          <w:lang w:eastAsia="en-GB"/>
        </w:rPr>
        <w:t>.</w:t>
      </w:r>
      <w:r>
        <w:rPr>
          <w:rStyle w:val="FootnoteReference"/>
          <w:rFonts w:ascii="Times New Roman" w:hAnsi="Times New Roman"/>
          <w:noProof/>
          <w:sz w:val="24"/>
          <w:szCs w:val="24"/>
          <w:lang w:eastAsia="en-GB"/>
        </w:rPr>
        <w:t xml:space="preserve"> </w:t>
      </w:r>
      <w:r>
        <w:rPr>
          <w:rFonts w:ascii="Times New Roman" w:hAnsi="Times New Roman"/>
          <w:noProof/>
          <w:sz w:val="24"/>
          <w:szCs w:val="24"/>
          <w:lang w:eastAsia="en-GB"/>
        </w:rPr>
        <w:t xml:space="preserve">While the introduction of national eligibility rules was considered as positive by most Member States, for some it was a hampering factor especially when it comes to multi-state projects. As for the </w:t>
      </w:r>
      <w:r>
        <w:rPr>
          <w:rFonts w:ascii="Times New Roman" w:hAnsi="Times New Roman"/>
          <w:b/>
          <w:noProof/>
          <w:sz w:val="24"/>
          <w:szCs w:val="24"/>
          <w:lang w:eastAsia="en-GB"/>
        </w:rPr>
        <w:t>simplified cost options</w:t>
      </w:r>
      <w:r>
        <w:rPr>
          <w:rFonts w:ascii="Times New Roman" w:hAnsi="Times New Roman"/>
          <w:noProof/>
          <w:sz w:val="24"/>
          <w:szCs w:val="24"/>
          <w:lang w:eastAsia="en-GB"/>
        </w:rPr>
        <w:t xml:space="preserve"> (SCOs), particularly the flat rat</w:t>
      </w:r>
      <w:r>
        <w:rPr>
          <w:rFonts w:ascii="Times New Roman" w:hAnsi="Times New Roman"/>
          <w:noProof/>
          <w:sz w:val="24"/>
          <w:szCs w:val="24"/>
          <w:lang w:eastAsia="en-GB"/>
        </w:rPr>
        <w:t>e applied to indirect costs, they (i) provided significant administrative simplification, (ii) made project management easier</w:t>
      </w:r>
      <w:r>
        <w:rPr>
          <w:rFonts w:ascii="Times New Roman" w:hAnsi="Times New Roman"/>
          <w:noProof/>
          <w:sz w:val="24"/>
          <w:lang w:eastAsia="en-GB"/>
        </w:rPr>
        <w:t>, (iii) led to a reduction of error rates and (iv) allowed RAs and beneficiaries to focus on outputs and results</w:t>
      </w:r>
      <w:r>
        <w:rPr>
          <w:rStyle w:val="FootnoteReference"/>
          <w:rFonts w:ascii="Times New Roman" w:hAnsi="Times New Roman"/>
          <w:noProof/>
          <w:sz w:val="24"/>
          <w:szCs w:val="24"/>
          <w:lang w:eastAsia="en-GB"/>
        </w:rPr>
        <w:footnoteReference w:id="119"/>
      </w:r>
      <w:r>
        <w:rPr>
          <w:rFonts w:ascii="Times New Roman" w:hAnsi="Times New Roman"/>
          <w:noProof/>
          <w:sz w:val="24"/>
          <w:lang w:eastAsia="en-GB"/>
        </w:rPr>
        <w:t>.</w:t>
      </w:r>
      <w:r>
        <w:rPr>
          <w:rFonts w:ascii="Times New Roman" w:hAnsi="Times New Roman"/>
          <w:noProof/>
          <w:sz w:val="24"/>
          <w:szCs w:val="24"/>
          <w:lang w:eastAsia="en-GB"/>
        </w:rPr>
        <w:t xml:space="preserve"> However, </w:t>
      </w:r>
      <w:r>
        <w:rPr>
          <w:rFonts w:ascii="Times New Roman" w:hAnsi="Times New Roman"/>
          <w:noProof/>
          <w:sz w:val="24"/>
          <w:szCs w:val="24"/>
        </w:rPr>
        <w:t>in some</w:t>
      </w:r>
      <w:r>
        <w:rPr>
          <w:rFonts w:ascii="Times New Roman" w:hAnsi="Times New Roman"/>
          <w:noProof/>
          <w:sz w:val="24"/>
          <w:szCs w:val="24"/>
        </w:rPr>
        <w:t xml:space="preserve"> cases,</w:t>
      </w:r>
      <w:r>
        <w:rPr>
          <w:rStyle w:val="FootnoteReference"/>
          <w:rFonts w:ascii="Times New Roman" w:hAnsi="Times New Roman"/>
          <w:noProof/>
          <w:sz w:val="24"/>
          <w:szCs w:val="24"/>
          <w:lang w:eastAsia="en-GB"/>
        </w:rPr>
        <w:footnoteReference w:id="120"/>
      </w:r>
      <w:r>
        <w:rPr>
          <w:rFonts w:ascii="Times New Roman" w:hAnsi="Times New Roman"/>
          <w:noProof/>
          <w:sz w:val="24"/>
          <w:szCs w:val="24"/>
        </w:rPr>
        <w:t xml:space="preserve"> the </w:t>
      </w:r>
      <w:r>
        <w:rPr>
          <w:rFonts w:ascii="Times New Roman" w:hAnsi="Times New Roman"/>
          <w:b/>
          <w:noProof/>
          <w:sz w:val="24"/>
          <w:szCs w:val="24"/>
        </w:rPr>
        <w:t>adoption of SCOs raised implementation issues</w:t>
      </w:r>
      <w:r>
        <w:rPr>
          <w:rFonts w:ascii="Times New Roman" w:hAnsi="Times New Roman"/>
          <w:i/>
          <w:noProof/>
          <w:sz w:val="24"/>
          <w:szCs w:val="24"/>
        </w:rPr>
        <w:t xml:space="preserve">, </w:t>
      </w:r>
      <w:r>
        <w:rPr>
          <w:rFonts w:ascii="Times New Roman" w:hAnsi="Times New Roman"/>
          <w:noProof/>
          <w:sz w:val="24"/>
          <w:szCs w:val="24"/>
        </w:rPr>
        <w:t xml:space="preserve">due to </w:t>
      </w:r>
      <w:r>
        <w:rPr>
          <w:rFonts w:ascii="Times New Roman" w:hAnsi="Times New Roman"/>
          <w:noProof/>
          <w:sz w:val="24"/>
          <w:szCs w:val="24"/>
          <w:lang w:eastAsia="en-GB"/>
        </w:rPr>
        <w:t>the absence of common principles and standards which hindered or discouraged beneficiaries from declaring and reporting all costs, as they were afraid that audit authorities may declare cos</w:t>
      </w:r>
      <w:r>
        <w:rPr>
          <w:rFonts w:ascii="Times New Roman" w:hAnsi="Times New Roman"/>
          <w:noProof/>
          <w:sz w:val="24"/>
          <w:szCs w:val="24"/>
          <w:lang w:eastAsia="en-GB"/>
        </w:rPr>
        <w:t>ts ineligible.</w:t>
      </w:r>
      <w:r>
        <w:rPr>
          <w:rFonts w:ascii="Times New Roman" w:hAnsi="Times New Roman"/>
          <w:noProof/>
          <w:sz w:val="24"/>
          <w:lang w:eastAsia="en-GB"/>
        </w:rPr>
        <w:t xml:space="preserve"> </w:t>
      </w:r>
    </w:p>
    <w:p w:rsidR="007D3598" w:rsidRDefault="007D3598">
      <w:pPr>
        <w:pStyle w:val="Body"/>
        <w:spacing w:before="0" w:after="0" w:line="240" w:lineRule="auto"/>
        <w:jc w:val="both"/>
        <w:rPr>
          <w:rFonts w:ascii="Times New Roman" w:hAnsi="Times New Roman"/>
          <w:noProof/>
          <w:sz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 xml:space="preserve">The introduction of </w:t>
      </w:r>
      <w:r>
        <w:rPr>
          <w:rFonts w:ascii="Times New Roman" w:hAnsi="Times New Roman"/>
          <w:b/>
          <w:noProof/>
          <w:sz w:val="24"/>
          <w:szCs w:val="24"/>
          <w:lang w:eastAsia="en-GB"/>
        </w:rPr>
        <w:t>operating support</w:t>
      </w:r>
      <w:r>
        <w:rPr>
          <w:rStyle w:val="FootnoteReference"/>
          <w:rFonts w:ascii="Times New Roman" w:hAnsi="Times New Roman"/>
          <w:noProof/>
          <w:sz w:val="24"/>
          <w:szCs w:val="24"/>
          <w:lang w:eastAsia="en-GB"/>
        </w:rPr>
        <w:footnoteReference w:id="121"/>
      </w:r>
      <w:r>
        <w:rPr>
          <w:rFonts w:ascii="Times New Roman" w:hAnsi="Times New Roman"/>
          <w:noProof/>
          <w:sz w:val="24"/>
          <w:szCs w:val="24"/>
          <w:lang w:eastAsia="en-GB"/>
        </w:rPr>
        <w:t xml:space="preserve"> has been positively assessed, since it enabled national budgets to be supported on issues that would otherwise be difficult to cover (e.g. sustainability of maintenance costs)</w:t>
      </w:r>
      <w:r>
        <w:rPr>
          <w:rStyle w:val="FootnoteReference"/>
          <w:rFonts w:ascii="Times New Roman" w:hAnsi="Times New Roman"/>
          <w:noProof/>
          <w:sz w:val="24"/>
          <w:szCs w:val="24"/>
          <w:lang w:eastAsia="en-GB"/>
        </w:rPr>
        <w:footnoteReference w:id="122"/>
      </w:r>
      <w:r>
        <w:rPr>
          <w:rFonts w:ascii="Times New Roman" w:hAnsi="Times New Roman"/>
          <w:noProof/>
          <w:sz w:val="24"/>
          <w:szCs w:val="24"/>
          <w:lang w:eastAsia="en-GB"/>
        </w:rPr>
        <w:t xml:space="preserve">. Moreover, the increased </w:t>
      </w:r>
      <w:r>
        <w:rPr>
          <w:rFonts w:ascii="Times New Roman" w:hAnsi="Times New Roman"/>
          <w:b/>
          <w:noProof/>
          <w:sz w:val="24"/>
          <w:szCs w:val="24"/>
          <w:lang w:eastAsia="en-GB"/>
        </w:rPr>
        <w:t>cooperation between the responsible authority and beneficiaries</w:t>
      </w:r>
      <w:r>
        <w:rPr>
          <w:rFonts w:ascii="Times New Roman" w:hAnsi="Times New Roman"/>
          <w:noProof/>
          <w:sz w:val="24"/>
          <w:szCs w:val="24"/>
          <w:lang w:eastAsia="en-GB"/>
        </w:rPr>
        <w:t>, also committed to by means of operational guidance and support directly provided by the responsible authority, is regarded as very positive, improving implementation</w:t>
      </w:r>
      <w:r>
        <w:rPr>
          <w:rFonts w:ascii="Times New Roman" w:hAnsi="Times New Roman"/>
          <w:noProof/>
          <w:sz w:val="24"/>
          <w:szCs w:val="24"/>
          <w:lang w:eastAsia="en-GB"/>
        </w:rPr>
        <w:t xml:space="preserve"> and increasing the beneficiaries’ compliance with monitoring, reporting, and verification requirements</w:t>
      </w:r>
      <w:r>
        <w:rPr>
          <w:rStyle w:val="FootnoteReference"/>
          <w:rFonts w:ascii="Times New Roman" w:hAnsi="Times New Roman"/>
          <w:noProof/>
          <w:sz w:val="24"/>
          <w:szCs w:val="24"/>
          <w:lang w:eastAsia="en-GB"/>
        </w:rPr>
        <w:footnoteReference w:id="123"/>
      </w:r>
      <w:r>
        <w:rPr>
          <w:rFonts w:ascii="Times New Roman" w:hAnsi="Times New Roman"/>
          <w:noProof/>
          <w:sz w:val="24"/>
          <w:szCs w:val="24"/>
          <w:lang w:eastAsia="en-GB"/>
        </w:rPr>
        <w:t xml:space="preserve">. The </w:t>
      </w:r>
      <w:r>
        <w:rPr>
          <w:rFonts w:ascii="Times New Roman" w:hAnsi="Times New Roman"/>
          <w:b/>
          <w:noProof/>
          <w:sz w:val="24"/>
          <w:szCs w:val="24"/>
          <w:lang w:eastAsia="en-GB"/>
        </w:rPr>
        <w:t>digitalisation of reporting and communication procedures</w:t>
      </w:r>
      <w:r>
        <w:rPr>
          <w:rFonts w:ascii="Times New Roman" w:hAnsi="Times New Roman"/>
          <w:noProof/>
          <w:sz w:val="24"/>
          <w:szCs w:val="24"/>
          <w:lang w:eastAsia="en-GB"/>
        </w:rPr>
        <w:t xml:space="preserve"> was positively assessed by several Member States, since it allowed financial and technica</w:t>
      </w:r>
      <w:r>
        <w:rPr>
          <w:rFonts w:ascii="Times New Roman" w:hAnsi="Times New Roman"/>
          <w:noProof/>
          <w:sz w:val="24"/>
          <w:szCs w:val="24"/>
          <w:lang w:eastAsia="en-GB"/>
        </w:rPr>
        <w:t>l reports to be sent in electronic form, which shortened the document processing time for beneficiaries</w:t>
      </w:r>
      <w:r>
        <w:rPr>
          <w:rStyle w:val="FootnoteReference"/>
          <w:rFonts w:ascii="Times New Roman" w:hAnsi="Times New Roman"/>
          <w:noProof/>
          <w:sz w:val="24"/>
          <w:szCs w:val="24"/>
          <w:lang w:eastAsia="en-GB"/>
        </w:rPr>
        <w:footnoteReference w:id="124"/>
      </w:r>
      <w:r>
        <w:rPr>
          <w:rFonts w:ascii="Times New Roman" w:hAnsi="Times New Roman"/>
          <w:noProof/>
          <w:sz w:val="24"/>
          <w:szCs w:val="24"/>
          <w:lang w:eastAsia="en-GB"/>
        </w:rPr>
        <w:t xml:space="preserve"> and also facilitated the work of RAs thanks to the centralisation of all relevant documents and communications with the Commission in one electronic da</w:t>
      </w:r>
      <w:r>
        <w:rPr>
          <w:rFonts w:ascii="Times New Roman" w:hAnsi="Times New Roman"/>
          <w:noProof/>
          <w:sz w:val="24"/>
          <w:szCs w:val="24"/>
          <w:lang w:eastAsia="en-GB"/>
        </w:rPr>
        <w:t>tabase</w:t>
      </w:r>
      <w:r>
        <w:rPr>
          <w:rStyle w:val="FootnoteReference"/>
          <w:rFonts w:ascii="Times New Roman" w:hAnsi="Times New Roman"/>
          <w:noProof/>
          <w:sz w:val="24"/>
          <w:szCs w:val="24"/>
          <w:lang w:eastAsia="en-GB"/>
        </w:rPr>
        <w:footnoteReference w:id="125"/>
      </w:r>
      <w:r>
        <w:rPr>
          <w:rFonts w:ascii="Times New Roman" w:hAnsi="Times New Roman"/>
          <w:noProof/>
          <w:sz w:val="24"/>
          <w:szCs w:val="24"/>
          <w:lang w:eastAsia="en-GB"/>
        </w:rPr>
        <w:t xml:space="preserve">. </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lang w:eastAsia="en-GB"/>
        </w:rPr>
        <w:t xml:space="preserve">As regards the </w:t>
      </w:r>
      <w:r>
        <w:rPr>
          <w:rFonts w:ascii="Times New Roman" w:hAnsi="Times New Roman"/>
          <w:b/>
          <w:noProof/>
          <w:sz w:val="24"/>
          <w:szCs w:val="24"/>
          <w:lang w:eastAsia="en-GB"/>
        </w:rPr>
        <w:t>Special Transit Scheme for Lithuania</w:t>
      </w:r>
      <w:r>
        <w:rPr>
          <w:rFonts w:ascii="Times New Roman" w:hAnsi="Times New Roman"/>
          <w:noProof/>
          <w:sz w:val="24"/>
          <w:szCs w:val="24"/>
          <w:lang w:eastAsia="en-GB"/>
        </w:rPr>
        <w:t>, the instrument has been assessed very positively by projects’ beneficiaries, although there have not been significant changes, compared to the previous period</w:t>
      </w:r>
      <w:r>
        <w:rPr>
          <w:rStyle w:val="FootnoteReference"/>
          <w:rFonts w:ascii="Times New Roman" w:hAnsi="Times New Roman"/>
          <w:noProof/>
          <w:sz w:val="24"/>
          <w:szCs w:val="24"/>
          <w:lang w:eastAsia="en-GB"/>
        </w:rPr>
        <w:footnoteReference w:id="126"/>
      </w:r>
      <w:r>
        <w:rPr>
          <w:rFonts w:ascii="Times New Roman" w:hAnsi="Times New Roman"/>
          <w:noProof/>
          <w:sz w:val="24"/>
          <w:szCs w:val="24"/>
          <w:lang w:eastAsia="en-GB"/>
        </w:rPr>
        <w:t>.</w:t>
      </w:r>
      <w:r>
        <w:rPr>
          <w:rFonts w:ascii="Times New Roman" w:hAnsi="Times New Roman"/>
          <w:noProof/>
          <w:sz w:val="24"/>
          <w:lang w:eastAsia="en-GB"/>
        </w:rPr>
        <w:t xml:space="preserve"> </w:t>
      </w:r>
      <w:r>
        <w:rPr>
          <w:rFonts w:ascii="Times New Roman" w:hAnsi="Times New Roman"/>
          <w:noProof/>
          <w:sz w:val="24"/>
          <w:szCs w:val="24"/>
        </w:rPr>
        <w:t xml:space="preserve">However, despite the multiple </w:t>
      </w:r>
      <w:r>
        <w:rPr>
          <w:rFonts w:ascii="Times New Roman" w:hAnsi="Times New Roman"/>
          <w:noProof/>
          <w:sz w:val="24"/>
          <w:szCs w:val="24"/>
        </w:rPr>
        <w:t>measures introduced to increase simplification and the positive feedback they received</w:t>
      </w:r>
      <w:r>
        <w:rPr>
          <w:rStyle w:val="FootnoteReference"/>
          <w:rFonts w:ascii="Times New Roman" w:hAnsi="Times New Roman"/>
          <w:noProof/>
          <w:sz w:val="24"/>
          <w:szCs w:val="24"/>
        </w:rPr>
        <w:footnoteReference w:id="127"/>
      </w:r>
      <w:r>
        <w:rPr>
          <w:rFonts w:ascii="Times New Roman" w:hAnsi="Times New Roman"/>
          <w:noProof/>
          <w:sz w:val="24"/>
          <w:szCs w:val="24"/>
        </w:rPr>
        <w:t>, stakeholders agreed on the Fund’s limited</w:t>
      </w:r>
      <w:r>
        <w:rPr>
          <w:rFonts w:ascii="Times New Roman" w:hAnsi="Times New Roman"/>
          <w:b/>
          <w:noProof/>
          <w:sz w:val="24"/>
          <w:szCs w:val="24"/>
        </w:rPr>
        <w:t xml:space="preserve"> contribution to reducing administrative</w:t>
      </w:r>
      <w:r>
        <w:rPr>
          <w:rFonts w:ascii="Times New Roman" w:hAnsi="Times New Roman"/>
          <w:noProof/>
          <w:sz w:val="24"/>
          <w:szCs w:val="24"/>
        </w:rPr>
        <w:t xml:space="preserve"> </w:t>
      </w:r>
      <w:r>
        <w:rPr>
          <w:rFonts w:ascii="Times New Roman" w:hAnsi="Times New Roman"/>
          <w:b/>
          <w:noProof/>
          <w:sz w:val="24"/>
          <w:szCs w:val="24"/>
        </w:rPr>
        <w:t>burden</w:t>
      </w:r>
      <w:r>
        <w:rPr>
          <w:rStyle w:val="FootnoteReference"/>
          <w:rFonts w:ascii="Times New Roman" w:hAnsi="Times New Roman"/>
          <w:noProof/>
          <w:sz w:val="24"/>
          <w:szCs w:val="24"/>
        </w:rPr>
        <w:footnoteReference w:id="128"/>
      </w:r>
      <w:r>
        <w:rPr>
          <w:rFonts w:ascii="Times New Roman" w:hAnsi="Times New Roman"/>
          <w:noProof/>
          <w:sz w:val="24"/>
          <w:szCs w:val="24"/>
        </w:rPr>
        <w:t xml:space="preserve">. </w:t>
      </w:r>
      <w:r>
        <w:rPr>
          <w:rFonts w:ascii="Times New Roman" w:hAnsi="Times New Roman"/>
          <w:noProof/>
          <w:sz w:val="24"/>
          <w:szCs w:val="24"/>
          <w:lang w:eastAsia="en-GB"/>
        </w:rPr>
        <w:t>Monitoring, reporting, and verification procedures remain burdensome and man</w:t>
      </w:r>
      <w:r>
        <w:rPr>
          <w:rFonts w:ascii="Times New Roman" w:hAnsi="Times New Roman"/>
          <w:noProof/>
          <w:sz w:val="24"/>
          <w:szCs w:val="24"/>
          <w:lang w:eastAsia="en-GB"/>
        </w:rPr>
        <w:t>y Member States pointed out a lack of detailed instructions, asking for more Commission guidelines in order to meet the monitoring and reporting standards required by the Commission</w:t>
      </w:r>
      <w:r>
        <w:rPr>
          <w:rStyle w:val="FootnoteReference"/>
          <w:rFonts w:ascii="Times New Roman" w:hAnsi="Times New Roman"/>
          <w:noProof/>
          <w:sz w:val="24"/>
          <w:szCs w:val="24"/>
          <w:lang w:eastAsia="en-GB"/>
        </w:rPr>
        <w:footnoteReference w:id="129"/>
      </w:r>
      <w:r>
        <w:rPr>
          <w:rFonts w:ascii="Times New Roman" w:hAnsi="Times New Roman"/>
          <w:noProof/>
          <w:sz w:val="24"/>
          <w:szCs w:val="24"/>
          <w:lang w:eastAsia="en-GB"/>
        </w:rPr>
        <w:t>. Furthermore, the Common Monitoring and Evaluation Framework was establis</w:t>
      </w:r>
      <w:r>
        <w:rPr>
          <w:rFonts w:ascii="Times New Roman" w:hAnsi="Times New Roman"/>
          <w:noProof/>
          <w:sz w:val="24"/>
          <w:szCs w:val="24"/>
          <w:lang w:eastAsia="en-GB"/>
        </w:rPr>
        <w:t>hed too late, which  hindered the Fund’s implementation since the reporting on projects had to be adjusted under the CMEF while projects had already started</w:t>
      </w:r>
      <w:r>
        <w:rPr>
          <w:rStyle w:val="FootnoteReference"/>
          <w:rFonts w:ascii="Times New Roman" w:hAnsi="Times New Roman"/>
          <w:noProof/>
          <w:szCs w:val="24"/>
          <w:lang w:eastAsia="en-GB"/>
        </w:rPr>
        <w:footnoteReference w:id="130"/>
      </w:r>
      <w:r>
        <w:rPr>
          <w:rFonts w:ascii="Times New Roman" w:hAnsi="Times New Roman"/>
          <w:noProof/>
          <w:sz w:val="24"/>
          <w:szCs w:val="24"/>
          <w:lang w:eastAsia="en-GB"/>
        </w:rPr>
        <w:t xml:space="preserve">. Also, </w:t>
      </w:r>
      <w:r>
        <w:rPr>
          <w:rFonts w:ascii="Times New Roman" w:hAnsi="Times New Roman"/>
          <w:noProof/>
          <w:sz w:val="24"/>
          <w:szCs w:val="24"/>
        </w:rPr>
        <w:t>the RAs of the Schengen Associated Member States criticised delays during the programming s</w:t>
      </w:r>
      <w:r>
        <w:rPr>
          <w:rFonts w:ascii="Times New Roman" w:hAnsi="Times New Roman"/>
          <w:noProof/>
          <w:sz w:val="24"/>
          <w:szCs w:val="24"/>
        </w:rPr>
        <w:t>tage. In their opinion, simplification would have been increased by ensuring Schengen Associated Countries’ accession to the Fund at an earlier stage, allowing them to begin implementing actions at the same time as other Member States</w:t>
      </w:r>
      <w:r>
        <w:rPr>
          <w:rStyle w:val="FootnoteReference"/>
          <w:rFonts w:ascii="Times New Roman" w:hAnsi="Times New Roman"/>
          <w:noProof/>
          <w:sz w:val="24"/>
          <w:szCs w:val="24"/>
        </w:rPr>
        <w:footnoteReference w:id="131"/>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lang w:eastAsia="en-GB"/>
        </w:rPr>
      </w:pPr>
    </w:p>
    <w:p w:rsidR="007D3598" w:rsidRDefault="00F8547B">
      <w:pPr>
        <w:pStyle w:val="caption10"/>
        <w:spacing w:before="0" w:after="0"/>
        <w:rPr>
          <w:rFonts w:ascii="Times New Roman" w:hAnsi="Times New Roman"/>
          <w:noProof/>
          <w:sz w:val="24"/>
          <w:lang w:val="en-GB"/>
        </w:rPr>
      </w:pPr>
      <w:r>
        <w:rPr>
          <w:rFonts w:ascii="Times New Roman" w:hAnsi="Times New Roman"/>
          <w:noProof/>
          <w:sz w:val="24"/>
          <w:lang w:val="en-GB"/>
        </w:rPr>
        <w:t>Examples of the us</w:t>
      </w:r>
      <w:r>
        <w:rPr>
          <w:rFonts w:ascii="Times New Roman" w:hAnsi="Times New Roman"/>
          <w:noProof/>
          <w:sz w:val="24"/>
          <w:lang w:val="en-GB"/>
        </w:rPr>
        <w:t>e of simplified cost options</w:t>
      </w:r>
    </w:p>
    <w:p w:rsidR="007D3598" w:rsidRDefault="007D3598">
      <w:pPr>
        <w:pStyle w:val="caption10"/>
        <w:spacing w:before="0" w:after="0"/>
        <w:rPr>
          <w:rFonts w:ascii="Times New Roman" w:hAnsi="Times New Roman"/>
          <w:noProof/>
          <w:sz w:val="24"/>
          <w:lang w:val="en-GB"/>
        </w:rPr>
      </w:pPr>
    </w:p>
    <w:tbl>
      <w:tblPr>
        <w:tblStyle w:val="TableE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854"/>
      </w:tblGrid>
      <w:tr w:rsidR="007D3598">
        <w:tc>
          <w:tcPr>
            <w:tcW w:w="5000" w:type="pct"/>
            <w:shd w:val="clear" w:color="auto" w:fill="E0E0E0"/>
          </w:tcPr>
          <w:p w:rsidR="007D3598" w:rsidRDefault="00F8547B">
            <w:pPr>
              <w:pStyle w:val="Body"/>
              <w:spacing w:before="0" w:after="0" w:line="240" w:lineRule="auto"/>
              <w:jc w:val="both"/>
              <w:rPr>
                <w:rFonts w:ascii="Times New Roman" w:hAnsi="Times New Roman"/>
                <w:noProof/>
                <w:sz w:val="24"/>
                <w:szCs w:val="24"/>
                <w:lang w:val="en-GB"/>
              </w:rPr>
            </w:pPr>
            <w:r>
              <w:rPr>
                <w:rFonts w:ascii="Times New Roman" w:hAnsi="Times New Roman"/>
                <w:noProof/>
                <w:sz w:val="24"/>
                <w:szCs w:val="24"/>
                <w:lang w:val="en-GB" w:eastAsia="en-GB"/>
              </w:rPr>
              <w:t xml:space="preserve">In </w:t>
            </w:r>
            <w:r>
              <w:rPr>
                <w:rFonts w:ascii="Times New Roman" w:hAnsi="Times New Roman"/>
                <w:b/>
                <w:noProof/>
                <w:sz w:val="24"/>
                <w:szCs w:val="24"/>
                <w:lang w:val="en-GB"/>
              </w:rPr>
              <w:t>Finland</w:t>
            </w:r>
            <w:r>
              <w:rPr>
                <w:rFonts w:ascii="Times New Roman" w:hAnsi="Times New Roman"/>
                <w:noProof/>
                <w:sz w:val="24"/>
                <w:szCs w:val="24"/>
                <w:lang w:val="en-GB"/>
              </w:rPr>
              <w:t xml:space="preserve"> and </w:t>
            </w:r>
            <w:r>
              <w:rPr>
                <w:rFonts w:ascii="Times New Roman" w:hAnsi="Times New Roman"/>
                <w:b/>
                <w:noProof/>
                <w:sz w:val="24"/>
                <w:szCs w:val="24"/>
                <w:lang w:val="en-GB"/>
              </w:rPr>
              <w:t>Romania</w:t>
            </w:r>
            <w:r>
              <w:rPr>
                <w:rFonts w:ascii="Times New Roman" w:hAnsi="Times New Roman"/>
                <w:noProof/>
                <w:sz w:val="24"/>
                <w:szCs w:val="24"/>
                <w:lang w:val="en-GB"/>
              </w:rPr>
              <w:t>, the use of the flat rate financing for indirect costs has facilitated beneficiaries, since travel costs do not need to be tracked in the bookkeeping</w:t>
            </w:r>
            <w:r>
              <w:rPr>
                <w:rStyle w:val="FootnoteReference"/>
                <w:rFonts w:ascii="Times New Roman" w:hAnsi="Times New Roman"/>
                <w:noProof/>
                <w:sz w:val="24"/>
                <w:szCs w:val="24"/>
              </w:rPr>
              <w:footnoteReference w:id="132"/>
            </w:r>
            <w:r>
              <w:rPr>
                <w:rFonts w:ascii="Times New Roman" w:hAnsi="Times New Roman"/>
                <w:noProof/>
                <w:sz w:val="24"/>
                <w:szCs w:val="24"/>
                <w:lang w:val="en-GB"/>
              </w:rPr>
              <w:t xml:space="preserve">. On the contrary, </w:t>
            </w:r>
            <w:r>
              <w:rPr>
                <w:rFonts w:ascii="Times New Roman" w:hAnsi="Times New Roman"/>
                <w:b/>
                <w:noProof/>
                <w:sz w:val="24"/>
                <w:szCs w:val="24"/>
                <w:lang w:val="en-GB"/>
              </w:rPr>
              <w:t xml:space="preserve">Hungary </w:t>
            </w:r>
            <w:r>
              <w:rPr>
                <w:rFonts w:ascii="Times New Roman" w:hAnsi="Times New Roman"/>
                <w:noProof/>
                <w:sz w:val="24"/>
                <w:szCs w:val="24"/>
                <w:lang w:val="en-GB"/>
              </w:rPr>
              <w:t xml:space="preserve">could only implement </w:t>
            </w:r>
            <w:r>
              <w:rPr>
                <w:rFonts w:ascii="Times New Roman" w:hAnsi="Times New Roman"/>
                <w:noProof/>
                <w:sz w:val="24"/>
                <w:szCs w:val="24"/>
                <w:lang w:val="en-GB"/>
              </w:rPr>
              <w:t>simplified cost options to a limited extent, since the plan to use unit scale costs and lump sums for training projects was not approved by the responsible authority due to the presence of non-comparable cost categories, despite the projects being of the s</w:t>
            </w:r>
            <w:r>
              <w:rPr>
                <w:rFonts w:ascii="Times New Roman" w:hAnsi="Times New Roman"/>
                <w:noProof/>
                <w:sz w:val="24"/>
                <w:szCs w:val="24"/>
                <w:lang w:val="en-GB"/>
              </w:rPr>
              <w:t>ame naturet</w:t>
            </w:r>
            <w:r>
              <w:rPr>
                <w:rStyle w:val="FootnoteReference"/>
                <w:rFonts w:ascii="Times New Roman" w:hAnsi="Times New Roman"/>
                <w:noProof/>
                <w:sz w:val="24"/>
                <w:szCs w:val="24"/>
              </w:rPr>
              <w:footnoteReference w:id="133"/>
            </w:r>
            <w:r>
              <w:rPr>
                <w:rFonts w:ascii="Times New Roman" w:hAnsi="Times New Roman"/>
                <w:noProof/>
                <w:sz w:val="24"/>
                <w:szCs w:val="24"/>
                <w:lang w:val="en-GB"/>
              </w:rPr>
              <w:t xml:space="preserve">. </w:t>
            </w:r>
          </w:p>
        </w:tc>
      </w:tr>
    </w:tbl>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i/>
          <w:noProof/>
          <w:sz w:val="24"/>
          <w:lang w:eastAsia="nl-BE"/>
        </w:rPr>
      </w:pPr>
      <w:r>
        <w:rPr>
          <w:rFonts w:ascii="Times New Roman" w:hAnsi="Times New Roman"/>
          <w:i/>
          <w:noProof/>
          <w:sz w:val="24"/>
          <w:lang w:eastAsia="nl-BE"/>
        </w:rPr>
        <w:t>Direct management</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nl-BE"/>
        </w:rPr>
      </w:pPr>
      <w:bookmarkStart w:id="855" w:name="simplification_under_direct_mng"/>
      <w:r>
        <w:rPr>
          <w:rFonts w:ascii="Times New Roman" w:hAnsi="Times New Roman"/>
          <w:noProof/>
          <w:sz w:val="24"/>
          <w:szCs w:val="24"/>
          <w:lang w:eastAsia="nl-BE"/>
        </w:rPr>
        <w:t>Under direct management, procedures are considered to be appropriate, clear and transparent and do not create additional burden for Member States or beneficiaries</w:t>
      </w:r>
      <w:bookmarkEnd w:id="855"/>
      <w:r>
        <w:rPr>
          <w:rStyle w:val="FootnoteReference"/>
          <w:rFonts w:ascii="Times New Roman" w:hAnsi="Times New Roman"/>
          <w:noProof/>
          <w:sz w:val="24"/>
          <w:szCs w:val="24"/>
          <w:lang w:eastAsia="nl-BE"/>
        </w:rPr>
        <w:footnoteReference w:id="134"/>
      </w:r>
      <w:r>
        <w:rPr>
          <w:rFonts w:ascii="Times New Roman" w:hAnsi="Times New Roman"/>
          <w:noProof/>
          <w:sz w:val="24"/>
          <w:szCs w:val="24"/>
          <w:lang w:eastAsia="nl-BE"/>
        </w:rPr>
        <w:t>. Most difficulties encountered by beneficiaries in imple</w:t>
      </w:r>
      <w:r>
        <w:rPr>
          <w:rFonts w:ascii="Times New Roman" w:hAnsi="Times New Roman"/>
          <w:noProof/>
          <w:sz w:val="24"/>
          <w:szCs w:val="24"/>
          <w:lang w:eastAsia="nl-BE"/>
        </w:rPr>
        <w:t>menting EMAS actions are generally connected with national political issues</w:t>
      </w:r>
      <w:r>
        <w:rPr>
          <w:rStyle w:val="FootnoteReference"/>
          <w:rFonts w:ascii="Times New Roman" w:hAnsi="Times New Roman"/>
          <w:noProof/>
          <w:sz w:val="24"/>
          <w:szCs w:val="24"/>
          <w:lang w:eastAsia="nl-BE"/>
        </w:rPr>
        <w:footnoteReference w:id="135"/>
      </w:r>
      <w:r>
        <w:rPr>
          <w:rFonts w:ascii="Times New Roman" w:hAnsi="Times New Roman"/>
          <w:noProof/>
          <w:sz w:val="24"/>
          <w:szCs w:val="24"/>
          <w:lang w:eastAsia="nl-BE"/>
        </w:rPr>
        <w:t xml:space="preserve"> or operational difficulties related to the projects’ implementation (i.e. lack of adequate and competent human resources to implement the measures)</w:t>
      </w:r>
      <w:r>
        <w:rPr>
          <w:rStyle w:val="FootnoteReference"/>
          <w:rFonts w:ascii="Times New Roman" w:hAnsi="Times New Roman"/>
          <w:noProof/>
          <w:sz w:val="24"/>
          <w:szCs w:val="24"/>
          <w:lang w:eastAsia="nl-BE"/>
        </w:rPr>
        <w:footnoteReference w:id="136"/>
      </w:r>
      <w:r>
        <w:rPr>
          <w:rFonts w:ascii="Times New Roman" w:hAnsi="Times New Roman"/>
          <w:noProof/>
          <w:sz w:val="24"/>
          <w:szCs w:val="24"/>
          <w:lang w:eastAsia="nl-BE"/>
        </w:rPr>
        <w:t>.</w:t>
      </w:r>
    </w:p>
    <w:bookmarkEnd w:id="853"/>
    <w:bookmarkEnd w:id="854"/>
    <w:p w:rsidR="007D3598" w:rsidRDefault="00F8547B">
      <w:pPr>
        <w:rPr>
          <w:noProof/>
          <w:szCs w:val="24"/>
          <w:lang w:eastAsia="nl-BE"/>
        </w:rPr>
      </w:pPr>
      <w:r>
        <w:rPr>
          <w:noProof/>
          <w:szCs w:val="24"/>
          <w:lang w:eastAsia="nl-BE"/>
        </w:rPr>
        <w:br w:type="page"/>
      </w:r>
    </w:p>
    <w:p w:rsidR="007D3598" w:rsidRDefault="00F8547B">
      <w:pPr>
        <w:pStyle w:val="HH2"/>
        <w:spacing w:before="0" w:after="0"/>
        <w:contextualSpacing w:val="0"/>
        <w:rPr>
          <w:noProof/>
        </w:rPr>
      </w:pPr>
      <w:bookmarkStart w:id="856" w:name="_Toc515270147"/>
      <w:r>
        <w:rPr>
          <w:noProof/>
        </w:rPr>
        <w:t>How relevant has ISF-BV bee</w:t>
      </w:r>
      <w:r>
        <w:rPr>
          <w:noProof/>
        </w:rPr>
        <w:t>n so far?</w:t>
      </w:r>
      <w:bookmarkEnd w:id="825"/>
      <w:bookmarkEnd w:id="826"/>
      <w:bookmarkEnd w:id="827"/>
      <w:bookmarkEnd w:id="828"/>
      <w:bookmarkEnd w:id="829"/>
      <w:bookmarkEnd w:id="830"/>
      <w:bookmarkEnd w:id="831"/>
      <w:bookmarkEnd w:id="832"/>
      <w:bookmarkEnd w:id="833"/>
      <w:bookmarkEnd w:id="848"/>
      <w:bookmarkEnd w:id="849"/>
      <w:bookmarkEnd w:id="850"/>
      <w:bookmarkEnd w:id="851"/>
      <w:bookmarkEnd w:id="852"/>
      <w:bookmarkEnd w:id="856"/>
    </w:p>
    <w:p w:rsidR="007D3598" w:rsidRDefault="007D3598">
      <w:pPr>
        <w:pStyle w:val="Text2"/>
        <w:ind w:left="0"/>
        <w:rPr>
          <w:noProof/>
        </w:rPr>
      </w:pPr>
    </w:p>
    <w:p w:rsidR="007D3598" w:rsidRDefault="00F8547B">
      <w:pPr>
        <w:pStyle w:val="Text2"/>
        <w:ind w:left="0"/>
        <w:jc w:val="both"/>
        <w:rPr>
          <w:noProof/>
        </w:rPr>
      </w:pPr>
      <w:r>
        <w:rPr>
          <w:noProof/>
        </w:rPr>
        <w:t xml:space="preserve">This evaluation question aims to determine whether the Fund’s original objectives are still relevant and how well they still match the current needs and problems. It also addresses the question of the Fund’s flexibility against changing </w:t>
      </w:r>
      <w:r>
        <w:rPr>
          <w:noProof/>
        </w:rPr>
        <w:t>circumstances in the wider context.</w:t>
      </w:r>
    </w:p>
    <w:p w:rsidR="007D3598" w:rsidRDefault="00F8547B">
      <w:pPr>
        <w:tabs>
          <w:tab w:val="left" w:pos="3851"/>
        </w:tabs>
        <w:rPr>
          <w:noProof/>
        </w:rPr>
      </w:pPr>
      <w:bookmarkStart w:id="857" w:name="_Toc504475723"/>
      <w:bookmarkStart w:id="858" w:name="_Toc504476839"/>
      <w:bookmarkStart w:id="859" w:name="_Toc499543645"/>
      <w:r>
        <w:rPr>
          <w:rFonts w:eastAsiaTheme="minorHAnsi"/>
          <w:noProof/>
          <w:szCs w:val="24"/>
          <w:lang w:eastAsia="en-GB"/>
        </w:rPr>
        <mc:AlternateContent>
          <mc:Choice Requires="wps">
            <w:drawing>
              <wp:anchor distT="0" distB="0" distL="114300" distR="114300" simplePos="0" relativeHeight="251665408" behindDoc="0" locked="0" layoutInCell="1" allowOverlap="1" wp14:anchorId="0A050CC4" wp14:editId="7EC77AF7">
                <wp:simplePos x="0" y="0"/>
                <wp:positionH relativeFrom="column">
                  <wp:posOffset>-5080</wp:posOffset>
                </wp:positionH>
                <wp:positionV relativeFrom="paragraph">
                  <wp:posOffset>285750</wp:posOffset>
                </wp:positionV>
                <wp:extent cx="6090285" cy="1725295"/>
                <wp:effectExtent l="0" t="0" r="24765" b="2730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725295"/>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rPr>
                              <w:t>The Fund's original rationale and objectives are still relevant in the aftermath of the migratory crisis</w:t>
                            </w:r>
                            <w:r>
                              <w:rPr>
                                <w:rFonts w:ascii="Times New Roman" w:hAnsi="Times New Roman"/>
                                <w:sz w:val="24"/>
                                <w:szCs w:val="24"/>
                              </w:rPr>
                              <w:t>. Appropriate mechanisms have been put in place to address the changing needs both at the programming and implementation stages. The flexibility offered by the Fund, consisting of transfers of money between different objectives, helped to address the chang</w:t>
                            </w:r>
                            <w:r>
                              <w:rPr>
                                <w:rFonts w:ascii="Times New Roman" w:hAnsi="Times New Roman"/>
                                <w:sz w:val="24"/>
                                <w:szCs w:val="24"/>
                              </w:rPr>
                              <w:t xml:space="preserve">ing needs. However Member States would appreciate even more flexibility that would result from the minimum allocations of funds to objectives no longer being imposed and the number of national objectives being reduced.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pt;margin-top:22.5pt;width:479.55pt;height:13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" strokecolor="#4f81bd [3204]" strokeweight="1.5pt">
                <v:textbo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rPr>
                        <w:t>The Fund's original rationale and objectives are still relevant in the aftermath of the migratory crisis</w:t>
                      </w:r>
                      <w:r>
                        <w:rPr>
                          <w:rFonts w:ascii="Times New Roman" w:hAnsi="Times New Roman"/>
                          <w:sz w:val="24"/>
                          <w:szCs w:val="24"/>
                        </w:rPr>
                        <w:t>. Appropriate mechanisms have been put in place to address the changing needs both at the programming and implementation stages. The flexibility offered by the Fund, consisting of transfers of money between different objectives, helped to address the chang</w:t>
                      </w:r>
                      <w:r>
                        <w:rPr>
                          <w:rFonts w:ascii="Times New Roman" w:hAnsi="Times New Roman"/>
                          <w:sz w:val="24"/>
                          <w:szCs w:val="24"/>
                        </w:rPr>
                        <w:t xml:space="preserve">ing needs. However Member States would appreciate even more flexibility that would result from the minimum allocations of funds to objectives no longer being imposed and the number of national objectives being reduced. </w:t>
                      </w:r>
                    </w:p>
                  </w:txbxContent>
                </v:textbox>
                <w10:wrap type="topAndBottom"/>
              </v:shape>
            </w:pict>
          </mc:Fallback>
        </mc:AlternateContent>
      </w:r>
    </w:p>
    <w:p w:rsidR="007D3598" w:rsidRDefault="007D3598">
      <w:pPr>
        <w:tabs>
          <w:tab w:val="left" w:pos="3851"/>
        </w:tabs>
        <w:rPr>
          <w:noProof/>
        </w:rPr>
      </w:pPr>
    </w:p>
    <w:p w:rsidR="007D3598" w:rsidRDefault="007D3598">
      <w:pPr>
        <w:tabs>
          <w:tab w:val="left" w:pos="3851"/>
        </w:tabs>
        <w:rPr>
          <w:noProof/>
        </w:rPr>
      </w:pPr>
    </w:p>
    <w:bookmarkEnd w:id="857"/>
    <w:bookmarkEnd w:id="858"/>
    <w:p w:rsidR="007D3598" w:rsidRDefault="00F8547B">
      <w:pPr>
        <w:pStyle w:val="Text3"/>
        <w:ind w:left="0"/>
        <w:jc w:val="both"/>
        <w:rPr>
          <w:noProof/>
          <w:szCs w:val="24"/>
        </w:rPr>
      </w:pPr>
      <w:r>
        <w:rPr>
          <w:noProof/>
          <w:szCs w:val="24"/>
        </w:rPr>
        <w:t>The design of the national progra</w:t>
      </w:r>
      <w:r>
        <w:rPr>
          <w:noProof/>
          <w:szCs w:val="24"/>
        </w:rPr>
        <w:t>mmes, including the identification of key needs, priorities and objectives, was supported by the policy dialogue between the Commission and the Member States at the beginning of the programming stage. The policy dialogue took account of both the difficulti</w:t>
      </w:r>
      <w:r>
        <w:rPr>
          <w:noProof/>
          <w:szCs w:val="24"/>
        </w:rPr>
        <w:t>es encountered during the EBF programming cycle and the new and emerging needs as reported at national level. In some Member States the objectives set in the national programmes were based on national strategic documents defining long-term goals and priori</w:t>
      </w:r>
      <w:r>
        <w:rPr>
          <w:noProof/>
          <w:szCs w:val="24"/>
        </w:rPr>
        <w:t xml:space="preserve">ties, further helping to align the national programmes with the identified needs. A common problem perceived at national level was the migratory pressure at the external borders and related security threats. In this light, all Member States allocated more </w:t>
      </w:r>
      <w:r>
        <w:rPr>
          <w:noProof/>
          <w:szCs w:val="24"/>
        </w:rPr>
        <w:t>resources under specific objective Borders than under specific objective Visa. Also, g</w:t>
      </w:r>
      <w:r>
        <w:rPr>
          <w:noProof/>
        </w:rPr>
        <w:t>iven the fragmentation of actions under multiple national objectives that prevented the pooling of resources around key priorities and made it difficult to implement cros</w:t>
      </w:r>
      <w:r>
        <w:rPr>
          <w:noProof/>
        </w:rPr>
        <w:t>s-objective projects. This has also led to an increased administrative burden as the Member States are required to report on the implementation of cross-objective actions for each national objectives concerned with the actions specific scope.</w:t>
      </w:r>
      <w:r>
        <w:rPr>
          <w:noProof/>
          <w:szCs w:val="24"/>
        </w:rPr>
        <w:t xml:space="preserve"> </w:t>
      </w:r>
    </w:p>
    <w:p w:rsidR="007D3598" w:rsidRDefault="007D3598">
      <w:pPr>
        <w:pStyle w:val="Text3"/>
        <w:ind w:left="0"/>
        <w:jc w:val="both"/>
        <w:rPr>
          <w:noProof/>
          <w:szCs w:val="24"/>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 xml:space="preserve">During the </w:t>
      </w:r>
      <w:r>
        <w:rPr>
          <w:rFonts w:ascii="Times New Roman" w:hAnsi="Times New Roman"/>
          <w:noProof/>
          <w:sz w:val="24"/>
        </w:rPr>
        <w:t xml:space="preserve">Fund’s implementation, some </w:t>
      </w:r>
      <w:r>
        <w:rPr>
          <w:rFonts w:ascii="Times New Roman" w:hAnsi="Times New Roman"/>
          <w:b/>
          <w:noProof/>
          <w:sz w:val="24"/>
        </w:rPr>
        <w:t>trends</w:t>
      </w:r>
      <w:r>
        <w:rPr>
          <w:rFonts w:ascii="Times New Roman" w:hAnsi="Times New Roman"/>
          <w:noProof/>
          <w:sz w:val="24"/>
        </w:rPr>
        <w:t xml:space="preserve"> increased the need for an effective EU action at its external borders. An increasing number of refusals of entry issued at the EU’s external borders has been noted since 2014 with 115 862 registered in 2014, 130 279 in 20</w:t>
      </w:r>
      <w:r>
        <w:rPr>
          <w:rFonts w:ascii="Times New Roman" w:hAnsi="Times New Roman"/>
          <w:noProof/>
          <w:sz w:val="24"/>
        </w:rPr>
        <w:t>15, 215 403 in 2016 and a slightly lower number in 2017 - 183 548</w:t>
      </w:r>
      <w:r>
        <w:rPr>
          <w:rStyle w:val="FootnoteReference"/>
          <w:rFonts w:ascii="Times New Roman" w:hAnsi="Times New Roman"/>
          <w:noProof/>
          <w:sz w:val="24"/>
        </w:rPr>
        <w:footnoteReference w:id="137"/>
      </w:r>
      <w:r>
        <w:rPr>
          <w:rFonts w:ascii="Times New Roman" w:hAnsi="Times New Roman"/>
          <w:noProof/>
          <w:sz w:val="24"/>
        </w:rPr>
        <w:t>. Document fraud detections at the Member States’ external borders decreased steadily since 2014 on specific incoming routes</w:t>
      </w:r>
      <w:r>
        <w:rPr>
          <w:rStyle w:val="FootnoteReference"/>
          <w:rFonts w:ascii="Times New Roman" w:hAnsi="Times New Roman"/>
          <w:noProof/>
          <w:sz w:val="24"/>
        </w:rPr>
        <w:footnoteReference w:id="138"/>
      </w:r>
      <w:r>
        <w:rPr>
          <w:rFonts w:ascii="Times New Roman" w:hAnsi="Times New Roman"/>
          <w:noProof/>
          <w:sz w:val="24"/>
        </w:rPr>
        <w:t xml:space="preserve"> and reached their lowest level in the second quarter of 2016 com</w:t>
      </w:r>
      <w:r>
        <w:rPr>
          <w:rFonts w:ascii="Times New Roman" w:hAnsi="Times New Roman"/>
          <w:noProof/>
          <w:sz w:val="24"/>
        </w:rPr>
        <w:t>pared to figures since the beginning in 2013</w:t>
      </w:r>
      <w:r>
        <w:rPr>
          <w:rStyle w:val="FootnoteReference"/>
          <w:rFonts w:ascii="Times New Roman" w:hAnsi="Times New Roman"/>
          <w:noProof/>
          <w:sz w:val="24"/>
        </w:rPr>
        <w:footnoteReference w:id="139"/>
      </w:r>
      <w:r>
        <w:rPr>
          <w:rFonts w:ascii="Times New Roman" w:hAnsi="Times New Roman"/>
          <w:noProof/>
          <w:sz w:val="24"/>
        </w:rPr>
        <w:t>. Increased migratory pressure in the Central Mediterranean has been</w:t>
      </w:r>
      <w:r>
        <w:rPr>
          <w:rFonts w:ascii="Times New Roman" w:hAnsi="Times New Roman"/>
          <w:noProof/>
          <w:sz w:val="24"/>
          <w:szCs w:val="24"/>
        </w:rPr>
        <w:t xml:space="preserve"> </w:t>
      </w:r>
      <w:r>
        <w:rPr>
          <w:rFonts w:ascii="Times New Roman" w:hAnsi="Times New Roman"/>
          <w:noProof/>
          <w:sz w:val="24"/>
        </w:rPr>
        <w:t xml:space="preserve">noted </w:t>
      </w:r>
      <w:r>
        <w:rPr>
          <w:rFonts w:ascii="Times New Roman" w:hAnsi="Times New Roman"/>
          <w:noProof/>
          <w:sz w:val="24"/>
          <w:szCs w:val="24"/>
        </w:rPr>
        <w:t>mainly</w:t>
      </w:r>
      <w:r>
        <w:rPr>
          <w:rFonts w:ascii="Times New Roman" w:hAnsi="Times New Roman"/>
          <w:noProof/>
          <w:sz w:val="24"/>
        </w:rPr>
        <w:t xml:space="preserve"> due to West African arrivals with the highest levels of irregular migration reported in 2017</w:t>
      </w:r>
      <w:r>
        <w:rPr>
          <w:rStyle w:val="FootnoteReference"/>
          <w:rFonts w:ascii="Times New Roman" w:hAnsi="Times New Roman"/>
          <w:noProof/>
          <w:sz w:val="24"/>
        </w:rPr>
        <w:footnoteReference w:id="140"/>
      </w:r>
      <w:r>
        <w:rPr>
          <w:rFonts w:ascii="Times New Roman" w:hAnsi="Times New Roman"/>
          <w:noProof/>
          <w:sz w:val="24"/>
        </w:rPr>
        <w:t>. The exceptional migratory pressure</w:t>
      </w:r>
      <w:r>
        <w:rPr>
          <w:rFonts w:ascii="Times New Roman" w:hAnsi="Times New Roman"/>
          <w:noProof/>
          <w:sz w:val="24"/>
        </w:rPr>
        <w:t xml:space="preserve"> required common high standards of border management that fully comply with the rule of law and with fundamental rights in order to prevent cross-border crime and terrorism</w:t>
      </w:r>
      <w:r>
        <w:rPr>
          <w:rStyle w:val="FootnoteReference"/>
          <w:noProof/>
        </w:rPr>
        <w:footnoteReference w:id="141"/>
      </w:r>
      <w:r>
        <w:rPr>
          <w:rFonts w:ascii="Times New Roman" w:hAnsi="Times New Roman"/>
          <w:noProof/>
          <w:sz w:val="24"/>
        </w:rPr>
        <w:t>. In this context, the Commission introduced an action plan as part of a broader ef</w:t>
      </w:r>
      <w:r>
        <w:rPr>
          <w:rFonts w:ascii="Times New Roman" w:hAnsi="Times New Roman"/>
          <w:noProof/>
          <w:sz w:val="24"/>
        </w:rPr>
        <w:t xml:space="preserve">fort to address the root causes of irregular migration, in cooperation with </w:t>
      </w:r>
      <w:r>
        <w:rPr>
          <w:rFonts w:ascii="Times New Roman" w:hAnsi="Times New Roman"/>
          <w:noProof/>
          <w:sz w:val="24"/>
          <w:szCs w:val="24"/>
        </w:rPr>
        <w:t>countries</w:t>
      </w:r>
      <w:r>
        <w:rPr>
          <w:rFonts w:ascii="Times New Roman" w:hAnsi="Times New Roman"/>
          <w:noProof/>
          <w:sz w:val="24"/>
        </w:rPr>
        <w:t xml:space="preserve"> of origin and transit</w:t>
      </w:r>
      <w:r>
        <w:rPr>
          <w:rStyle w:val="FootnoteReference"/>
          <w:rFonts w:ascii="Times New Roman" w:hAnsi="Times New Roman"/>
          <w:noProof/>
          <w:sz w:val="24"/>
        </w:rPr>
        <w:footnoteReference w:id="142"/>
      </w:r>
      <w:r>
        <w:rPr>
          <w:rFonts w:ascii="Times New Roman" w:hAnsi="Times New Roman"/>
          <w:noProof/>
          <w:sz w:val="24"/>
        </w:rPr>
        <w:t xml:space="preserve">. </w:t>
      </w:r>
      <w:r>
        <w:rPr>
          <w:rStyle w:val="BodyChar"/>
          <w:rFonts w:ascii="Times New Roman" w:hAnsi="Times New Roman"/>
          <w:noProof/>
          <w:sz w:val="24"/>
        </w:rPr>
        <w:t xml:space="preserve">In addition, the visa liberalisation dialogues with neighbouring </w:t>
      </w:r>
      <w:r>
        <w:rPr>
          <w:rStyle w:val="BodyChar"/>
          <w:rFonts w:ascii="Times New Roman" w:hAnsi="Times New Roman"/>
          <w:noProof/>
          <w:sz w:val="24"/>
          <w:szCs w:val="24"/>
        </w:rPr>
        <w:t>countries</w:t>
      </w:r>
      <w:r>
        <w:rPr>
          <w:rStyle w:val="BodyChar"/>
          <w:rFonts w:ascii="Times New Roman" w:hAnsi="Times New Roman"/>
          <w:noProof/>
          <w:sz w:val="24"/>
        </w:rPr>
        <w:t xml:space="preserve"> (Georgia, Ukraine, Kosovo and Turkey) raised the need for strengthened cooperation in the area of border control, requiring also a revision of the ‘suspension mechanism</w:t>
      </w:r>
      <w:r>
        <w:rPr>
          <w:rFonts w:ascii="Times New Roman" w:hAnsi="Times New Roman"/>
          <w:noProof/>
          <w:sz w:val="24"/>
        </w:rPr>
        <w:t>’</w:t>
      </w:r>
      <w:r>
        <w:rPr>
          <w:rStyle w:val="FootnoteReference"/>
          <w:rFonts w:ascii="Times New Roman" w:hAnsi="Times New Roman"/>
          <w:noProof/>
          <w:sz w:val="24"/>
        </w:rPr>
        <w:footnoteReference w:id="143"/>
      </w:r>
      <w:r>
        <w:rPr>
          <w:rFonts w:ascii="Times New Roman" w:hAnsi="Times New Roman"/>
          <w:noProof/>
          <w:sz w:val="24"/>
        </w:rPr>
        <w:t>.</w:t>
      </w:r>
    </w:p>
    <w:p w:rsidR="007D3598" w:rsidRDefault="007D3598">
      <w:pPr>
        <w:pStyle w:val="Body"/>
        <w:spacing w:before="0" w:after="0" w:line="240" w:lineRule="auto"/>
        <w:jc w:val="both"/>
        <w:rPr>
          <w:rFonts w:ascii="Times New Roman" w:hAnsi="Times New Roman"/>
          <w:noProof/>
          <w:sz w:val="24"/>
        </w:rPr>
      </w:pPr>
    </w:p>
    <w:p w:rsidR="007D3598" w:rsidRDefault="00F8547B">
      <w:pPr>
        <w:jc w:val="both"/>
        <w:rPr>
          <w:noProof/>
        </w:rPr>
      </w:pPr>
      <w:r>
        <w:rPr>
          <w:noProof/>
        </w:rPr>
        <w:t>The identification of priorities to be covered by the ISF-BV national programmes w</w:t>
      </w:r>
      <w:r>
        <w:rPr>
          <w:noProof/>
        </w:rPr>
        <w:t xml:space="preserve">as based on a thorough policy dialogue between the EU and the Member States, taking </w:t>
      </w:r>
      <w:r>
        <w:rPr>
          <w:noProof/>
          <w:szCs w:val="24"/>
        </w:rPr>
        <w:t xml:space="preserve">into </w:t>
      </w:r>
      <w:r>
        <w:rPr>
          <w:noProof/>
        </w:rPr>
        <w:t>account the difficulties encountered during the previous programming cycle, the new EU policy priorities and the new and emerging needs as reported at the national lev</w:t>
      </w:r>
      <w:r>
        <w:rPr>
          <w:noProof/>
        </w:rPr>
        <w:t>el. The interim evaluation also indicates that the Fund’s scope is sufficiently broad to enable necessary actions to be implemented in the areas of external border management and the common policy on visa. Despite new and emerging needs which changed the m</w:t>
      </w:r>
      <w:r>
        <w:rPr>
          <w:noProof/>
        </w:rPr>
        <w:t>igration picture, the Fund’s objectives are still relevant and have adapted to challenges</w:t>
      </w:r>
      <w:r>
        <w:rPr>
          <w:rStyle w:val="FootnoteReference"/>
          <w:noProof/>
        </w:rPr>
        <w:footnoteReference w:id="144"/>
      </w:r>
      <w:r>
        <w:rPr>
          <w:noProof/>
          <w:szCs w:val="24"/>
        </w:rPr>
        <w:t>.</w:t>
      </w:r>
      <w:r>
        <w:rPr>
          <w:noProof/>
        </w:rPr>
        <w:t xml:space="preserve"> What also contributed to addressing the changing needs, is the </w:t>
      </w:r>
      <w:r>
        <w:rPr>
          <w:b/>
          <w:noProof/>
        </w:rPr>
        <w:t>flexibility</w:t>
      </w:r>
      <w:r>
        <w:rPr>
          <w:noProof/>
        </w:rPr>
        <w:t xml:space="preserve"> offered by the Fund, i.e. Member States are allowed to transfer money between the specifi</w:t>
      </w:r>
      <w:r>
        <w:rPr>
          <w:noProof/>
        </w:rPr>
        <w:t>c objectives worth up to 15 % of the basic allocation without needing to revise the national programme.</w:t>
      </w:r>
    </w:p>
    <w:p w:rsidR="007D3598" w:rsidRDefault="007D3598">
      <w:pPr>
        <w:pStyle w:val="Body"/>
        <w:spacing w:before="0" w:after="0" w:line="240" w:lineRule="auto"/>
        <w:jc w:val="both"/>
        <w:rPr>
          <w:rFonts w:ascii="Times New Roman" w:hAnsi="Times New Roman"/>
          <w:noProof/>
          <w:sz w:val="24"/>
          <w:highlight w:val="yellow"/>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 xml:space="preserve">Regarding </w:t>
      </w:r>
      <w:r>
        <w:rPr>
          <w:rFonts w:ascii="Times New Roman" w:hAnsi="Times New Roman"/>
          <w:b/>
          <w:noProof/>
          <w:sz w:val="24"/>
        </w:rPr>
        <w:t>borders</w:t>
      </w:r>
      <w:r>
        <w:rPr>
          <w:rFonts w:ascii="Times New Roman" w:hAnsi="Times New Roman"/>
          <w:noProof/>
          <w:sz w:val="24"/>
        </w:rPr>
        <w:t>, almost all Member States deemed the increasing pressure at the external borders as a significant challenge to their border control p</w:t>
      </w:r>
      <w:r>
        <w:rPr>
          <w:rFonts w:ascii="Times New Roman" w:hAnsi="Times New Roman"/>
          <w:noProof/>
          <w:sz w:val="24"/>
        </w:rPr>
        <w:t>olicy</w:t>
      </w:r>
      <w:r>
        <w:rPr>
          <w:rStyle w:val="FootnoteReference"/>
          <w:rFonts w:ascii="Times New Roman" w:hAnsi="Times New Roman"/>
          <w:noProof/>
          <w:sz w:val="24"/>
        </w:rPr>
        <w:footnoteReference w:id="145"/>
      </w:r>
      <w:r>
        <w:rPr>
          <w:rFonts w:ascii="Times New Roman" w:hAnsi="Times New Roman"/>
          <w:noProof/>
          <w:sz w:val="24"/>
        </w:rPr>
        <w:t>. Such pressure resulted in an increase in the proportion of passengers that come from outside the Schengen area out of the total number of passengers</w:t>
      </w:r>
      <w:r>
        <w:rPr>
          <w:rStyle w:val="FootnoteReference"/>
          <w:rFonts w:ascii="Times New Roman" w:hAnsi="Times New Roman"/>
          <w:noProof/>
          <w:sz w:val="24"/>
        </w:rPr>
        <w:footnoteReference w:id="146"/>
      </w:r>
      <w:r>
        <w:rPr>
          <w:rFonts w:ascii="Times New Roman" w:hAnsi="Times New Roman"/>
          <w:noProof/>
          <w:sz w:val="24"/>
        </w:rPr>
        <w:t>. As migration patterns are fluid and the composition of the flow is constantly changing, more atte</w:t>
      </w:r>
      <w:r>
        <w:rPr>
          <w:rFonts w:ascii="Times New Roman" w:hAnsi="Times New Roman"/>
          <w:noProof/>
          <w:sz w:val="24"/>
        </w:rPr>
        <w:t>ntion needs to be paid to the link between border management, terrorism and cross-border crime and this is where both ISF-BV and ISF-P proved to be useful and relevant. Member States identified the following needs during the programming stage:</w:t>
      </w:r>
    </w:p>
    <w:p w:rsidR="007D3598" w:rsidRDefault="00F8547B">
      <w:pPr>
        <w:pStyle w:val="Body"/>
        <w:numPr>
          <w:ilvl w:val="0"/>
          <w:numId w:val="62"/>
        </w:numPr>
        <w:spacing w:before="0" w:after="0" w:line="240" w:lineRule="auto"/>
        <w:jc w:val="both"/>
        <w:rPr>
          <w:rFonts w:ascii="Times New Roman" w:hAnsi="Times New Roman"/>
          <w:noProof/>
          <w:sz w:val="24"/>
        </w:rPr>
      </w:pPr>
      <w:r>
        <w:rPr>
          <w:rFonts w:ascii="Times New Roman" w:hAnsi="Times New Roman"/>
          <w:noProof/>
          <w:sz w:val="24"/>
        </w:rPr>
        <w:t>increase bor</w:t>
      </w:r>
      <w:r>
        <w:rPr>
          <w:rFonts w:ascii="Times New Roman" w:hAnsi="Times New Roman"/>
          <w:noProof/>
          <w:sz w:val="24"/>
        </w:rPr>
        <w:t>der surveillance capacity</w:t>
      </w:r>
      <w:r>
        <w:rPr>
          <w:rStyle w:val="FootnoteReference"/>
          <w:rFonts w:ascii="Times New Roman" w:hAnsi="Times New Roman"/>
          <w:noProof/>
        </w:rPr>
        <w:footnoteReference w:id="147"/>
      </w:r>
      <w:r>
        <w:rPr>
          <w:rFonts w:ascii="Times New Roman" w:hAnsi="Times New Roman"/>
          <w:noProof/>
          <w:sz w:val="24"/>
        </w:rPr>
        <w:t>;</w:t>
      </w:r>
    </w:p>
    <w:p w:rsidR="007D3598" w:rsidRDefault="00F8547B">
      <w:pPr>
        <w:pStyle w:val="Body"/>
        <w:numPr>
          <w:ilvl w:val="0"/>
          <w:numId w:val="62"/>
        </w:numPr>
        <w:spacing w:before="0" w:after="0" w:line="240" w:lineRule="auto"/>
        <w:jc w:val="both"/>
        <w:rPr>
          <w:rFonts w:ascii="Times New Roman" w:hAnsi="Times New Roman"/>
          <w:noProof/>
          <w:sz w:val="24"/>
        </w:rPr>
      </w:pPr>
      <w:r>
        <w:rPr>
          <w:rFonts w:ascii="Times New Roman" w:hAnsi="Times New Roman"/>
          <w:noProof/>
          <w:sz w:val="24"/>
        </w:rPr>
        <w:t>develop EUROSUR through:</w:t>
      </w:r>
      <w:r>
        <w:rPr>
          <w:rStyle w:val="FootnoteReference"/>
          <w:rFonts w:ascii="Times New Roman" w:hAnsi="Times New Roman"/>
          <w:noProof/>
        </w:rPr>
        <w:footnoteReference w:id="148"/>
      </w:r>
      <w:r>
        <w:rPr>
          <w:rFonts w:ascii="Times New Roman" w:hAnsi="Times New Roman"/>
          <w:noProof/>
          <w:sz w:val="24"/>
        </w:rPr>
        <w:t xml:space="preserve"> </w:t>
      </w:r>
    </w:p>
    <w:p w:rsidR="007D3598" w:rsidRDefault="00F8547B">
      <w:pPr>
        <w:pStyle w:val="Body"/>
        <w:numPr>
          <w:ilvl w:val="0"/>
          <w:numId w:val="96"/>
        </w:numPr>
        <w:spacing w:before="0" w:after="0" w:line="240" w:lineRule="auto"/>
        <w:jc w:val="both"/>
        <w:rPr>
          <w:rFonts w:ascii="Times New Roman" w:hAnsi="Times New Roman"/>
          <w:noProof/>
          <w:sz w:val="24"/>
        </w:rPr>
      </w:pPr>
      <w:r>
        <w:rPr>
          <w:rFonts w:ascii="Times New Roman" w:hAnsi="Times New Roman"/>
          <w:noProof/>
          <w:sz w:val="24"/>
        </w:rPr>
        <w:t>developing the EUROSUR national coordination centres;</w:t>
      </w:r>
    </w:p>
    <w:p w:rsidR="007D3598" w:rsidRDefault="00F8547B">
      <w:pPr>
        <w:pStyle w:val="Body"/>
        <w:numPr>
          <w:ilvl w:val="0"/>
          <w:numId w:val="96"/>
        </w:numPr>
        <w:spacing w:before="0" w:after="0" w:line="240" w:lineRule="auto"/>
        <w:jc w:val="both"/>
        <w:rPr>
          <w:rFonts w:ascii="Times New Roman" w:hAnsi="Times New Roman"/>
          <w:noProof/>
          <w:sz w:val="24"/>
        </w:rPr>
      </w:pPr>
      <w:r>
        <w:rPr>
          <w:rFonts w:ascii="Times New Roman" w:hAnsi="Times New Roman"/>
          <w:noProof/>
          <w:sz w:val="24"/>
        </w:rPr>
        <w:t>developing and modernising automated surveillance systems; and</w:t>
      </w:r>
    </w:p>
    <w:p w:rsidR="007D3598" w:rsidRDefault="00F8547B">
      <w:pPr>
        <w:pStyle w:val="Body"/>
        <w:numPr>
          <w:ilvl w:val="0"/>
          <w:numId w:val="96"/>
        </w:numPr>
        <w:spacing w:before="0" w:after="0" w:line="240" w:lineRule="auto"/>
        <w:jc w:val="both"/>
        <w:rPr>
          <w:rFonts w:ascii="Times New Roman" w:hAnsi="Times New Roman"/>
          <w:noProof/>
          <w:sz w:val="24"/>
        </w:rPr>
      </w:pPr>
      <w:r>
        <w:rPr>
          <w:rFonts w:ascii="Times New Roman" w:hAnsi="Times New Roman"/>
          <w:noProof/>
          <w:sz w:val="24"/>
        </w:rPr>
        <w:t xml:space="preserve">upgrading the National Situational Picture for EUROSUR through collecting related </w:t>
      </w:r>
      <w:r>
        <w:rPr>
          <w:rFonts w:ascii="Times New Roman" w:hAnsi="Times New Roman"/>
          <w:noProof/>
          <w:sz w:val="24"/>
        </w:rPr>
        <w:t>information and data so as to ensure compliance with EUROSUR requirements;</w:t>
      </w:r>
    </w:p>
    <w:p w:rsidR="007D3598" w:rsidRDefault="00F8547B">
      <w:pPr>
        <w:pStyle w:val="Body"/>
        <w:numPr>
          <w:ilvl w:val="0"/>
          <w:numId w:val="62"/>
        </w:numPr>
        <w:spacing w:before="0" w:after="0" w:line="240" w:lineRule="auto"/>
        <w:jc w:val="both"/>
        <w:rPr>
          <w:rFonts w:ascii="Times New Roman" w:hAnsi="Times New Roman"/>
          <w:noProof/>
          <w:sz w:val="24"/>
        </w:rPr>
      </w:pPr>
      <w:r>
        <w:rPr>
          <w:rFonts w:ascii="Times New Roman" w:hAnsi="Times New Roman"/>
          <w:noProof/>
          <w:sz w:val="24"/>
        </w:rPr>
        <w:t>maintain and further upgrade the national Schengen Information System II and link it with relevant international databases (Schengen Information System, SIRENE), and train border gu</w:t>
      </w:r>
      <w:r>
        <w:rPr>
          <w:rFonts w:ascii="Times New Roman" w:hAnsi="Times New Roman"/>
          <w:noProof/>
          <w:sz w:val="24"/>
        </w:rPr>
        <w:t>ards especially in Schengen Borders Code practices and modules from the Frontex Common Core Curriculum</w:t>
      </w:r>
      <w:r>
        <w:rPr>
          <w:rStyle w:val="FootnoteReference"/>
          <w:rFonts w:ascii="Times New Roman" w:hAnsi="Times New Roman"/>
          <w:noProof/>
          <w:sz w:val="24"/>
        </w:rPr>
        <w:footnoteReference w:id="149"/>
      </w:r>
      <w:r>
        <w:rPr>
          <w:rFonts w:ascii="Times New Roman" w:hAnsi="Times New Roman"/>
          <w:noProof/>
          <w:sz w:val="24"/>
        </w:rPr>
        <w:t>;</w:t>
      </w:r>
    </w:p>
    <w:p w:rsidR="007D3598" w:rsidRDefault="00F8547B">
      <w:pPr>
        <w:pStyle w:val="Body"/>
        <w:numPr>
          <w:ilvl w:val="0"/>
          <w:numId w:val="62"/>
        </w:numPr>
        <w:spacing w:before="0" w:after="0" w:line="240" w:lineRule="auto"/>
        <w:jc w:val="both"/>
        <w:rPr>
          <w:rFonts w:ascii="Times New Roman" w:hAnsi="Times New Roman"/>
          <w:noProof/>
          <w:sz w:val="24"/>
        </w:rPr>
      </w:pPr>
      <w:r>
        <w:rPr>
          <w:rFonts w:ascii="Times New Roman" w:hAnsi="Times New Roman"/>
          <w:noProof/>
          <w:sz w:val="24"/>
        </w:rPr>
        <w:t>improve information exchange</w:t>
      </w:r>
      <w:r>
        <w:rPr>
          <w:rStyle w:val="FootnoteReference"/>
          <w:rFonts w:ascii="Times New Roman" w:hAnsi="Times New Roman"/>
          <w:noProof/>
          <w:sz w:val="24"/>
        </w:rPr>
        <w:footnoteReference w:id="150"/>
      </w:r>
      <w:r>
        <w:rPr>
          <w:rFonts w:ascii="Times New Roman" w:hAnsi="Times New Roman"/>
          <w:noProof/>
          <w:sz w:val="24"/>
        </w:rPr>
        <w:t xml:space="preserve"> (strengthen capacities of communication systems supporting the border control and further develop Visa Information System</w:t>
      </w:r>
      <w:r>
        <w:rPr>
          <w:rFonts w:ascii="Times New Roman" w:hAnsi="Times New Roman"/>
          <w:noProof/>
          <w:sz w:val="24"/>
        </w:rPr>
        <w:t xml:space="preserve"> functionality for fluid communication between the various services); </w:t>
      </w:r>
    </w:p>
    <w:p w:rsidR="007D3598" w:rsidRDefault="00F8547B">
      <w:pPr>
        <w:pStyle w:val="Body"/>
        <w:numPr>
          <w:ilvl w:val="0"/>
          <w:numId w:val="62"/>
        </w:numPr>
        <w:spacing w:before="0" w:after="0" w:line="240" w:lineRule="auto"/>
        <w:jc w:val="both"/>
        <w:rPr>
          <w:rFonts w:ascii="Times New Roman" w:hAnsi="Times New Roman"/>
          <w:noProof/>
          <w:sz w:val="24"/>
        </w:rPr>
      </w:pPr>
      <w:r>
        <w:rPr>
          <w:rFonts w:ascii="Times New Roman" w:hAnsi="Times New Roman"/>
          <w:noProof/>
          <w:sz w:val="24"/>
        </w:rPr>
        <w:t>ensure the correct application of</w:t>
      </w:r>
      <w:r>
        <w:rPr>
          <w:rFonts w:ascii="Times New Roman" w:hAnsi="Times New Roman"/>
          <w:b/>
          <w:noProof/>
          <w:sz w:val="24"/>
        </w:rPr>
        <w:t xml:space="preserve"> </w:t>
      </w:r>
      <w:r>
        <w:rPr>
          <w:rFonts w:ascii="Times New Roman" w:hAnsi="Times New Roman"/>
          <w:noProof/>
          <w:sz w:val="24"/>
        </w:rPr>
        <w:t xml:space="preserve">EU </w:t>
      </w:r>
      <w:r>
        <w:rPr>
          <w:rFonts w:ascii="Times New Roman" w:hAnsi="Times New Roman"/>
          <w:i/>
          <w:noProof/>
          <w:sz w:val="24"/>
        </w:rPr>
        <w:t>acquis</w:t>
      </w:r>
      <w:r>
        <w:rPr>
          <w:rStyle w:val="FootnoteReference"/>
          <w:rFonts w:ascii="Times New Roman" w:hAnsi="Times New Roman"/>
          <w:noProof/>
          <w:sz w:val="24"/>
        </w:rPr>
        <w:footnoteReference w:id="151"/>
      </w:r>
      <w:r>
        <w:rPr>
          <w:rFonts w:ascii="Times New Roman" w:hAnsi="Times New Roman"/>
          <w:noProof/>
          <w:sz w:val="24"/>
        </w:rPr>
        <w:t xml:space="preserve"> (training for staff tasked with guarding borders on the EU legal instruments, on the specific tasks in the process of border control in order to improve their professional qualifications and knowledge</w:t>
      </w:r>
      <w:r>
        <w:rPr>
          <w:rStyle w:val="FootnoteReference"/>
          <w:rFonts w:ascii="Times New Roman" w:hAnsi="Times New Roman"/>
          <w:noProof/>
          <w:sz w:val="24"/>
        </w:rPr>
        <w:footnoteReference w:id="152"/>
      </w:r>
      <w:r>
        <w:rPr>
          <w:rStyle w:val="FootnoteReference"/>
          <w:rFonts w:ascii="Times New Roman" w:hAnsi="Times New Roman"/>
          <w:noProof/>
          <w:sz w:val="24"/>
        </w:rPr>
        <w:t xml:space="preserve"> </w:t>
      </w:r>
      <w:r>
        <w:rPr>
          <w:rFonts w:ascii="Times New Roman" w:hAnsi="Times New Roman"/>
          <w:noProof/>
          <w:sz w:val="24"/>
        </w:rPr>
        <w:t>incl. relevant language training for border guards</w:t>
      </w:r>
      <w:r>
        <w:rPr>
          <w:rStyle w:val="FootnoteReference"/>
          <w:rFonts w:ascii="Times New Roman" w:hAnsi="Times New Roman"/>
          <w:noProof/>
          <w:sz w:val="24"/>
        </w:rPr>
        <w:footnoteReference w:id="153"/>
      </w:r>
      <w:r>
        <w:rPr>
          <w:rFonts w:ascii="Times New Roman" w:hAnsi="Times New Roman"/>
          <w:noProof/>
          <w:sz w:val="24"/>
        </w:rPr>
        <w:t xml:space="preserve">; </w:t>
      </w:r>
      <w:r>
        <w:rPr>
          <w:rFonts w:ascii="Times New Roman" w:hAnsi="Times New Roman"/>
          <w:noProof/>
          <w:sz w:val="24"/>
        </w:rPr>
        <w:t>and</w:t>
      </w:r>
    </w:p>
    <w:p w:rsidR="007D3598" w:rsidRDefault="00F8547B">
      <w:pPr>
        <w:pStyle w:val="Body"/>
        <w:numPr>
          <w:ilvl w:val="0"/>
          <w:numId w:val="62"/>
        </w:numPr>
        <w:spacing w:before="0" w:after="0" w:line="240" w:lineRule="auto"/>
        <w:jc w:val="both"/>
        <w:rPr>
          <w:rFonts w:ascii="Times New Roman" w:hAnsi="Times New Roman"/>
          <w:noProof/>
          <w:sz w:val="24"/>
        </w:rPr>
      </w:pPr>
      <w:r>
        <w:rPr>
          <w:rFonts w:ascii="Times New Roman" w:hAnsi="Times New Roman"/>
          <w:noProof/>
          <w:sz w:val="24"/>
        </w:rPr>
        <w:t>introduce common EU standards</w:t>
      </w:r>
      <w:r>
        <w:rPr>
          <w:rStyle w:val="FootnoteReference"/>
          <w:rFonts w:ascii="Times New Roman" w:hAnsi="Times New Roman"/>
          <w:noProof/>
          <w:sz w:val="24"/>
        </w:rPr>
        <w:footnoteReference w:id="154"/>
      </w:r>
      <w:r>
        <w:rPr>
          <w:rFonts w:ascii="Times New Roman" w:hAnsi="Times New Roman"/>
          <w:noProof/>
        </w:rPr>
        <w:t xml:space="preserve"> </w:t>
      </w:r>
      <w:r>
        <w:rPr>
          <w:rFonts w:ascii="Times New Roman" w:hAnsi="Times New Roman"/>
          <w:noProof/>
          <w:sz w:val="24"/>
        </w:rPr>
        <w:t>(introduce ABC technology and strengthen controls at border crossing points) and improve the national Schengen Information System II and SIRENE through the operating support</w:t>
      </w:r>
      <w:r>
        <w:rPr>
          <w:rStyle w:val="FootnoteReference"/>
          <w:rFonts w:ascii="Times New Roman" w:hAnsi="Times New Roman"/>
          <w:noProof/>
          <w:sz w:val="24"/>
        </w:rPr>
        <w:footnoteReference w:id="155"/>
      </w:r>
      <w:r>
        <w:rPr>
          <w:rFonts w:ascii="Times New Roman" w:hAnsi="Times New Roman"/>
          <w:noProof/>
          <w:sz w:val="24"/>
        </w:rPr>
        <w:t>.</w:t>
      </w:r>
    </w:p>
    <w:p w:rsidR="007D3598" w:rsidRDefault="007D3598">
      <w:pPr>
        <w:pStyle w:val="Body"/>
        <w:spacing w:before="0" w:after="0" w:line="240" w:lineRule="auto"/>
        <w:jc w:val="both"/>
        <w:rPr>
          <w:rFonts w:ascii="Times New Roman" w:hAnsi="Times New Roman"/>
          <w:noProof/>
          <w:sz w:val="24"/>
          <w:highlight w:val="yellow"/>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 xml:space="preserve">Regarding </w:t>
      </w:r>
      <w:r>
        <w:rPr>
          <w:rFonts w:ascii="Times New Roman" w:hAnsi="Times New Roman"/>
          <w:b/>
          <w:noProof/>
          <w:sz w:val="24"/>
        </w:rPr>
        <w:t>visa</w:t>
      </w:r>
      <w:r>
        <w:rPr>
          <w:rFonts w:ascii="Times New Roman" w:hAnsi="Times New Roman"/>
          <w:noProof/>
          <w:sz w:val="24"/>
        </w:rPr>
        <w:t>, the ever-increasing number o</w:t>
      </w:r>
      <w:r>
        <w:rPr>
          <w:rFonts w:ascii="Times New Roman" w:hAnsi="Times New Roman"/>
          <w:noProof/>
          <w:sz w:val="24"/>
        </w:rPr>
        <w:t>f visa applications posed a challenge to consulates especially due to problems concerning the security of their premises and obsolete equipment for visa processing as reported by a number of Member States</w:t>
      </w:r>
      <w:r>
        <w:rPr>
          <w:rStyle w:val="FootnoteReference"/>
          <w:rFonts w:ascii="Times New Roman" w:hAnsi="Times New Roman"/>
          <w:noProof/>
          <w:sz w:val="24"/>
        </w:rPr>
        <w:footnoteReference w:id="156"/>
      </w:r>
      <w:r>
        <w:rPr>
          <w:rFonts w:ascii="Times New Roman" w:hAnsi="Times New Roman"/>
          <w:noProof/>
          <w:sz w:val="24"/>
        </w:rPr>
        <w:t>. Consequently, the Member States identified a numb</w:t>
      </w:r>
      <w:r>
        <w:rPr>
          <w:rFonts w:ascii="Times New Roman" w:hAnsi="Times New Roman"/>
          <w:noProof/>
          <w:sz w:val="24"/>
        </w:rPr>
        <w:t>er of key needs during the programming stage</w:t>
      </w:r>
      <w:r>
        <w:rPr>
          <w:rStyle w:val="FootnoteReference"/>
          <w:rFonts w:ascii="Times New Roman" w:hAnsi="Times New Roman"/>
          <w:noProof/>
          <w:sz w:val="24"/>
        </w:rPr>
        <w:footnoteReference w:id="157"/>
      </w:r>
      <w:r>
        <w:rPr>
          <w:rFonts w:ascii="Times New Roman" w:hAnsi="Times New Roman"/>
          <w:noProof/>
          <w:sz w:val="24"/>
        </w:rPr>
        <w:t>, such as:</w:t>
      </w:r>
    </w:p>
    <w:p w:rsidR="007D3598" w:rsidRDefault="00F8547B">
      <w:pPr>
        <w:pStyle w:val="Body"/>
        <w:numPr>
          <w:ilvl w:val="0"/>
          <w:numId w:val="97"/>
        </w:numPr>
        <w:spacing w:before="0" w:after="0" w:line="240" w:lineRule="auto"/>
        <w:jc w:val="both"/>
        <w:rPr>
          <w:rFonts w:ascii="Times New Roman" w:hAnsi="Times New Roman"/>
          <w:noProof/>
        </w:rPr>
      </w:pPr>
      <w:r>
        <w:rPr>
          <w:rFonts w:ascii="Times New Roman" w:hAnsi="Times New Roman"/>
          <w:noProof/>
          <w:sz w:val="24"/>
        </w:rPr>
        <w:t>developing the national visa systems including the improvement/replacement/maintenance of equipment;</w:t>
      </w:r>
    </w:p>
    <w:p w:rsidR="007D3598" w:rsidRDefault="00F8547B">
      <w:pPr>
        <w:pStyle w:val="Body"/>
        <w:numPr>
          <w:ilvl w:val="0"/>
          <w:numId w:val="97"/>
        </w:numPr>
        <w:spacing w:before="0" w:after="0" w:line="240" w:lineRule="auto"/>
        <w:jc w:val="both"/>
        <w:rPr>
          <w:rFonts w:ascii="Times New Roman" w:hAnsi="Times New Roman"/>
          <w:noProof/>
        </w:rPr>
      </w:pPr>
      <w:r>
        <w:rPr>
          <w:rFonts w:ascii="Times New Roman" w:hAnsi="Times New Roman"/>
          <w:noProof/>
          <w:sz w:val="24"/>
        </w:rPr>
        <w:t xml:space="preserve">furnishing consulates with modern equipment to help detect falsified documents and upgrade network </w:t>
      </w:r>
      <w:r>
        <w:rPr>
          <w:rFonts w:ascii="Times New Roman" w:hAnsi="Times New Roman"/>
          <w:noProof/>
          <w:sz w:val="24"/>
        </w:rPr>
        <w:t>services</w:t>
      </w:r>
      <w:r>
        <w:rPr>
          <w:rStyle w:val="FootnoteReference"/>
          <w:rFonts w:ascii="Times New Roman" w:hAnsi="Times New Roman"/>
          <w:noProof/>
          <w:sz w:val="24"/>
        </w:rPr>
        <w:footnoteReference w:id="158"/>
      </w:r>
      <w:r>
        <w:rPr>
          <w:rFonts w:ascii="Times New Roman" w:hAnsi="Times New Roman"/>
          <w:noProof/>
          <w:sz w:val="24"/>
        </w:rPr>
        <w:t xml:space="preserve">; </w:t>
      </w:r>
    </w:p>
    <w:p w:rsidR="007D3598" w:rsidRDefault="00F8547B">
      <w:pPr>
        <w:pStyle w:val="Body"/>
        <w:numPr>
          <w:ilvl w:val="0"/>
          <w:numId w:val="97"/>
        </w:numPr>
        <w:spacing w:before="0" w:after="0" w:line="240" w:lineRule="auto"/>
        <w:jc w:val="both"/>
        <w:rPr>
          <w:rFonts w:ascii="Times New Roman" w:hAnsi="Times New Roman"/>
          <w:noProof/>
        </w:rPr>
      </w:pPr>
      <w:r>
        <w:rPr>
          <w:rFonts w:ascii="Times New Roman" w:hAnsi="Times New Roman"/>
          <w:noProof/>
          <w:sz w:val="24"/>
        </w:rPr>
        <w:t>ensuring quality processing of visa applications and continuous improvement of the visa-issuing process;</w:t>
      </w:r>
    </w:p>
    <w:p w:rsidR="007D3598" w:rsidRDefault="00F8547B">
      <w:pPr>
        <w:pStyle w:val="Body"/>
        <w:numPr>
          <w:ilvl w:val="0"/>
          <w:numId w:val="97"/>
        </w:numPr>
        <w:spacing w:before="0" w:after="0" w:line="240" w:lineRule="auto"/>
        <w:jc w:val="both"/>
        <w:rPr>
          <w:rFonts w:ascii="Times New Roman" w:hAnsi="Times New Roman"/>
          <w:noProof/>
        </w:rPr>
      </w:pPr>
      <w:r>
        <w:rPr>
          <w:rFonts w:ascii="Times New Roman" w:hAnsi="Times New Roman"/>
          <w:noProof/>
          <w:sz w:val="24"/>
        </w:rPr>
        <w:t xml:space="preserve">training consular officials and staff assigned to the national visa system on Schengen </w:t>
      </w:r>
      <w:r>
        <w:rPr>
          <w:rFonts w:ascii="Times New Roman" w:hAnsi="Times New Roman"/>
          <w:i/>
          <w:noProof/>
          <w:sz w:val="24"/>
        </w:rPr>
        <w:t>acquis</w:t>
      </w:r>
      <w:r>
        <w:rPr>
          <w:rFonts w:ascii="Times New Roman" w:hAnsi="Times New Roman"/>
          <w:noProof/>
          <w:sz w:val="24"/>
        </w:rPr>
        <w:t xml:space="preserve"> and on counterfeited and false documents;</w:t>
      </w:r>
    </w:p>
    <w:p w:rsidR="007D3598" w:rsidRDefault="00F8547B">
      <w:pPr>
        <w:pStyle w:val="Body"/>
        <w:numPr>
          <w:ilvl w:val="0"/>
          <w:numId w:val="97"/>
        </w:numPr>
        <w:spacing w:before="0" w:after="0" w:line="240" w:lineRule="auto"/>
        <w:jc w:val="both"/>
        <w:rPr>
          <w:rFonts w:ascii="Times New Roman" w:hAnsi="Times New Roman"/>
          <w:noProof/>
        </w:rPr>
      </w:pPr>
      <w:r>
        <w:rPr>
          <w:rFonts w:ascii="Times New Roman" w:hAnsi="Times New Roman"/>
          <w:noProof/>
          <w:sz w:val="24"/>
        </w:rPr>
        <w:t>est</w:t>
      </w:r>
      <w:r>
        <w:rPr>
          <w:rFonts w:ascii="Times New Roman" w:hAnsi="Times New Roman"/>
          <w:noProof/>
          <w:sz w:val="24"/>
        </w:rPr>
        <w:t xml:space="preserve">ablishing and/or maintaining consular cooperation with other Member States so as to exchange experiences, best practices, and knowledge; </w:t>
      </w:r>
    </w:p>
    <w:p w:rsidR="007D3598" w:rsidRDefault="00F8547B">
      <w:pPr>
        <w:pStyle w:val="Body"/>
        <w:numPr>
          <w:ilvl w:val="0"/>
          <w:numId w:val="97"/>
        </w:numPr>
        <w:spacing w:before="0" w:after="0" w:line="240" w:lineRule="auto"/>
        <w:jc w:val="both"/>
        <w:rPr>
          <w:rFonts w:ascii="Times New Roman" w:hAnsi="Times New Roman"/>
          <w:noProof/>
        </w:rPr>
      </w:pPr>
      <w:r>
        <w:rPr>
          <w:rFonts w:ascii="Times New Roman" w:hAnsi="Times New Roman"/>
          <w:noProof/>
          <w:sz w:val="24"/>
        </w:rPr>
        <w:t>purchasing additional or replacing the existing IT and security equipment; and</w:t>
      </w:r>
    </w:p>
    <w:p w:rsidR="007D3598" w:rsidRDefault="00F8547B">
      <w:pPr>
        <w:pStyle w:val="Body"/>
        <w:numPr>
          <w:ilvl w:val="0"/>
          <w:numId w:val="97"/>
        </w:numPr>
        <w:spacing w:before="0" w:after="0" w:line="240" w:lineRule="auto"/>
        <w:jc w:val="both"/>
        <w:rPr>
          <w:rFonts w:ascii="Times New Roman" w:hAnsi="Times New Roman"/>
          <w:noProof/>
        </w:rPr>
      </w:pPr>
      <w:r>
        <w:rPr>
          <w:rFonts w:ascii="Times New Roman" w:hAnsi="Times New Roman"/>
          <w:noProof/>
          <w:sz w:val="24"/>
        </w:rPr>
        <w:t>ensuring the exchange of information an</w:t>
      </w:r>
      <w:r>
        <w:rPr>
          <w:rFonts w:ascii="Times New Roman" w:hAnsi="Times New Roman"/>
          <w:noProof/>
          <w:sz w:val="24"/>
        </w:rPr>
        <w:t>d connecting all visa authorities through the Visa Information System (VIS Mail phase 2 began operating on 20 January 2016)</w:t>
      </w:r>
      <w:r>
        <w:rPr>
          <w:rStyle w:val="FootnoteReference"/>
          <w:rFonts w:ascii="Times New Roman" w:hAnsi="Times New Roman"/>
          <w:noProof/>
          <w:sz w:val="24"/>
        </w:rPr>
        <w:footnoteReference w:id="159"/>
      </w:r>
      <w:r>
        <w:rPr>
          <w:rFonts w:ascii="Times New Roman" w:hAnsi="Times New Roman"/>
          <w:noProof/>
          <w:sz w:val="24"/>
        </w:rPr>
        <w:t>.</w:t>
      </w:r>
    </w:p>
    <w:p w:rsidR="007D3598" w:rsidRDefault="007D3598">
      <w:pPr>
        <w:pStyle w:val="Body"/>
        <w:spacing w:before="0" w:after="0" w:line="240" w:lineRule="auto"/>
        <w:jc w:val="both"/>
        <w:rPr>
          <w:rFonts w:ascii="Times New Roman" w:hAnsi="Times New Roman"/>
          <w:noProof/>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Furthermore, with regard to the </w:t>
      </w:r>
      <w:r>
        <w:rPr>
          <w:rFonts w:ascii="Times New Roman" w:hAnsi="Times New Roman"/>
          <w:b/>
          <w:noProof/>
          <w:sz w:val="24"/>
          <w:szCs w:val="24"/>
        </w:rPr>
        <w:t>operating support</w:t>
      </w:r>
      <w:r>
        <w:rPr>
          <w:rFonts w:ascii="Times New Roman" w:hAnsi="Times New Roman"/>
          <w:noProof/>
          <w:sz w:val="24"/>
          <w:szCs w:val="24"/>
        </w:rPr>
        <w:t>, it was mainly used for maintaining the Visa Information System</w:t>
      </w:r>
      <w:r>
        <w:rPr>
          <w:rStyle w:val="FootnoteReference"/>
          <w:noProof/>
        </w:rPr>
        <w:footnoteReference w:id="160"/>
      </w:r>
      <w:r>
        <w:rPr>
          <w:rFonts w:ascii="Times New Roman" w:hAnsi="Times New Roman"/>
          <w:noProof/>
          <w:sz w:val="24"/>
          <w:szCs w:val="24"/>
        </w:rPr>
        <w:t xml:space="preserve"> and ensuring proper functioning and further development of Schengen Information System II used at all border crossing points</w:t>
      </w:r>
      <w:r>
        <w:rPr>
          <w:rStyle w:val="FootnoteReference"/>
          <w:rFonts w:ascii="Times New Roman" w:hAnsi="Times New Roman"/>
          <w:noProof/>
          <w:sz w:val="24"/>
          <w:szCs w:val="24"/>
        </w:rPr>
        <w:footnoteReference w:id="161"/>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b/>
          <w:noProof/>
          <w:sz w:val="24"/>
        </w:rPr>
        <w:t>Despite evidence gathered on the relevance of the Fund, some areas for improvement have been reported</w:t>
      </w:r>
      <w:r>
        <w:rPr>
          <w:rFonts w:ascii="Times New Roman" w:hAnsi="Times New Roman"/>
          <w:noProof/>
          <w:sz w:val="24"/>
        </w:rPr>
        <w:t xml:space="preserve"> by the Member States</w:t>
      </w:r>
      <w:r>
        <w:rPr>
          <w:rStyle w:val="FootnoteReference"/>
          <w:rFonts w:ascii="Times New Roman" w:hAnsi="Times New Roman"/>
          <w:noProof/>
          <w:sz w:val="24"/>
        </w:rPr>
        <w:footnoteReference w:id="162"/>
      </w:r>
      <w:r>
        <w:rPr>
          <w:rFonts w:ascii="Times New Roman" w:hAnsi="Times New Roman"/>
          <w:noProof/>
          <w:sz w:val="24"/>
          <w:szCs w:val="24"/>
        </w:rPr>
        <w:t>.</w:t>
      </w:r>
      <w:r>
        <w:rPr>
          <w:rFonts w:ascii="Times New Roman" w:hAnsi="Times New Roman"/>
          <w:noProof/>
          <w:sz w:val="24"/>
        </w:rPr>
        <w:t xml:space="preserve"> Ba</w:t>
      </w:r>
      <w:r>
        <w:rPr>
          <w:rFonts w:ascii="Times New Roman" w:hAnsi="Times New Roman"/>
          <w:noProof/>
          <w:sz w:val="24"/>
        </w:rPr>
        <w:t>sic amounts of resources had to be allocated to certain specific objectives outlined in the legal base for the ISF-BV (</w:t>
      </w:r>
      <w:r>
        <w:rPr>
          <w:rFonts w:ascii="Times New Roman" w:hAnsi="Times New Roman"/>
          <w:b/>
          <w:noProof/>
          <w:sz w:val="24"/>
        </w:rPr>
        <w:t>minimum percentages</w:t>
      </w:r>
      <w:r>
        <w:rPr>
          <w:rFonts w:ascii="Times New Roman" w:hAnsi="Times New Roman"/>
          <w:noProof/>
          <w:sz w:val="24"/>
        </w:rPr>
        <w:t>). However, where a Member State did not address one of the specific objectives in its national programme set out in t</w:t>
      </w:r>
      <w:r>
        <w:rPr>
          <w:rFonts w:ascii="Times New Roman" w:hAnsi="Times New Roman"/>
          <w:noProof/>
          <w:sz w:val="24"/>
        </w:rPr>
        <w:t xml:space="preserve">he ISF-BV Regulation or where the allocation envisaged was below the minimum percentage for some objectives, the Member States concerned had to provide a justification for deviating. Despite the afore-mentioned flexibility offered by the Fund, some Member </w:t>
      </w:r>
      <w:r>
        <w:rPr>
          <w:rFonts w:ascii="Times New Roman" w:hAnsi="Times New Roman"/>
          <w:noProof/>
          <w:sz w:val="24"/>
        </w:rPr>
        <w:t>States thought the number of national objectives was too high with the links between them unclear</w:t>
      </w:r>
      <w:r>
        <w:rPr>
          <w:rStyle w:val="FootnoteReference"/>
          <w:noProof/>
        </w:rPr>
        <w:footnoteReference w:id="163"/>
      </w:r>
      <w:r>
        <w:rPr>
          <w:rFonts w:ascii="Times New Roman" w:hAnsi="Times New Roman"/>
          <w:noProof/>
          <w:sz w:val="24"/>
        </w:rPr>
        <w:t xml:space="preserve">, resulting in the </w:t>
      </w:r>
      <w:r>
        <w:rPr>
          <w:rFonts w:ascii="Times New Roman" w:hAnsi="Times New Roman"/>
          <w:b/>
          <w:noProof/>
          <w:sz w:val="24"/>
        </w:rPr>
        <w:t xml:space="preserve">fragmentation of projects </w:t>
      </w:r>
      <w:r>
        <w:rPr>
          <w:rFonts w:ascii="Times New Roman" w:hAnsi="Times New Roman"/>
          <w:noProof/>
          <w:sz w:val="24"/>
        </w:rPr>
        <w:t>under different national objectives.  This prevents the pooling of resources under the national objectives deemed</w:t>
      </w:r>
      <w:r>
        <w:rPr>
          <w:rFonts w:ascii="Times New Roman" w:hAnsi="Times New Roman"/>
          <w:noProof/>
          <w:sz w:val="24"/>
        </w:rPr>
        <w:t xml:space="preserve"> most relevant at the national level. Therefore, some Member States suggested providing a smaller number of objectives with a cross-cutting and broader scope, which would increase the Fund’s overall relevance</w:t>
      </w:r>
      <w:r>
        <w:rPr>
          <w:rStyle w:val="FootnoteReference"/>
          <w:rFonts w:ascii="Times New Roman" w:hAnsi="Times New Roman"/>
          <w:noProof/>
          <w:sz w:val="24"/>
        </w:rPr>
        <w:footnoteReference w:id="164"/>
      </w:r>
      <w:r>
        <w:rPr>
          <w:rFonts w:ascii="Times New Roman" w:hAnsi="Times New Roman"/>
          <w:noProof/>
          <w:sz w:val="24"/>
        </w:rPr>
        <w:t>.</w:t>
      </w:r>
    </w:p>
    <w:p w:rsidR="007D3598" w:rsidRDefault="007D3598">
      <w:pPr>
        <w:pStyle w:val="Body"/>
        <w:spacing w:before="0" w:after="0" w:line="240" w:lineRule="auto"/>
        <w:jc w:val="both"/>
        <w:rPr>
          <w:rFonts w:ascii="Times New Roman" w:hAnsi="Times New Roman"/>
          <w:noProof/>
          <w:sz w:val="24"/>
        </w:rPr>
      </w:pPr>
    </w:p>
    <w:p w:rsidR="007D3598" w:rsidRDefault="00F8547B">
      <w:pPr>
        <w:pStyle w:val="Body"/>
        <w:spacing w:before="0" w:after="0" w:line="240" w:lineRule="auto"/>
        <w:jc w:val="both"/>
        <w:rPr>
          <w:rFonts w:ascii="Times New Roman" w:hAnsi="Times New Roman"/>
          <w:i/>
          <w:noProof/>
          <w:sz w:val="24"/>
        </w:rPr>
      </w:pPr>
      <w:r>
        <w:rPr>
          <w:rFonts w:ascii="Times New Roman" w:hAnsi="Times New Roman"/>
          <w:i/>
          <w:noProof/>
          <w:sz w:val="24"/>
        </w:rPr>
        <w:t>Direct and indirect management</w:t>
      </w:r>
    </w:p>
    <w:p w:rsidR="007D3598" w:rsidRDefault="007D3598">
      <w:pPr>
        <w:pStyle w:val="Body"/>
        <w:spacing w:before="0" w:after="0" w:line="240" w:lineRule="auto"/>
        <w:jc w:val="both"/>
        <w:rPr>
          <w:rFonts w:ascii="Times New Roman" w:hAnsi="Times New Roman"/>
          <w:i/>
          <w:noProof/>
          <w:sz w:val="24"/>
          <w:szCs w:val="24"/>
        </w:rPr>
      </w:pPr>
    </w:p>
    <w:p w:rsidR="007D3598" w:rsidRDefault="00F8547B">
      <w:pPr>
        <w:jc w:val="both"/>
        <w:rPr>
          <w:noProof/>
          <w:szCs w:val="24"/>
        </w:rPr>
      </w:pPr>
      <w:r>
        <w:rPr>
          <w:noProof/>
          <w:szCs w:val="24"/>
        </w:rPr>
        <w:t xml:space="preserve">Both </w:t>
      </w:r>
      <w:r>
        <w:rPr>
          <w:b/>
          <w:noProof/>
          <w:szCs w:val="24"/>
        </w:rPr>
        <w:t xml:space="preserve">direct </w:t>
      </w:r>
      <w:r>
        <w:rPr>
          <w:b/>
          <w:noProof/>
          <w:szCs w:val="24"/>
        </w:rPr>
        <w:t>and indirect management actions</w:t>
      </w:r>
      <w:r>
        <w:rPr>
          <w:noProof/>
          <w:szCs w:val="24"/>
        </w:rPr>
        <w:t xml:space="preserve"> proved</w:t>
      </w:r>
      <w:r>
        <w:rPr>
          <w:b/>
          <w:noProof/>
          <w:szCs w:val="24"/>
        </w:rPr>
        <w:t xml:space="preserve"> to be relevant</w:t>
      </w:r>
      <w:r>
        <w:rPr>
          <w:noProof/>
          <w:szCs w:val="24"/>
        </w:rPr>
        <w:t>. They were complementary to national programmes and helped to achieve the Fund’s priorities and objectives</w:t>
      </w:r>
      <w:r>
        <w:rPr>
          <w:rStyle w:val="FootnoteReference"/>
          <w:noProof/>
          <w:szCs w:val="24"/>
        </w:rPr>
        <w:footnoteReference w:id="165"/>
      </w:r>
      <w:r>
        <w:rPr>
          <w:noProof/>
          <w:szCs w:val="24"/>
        </w:rPr>
        <w:t xml:space="preserve">. </w:t>
      </w:r>
      <w:r>
        <w:rPr>
          <w:noProof/>
        </w:rPr>
        <w:t>Their flexible</w:t>
      </w:r>
      <w:r>
        <w:rPr>
          <w:noProof/>
          <w:lang w:eastAsia="nl-BE"/>
        </w:rPr>
        <w:t xml:space="preserve"> operational architecture contributes to the Fund’s relevance with action strat</w:t>
      </w:r>
      <w:r>
        <w:rPr>
          <w:noProof/>
          <w:lang w:eastAsia="nl-BE"/>
        </w:rPr>
        <w:t>egies being redefined according to actual emerging needs by means of simple and quick amendments to grant agreements (i.e. to get further administrative and operational support, modify the EU contribution or extend the period covered by the grant agreement</w:t>
      </w:r>
      <w:r>
        <w:rPr>
          <w:noProof/>
          <w:lang w:eastAsia="nl-BE"/>
        </w:rPr>
        <w:t>).</w:t>
      </w:r>
    </w:p>
    <w:p w:rsidR="007D3598" w:rsidRDefault="007D3598">
      <w:pPr>
        <w:pStyle w:val="Body"/>
        <w:spacing w:before="0" w:after="0" w:line="240" w:lineRule="auto"/>
        <w:jc w:val="both"/>
        <w:rPr>
          <w:rFonts w:ascii="Times New Roman" w:hAnsi="Times New Roman"/>
          <w:i/>
          <w:noProof/>
          <w:sz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The Fund may support </w:t>
      </w:r>
      <w:r>
        <w:rPr>
          <w:rFonts w:ascii="Times New Roman" w:hAnsi="Times New Roman"/>
          <w:b/>
          <w:noProof/>
          <w:sz w:val="24"/>
          <w:szCs w:val="24"/>
        </w:rPr>
        <w:t>UAs</w:t>
      </w:r>
      <w:r>
        <w:rPr>
          <w:rFonts w:ascii="Times New Roman" w:hAnsi="Times New Roman"/>
          <w:noProof/>
          <w:sz w:val="24"/>
          <w:szCs w:val="24"/>
        </w:rPr>
        <w:t>, i.e. transnational actions or actions of particular interest to the EU concerning the general, specific and operational objectives referred to in Article 3</w:t>
      </w:r>
      <w:r>
        <w:rPr>
          <w:rStyle w:val="FootnoteReference"/>
          <w:noProof/>
        </w:rPr>
        <w:footnoteReference w:id="166"/>
      </w:r>
      <w:r>
        <w:rPr>
          <w:rFonts w:ascii="Times New Roman" w:hAnsi="Times New Roman"/>
          <w:noProof/>
          <w:sz w:val="24"/>
          <w:szCs w:val="24"/>
        </w:rPr>
        <w:t xml:space="preserve">. UAs should be aligned with the following aspects identified in the </w:t>
      </w:r>
      <w:r>
        <w:rPr>
          <w:rFonts w:ascii="Times New Roman" w:hAnsi="Times New Roman"/>
          <w:noProof/>
          <w:sz w:val="24"/>
          <w:szCs w:val="24"/>
        </w:rPr>
        <w:t>intervention logic:</w:t>
      </w:r>
    </w:p>
    <w:p w:rsidR="007D3598" w:rsidRDefault="00F8547B">
      <w:pPr>
        <w:pStyle w:val="Body"/>
        <w:numPr>
          <w:ilvl w:val="0"/>
          <w:numId w:val="98"/>
        </w:numPr>
        <w:spacing w:before="0" w:after="0" w:line="240" w:lineRule="auto"/>
        <w:jc w:val="both"/>
        <w:rPr>
          <w:rFonts w:ascii="Times New Roman" w:hAnsi="Times New Roman"/>
          <w:noProof/>
          <w:sz w:val="24"/>
          <w:szCs w:val="24"/>
        </w:rPr>
      </w:pPr>
      <w:r>
        <w:rPr>
          <w:rFonts w:ascii="Times New Roman" w:hAnsi="Times New Roman"/>
          <w:noProof/>
          <w:sz w:val="24"/>
          <w:szCs w:val="24"/>
        </w:rPr>
        <w:t>problems, i.e.</w:t>
      </w:r>
    </w:p>
    <w:p w:rsidR="007D3598" w:rsidRDefault="00F8547B">
      <w:pPr>
        <w:pStyle w:val="Body"/>
        <w:numPr>
          <w:ilvl w:val="0"/>
          <w:numId w:val="99"/>
        </w:numPr>
        <w:spacing w:before="0" w:after="0" w:line="240" w:lineRule="auto"/>
        <w:jc w:val="both"/>
        <w:rPr>
          <w:rFonts w:ascii="Times New Roman" w:hAnsi="Times New Roman"/>
          <w:noProof/>
          <w:sz w:val="24"/>
          <w:szCs w:val="24"/>
        </w:rPr>
      </w:pPr>
      <w:r>
        <w:rPr>
          <w:rFonts w:ascii="Times New Roman" w:hAnsi="Times New Roman"/>
          <w:noProof/>
          <w:sz w:val="24"/>
          <w:szCs w:val="24"/>
        </w:rPr>
        <w:t>‘Member States have divergent interpretations and application of visa code’,</w:t>
      </w:r>
    </w:p>
    <w:p w:rsidR="007D3598" w:rsidRDefault="00F8547B">
      <w:pPr>
        <w:pStyle w:val="Body"/>
        <w:numPr>
          <w:ilvl w:val="0"/>
          <w:numId w:val="99"/>
        </w:numPr>
        <w:spacing w:before="0" w:after="0" w:line="240" w:lineRule="auto"/>
        <w:jc w:val="both"/>
        <w:rPr>
          <w:rFonts w:ascii="Times New Roman" w:hAnsi="Times New Roman"/>
          <w:noProof/>
          <w:sz w:val="24"/>
          <w:szCs w:val="24"/>
        </w:rPr>
      </w:pPr>
      <w:r>
        <w:rPr>
          <w:rFonts w:ascii="Times New Roman" w:hAnsi="Times New Roman"/>
          <w:noProof/>
          <w:sz w:val="24"/>
          <w:szCs w:val="24"/>
        </w:rPr>
        <w:t>‘IT systems potential is under used’,</w:t>
      </w:r>
    </w:p>
    <w:p w:rsidR="007D3598" w:rsidRDefault="00F8547B">
      <w:pPr>
        <w:pStyle w:val="Body"/>
        <w:numPr>
          <w:ilvl w:val="0"/>
          <w:numId w:val="99"/>
        </w:numPr>
        <w:spacing w:before="0" w:after="0" w:line="240" w:lineRule="auto"/>
        <w:jc w:val="both"/>
        <w:rPr>
          <w:rFonts w:ascii="Times New Roman" w:hAnsi="Times New Roman"/>
          <w:noProof/>
          <w:sz w:val="24"/>
          <w:szCs w:val="24"/>
        </w:rPr>
      </w:pPr>
      <w:r>
        <w:rPr>
          <w:rFonts w:ascii="Times New Roman" w:hAnsi="Times New Roman"/>
          <w:noProof/>
          <w:sz w:val="24"/>
          <w:szCs w:val="24"/>
        </w:rPr>
        <w:t>‘External border management is not fully integrated’;</w:t>
      </w:r>
    </w:p>
    <w:p w:rsidR="007D3598" w:rsidRDefault="00F8547B">
      <w:pPr>
        <w:pStyle w:val="Body"/>
        <w:numPr>
          <w:ilvl w:val="0"/>
          <w:numId w:val="98"/>
        </w:numPr>
        <w:spacing w:before="0" w:after="0" w:line="240" w:lineRule="auto"/>
        <w:jc w:val="both"/>
        <w:rPr>
          <w:rFonts w:ascii="Times New Roman" w:hAnsi="Times New Roman"/>
          <w:noProof/>
          <w:sz w:val="24"/>
          <w:szCs w:val="24"/>
        </w:rPr>
      </w:pPr>
      <w:r>
        <w:rPr>
          <w:rFonts w:ascii="Times New Roman" w:hAnsi="Times New Roman"/>
          <w:noProof/>
          <w:sz w:val="24"/>
          <w:szCs w:val="24"/>
        </w:rPr>
        <w:t>needs, i.e.</w:t>
      </w:r>
    </w:p>
    <w:p w:rsidR="007D3598" w:rsidRDefault="00F8547B">
      <w:pPr>
        <w:pStyle w:val="Body"/>
        <w:numPr>
          <w:ilvl w:val="0"/>
          <w:numId w:val="100"/>
        </w:numPr>
        <w:spacing w:before="0" w:after="0" w:line="240" w:lineRule="auto"/>
        <w:jc w:val="both"/>
        <w:rPr>
          <w:rFonts w:ascii="Times New Roman" w:hAnsi="Times New Roman"/>
          <w:noProof/>
          <w:sz w:val="24"/>
          <w:szCs w:val="24"/>
        </w:rPr>
      </w:pPr>
      <w:r>
        <w:rPr>
          <w:rFonts w:ascii="Times New Roman" w:hAnsi="Times New Roman"/>
          <w:noProof/>
          <w:sz w:val="24"/>
          <w:szCs w:val="24"/>
        </w:rPr>
        <w:t>‘Improving services for visa applicants,</w:t>
      </w:r>
      <w:r>
        <w:rPr>
          <w:rFonts w:ascii="Times New Roman" w:hAnsi="Times New Roman"/>
          <w:noProof/>
          <w:sz w:val="24"/>
          <w:szCs w:val="24"/>
        </w:rPr>
        <w:t xml:space="preserve"> boosting practice harmonisation’,</w:t>
      </w:r>
    </w:p>
    <w:p w:rsidR="007D3598" w:rsidRDefault="00F8547B">
      <w:pPr>
        <w:pStyle w:val="Body"/>
        <w:numPr>
          <w:ilvl w:val="0"/>
          <w:numId w:val="100"/>
        </w:numPr>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‘Supporting Schengen </w:t>
      </w:r>
      <w:r>
        <w:rPr>
          <w:rFonts w:ascii="Times New Roman" w:hAnsi="Times New Roman"/>
          <w:i/>
          <w:noProof/>
          <w:sz w:val="24"/>
          <w:szCs w:val="24"/>
        </w:rPr>
        <w:t>acquis</w:t>
      </w:r>
      <w:r>
        <w:rPr>
          <w:rFonts w:ascii="Times New Roman" w:hAnsi="Times New Roman"/>
          <w:noProof/>
          <w:sz w:val="24"/>
          <w:szCs w:val="24"/>
        </w:rPr>
        <w:t xml:space="preserve"> on border and visa application’,</w:t>
      </w:r>
    </w:p>
    <w:p w:rsidR="007D3598" w:rsidRDefault="00F8547B">
      <w:pPr>
        <w:pStyle w:val="Body"/>
        <w:numPr>
          <w:ilvl w:val="0"/>
          <w:numId w:val="100"/>
        </w:numPr>
        <w:spacing w:before="0" w:after="0" w:line="240" w:lineRule="auto"/>
        <w:jc w:val="both"/>
        <w:rPr>
          <w:rFonts w:ascii="Times New Roman" w:hAnsi="Times New Roman"/>
          <w:noProof/>
          <w:sz w:val="24"/>
          <w:szCs w:val="24"/>
        </w:rPr>
      </w:pPr>
      <w:r>
        <w:rPr>
          <w:rFonts w:ascii="Times New Roman" w:hAnsi="Times New Roman"/>
          <w:noProof/>
          <w:sz w:val="24"/>
          <w:szCs w:val="24"/>
        </w:rPr>
        <w:t>‘Developing EU common border management system’; and</w:t>
      </w:r>
    </w:p>
    <w:p w:rsidR="007D3598" w:rsidRDefault="00F8547B">
      <w:pPr>
        <w:pStyle w:val="Body"/>
        <w:numPr>
          <w:ilvl w:val="0"/>
          <w:numId w:val="98"/>
        </w:numPr>
        <w:spacing w:before="0" w:after="0" w:line="240" w:lineRule="auto"/>
        <w:jc w:val="both"/>
        <w:rPr>
          <w:rFonts w:ascii="Times New Roman" w:hAnsi="Times New Roman"/>
          <w:noProof/>
          <w:sz w:val="24"/>
          <w:szCs w:val="24"/>
        </w:rPr>
      </w:pPr>
      <w:r>
        <w:rPr>
          <w:rFonts w:ascii="Times New Roman" w:hAnsi="Times New Roman"/>
          <w:noProof/>
          <w:sz w:val="24"/>
          <w:szCs w:val="24"/>
        </w:rPr>
        <w:t>impacts, i.e.</w:t>
      </w:r>
    </w:p>
    <w:p w:rsidR="007D3598" w:rsidRDefault="00F8547B">
      <w:pPr>
        <w:pStyle w:val="Body"/>
        <w:numPr>
          <w:ilvl w:val="0"/>
          <w:numId w:val="101"/>
        </w:numPr>
        <w:spacing w:before="0" w:after="0" w:line="240" w:lineRule="auto"/>
        <w:jc w:val="both"/>
        <w:rPr>
          <w:rFonts w:ascii="Times New Roman" w:hAnsi="Times New Roman"/>
          <w:noProof/>
          <w:sz w:val="24"/>
          <w:szCs w:val="24"/>
        </w:rPr>
      </w:pPr>
      <w:r>
        <w:rPr>
          <w:rFonts w:ascii="Times New Roman" w:hAnsi="Times New Roman"/>
          <w:noProof/>
          <w:sz w:val="24"/>
          <w:szCs w:val="24"/>
        </w:rPr>
        <w:t>‘Enhanced situational awareness, through staff training concerned with border and visa manage</w:t>
      </w:r>
      <w:r>
        <w:rPr>
          <w:rFonts w:ascii="Times New Roman" w:hAnsi="Times New Roman"/>
          <w:noProof/>
          <w:sz w:val="24"/>
          <w:szCs w:val="24"/>
        </w:rPr>
        <w:t>ment’,</w:t>
      </w:r>
    </w:p>
    <w:p w:rsidR="007D3598" w:rsidRDefault="00F8547B">
      <w:pPr>
        <w:pStyle w:val="Body"/>
        <w:numPr>
          <w:ilvl w:val="0"/>
          <w:numId w:val="101"/>
        </w:numPr>
        <w:spacing w:before="0" w:after="0" w:line="240" w:lineRule="auto"/>
        <w:jc w:val="both"/>
        <w:rPr>
          <w:rFonts w:ascii="Times New Roman" w:hAnsi="Times New Roman"/>
          <w:noProof/>
          <w:sz w:val="24"/>
          <w:szCs w:val="24"/>
        </w:rPr>
      </w:pPr>
      <w:r>
        <w:rPr>
          <w:rFonts w:ascii="Times New Roman" w:hAnsi="Times New Roman"/>
          <w:noProof/>
          <w:sz w:val="24"/>
          <w:szCs w:val="24"/>
        </w:rPr>
        <w:t>‘Higher, full, and interoperable use of (existing or new) IT systems’,</w:t>
      </w:r>
    </w:p>
    <w:p w:rsidR="007D3598" w:rsidRDefault="00F8547B">
      <w:pPr>
        <w:pStyle w:val="Body"/>
        <w:numPr>
          <w:ilvl w:val="0"/>
          <w:numId w:val="101"/>
        </w:numPr>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‘Improved cooperation and dialogue with third countries, by means of agreements and partnerships’, </w:t>
      </w:r>
    </w:p>
    <w:p w:rsidR="007D3598" w:rsidRDefault="00F8547B">
      <w:pPr>
        <w:pStyle w:val="Body"/>
        <w:numPr>
          <w:ilvl w:val="0"/>
          <w:numId w:val="101"/>
        </w:numPr>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‘Increased harmonisation to migration management and internal security’. </w:t>
      </w:r>
    </w:p>
    <w:p w:rsidR="007D3598" w:rsidRDefault="007D3598">
      <w:pPr>
        <w:pStyle w:val="Body"/>
        <w:spacing w:before="0" w:after="0" w:line="240" w:lineRule="auto"/>
        <w:ind w:left="1565"/>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Acc</w:t>
      </w:r>
      <w:r>
        <w:rPr>
          <w:rFonts w:ascii="Times New Roman" w:hAnsi="Times New Roman"/>
          <w:noProof/>
          <w:sz w:val="24"/>
          <w:szCs w:val="24"/>
        </w:rPr>
        <w:t>ording to the analysis of UAs’ 2014-2017 AWPs, the original priorities and objectives set by the legal base for UAs</w:t>
      </w:r>
      <w:r>
        <w:rPr>
          <w:rStyle w:val="FootnoteReference"/>
          <w:noProof/>
        </w:rPr>
        <w:footnoteReference w:id="167"/>
      </w:r>
      <w:r>
        <w:rPr>
          <w:rFonts w:ascii="Times New Roman" w:hAnsi="Times New Roman"/>
          <w:noProof/>
          <w:sz w:val="24"/>
          <w:szCs w:val="24"/>
        </w:rPr>
        <w:t xml:space="preserve"> are still relevant. It is possible to identify six clusters of priorities and objectives pursued by the AWPs that were relevant in order to</w:t>
      </w:r>
      <w:r>
        <w:rPr>
          <w:rFonts w:ascii="Times New Roman" w:hAnsi="Times New Roman"/>
          <w:noProof/>
          <w:sz w:val="24"/>
          <w:szCs w:val="24"/>
        </w:rPr>
        <w:t xml:space="preserve"> address the needs over the period 2014-2017: (i) Schengen evaluation, (ii) EUROSUR, (iii) training of ILOs, (iv) regional cooperation, (v) coordination of research activities, and (vi) IT tools (Schengen Information System). Interviews conducted with bene</w:t>
      </w:r>
      <w:r>
        <w:rPr>
          <w:rFonts w:ascii="Times New Roman" w:hAnsi="Times New Roman"/>
          <w:noProof/>
          <w:sz w:val="24"/>
          <w:szCs w:val="24"/>
        </w:rPr>
        <w:t>ficiaries of UAs confirmed the relevance of these priorities. In particular, one Member States</w:t>
      </w:r>
      <w:r>
        <w:rPr>
          <w:rStyle w:val="FootnoteReference"/>
          <w:rFonts w:ascii="Times New Roman" w:hAnsi="Times New Roman"/>
          <w:noProof/>
          <w:sz w:val="24"/>
          <w:szCs w:val="24"/>
        </w:rPr>
        <w:footnoteReference w:id="168"/>
      </w:r>
      <w:r>
        <w:rPr>
          <w:rFonts w:ascii="Times New Roman" w:hAnsi="Times New Roman"/>
          <w:noProof/>
          <w:sz w:val="24"/>
          <w:szCs w:val="24"/>
        </w:rPr>
        <w:t xml:space="preserve"> stressed the importance of developing EUROSUR and increasing Member States cooperation in order to improve border control. To this end, it allocated a significa</w:t>
      </w:r>
      <w:r>
        <w:rPr>
          <w:rFonts w:ascii="Times New Roman" w:hAnsi="Times New Roman"/>
          <w:noProof/>
          <w:sz w:val="24"/>
          <w:szCs w:val="24"/>
        </w:rPr>
        <w:t>nt part of the Fund’s resources to the control of the maritime external borders and to the establishment of an integrated network of IT systems with other Member States. Another Member States</w:t>
      </w:r>
      <w:r>
        <w:rPr>
          <w:rStyle w:val="FootnoteReference"/>
          <w:rFonts w:ascii="Times New Roman" w:hAnsi="Times New Roman"/>
          <w:noProof/>
          <w:sz w:val="24"/>
          <w:szCs w:val="24"/>
        </w:rPr>
        <w:footnoteReference w:id="169"/>
      </w:r>
      <w:r>
        <w:rPr>
          <w:rFonts w:ascii="Times New Roman" w:hAnsi="Times New Roman"/>
          <w:noProof/>
          <w:sz w:val="24"/>
          <w:szCs w:val="24"/>
        </w:rPr>
        <w:t xml:space="preserve"> confirmed that strengthening the cooperation between Member Sta</w:t>
      </w:r>
      <w:r>
        <w:rPr>
          <w:rFonts w:ascii="Times New Roman" w:hAnsi="Times New Roman"/>
          <w:noProof/>
          <w:sz w:val="24"/>
          <w:szCs w:val="24"/>
        </w:rPr>
        <w:t>tes by exchanging information and good practices was relevant for improving border surveillance and for preventing transnational organised crime.</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jc w:val="both"/>
        <w:rPr>
          <w:noProof/>
        </w:rPr>
      </w:pPr>
      <w:r>
        <w:rPr>
          <w:b/>
          <w:noProof/>
          <w:szCs w:val="24"/>
        </w:rPr>
        <w:t>EMAS</w:t>
      </w:r>
      <w:r>
        <w:rPr>
          <w:noProof/>
          <w:szCs w:val="24"/>
        </w:rPr>
        <w:t xml:space="preserve"> actions ensured there was financial assistance to address urgent and specific needs in the event of emergency situations stemming from exceptional migratory pressure</w:t>
      </w:r>
      <w:r>
        <w:rPr>
          <w:rStyle w:val="FootnoteReference"/>
          <w:noProof/>
          <w:szCs w:val="24"/>
        </w:rPr>
        <w:footnoteReference w:id="170"/>
      </w:r>
      <w:r>
        <w:rPr>
          <w:noProof/>
          <w:szCs w:val="24"/>
        </w:rPr>
        <w:t>.</w:t>
      </w:r>
      <w:r>
        <w:rPr>
          <w:rStyle w:val="FootnoteReference"/>
          <w:noProof/>
          <w:szCs w:val="24"/>
        </w:rPr>
        <w:t xml:space="preserve"> </w:t>
      </w:r>
      <w:r>
        <w:rPr>
          <w:noProof/>
          <w:szCs w:val="24"/>
        </w:rPr>
        <w:t>EMAS actions are aligned with problems (‘Migratory pressure and security threats are in</w:t>
      </w:r>
      <w:r>
        <w:rPr>
          <w:noProof/>
          <w:szCs w:val="24"/>
        </w:rPr>
        <w:t>creasing’), needs (‘Tackling illegal migration’), and impacts (‘Immediate taking on of unforeseen migratory pressure and risks through EMAS and adequate resource distribution’) as identified in the intervention logic. According to the analysis of EMAS 2014</w:t>
      </w:r>
      <w:r>
        <w:rPr>
          <w:noProof/>
          <w:szCs w:val="24"/>
        </w:rPr>
        <w:t>-2017 AWPs, the above-mentioned problems and needs still remained valid over the period 2014-2017. However, their gravity has increased immensely as a result of the migration crisis</w:t>
      </w:r>
      <w:r>
        <w:rPr>
          <w:rStyle w:val="FootnoteReference"/>
          <w:noProof/>
        </w:rPr>
        <w:footnoteReference w:id="171"/>
      </w:r>
      <w:r>
        <w:rPr>
          <w:noProof/>
        </w:rPr>
        <w:t xml:space="preserve">. </w:t>
      </w:r>
      <w:r>
        <w:rPr>
          <w:noProof/>
          <w:lang w:eastAsia="nl-BE"/>
        </w:rPr>
        <w:t>EMAS</w:t>
      </w:r>
      <w:r>
        <w:rPr>
          <w:noProof/>
        </w:rPr>
        <w:t xml:space="preserve"> has also contributed to the Greek hotspots</w:t>
      </w:r>
      <w:r>
        <w:rPr>
          <w:rStyle w:val="FootnoteReference"/>
          <w:noProof/>
        </w:rPr>
        <w:footnoteReference w:id="172"/>
      </w:r>
      <w:r>
        <w:rPr>
          <w:noProof/>
        </w:rPr>
        <w:t xml:space="preserve"> by providing funds for food, shelter, medicines and transport at the hotspots, and funds for strengthening the fingerprinting capacity on the ground.</w:t>
      </w:r>
      <w:r>
        <w:rPr>
          <w:noProof/>
          <w:szCs w:val="24"/>
        </w:rPr>
        <w:t xml:space="preserve"> It should be also noted in response to the migration crisis the allocation of funds to EMAS increased 11 </w:t>
      </w:r>
      <w:r>
        <w:rPr>
          <w:noProof/>
          <w:szCs w:val="24"/>
        </w:rPr>
        <w:t>times.</w:t>
      </w:r>
    </w:p>
    <w:p w:rsidR="007D3598" w:rsidRDefault="007D3598">
      <w:pPr>
        <w:jc w:val="both"/>
        <w:rPr>
          <w:noProof/>
          <w:szCs w:val="24"/>
        </w:rPr>
      </w:pPr>
      <w:bookmarkStart w:id="860" w:name="_Toc504475724"/>
      <w:bookmarkStart w:id="861" w:name="_Toc504476840"/>
    </w:p>
    <w:bookmarkEnd w:id="860"/>
    <w:bookmarkEnd w:id="861"/>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b/>
          <w:noProof/>
          <w:sz w:val="24"/>
          <w:szCs w:val="24"/>
        </w:rPr>
        <w:t>As regards measures put in place to address changing needs</w:t>
      </w:r>
      <w:r>
        <w:rPr>
          <w:rFonts w:ascii="Times New Roman" w:hAnsi="Times New Roman"/>
          <w:noProof/>
          <w:sz w:val="24"/>
          <w:szCs w:val="24"/>
        </w:rPr>
        <w:t xml:space="preserve">, it is important to note that the </w:t>
      </w:r>
      <w:r>
        <w:rPr>
          <w:rFonts w:ascii="Times New Roman" w:hAnsi="Times New Roman"/>
          <w:noProof/>
          <w:sz w:val="24"/>
        </w:rPr>
        <w:t>needs identified during the programming stage did not change</w:t>
      </w:r>
      <w:r>
        <w:rPr>
          <w:rFonts w:ascii="Times New Roman" w:hAnsi="Times New Roman"/>
          <w:noProof/>
          <w:sz w:val="24"/>
          <w:szCs w:val="24"/>
        </w:rPr>
        <w:t xml:space="preserve"> </w:t>
      </w:r>
      <w:r>
        <w:rPr>
          <w:rFonts w:ascii="Times New Roman" w:hAnsi="Times New Roman"/>
          <w:noProof/>
          <w:sz w:val="24"/>
        </w:rPr>
        <w:t>significantly</w:t>
      </w:r>
      <w:r>
        <w:rPr>
          <w:rFonts w:ascii="Times New Roman" w:hAnsi="Times New Roman"/>
          <w:noProof/>
          <w:sz w:val="24"/>
          <w:szCs w:val="24"/>
        </w:rPr>
        <w:t xml:space="preserve"> during the Fund’s implementation; rather it is the volume of issues to be addres</w:t>
      </w:r>
      <w:r>
        <w:rPr>
          <w:rFonts w:ascii="Times New Roman" w:hAnsi="Times New Roman"/>
          <w:noProof/>
          <w:sz w:val="24"/>
          <w:szCs w:val="24"/>
        </w:rPr>
        <w:t>sed that increased as a consequence of the migration crisis</w:t>
      </w:r>
      <w:r>
        <w:rPr>
          <w:rStyle w:val="FootnoteReference"/>
          <w:rFonts w:ascii="Times New Roman" w:hAnsi="Times New Roman"/>
          <w:noProof/>
          <w:sz w:val="24"/>
          <w:szCs w:val="24"/>
        </w:rPr>
        <w:footnoteReference w:id="173"/>
      </w:r>
      <w:r>
        <w:rPr>
          <w:rFonts w:ascii="Times New Roman" w:hAnsi="Times New Roman"/>
          <w:noProof/>
          <w:sz w:val="24"/>
          <w:szCs w:val="24"/>
        </w:rPr>
        <w:t>.</w:t>
      </w:r>
    </w:p>
    <w:p w:rsidR="007D3598" w:rsidRDefault="007D3598">
      <w:pPr>
        <w:pStyle w:val="Text3"/>
        <w:ind w:left="0"/>
        <w:jc w:val="both"/>
        <w:rPr>
          <w:noProof/>
          <w:szCs w:val="24"/>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A number of mechanisms have contributed to ensuring the Fund’s relevance</w:t>
      </w:r>
      <w:r>
        <w:rPr>
          <w:rStyle w:val="FootnoteReference"/>
          <w:rFonts w:ascii="Times New Roman" w:hAnsi="Times New Roman"/>
          <w:noProof/>
          <w:sz w:val="24"/>
        </w:rPr>
        <w:footnoteReference w:id="174"/>
      </w:r>
      <w:r>
        <w:rPr>
          <w:rFonts w:ascii="Times New Roman" w:hAnsi="Times New Roman"/>
          <w:noProof/>
          <w:sz w:val="24"/>
        </w:rPr>
        <w:t xml:space="preserve"> and the Member States’ ability to address changing needs.</w:t>
      </w:r>
    </w:p>
    <w:p w:rsidR="007D3598" w:rsidRDefault="007D3598">
      <w:pPr>
        <w:pStyle w:val="Body"/>
        <w:spacing w:before="0" w:after="0" w:line="240" w:lineRule="auto"/>
        <w:jc w:val="both"/>
        <w:rPr>
          <w:rFonts w:ascii="Times New Roman" w:hAnsi="Times New Roman"/>
          <w:noProof/>
          <w:sz w:val="24"/>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At the beginning, the policy dialogues between the Commissio</w:t>
      </w:r>
      <w:r>
        <w:rPr>
          <w:rFonts w:ascii="Times New Roman" w:hAnsi="Times New Roman"/>
          <w:noProof/>
          <w:sz w:val="24"/>
        </w:rPr>
        <w:t>n and the responsible authorities enabled key needs to be identified and priorities and objectives to be designed accordingly</w:t>
      </w:r>
      <w:r>
        <w:rPr>
          <w:rStyle w:val="FootnoteReference"/>
          <w:rFonts w:ascii="Times New Roman" w:hAnsi="Times New Roman"/>
          <w:noProof/>
          <w:sz w:val="24"/>
        </w:rPr>
        <w:footnoteReference w:id="175"/>
      </w:r>
      <w:r>
        <w:rPr>
          <w:rFonts w:ascii="Times New Roman" w:hAnsi="Times New Roman"/>
          <w:noProof/>
          <w:sz w:val="24"/>
        </w:rPr>
        <w:t xml:space="preserve">. </w:t>
      </w:r>
      <w:r>
        <w:rPr>
          <w:rFonts w:ascii="Times New Roman" w:hAnsi="Times New Roman"/>
          <w:noProof/>
          <w:color w:val="000000"/>
          <w:sz w:val="24"/>
        </w:rPr>
        <w:t xml:space="preserve">The </w:t>
      </w:r>
      <w:r>
        <w:rPr>
          <w:rFonts w:ascii="Times New Roman" w:hAnsi="Times New Roman"/>
          <w:b/>
          <w:noProof/>
          <w:color w:val="000000"/>
          <w:sz w:val="24"/>
        </w:rPr>
        <w:t>consultative method</w:t>
      </w:r>
      <w:r>
        <w:rPr>
          <w:rFonts w:ascii="Times New Roman" w:hAnsi="Times New Roman"/>
          <w:noProof/>
          <w:color w:val="000000"/>
          <w:sz w:val="24"/>
        </w:rPr>
        <w:t xml:space="preserve"> adopted with key stakeholders (the Commission and central authorities concerned with the Fund’s implemen</w:t>
      </w:r>
      <w:r>
        <w:rPr>
          <w:rFonts w:ascii="Times New Roman" w:hAnsi="Times New Roman"/>
          <w:noProof/>
          <w:color w:val="000000"/>
          <w:sz w:val="24"/>
        </w:rPr>
        <w:t>tation) and direct beneficiaries (generally public institutions and ministries) enabled their needs to be clearly identified during the programming stage</w:t>
      </w:r>
      <w:r>
        <w:rPr>
          <w:rStyle w:val="FootnoteReference"/>
          <w:rFonts w:ascii="Times New Roman" w:hAnsi="Times New Roman"/>
          <w:noProof/>
          <w:color w:val="000000"/>
          <w:sz w:val="24"/>
        </w:rPr>
        <w:footnoteReference w:id="176"/>
      </w:r>
      <w:r>
        <w:rPr>
          <w:rFonts w:ascii="Times New Roman" w:hAnsi="Times New Roman"/>
          <w:noProof/>
          <w:sz w:val="24"/>
        </w:rPr>
        <w:t xml:space="preserve"> and  emerging needs to be assessed alongside the programming cycle.</w:t>
      </w:r>
    </w:p>
    <w:p w:rsidR="007D3598" w:rsidRDefault="007D3598">
      <w:pPr>
        <w:pStyle w:val="Body"/>
        <w:spacing w:before="0" w:after="0" w:line="240" w:lineRule="auto"/>
        <w:jc w:val="both"/>
        <w:rPr>
          <w:rFonts w:ascii="Times New Roman" w:hAnsi="Times New Roman"/>
          <w:noProof/>
          <w:sz w:val="24"/>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Changing needs were addressed th</w:t>
      </w:r>
      <w:r>
        <w:rPr>
          <w:rFonts w:ascii="Times New Roman" w:hAnsi="Times New Roman"/>
          <w:noProof/>
          <w:sz w:val="24"/>
        </w:rPr>
        <w:t>rough minor budgetary</w:t>
      </w:r>
      <w:r>
        <w:rPr>
          <w:rFonts w:ascii="Times New Roman" w:hAnsi="Times New Roman"/>
          <w:b/>
          <w:noProof/>
          <w:sz w:val="24"/>
        </w:rPr>
        <w:t xml:space="preserve"> </w:t>
      </w:r>
      <w:r>
        <w:rPr>
          <w:rFonts w:ascii="Times New Roman" w:hAnsi="Times New Roman"/>
          <w:noProof/>
          <w:sz w:val="24"/>
        </w:rPr>
        <w:t>adjustments</w:t>
      </w:r>
      <w:r>
        <w:rPr>
          <w:rFonts w:ascii="Times New Roman" w:hAnsi="Times New Roman"/>
          <w:b/>
          <w:noProof/>
          <w:sz w:val="24"/>
        </w:rPr>
        <w:t xml:space="preserve"> </w:t>
      </w:r>
      <w:r>
        <w:rPr>
          <w:rFonts w:ascii="Times New Roman" w:hAnsi="Times New Roman"/>
          <w:noProof/>
          <w:sz w:val="24"/>
        </w:rPr>
        <w:t xml:space="preserve">and transfers between the specific objectives of the national programme of up to 15 % of the basic allocation thanks to the </w:t>
      </w:r>
      <w:r>
        <w:rPr>
          <w:rFonts w:ascii="Times New Roman" w:hAnsi="Times New Roman"/>
          <w:b/>
          <w:noProof/>
          <w:sz w:val="24"/>
        </w:rPr>
        <w:t>flexibility clause</w:t>
      </w:r>
      <w:r>
        <w:rPr>
          <w:rFonts w:ascii="Times New Roman" w:hAnsi="Times New Roman"/>
          <w:noProof/>
          <w:sz w:val="24"/>
        </w:rPr>
        <w:t xml:space="preserve"> in the legal base. This was considered to be a useful tool that enabled adaptation to the changing environment and allowed some fine-tuning during the implementation cycle</w:t>
      </w:r>
      <w:r>
        <w:rPr>
          <w:rStyle w:val="FootnoteReference"/>
          <w:rFonts w:ascii="Times New Roman" w:hAnsi="Times New Roman"/>
          <w:noProof/>
          <w:sz w:val="24"/>
        </w:rPr>
        <w:footnoteReference w:id="177"/>
      </w:r>
      <w:r>
        <w:rPr>
          <w:rFonts w:ascii="Times New Roman" w:hAnsi="Times New Roman"/>
          <w:noProof/>
          <w:sz w:val="24"/>
        </w:rPr>
        <w:t xml:space="preserve">. Furthermore, </w:t>
      </w:r>
      <w:r>
        <w:rPr>
          <w:rFonts w:ascii="Times New Roman" w:hAnsi="Times New Roman"/>
          <w:b/>
          <w:noProof/>
          <w:sz w:val="24"/>
        </w:rPr>
        <w:t>continuous programme monitoring</w:t>
      </w:r>
      <w:r>
        <w:rPr>
          <w:rFonts w:ascii="Times New Roman" w:hAnsi="Times New Roman"/>
          <w:noProof/>
          <w:sz w:val="24"/>
        </w:rPr>
        <w:t xml:space="preserve"> during the implementation stage</w:t>
      </w:r>
      <w:r>
        <w:rPr>
          <w:rStyle w:val="FootnoteReference"/>
          <w:rFonts w:ascii="Times New Roman" w:hAnsi="Times New Roman"/>
          <w:noProof/>
          <w:sz w:val="24"/>
        </w:rPr>
        <w:footnoteReference w:id="178"/>
      </w:r>
      <w:r>
        <w:rPr>
          <w:rFonts w:ascii="Times New Roman" w:hAnsi="Times New Roman"/>
          <w:noProof/>
          <w:sz w:val="24"/>
        </w:rPr>
        <w:t xml:space="preserve"> all</w:t>
      </w:r>
      <w:r>
        <w:rPr>
          <w:rFonts w:ascii="Times New Roman" w:hAnsi="Times New Roman"/>
          <w:noProof/>
          <w:sz w:val="24"/>
        </w:rPr>
        <w:t>ows the responsible authority to promptly analyse the content defined in the national programmes and to adapt to changing circumstances and emerging needs in cooperation with the</w:t>
      </w:r>
      <w:r>
        <w:rPr>
          <w:rFonts w:ascii="Times New Roman" w:hAnsi="Times New Roman"/>
          <w:noProof/>
          <w:sz w:val="24"/>
          <w:szCs w:val="24"/>
        </w:rPr>
        <w:t xml:space="preserve"> Monitoring Committee (MC).</w:t>
      </w:r>
      <w:r>
        <w:rPr>
          <w:rFonts w:ascii="Times New Roman" w:hAnsi="Times New Roman"/>
          <w:noProof/>
          <w:sz w:val="24"/>
        </w:rPr>
        <w:t xml:space="preserve"> Due to the changes needed, the responsible authori</w:t>
      </w:r>
      <w:r>
        <w:rPr>
          <w:rFonts w:ascii="Times New Roman" w:hAnsi="Times New Roman"/>
          <w:noProof/>
          <w:sz w:val="24"/>
        </w:rPr>
        <w:t xml:space="preserve">ty should consider whether a revision of the programme is necessary. </w:t>
      </w:r>
      <w:r>
        <w:rPr>
          <w:rFonts w:ascii="Times New Roman" w:hAnsi="Times New Roman"/>
          <w:noProof/>
          <w:sz w:val="24"/>
          <w:szCs w:val="24"/>
        </w:rPr>
        <w:t>Reprogramming may be required in order to address the recommendations following a Schengen evaluation report</w:t>
      </w:r>
      <w:r>
        <w:rPr>
          <w:rStyle w:val="FootnoteReference"/>
          <w:rFonts w:ascii="Times New Roman" w:hAnsi="Times New Roman"/>
          <w:noProof/>
          <w:szCs w:val="24"/>
        </w:rPr>
        <w:footnoteReference w:id="179"/>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rPr>
        <w:t xml:space="preserve">The </w:t>
      </w:r>
      <w:r>
        <w:rPr>
          <w:rFonts w:ascii="Times New Roman" w:hAnsi="Times New Roman"/>
          <w:b/>
          <w:noProof/>
          <w:sz w:val="24"/>
        </w:rPr>
        <w:t>mid-term review</w:t>
      </w:r>
      <w:r>
        <w:rPr>
          <w:rFonts w:ascii="Times New Roman" w:hAnsi="Times New Roman"/>
          <w:noProof/>
          <w:sz w:val="24"/>
        </w:rPr>
        <w:t xml:space="preserve"> mechanism allows for a reassessment of needs and a dial</w:t>
      </w:r>
      <w:r>
        <w:rPr>
          <w:rFonts w:ascii="Times New Roman" w:hAnsi="Times New Roman"/>
          <w:noProof/>
          <w:sz w:val="24"/>
        </w:rPr>
        <w:t>ogue with the Commission including the possibility to amend the programme where necessary, therefore ensuring that the Fund still corresponds to the actual needs</w:t>
      </w:r>
      <w:r>
        <w:rPr>
          <w:rStyle w:val="FootnoteReference"/>
          <w:rFonts w:ascii="Times New Roman" w:hAnsi="Times New Roman"/>
          <w:noProof/>
          <w:sz w:val="24"/>
        </w:rPr>
        <w:footnoteReference w:id="180"/>
      </w:r>
      <w:r>
        <w:rPr>
          <w:rFonts w:ascii="Times New Roman" w:hAnsi="Times New Roman"/>
          <w:noProof/>
          <w:sz w:val="24"/>
        </w:rPr>
        <w:t>.</w:t>
      </w:r>
      <w:r>
        <w:rPr>
          <w:rFonts w:ascii="Times New Roman" w:hAnsi="Times New Roman"/>
          <w:noProof/>
          <w:sz w:val="24"/>
          <w:szCs w:val="24"/>
        </w:rPr>
        <w:t xml:space="preserve"> </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In addition, the ISF </w:t>
      </w:r>
      <w:r>
        <w:rPr>
          <w:rFonts w:ascii="Times New Roman" w:hAnsi="Times New Roman"/>
          <w:b/>
          <w:noProof/>
          <w:sz w:val="24"/>
        </w:rPr>
        <w:t>Monitoring Committee</w:t>
      </w:r>
      <w:r>
        <w:rPr>
          <w:rFonts w:ascii="Times New Roman" w:hAnsi="Times New Roman"/>
          <w:noProof/>
          <w:sz w:val="24"/>
          <w:szCs w:val="24"/>
        </w:rPr>
        <w:t xml:space="preserve"> has also contributed to ensuring that the Fund r</w:t>
      </w:r>
      <w:r>
        <w:rPr>
          <w:rFonts w:ascii="Times New Roman" w:hAnsi="Times New Roman"/>
          <w:noProof/>
          <w:sz w:val="24"/>
          <w:szCs w:val="24"/>
        </w:rPr>
        <w:t>emains relevant. In fact, the Monitoring Committee should support the Fund’s implementation. As evaluation reports show, the Committee also makes recommendations on how to improve implementation and payment capacities</w:t>
      </w:r>
      <w:r>
        <w:rPr>
          <w:rStyle w:val="FootnoteReference"/>
          <w:rFonts w:ascii="Times New Roman" w:hAnsi="Times New Roman"/>
          <w:noProof/>
          <w:sz w:val="24"/>
          <w:szCs w:val="24"/>
        </w:rPr>
        <w:footnoteReference w:id="181"/>
      </w:r>
      <w:r>
        <w:rPr>
          <w:rFonts w:ascii="Times New Roman" w:hAnsi="Times New Roman"/>
          <w:noProof/>
          <w:sz w:val="24"/>
          <w:szCs w:val="24"/>
        </w:rPr>
        <w:t>.</w:t>
      </w:r>
    </w:p>
    <w:p w:rsidR="007D3598" w:rsidRDefault="007D3598">
      <w:pPr>
        <w:pStyle w:val="Text3"/>
        <w:rPr>
          <w:noProof/>
        </w:rPr>
      </w:pPr>
    </w:p>
    <w:p w:rsidR="007D3598" w:rsidRDefault="00F8547B">
      <w:pPr>
        <w:pStyle w:val="HH2"/>
        <w:spacing w:before="0" w:after="0"/>
        <w:contextualSpacing w:val="0"/>
        <w:rPr>
          <w:noProof/>
        </w:rPr>
      </w:pPr>
      <w:bookmarkStart w:id="862" w:name="_Toc506393764"/>
      <w:bookmarkStart w:id="863" w:name="_Toc506475218"/>
      <w:bookmarkStart w:id="864" w:name="_Toc506478836"/>
      <w:bookmarkStart w:id="865" w:name="_Toc506479788"/>
      <w:bookmarkStart w:id="866" w:name="_Toc506483926"/>
      <w:bookmarkStart w:id="867" w:name="_Toc506529851"/>
      <w:bookmarkStart w:id="868" w:name="_Toc506531972"/>
      <w:bookmarkStart w:id="869" w:name="_Toc507083611"/>
      <w:bookmarkStart w:id="870" w:name="_Toc508279331"/>
      <w:bookmarkStart w:id="871" w:name="_Toc508369315"/>
      <w:bookmarkStart w:id="872" w:name="_Toc508375526"/>
      <w:bookmarkStart w:id="873" w:name="_Toc508715377"/>
      <w:bookmarkStart w:id="874" w:name="_Toc508975883"/>
      <w:bookmarkStart w:id="875" w:name="_Toc515270148"/>
      <w:bookmarkEnd w:id="859"/>
      <w:r>
        <w:rPr>
          <w:noProof/>
        </w:rPr>
        <w:t xml:space="preserve">How coherent and complementary has </w:t>
      </w:r>
      <w:r>
        <w:rPr>
          <w:noProof/>
        </w:rPr>
        <w:t>ISF-BV been so far?</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rsidR="007D3598" w:rsidRDefault="007D3598">
      <w:pPr>
        <w:rPr>
          <w:noProof/>
        </w:rPr>
      </w:pPr>
    </w:p>
    <w:p w:rsidR="007D3598" w:rsidRDefault="00F8547B">
      <w:pPr>
        <w:jc w:val="both"/>
        <w:rPr>
          <w:noProof/>
        </w:rPr>
      </w:pPr>
      <w:r>
        <w:rPr>
          <w:noProof/>
        </w:rPr>
        <w:t>These evaluation questions look at the extent to which different ISF-BV actions work together internally and with other EU interventions and identify whether there are complementarities, gaps and overlaps between different initiatives.</w:t>
      </w:r>
    </w:p>
    <w:p w:rsidR="007D3598" w:rsidRDefault="007D3598">
      <w:pPr>
        <w:rPr>
          <w:noProof/>
        </w:rPr>
      </w:pPr>
      <w:bookmarkStart w:id="876" w:name="_Toc506530121"/>
      <w:bookmarkEnd w:id="876"/>
    </w:p>
    <w:p w:rsidR="007D3598" w:rsidRDefault="00F8547B">
      <w:pPr>
        <w:pStyle w:val="HH3"/>
        <w:spacing w:before="0" w:after="0"/>
        <w:contextualSpacing w:val="0"/>
        <w:rPr>
          <w:noProof/>
        </w:rPr>
      </w:pPr>
      <w:r>
        <w:rPr>
          <w:noProof/>
        </w:rPr>
        <w:t>Coherence</w:t>
      </w:r>
    </w:p>
    <w:p w:rsidR="007D3598" w:rsidRDefault="00F8547B">
      <w:pPr>
        <w:pStyle w:val="caption10"/>
        <w:spacing w:before="0" w:after="0"/>
        <w:rPr>
          <w:rFonts w:ascii="Times New Roman" w:hAnsi="Times New Roman"/>
          <w:noProof/>
          <w:sz w:val="24"/>
          <w:szCs w:val="24"/>
          <w:lang w:val="en-GB"/>
        </w:rPr>
      </w:pPr>
      <w:r>
        <w:rPr>
          <w:rFonts w:ascii="Times New Roman" w:eastAsiaTheme="minorHAnsi" w:hAnsi="Times New Roman"/>
          <w:noProof/>
          <w:szCs w:val="24"/>
          <w:lang w:val="en-GB" w:eastAsia="en-GB"/>
        </w:rPr>
        <mc:AlternateContent>
          <mc:Choice Requires="wps">
            <w:drawing>
              <wp:anchor distT="0" distB="0" distL="114300" distR="114300" simplePos="0" relativeHeight="251664384" behindDoc="0" locked="0" layoutInCell="1" allowOverlap="1" wp14:anchorId="45C545AC" wp14:editId="3C0EBF8F">
                <wp:simplePos x="0" y="0"/>
                <wp:positionH relativeFrom="column">
                  <wp:posOffset>0</wp:posOffset>
                </wp:positionH>
                <wp:positionV relativeFrom="paragraph">
                  <wp:posOffset>174625</wp:posOffset>
                </wp:positionV>
                <wp:extent cx="6090285" cy="1208405"/>
                <wp:effectExtent l="0" t="0" r="24765" b="1079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208405"/>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szCs w:val="24"/>
                              </w:rPr>
                              <w:t>The Fund is considered to be coherent with other EU and national interventions. Coherence with other EU financing instruments was ensured at the programming stage. Coordinating mechanisms have been put in place to ensure continued coherence at the implemen</w:t>
                            </w:r>
                            <w:r>
                              <w:rPr>
                                <w:rFonts w:ascii="Times New Roman" w:hAnsi="Times New Roman"/>
                                <w:sz w:val="24"/>
                                <w:szCs w:val="24"/>
                              </w:rPr>
                              <w:t xml:space="preserve">tation stage. </w:t>
                            </w:r>
                            <w:r>
                              <w:rPr>
                                <w:rFonts w:ascii="Times New Roman" w:hAnsi="Times New Roman"/>
                                <w:sz w:val="24"/>
                              </w:rPr>
                              <w:t>The Monitoring Committee and the Responsible Authority play key roles in ensuring coherence.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13.75pt;width:479.55pt;height:9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" strokecolor="#4f81bd [3204]" strokeweight="1.5pt">
                <v:textbo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szCs w:val="24"/>
                        </w:rPr>
                        <w:t>The Fund is considered to be coherent with other EU and national interventions. Coherence with other EU financing instruments was ensured at the programming stage. Coordinating mechanisms have been put in place to ensure continued coherence at the implemen</w:t>
                      </w:r>
                      <w:r>
                        <w:rPr>
                          <w:rFonts w:ascii="Times New Roman" w:hAnsi="Times New Roman"/>
                          <w:sz w:val="24"/>
                          <w:szCs w:val="24"/>
                        </w:rPr>
                        <w:t xml:space="preserve">tation stage. </w:t>
                      </w:r>
                      <w:r>
                        <w:rPr>
                          <w:rFonts w:ascii="Times New Roman" w:hAnsi="Times New Roman"/>
                          <w:sz w:val="24"/>
                        </w:rPr>
                        <w:t>The Monitoring Committee and the Responsible Authority play key roles in ensuring coherence.</w:t>
                      </w:r>
                    </w:p>
                  </w:txbxContent>
                </v:textbox>
                <w10:wrap type="topAndBottom"/>
              </v:shape>
            </w:pict>
          </mc:Fallback>
        </mc:AlternateContent>
      </w:r>
    </w:p>
    <w:p w:rsidR="007D3598" w:rsidRDefault="00F8547B">
      <w:pPr>
        <w:jc w:val="both"/>
        <w:rPr>
          <w:noProof/>
        </w:rPr>
      </w:pPr>
      <w:bookmarkStart w:id="877" w:name="_Toc500856911"/>
      <w:bookmarkStart w:id="878" w:name="_Toc500858349"/>
      <w:bookmarkStart w:id="879" w:name="_Toc500869277"/>
      <w:bookmarkStart w:id="880" w:name="_Toc500872768"/>
      <w:bookmarkStart w:id="881" w:name="_Toc500873069"/>
      <w:bookmarkStart w:id="882" w:name="_Toc505606359"/>
      <w:r>
        <w:rPr>
          <w:noProof/>
        </w:rPr>
        <w:t xml:space="preserve">ISF-BV funded actions were found to be coherent with other actions related to border management and visa system policy funded by other EU financial </w:t>
      </w:r>
      <w:r>
        <w:rPr>
          <w:noProof/>
        </w:rPr>
        <w:t>instruments, incl. AMIF and ISF-P, and from the national resources of the Member States</w:t>
      </w:r>
      <w:bookmarkEnd w:id="877"/>
      <w:bookmarkEnd w:id="878"/>
      <w:bookmarkEnd w:id="879"/>
      <w:bookmarkEnd w:id="880"/>
      <w:bookmarkEnd w:id="881"/>
      <w:r>
        <w:rPr>
          <w:noProof/>
        </w:rPr>
        <w:t xml:space="preserve">. </w:t>
      </w:r>
      <w:bookmarkEnd w:id="882"/>
      <w:r>
        <w:rPr>
          <w:noProof/>
        </w:rPr>
        <w:t>Some policy fields were found to be at a higher risk of overlapping with the Fund, including some areas under ESIF, the European Regional Development Fund and the Soci</w:t>
      </w:r>
      <w:r>
        <w:rPr>
          <w:noProof/>
        </w:rPr>
        <w:t>etal Challenge ‘Secure Societies — protecting freedom and security of Europe and its citizens’ under Horizon 2020. Nonetheless, no overlaps or duplications between the Fund and the aforementioned interventions have been found to date.</w:t>
      </w:r>
    </w:p>
    <w:p w:rsidR="007D3598" w:rsidRDefault="007D3598">
      <w:pPr>
        <w:jc w:val="both"/>
        <w:rPr>
          <w:noProof/>
        </w:rPr>
      </w:pPr>
    </w:p>
    <w:p w:rsidR="007D3598" w:rsidRDefault="00F8547B">
      <w:pPr>
        <w:jc w:val="both"/>
        <w:rPr>
          <w:noProof/>
        </w:rPr>
      </w:pPr>
      <w:r>
        <w:rPr>
          <w:noProof/>
        </w:rPr>
        <w:t>Internally, there is</w:t>
      </w:r>
      <w:r>
        <w:rPr>
          <w:noProof/>
        </w:rPr>
        <w:t xml:space="preserve"> high coherence and complementarity between national programmes and EMAS, which have clearly supported each other and high coherence between national programmes and UAs (the latter being clearly design to complement the national programmes). EMAS especiall</w:t>
      </w:r>
      <w:r>
        <w:rPr>
          <w:noProof/>
        </w:rPr>
        <w:t>y played a significant role in bridging the gap until national programmes were fully adopted. However, there appears to be room for improvement, especially with regard to UAs and EMAS, because most ISF-BV beneficiaries were not aware of other ISF-BV financ</w:t>
      </w:r>
      <w:r>
        <w:rPr>
          <w:noProof/>
        </w:rPr>
        <w:t>ed actions and considered coordination to be an informal initiative. There is clearly a need for more formalised information at project and national level.</w:t>
      </w:r>
    </w:p>
    <w:p w:rsidR="007D3598" w:rsidRDefault="007D3598">
      <w:pPr>
        <w:jc w:val="both"/>
        <w:rPr>
          <w:noProof/>
        </w:rPr>
      </w:pPr>
    </w:p>
    <w:p w:rsidR="007D3598" w:rsidRDefault="00F8547B">
      <w:pPr>
        <w:jc w:val="both"/>
        <w:rPr>
          <w:noProof/>
        </w:rPr>
      </w:pPr>
      <w:r>
        <w:rPr>
          <w:noProof/>
        </w:rPr>
        <w:t>Several Member States carried out assessments of other EU interventions with similar objectives dur</w:t>
      </w:r>
      <w:r>
        <w:rPr>
          <w:noProof/>
        </w:rPr>
        <w:t>ing the programming phase</w:t>
      </w:r>
      <w:r>
        <w:rPr>
          <w:rStyle w:val="FootnoteReference"/>
          <w:noProof/>
          <w:szCs w:val="24"/>
        </w:rPr>
        <w:footnoteReference w:id="182"/>
      </w:r>
      <w:r>
        <w:rPr>
          <w:i/>
          <w:noProof/>
        </w:rPr>
        <w:t>,</w:t>
      </w:r>
      <w:r>
        <w:rPr>
          <w:noProof/>
        </w:rPr>
        <w:t xml:space="preserve"> covering in particular: European Structural and Investment Funds</w:t>
      </w:r>
      <w:r>
        <w:rPr>
          <w:rStyle w:val="FootnoteReference"/>
          <w:noProof/>
        </w:rPr>
        <w:footnoteReference w:id="183"/>
      </w:r>
      <w:r>
        <w:rPr>
          <w:noProof/>
        </w:rPr>
        <w:t>; EU external relations instruments</w:t>
      </w:r>
      <w:r>
        <w:rPr>
          <w:rStyle w:val="FootnoteReference"/>
          <w:noProof/>
        </w:rPr>
        <w:footnoteReference w:id="184"/>
      </w:r>
      <w:r>
        <w:rPr>
          <w:noProof/>
        </w:rPr>
        <w:t>; and other EU funds or programmes</w:t>
      </w:r>
      <w:r>
        <w:rPr>
          <w:rStyle w:val="FootnoteReference"/>
          <w:noProof/>
        </w:rPr>
        <w:footnoteReference w:id="185"/>
      </w:r>
      <w:r>
        <w:rPr>
          <w:noProof/>
        </w:rPr>
        <w:t>. In other Member States</w:t>
      </w:r>
      <w:r>
        <w:rPr>
          <w:rStyle w:val="FootnoteReference"/>
          <w:noProof/>
        </w:rPr>
        <w:footnoteReference w:id="186"/>
      </w:r>
      <w:r>
        <w:rPr>
          <w:noProof/>
        </w:rPr>
        <w:t>,</w:t>
      </w:r>
      <w:r>
        <w:rPr>
          <w:noProof/>
          <w:vertAlign w:val="superscript"/>
        </w:rPr>
        <w:t xml:space="preserve"> </w:t>
      </w:r>
      <w:r>
        <w:rPr>
          <w:noProof/>
        </w:rPr>
        <w:t>coherence was ensured by making it mandatory for project applican</w:t>
      </w:r>
      <w:r>
        <w:rPr>
          <w:noProof/>
        </w:rPr>
        <w:t>ts to give an overview of the projects they implemented previously in similar areas with the support of EU funds or other instruments.</w:t>
      </w:r>
    </w:p>
    <w:p w:rsidR="007D3598" w:rsidRDefault="007D3598">
      <w:pPr>
        <w:jc w:val="both"/>
        <w:rPr>
          <w:noProof/>
          <w:szCs w:val="24"/>
        </w:rPr>
      </w:pPr>
    </w:p>
    <w:p w:rsidR="007D3598" w:rsidRDefault="00F8547B">
      <w:pPr>
        <w:jc w:val="both"/>
        <w:rPr>
          <w:noProof/>
          <w:szCs w:val="24"/>
        </w:rPr>
      </w:pPr>
      <w:r>
        <w:rPr>
          <w:noProof/>
          <w:szCs w:val="24"/>
        </w:rPr>
        <w:t xml:space="preserve">Most Member States adopted different coordinating mechanisms to ensure coherence with similar interventions carried out </w:t>
      </w:r>
      <w:r>
        <w:rPr>
          <w:noProof/>
          <w:szCs w:val="24"/>
        </w:rPr>
        <w:t>under other EU funds. The main ones are:</w:t>
      </w:r>
    </w:p>
    <w:p w:rsidR="007D3598" w:rsidRDefault="00F8547B">
      <w:pPr>
        <w:pStyle w:val="ListParagraph"/>
        <w:numPr>
          <w:ilvl w:val="0"/>
          <w:numId w:val="102"/>
        </w:numPr>
        <w:jc w:val="both"/>
        <w:rPr>
          <w:noProof/>
          <w:szCs w:val="24"/>
        </w:rPr>
      </w:pPr>
      <w:r>
        <w:rPr>
          <w:noProof/>
        </w:rPr>
        <w:t xml:space="preserve">information </w:t>
      </w:r>
      <w:r>
        <w:rPr>
          <w:noProof/>
          <w:szCs w:val="24"/>
        </w:rPr>
        <w:t>exchange on</w:t>
      </w:r>
      <w:r>
        <w:rPr>
          <w:noProof/>
        </w:rPr>
        <w:t xml:space="preserve"> </w:t>
      </w:r>
      <w:r>
        <w:rPr>
          <w:noProof/>
          <w:szCs w:val="24"/>
        </w:rPr>
        <w:t>the Fund’s actions and projects between the responsible authority and other institutional actors responsible for other funds at different levels and with Frontex;</w:t>
      </w:r>
    </w:p>
    <w:p w:rsidR="007D3598" w:rsidRDefault="00F8547B">
      <w:pPr>
        <w:pStyle w:val="ListParagraph"/>
        <w:numPr>
          <w:ilvl w:val="0"/>
          <w:numId w:val="102"/>
        </w:numPr>
        <w:jc w:val="both"/>
        <w:rPr>
          <w:noProof/>
          <w:szCs w:val="24"/>
        </w:rPr>
      </w:pPr>
      <w:r>
        <w:rPr>
          <w:noProof/>
          <w:szCs w:val="24"/>
        </w:rPr>
        <w:t>structured policy discussion</w:t>
      </w:r>
      <w:r>
        <w:rPr>
          <w:noProof/>
          <w:szCs w:val="24"/>
        </w:rPr>
        <w:t xml:space="preserve"> — regular meetings to discuss strategic documents organised with the managing authorities of other EU programmes and interinstitutional working groups involving representatives of the potential beneficiaries</w:t>
      </w:r>
      <w:r>
        <w:rPr>
          <w:rStyle w:val="FootnoteReference"/>
          <w:noProof/>
          <w:szCs w:val="24"/>
        </w:rPr>
        <w:footnoteReference w:id="187"/>
      </w:r>
      <w:r>
        <w:rPr>
          <w:noProof/>
          <w:szCs w:val="24"/>
        </w:rPr>
        <w:t>; and</w:t>
      </w:r>
    </w:p>
    <w:p w:rsidR="007D3598" w:rsidRDefault="00F8547B">
      <w:pPr>
        <w:pStyle w:val="ListParagraph"/>
        <w:numPr>
          <w:ilvl w:val="0"/>
          <w:numId w:val="102"/>
        </w:numPr>
        <w:jc w:val="both"/>
        <w:rPr>
          <w:noProof/>
          <w:szCs w:val="24"/>
        </w:rPr>
      </w:pPr>
      <w:r>
        <w:rPr>
          <w:noProof/>
          <w:szCs w:val="24"/>
        </w:rPr>
        <w:t>institutional arrangements, specific dire</w:t>
      </w:r>
      <w:r>
        <w:rPr>
          <w:noProof/>
          <w:szCs w:val="24"/>
        </w:rPr>
        <w:t>ctorates, divisions, units, platforms, and committees set up to boost the coordination and synergies with other EU funds</w:t>
      </w:r>
      <w:r>
        <w:rPr>
          <w:rStyle w:val="FootnoteReference"/>
          <w:noProof/>
          <w:szCs w:val="24"/>
        </w:rPr>
        <w:footnoteReference w:id="188"/>
      </w:r>
      <w:r>
        <w:rPr>
          <w:noProof/>
          <w:szCs w:val="24"/>
        </w:rPr>
        <w:t>.</w:t>
      </w:r>
    </w:p>
    <w:p w:rsidR="007D3598" w:rsidRDefault="007D3598">
      <w:pPr>
        <w:jc w:val="both"/>
        <w:rPr>
          <w:noProof/>
          <w:szCs w:val="24"/>
        </w:rPr>
      </w:pPr>
    </w:p>
    <w:p w:rsidR="007D3598" w:rsidRDefault="00F8547B">
      <w:pPr>
        <w:jc w:val="both"/>
        <w:rPr>
          <w:noProof/>
          <w:szCs w:val="24"/>
        </w:rPr>
      </w:pPr>
      <w:r>
        <w:rPr>
          <w:noProof/>
          <w:szCs w:val="24"/>
        </w:rPr>
        <w:t xml:space="preserve">Most Member States emphasised the key role of specific actors including </w:t>
      </w:r>
      <w:r>
        <w:rPr>
          <w:rFonts w:cs="EUAlbertina"/>
          <w:noProof/>
          <w:color w:val="000000"/>
          <w:szCs w:val="24"/>
        </w:rPr>
        <w:t>relevant public authorities at national level, international</w:t>
      </w:r>
      <w:r>
        <w:rPr>
          <w:rFonts w:cs="EUAlbertina"/>
          <w:noProof/>
          <w:color w:val="000000"/>
          <w:szCs w:val="24"/>
        </w:rPr>
        <w:t xml:space="preserve"> organisations, non-governmental organisations, etc.</w:t>
      </w:r>
      <w:r>
        <w:rPr>
          <w:noProof/>
          <w:color w:val="000000"/>
        </w:rPr>
        <w:t xml:space="preserve"> </w:t>
      </w:r>
      <w:r>
        <w:rPr>
          <w:noProof/>
          <w:szCs w:val="24"/>
        </w:rPr>
        <w:t>that contributed to the Fund’s implementation, by (i) boosting synergies and preventing overlaps between ISF-BV, ESIF programmes, and other EU instruments and (ii) strengthening communication and coordin</w:t>
      </w:r>
      <w:r>
        <w:rPr>
          <w:noProof/>
          <w:szCs w:val="24"/>
        </w:rPr>
        <w:t>ation among actors concerned by different instruments</w:t>
      </w:r>
      <w:r>
        <w:rPr>
          <w:rStyle w:val="FootnoteReference"/>
          <w:noProof/>
          <w:szCs w:val="24"/>
        </w:rPr>
        <w:footnoteReference w:id="189"/>
      </w:r>
      <w:r>
        <w:rPr>
          <w:noProof/>
          <w:szCs w:val="24"/>
        </w:rPr>
        <w:t>. Thus the MC</w:t>
      </w:r>
      <w:r>
        <w:rPr>
          <w:noProof/>
        </w:rPr>
        <w:t xml:space="preserve"> </w:t>
      </w:r>
      <w:r>
        <w:rPr>
          <w:noProof/>
          <w:szCs w:val="24"/>
        </w:rPr>
        <w:t xml:space="preserve">was shown to be the </w:t>
      </w:r>
      <w:r>
        <w:rPr>
          <w:noProof/>
          <w:szCs w:val="24"/>
          <w:bdr w:val="nil"/>
        </w:rPr>
        <w:t>main institutional tool</w:t>
      </w:r>
      <w:r>
        <w:rPr>
          <w:noProof/>
          <w:szCs w:val="24"/>
        </w:rPr>
        <w:t xml:space="preserve"> that ensured the ISF-BV’s complementarity and coordination with other funds. The MC includes, as members or as observers, representatives of institutions responsible for the use of other relevant funds. It holds regular meetings and</w:t>
      </w:r>
      <w:r>
        <w:rPr>
          <w:noProof/>
          <w:szCs w:val="24"/>
          <w:bdr w:val="nil"/>
        </w:rPr>
        <w:t xml:space="preserve"> continuously analyses </w:t>
      </w:r>
      <w:r>
        <w:rPr>
          <w:noProof/>
          <w:szCs w:val="24"/>
          <w:bdr w:val="nil"/>
        </w:rPr>
        <w:t xml:space="preserve">the implementation status of ISF-BV projects. </w:t>
      </w:r>
      <w:r>
        <w:rPr>
          <w:noProof/>
          <w:szCs w:val="24"/>
        </w:rPr>
        <w:t>The Responsible Authority</w:t>
      </w:r>
      <w:r>
        <w:rPr>
          <w:noProof/>
        </w:rPr>
        <w:t xml:space="preserve"> </w:t>
      </w:r>
      <w:r>
        <w:rPr>
          <w:noProof/>
          <w:szCs w:val="24"/>
        </w:rPr>
        <w:t>communicates regularly with relevant partners and other state administration authorities to avoid any overlaps, ensures there is no double-funding by examining and validating the origi</w:t>
      </w:r>
      <w:r>
        <w:rPr>
          <w:noProof/>
          <w:szCs w:val="24"/>
        </w:rPr>
        <w:t>nal invoices, and implements the decisions of the MC.</w:t>
      </w:r>
    </w:p>
    <w:p w:rsidR="007D3598" w:rsidRDefault="007D3598">
      <w:pPr>
        <w:jc w:val="both"/>
        <w:rPr>
          <w:noProof/>
          <w:szCs w:val="24"/>
        </w:rPr>
      </w:pPr>
    </w:p>
    <w:p w:rsidR="007D3598" w:rsidRDefault="00F8547B">
      <w:pPr>
        <w:jc w:val="both"/>
        <w:rPr>
          <w:noProof/>
          <w:szCs w:val="24"/>
        </w:rPr>
      </w:pPr>
      <w:r>
        <w:rPr>
          <w:noProof/>
          <w:szCs w:val="24"/>
        </w:rPr>
        <w:t>Finally, ensuring coherence between the ISF-BV actions and other interventions with similar objectives at EU level is extremely important in order to ensure that external borders and the common visa po</w:t>
      </w:r>
      <w:r>
        <w:rPr>
          <w:noProof/>
          <w:szCs w:val="24"/>
        </w:rPr>
        <w:t xml:space="preserve">licy are managed effectively. Some EU programmes have been deemed quite similar to the ISF-BV interventions. </w:t>
      </w:r>
      <w:r>
        <w:rPr>
          <w:b/>
          <w:noProof/>
          <w:szCs w:val="24"/>
        </w:rPr>
        <w:t>Customs 2020</w:t>
      </w:r>
      <w:r>
        <w:rPr>
          <w:noProof/>
          <w:szCs w:val="24"/>
        </w:rPr>
        <w:t xml:space="preserve"> is the EU programme supporting the functioning and modernisation of national customs in the EU as well as administration cooperation f</w:t>
      </w:r>
      <w:r>
        <w:rPr>
          <w:noProof/>
          <w:szCs w:val="24"/>
        </w:rPr>
        <w:t>or the period 2014-2020. No overlaps between Customs 2020 and ISF-BV have been noted so far</w:t>
      </w:r>
      <w:r>
        <w:rPr>
          <w:rStyle w:val="FootnoteReference"/>
          <w:noProof/>
          <w:szCs w:val="24"/>
        </w:rPr>
        <w:footnoteReference w:id="190"/>
      </w:r>
      <w:r>
        <w:rPr>
          <w:noProof/>
          <w:szCs w:val="24"/>
        </w:rPr>
        <w:t>. Nonetheless, since Customs 2020 and ISF-BV share common objectives related to security issues and training, potential areas for synergies have been noted in those</w:t>
      </w:r>
      <w:r>
        <w:rPr>
          <w:noProof/>
          <w:szCs w:val="24"/>
        </w:rPr>
        <w:t xml:space="preserve"> two areas</w:t>
      </w:r>
      <w:r>
        <w:rPr>
          <w:rStyle w:val="FootnoteReference"/>
          <w:noProof/>
          <w:szCs w:val="24"/>
        </w:rPr>
        <w:footnoteReference w:id="191"/>
      </w:r>
      <w:r>
        <w:rPr>
          <w:noProof/>
          <w:szCs w:val="24"/>
        </w:rPr>
        <w:t xml:space="preserve">. Potential synergies have been looked for through joint meetings and work on documents and guidelines  concerning  co-operation aspects of border guards and customs services.  The </w:t>
      </w:r>
      <w:r>
        <w:rPr>
          <w:i/>
          <w:noProof/>
          <w:szCs w:val="24"/>
        </w:rPr>
        <w:t>ex post</w:t>
      </w:r>
      <w:r>
        <w:rPr>
          <w:noProof/>
          <w:szCs w:val="24"/>
        </w:rPr>
        <w:t xml:space="preserve"> evaluation of the EBF had already called for a better ma</w:t>
      </w:r>
      <w:r>
        <w:rPr>
          <w:noProof/>
          <w:szCs w:val="24"/>
        </w:rPr>
        <w:t>pping and monitoring of programmes which include actions taking place at the external borders in order to check the possibility of joint procurement or training</w:t>
      </w:r>
      <w:r>
        <w:rPr>
          <w:rStyle w:val="FootnoteReference"/>
          <w:noProof/>
          <w:szCs w:val="24"/>
        </w:rPr>
        <w:footnoteReference w:id="192"/>
      </w:r>
      <w:r>
        <w:rPr>
          <w:noProof/>
          <w:szCs w:val="24"/>
        </w:rPr>
        <w:t>.</w:t>
      </w:r>
    </w:p>
    <w:p w:rsidR="007D3598" w:rsidRDefault="007D3598">
      <w:pPr>
        <w:jc w:val="both"/>
        <w:rPr>
          <w:noProof/>
          <w:szCs w:val="24"/>
        </w:rPr>
      </w:pPr>
    </w:p>
    <w:p w:rsidR="007D3598" w:rsidRDefault="00F8547B">
      <w:pPr>
        <w:jc w:val="both"/>
        <w:rPr>
          <w:noProof/>
          <w:szCs w:val="24"/>
        </w:rPr>
      </w:pPr>
      <w:r>
        <w:rPr>
          <w:noProof/>
          <w:szCs w:val="24"/>
        </w:rPr>
        <w:t>Actions funded by Frontex are also an example of an intervention that is coherent with ISF-B</w:t>
      </w:r>
      <w:r>
        <w:rPr>
          <w:noProof/>
          <w:szCs w:val="24"/>
        </w:rPr>
        <w:t>V.</w:t>
      </w:r>
      <w:r>
        <w:rPr>
          <w:noProof/>
        </w:rPr>
        <w:t xml:space="preserve"> </w:t>
      </w:r>
      <w:r>
        <w:rPr>
          <w:noProof/>
          <w:szCs w:val="24"/>
        </w:rPr>
        <w:t>ISF-BV supports measures under Frontex joint operations in order to boost the Agency’s operational capacity. This is enabled by the specific actions under ISF-BV. However, the need for more coordination between the Commission and Frontex was already und</w:t>
      </w:r>
      <w:r>
        <w:rPr>
          <w:noProof/>
          <w:szCs w:val="24"/>
        </w:rPr>
        <w:t xml:space="preserve">erlined in the EBF’s </w:t>
      </w:r>
      <w:r>
        <w:rPr>
          <w:i/>
          <w:noProof/>
          <w:szCs w:val="24"/>
        </w:rPr>
        <w:t>ex post</w:t>
      </w:r>
      <w:r>
        <w:rPr>
          <w:noProof/>
          <w:szCs w:val="24"/>
        </w:rPr>
        <w:t xml:space="preserve"> evaluation</w:t>
      </w:r>
      <w:r>
        <w:rPr>
          <w:rStyle w:val="FootnoteReference"/>
          <w:noProof/>
          <w:szCs w:val="24"/>
        </w:rPr>
        <w:footnoteReference w:id="193"/>
      </w:r>
      <w:r>
        <w:rPr>
          <w:noProof/>
          <w:szCs w:val="24"/>
        </w:rPr>
        <w:t xml:space="preserve"> as one recommendation was to ensure that the Commission consults Frontex on the draft national programmes of the Member States before adopting them. This recommendation has already been taken into account in the ISF</w:t>
      </w:r>
      <w:r>
        <w:rPr>
          <w:noProof/>
          <w:szCs w:val="24"/>
        </w:rPr>
        <w:t>-BV Regulation, which in Article 9(4) provides for such obligatory consultation. During the programming period, the Commission consulted Frontex on all draft national programmes and took into account to the extent possible all comments received by the Agen</w:t>
      </w:r>
      <w:r>
        <w:rPr>
          <w:noProof/>
          <w:szCs w:val="24"/>
        </w:rPr>
        <w:t>cy. In addition, to ensure coherence between the activities financed by the ISF-BV and Frontex, the Commission put in place coordination measures that encompass electronic data exchange on purchases of Frontex equipment both under shared and direct managem</w:t>
      </w:r>
      <w:r>
        <w:rPr>
          <w:noProof/>
          <w:szCs w:val="24"/>
        </w:rPr>
        <w:t>ent and provide Frontex with direct access to SFC2014 together with the related IT training.</w:t>
      </w:r>
    </w:p>
    <w:p w:rsidR="007D3598" w:rsidRDefault="007D3598">
      <w:pPr>
        <w:jc w:val="both"/>
        <w:rPr>
          <w:noProof/>
          <w:szCs w:val="24"/>
        </w:rPr>
      </w:pPr>
    </w:p>
    <w:p w:rsidR="007D3598" w:rsidRDefault="00F8547B">
      <w:pPr>
        <w:pStyle w:val="caption10"/>
        <w:spacing w:before="0" w:after="0"/>
        <w:rPr>
          <w:rFonts w:ascii="Times New Roman" w:hAnsi="Times New Roman"/>
          <w:noProof/>
          <w:sz w:val="24"/>
          <w:lang w:val="en-GB"/>
        </w:rPr>
      </w:pPr>
      <w:r>
        <w:rPr>
          <w:rFonts w:ascii="Times New Roman" w:hAnsi="Times New Roman"/>
          <w:noProof/>
          <w:sz w:val="24"/>
          <w:lang w:val="en-GB"/>
        </w:rPr>
        <w:t>Examples of national assessments of other interventions during the programming stage</w:t>
      </w:r>
    </w:p>
    <w:p w:rsidR="007D3598" w:rsidRDefault="007D3598">
      <w:pPr>
        <w:pStyle w:val="caption10"/>
        <w:spacing w:before="0" w:after="0"/>
        <w:rPr>
          <w:rFonts w:ascii="Times New Roman" w:hAnsi="Times New Roman"/>
          <w:noProof/>
          <w:sz w:val="24"/>
          <w:lang w:val="en-GB"/>
        </w:rPr>
      </w:pPr>
    </w:p>
    <w:tbl>
      <w:tblPr>
        <w:tblStyle w:val="TableE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854"/>
      </w:tblGrid>
      <w:tr w:rsidR="007D3598">
        <w:tc>
          <w:tcPr>
            <w:tcW w:w="5000" w:type="pct"/>
            <w:shd w:val="clear" w:color="auto" w:fill="E0E0E0"/>
          </w:tcPr>
          <w:p w:rsidR="007D3598" w:rsidRDefault="00F8547B">
            <w:pPr>
              <w:pStyle w:val="Bulletpoint1"/>
              <w:numPr>
                <w:ilvl w:val="0"/>
                <w:numId w:val="0"/>
              </w:numPr>
              <w:spacing w:before="0" w:after="0" w:line="240" w:lineRule="auto"/>
              <w:ind w:left="142"/>
              <w:jc w:val="both"/>
              <w:rPr>
                <w:rFonts w:ascii="Times New Roman" w:hAnsi="Times New Roman"/>
                <w:noProof/>
                <w:lang w:val="en-GB"/>
              </w:rPr>
            </w:pPr>
            <w:r>
              <w:rPr>
                <w:rFonts w:ascii="Times New Roman" w:hAnsi="Times New Roman"/>
                <w:noProof/>
                <w:lang w:val="en-GB"/>
              </w:rPr>
              <w:t>In</w:t>
            </w:r>
            <w:r>
              <w:rPr>
                <w:rFonts w:ascii="Times New Roman" w:hAnsi="Times New Roman"/>
                <w:b/>
                <w:noProof/>
                <w:lang w:val="en-GB"/>
              </w:rPr>
              <w:t xml:space="preserve"> Austria</w:t>
            </w:r>
            <w:r>
              <w:rPr>
                <w:rFonts w:ascii="Times New Roman" w:hAnsi="Times New Roman"/>
                <w:noProof/>
                <w:lang w:val="en-GB"/>
              </w:rPr>
              <w:t>, the co-financing agreements for projects financed by the BMEIA</w:t>
            </w:r>
            <w:r>
              <w:rPr>
                <w:rStyle w:val="FootnoteReference"/>
                <w:rFonts w:ascii="Times New Roman" w:hAnsi="Times New Roman"/>
                <w:noProof/>
              </w:rPr>
              <w:footnoteReference w:id="194"/>
            </w:r>
            <w:r>
              <w:rPr>
                <w:rFonts w:ascii="Times New Roman" w:hAnsi="Times New Roman"/>
                <w:noProof/>
                <w:lang w:val="en-GB"/>
              </w:rPr>
              <w:t xml:space="preserve"> contained a requirement for the project beneficiary to ensure there was no duplication. </w:t>
            </w:r>
            <w:r>
              <w:rPr>
                <w:rFonts w:ascii="Times New Roman" w:hAnsi="Times New Roman"/>
                <w:b/>
                <w:noProof/>
                <w:lang w:val="en-GB"/>
              </w:rPr>
              <w:t>Belgium</w:t>
            </w:r>
            <w:r>
              <w:rPr>
                <w:rFonts w:ascii="Times New Roman" w:hAnsi="Times New Roman"/>
                <w:noProof/>
                <w:lang w:val="en-GB"/>
              </w:rPr>
              <w:t xml:space="preserve"> regularly organised consultations within the Steering Committee including representatives of the </w:t>
            </w:r>
            <w:r>
              <w:rPr>
                <w:rFonts w:ascii="Times New Roman" w:hAnsi="Times New Roman"/>
                <w:iCs/>
                <w:noProof/>
                <w:lang w:val="en-GB"/>
              </w:rPr>
              <w:t>Foreign Affairs (External relation instruments), Social Integr</w:t>
            </w:r>
            <w:r>
              <w:rPr>
                <w:rFonts w:ascii="Times New Roman" w:hAnsi="Times New Roman"/>
                <w:iCs/>
                <w:noProof/>
                <w:lang w:val="en-GB"/>
              </w:rPr>
              <w:t>ation, Interior (e.g. Horizon 2020) and Asylum-Migration offices</w:t>
            </w:r>
            <w:r>
              <w:rPr>
                <w:rFonts w:ascii="Times New Roman" w:hAnsi="Times New Roman"/>
                <w:noProof/>
                <w:lang w:val="en-GB"/>
              </w:rPr>
              <w:t>. Furthermore, p</w:t>
            </w:r>
            <w:r>
              <w:rPr>
                <w:rFonts w:ascii="Times New Roman" w:hAnsi="Times New Roman"/>
                <w:iCs/>
                <w:noProof/>
                <w:lang w:val="en-GB"/>
              </w:rPr>
              <w:t>roject applicants are requested to report on other sources of European funding they benefit from.</w:t>
            </w:r>
            <w:r>
              <w:rPr>
                <w:rFonts w:ascii="Times New Roman" w:hAnsi="Times New Roman"/>
                <w:noProof/>
                <w:lang w:val="en-GB"/>
              </w:rPr>
              <w:t xml:space="preserve"> In </w:t>
            </w:r>
            <w:r>
              <w:rPr>
                <w:rFonts w:ascii="Times New Roman" w:hAnsi="Times New Roman"/>
                <w:b/>
                <w:noProof/>
                <w:lang w:val="en-GB"/>
              </w:rPr>
              <w:t>Cyprus</w:t>
            </w:r>
            <w:r>
              <w:rPr>
                <w:rFonts w:ascii="Times New Roman" w:hAnsi="Times New Roman"/>
                <w:noProof/>
                <w:lang w:val="en-GB"/>
              </w:rPr>
              <w:t>, meetings with the relevant competent authorities were conducted dur</w:t>
            </w:r>
            <w:r>
              <w:rPr>
                <w:rFonts w:ascii="Times New Roman" w:hAnsi="Times New Roman"/>
                <w:noProof/>
                <w:lang w:val="en-GB"/>
              </w:rPr>
              <w:t xml:space="preserve">ing the programming stage for the examination of subjects of common interest and to avoid any overlap. In </w:t>
            </w:r>
            <w:r>
              <w:rPr>
                <w:rFonts w:ascii="Times New Roman" w:hAnsi="Times New Roman"/>
                <w:b/>
                <w:noProof/>
                <w:lang w:val="en-GB"/>
              </w:rPr>
              <w:t>Greece</w:t>
            </w:r>
            <w:r>
              <w:rPr>
                <w:rFonts w:ascii="Times New Roman" w:hAnsi="Times New Roman"/>
                <w:noProof/>
                <w:lang w:val="en-GB"/>
              </w:rPr>
              <w:t>, the responsible authority carried out extensive consultation with beneficiaries involved in other programmes to avoid duplication with other a</w:t>
            </w:r>
            <w:r>
              <w:rPr>
                <w:rFonts w:ascii="Times New Roman" w:hAnsi="Times New Roman"/>
                <w:noProof/>
                <w:lang w:val="en-GB"/>
              </w:rPr>
              <w:t xml:space="preserve">ctions. </w:t>
            </w:r>
            <w:r>
              <w:rPr>
                <w:rFonts w:ascii="Times New Roman" w:hAnsi="Times New Roman"/>
                <w:b/>
                <w:noProof/>
                <w:lang w:val="en-GB"/>
              </w:rPr>
              <w:t>Italy</w:t>
            </w:r>
            <w:r>
              <w:rPr>
                <w:rFonts w:ascii="Times New Roman" w:hAnsi="Times New Roman"/>
                <w:noProof/>
                <w:lang w:val="en-GB"/>
              </w:rPr>
              <w:t xml:space="preserve"> adopted an integrated approach to ensure coherence, relying on multi-sectoral (integrating policies, services, and initiatives referring to different yet complementary areas), multi-level (involving all relevant institutional actors), and mul</w:t>
            </w:r>
            <w:r>
              <w:rPr>
                <w:rFonts w:ascii="Times New Roman" w:hAnsi="Times New Roman"/>
                <w:noProof/>
                <w:lang w:val="en-GB"/>
              </w:rPr>
              <w:t xml:space="preserve">ti-stakeholder (involving all relevant actors) mechanisms. Moreover, regular meetings between the RAs of AMIF and ISF-BV were organised to share information on activities implemented under the two funds. </w:t>
            </w:r>
          </w:p>
        </w:tc>
      </w:tr>
    </w:tbl>
    <w:p w:rsidR="007D3598" w:rsidRDefault="007D3598">
      <w:pPr>
        <w:pStyle w:val="caption10"/>
        <w:spacing w:before="0" w:after="0"/>
        <w:rPr>
          <w:rFonts w:ascii="Times New Roman" w:hAnsi="Times New Roman"/>
          <w:noProof/>
          <w:sz w:val="24"/>
          <w:lang w:val="en-GB"/>
        </w:rPr>
      </w:pPr>
    </w:p>
    <w:p w:rsidR="007D3598" w:rsidRDefault="00F8547B">
      <w:pPr>
        <w:pStyle w:val="caption10"/>
        <w:spacing w:before="0" w:after="0"/>
        <w:rPr>
          <w:rFonts w:ascii="Times New Roman" w:hAnsi="Times New Roman"/>
          <w:noProof/>
          <w:sz w:val="24"/>
          <w:lang w:val="en-GB"/>
        </w:rPr>
      </w:pPr>
      <w:r>
        <w:rPr>
          <w:rFonts w:ascii="Times New Roman" w:hAnsi="Times New Roman"/>
          <w:noProof/>
          <w:sz w:val="24"/>
          <w:lang w:val="en-GB"/>
        </w:rPr>
        <w:t>Examples of coordinating mechanisms to ensure the</w:t>
      </w:r>
      <w:r>
        <w:rPr>
          <w:rFonts w:ascii="Times New Roman" w:hAnsi="Times New Roman"/>
          <w:noProof/>
          <w:sz w:val="24"/>
          <w:lang w:val="en-GB"/>
        </w:rPr>
        <w:t xml:space="preserve"> Fund’s coherence with other interventions during the implementation stage</w:t>
      </w:r>
    </w:p>
    <w:tbl>
      <w:tblPr>
        <w:tblStyle w:val="TableEY1"/>
        <w:tblpPr w:leftFromText="180" w:rightFromText="180" w:vertAnchor="text" w:horzAnchor="margin" w:tblpY="148"/>
        <w:tblW w:w="494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740"/>
      </w:tblGrid>
      <w:tr w:rsidR="007D3598">
        <w:trPr>
          <w:trHeight w:val="3514"/>
        </w:trPr>
        <w:tc>
          <w:tcPr>
            <w:tcW w:w="5000" w:type="pct"/>
            <w:shd w:val="clear" w:color="auto" w:fill="E0E0E0"/>
          </w:tcPr>
          <w:p w:rsidR="007D3598" w:rsidRDefault="00F8547B">
            <w:pPr>
              <w:pStyle w:val="Bulletpoint1"/>
              <w:numPr>
                <w:ilvl w:val="0"/>
                <w:numId w:val="0"/>
              </w:numPr>
              <w:spacing w:before="0" w:after="0" w:line="240" w:lineRule="auto"/>
              <w:ind w:left="142"/>
              <w:jc w:val="both"/>
              <w:rPr>
                <w:rFonts w:ascii="Times New Roman" w:hAnsi="Times New Roman"/>
                <w:noProof/>
                <w:lang w:val="en-GB"/>
              </w:rPr>
            </w:pPr>
            <w:r>
              <w:rPr>
                <w:rFonts w:ascii="Times New Roman" w:hAnsi="Times New Roman"/>
                <w:noProof/>
                <w:lang w:val="en-GB"/>
              </w:rPr>
              <w:t>In</w:t>
            </w:r>
            <w:r>
              <w:rPr>
                <w:rFonts w:ascii="Times New Roman" w:hAnsi="Times New Roman"/>
                <w:b/>
                <w:noProof/>
                <w:lang w:val="en-GB"/>
              </w:rPr>
              <w:t xml:space="preserve"> Bulgaria</w:t>
            </w:r>
            <w:r>
              <w:rPr>
                <w:rFonts w:ascii="Times New Roman" w:hAnsi="Times New Roman"/>
                <w:noProof/>
                <w:lang w:val="en-GB"/>
              </w:rPr>
              <w:t xml:space="preserve">, the International Projects Directorate within the Ministry of the Interior examines project proposals and partnerships </w:t>
            </w:r>
            <w:r>
              <w:rPr>
                <w:rFonts w:ascii="Times New Roman" w:hAnsi="Times New Roman"/>
                <w:noProof/>
                <w:bdr w:val="nil"/>
                <w:lang w:val="en-GB"/>
              </w:rPr>
              <w:t>with EU financial institutions</w:t>
            </w:r>
            <w:r>
              <w:rPr>
                <w:rStyle w:val="FootnoteReference"/>
                <w:noProof/>
              </w:rPr>
              <w:footnoteReference w:id="195"/>
            </w:r>
            <w:r>
              <w:rPr>
                <w:rFonts w:ascii="Times New Roman" w:hAnsi="Times New Roman"/>
                <w:noProof/>
                <w:bdr w:val="nil"/>
                <w:lang w:val="en-GB"/>
              </w:rPr>
              <w:t>. Its</w:t>
            </w:r>
            <w:r>
              <w:rPr>
                <w:rFonts w:ascii="Times New Roman" w:hAnsi="Times New Roman"/>
                <w:noProof/>
                <w:lang w:val="en-GB"/>
              </w:rPr>
              <w:t xml:space="preserve"> activity is </w:t>
            </w:r>
            <w:r>
              <w:rPr>
                <w:rFonts w:ascii="Times New Roman" w:hAnsi="Times New Roman"/>
                <w:noProof/>
                <w:lang w:val="en-GB"/>
              </w:rPr>
              <w:t>part of the national strategy to ensure the coherence and coordination with ESIF. I</w:t>
            </w:r>
            <w:r>
              <w:rPr>
                <w:rFonts w:ascii="Times New Roman" w:hAnsi="Times New Roman"/>
                <w:noProof/>
                <w:bdr w:val="nil"/>
                <w:lang w:val="en-GB"/>
              </w:rPr>
              <w:t>SF-BV’s MC meets regularly to address potential duplications; ISF-BV’s responsible authority meets monthly with beneficiaries of the ISF-BV projects to detect inter alia pos</w:t>
            </w:r>
            <w:r>
              <w:rPr>
                <w:rFonts w:ascii="Times New Roman" w:hAnsi="Times New Roman"/>
                <w:noProof/>
                <w:bdr w:val="nil"/>
                <w:lang w:val="en-GB"/>
              </w:rPr>
              <w:t>sible duplications with other</w:t>
            </w:r>
            <w:r>
              <w:rPr>
                <w:rFonts w:ascii="Times New Roman" w:hAnsi="Times New Roman"/>
                <w:noProof/>
                <w:lang w:val="en-GB"/>
              </w:rPr>
              <w:t xml:space="preserve"> projects</w:t>
            </w:r>
            <w:r>
              <w:rPr>
                <w:rFonts w:ascii="Times New Roman" w:hAnsi="Times New Roman"/>
                <w:noProof/>
                <w:bdr w:val="nil"/>
                <w:lang w:val="en-GB"/>
              </w:rPr>
              <w:t xml:space="preserve">. </w:t>
            </w:r>
            <w:r>
              <w:rPr>
                <w:rFonts w:ascii="Times New Roman" w:hAnsi="Times New Roman"/>
                <w:noProof/>
                <w:lang w:val="en-GB"/>
              </w:rPr>
              <w:t xml:space="preserve">In </w:t>
            </w:r>
            <w:r>
              <w:rPr>
                <w:rFonts w:ascii="Times New Roman" w:hAnsi="Times New Roman"/>
                <w:b/>
                <w:noProof/>
                <w:lang w:val="en-GB"/>
              </w:rPr>
              <w:t>Cyprus</w:t>
            </w:r>
            <w:r>
              <w:rPr>
                <w:rFonts w:ascii="Times New Roman" w:hAnsi="Times New Roman"/>
                <w:noProof/>
                <w:lang w:val="en-GB"/>
              </w:rPr>
              <w:t>, since 2013, the Directorate-General for European Programmes, Coordination and Development is responsible for implementing the Europe2020 strategy and for coordinating the implementation of EU funds and pro</w:t>
            </w:r>
            <w:r>
              <w:rPr>
                <w:rFonts w:ascii="Times New Roman" w:hAnsi="Times New Roman"/>
                <w:noProof/>
                <w:lang w:val="en-GB"/>
              </w:rPr>
              <w:t xml:space="preserve">grammes. In the </w:t>
            </w:r>
            <w:r>
              <w:rPr>
                <w:rFonts w:ascii="Times New Roman" w:hAnsi="Times New Roman"/>
                <w:b/>
                <w:noProof/>
                <w:bdr w:val="nil"/>
                <w:lang w:val="en-GB"/>
              </w:rPr>
              <w:t>Czech Republic</w:t>
            </w:r>
            <w:r>
              <w:rPr>
                <w:rFonts w:ascii="Times New Roman" w:hAnsi="Times New Roman"/>
                <w:noProof/>
                <w:bdr w:val="nil"/>
                <w:lang w:val="en-GB"/>
              </w:rPr>
              <w:t>, the Coordinating Committee 2014+ (KV)</w:t>
            </w:r>
            <w:r>
              <w:rPr>
                <w:rStyle w:val="FootnoteReference"/>
                <w:rFonts w:ascii="Times New Roman" w:hAnsi="Times New Roman"/>
                <w:noProof/>
                <w:bdr w:val="nil"/>
              </w:rPr>
              <w:footnoteReference w:id="196"/>
            </w:r>
            <w:r>
              <w:rPr>
                <w:rFonts w:ascii="Times New Roman" w:hAnsi="Times New Roman"/>
                <w:noProof/>
                <w:bdr w:val="nil"/>
                <w:lang w:val="en-GB"/>
              </w:rPr>
              <w:t xml:space="preserve"> was established within the Ministry of the Interior as an internal mechanism dealing with ESIF, AMIF, and ISF. The KV consists of several working groups covering all projects in order t</w:t>
            </w:r>
            <w:r>
              <w:rPr>
                <w:rFonts w:ascii="Times New Roman" w:hAnsi="Times New Roman"/>
                <w:noProof/>
                <w:bdr w:val="nil"/>
                <w:lang w:val="en-GB"/>
              </w:rPr>
              <w:t xml:space="preserve">o prevent any overlap. </w:t>
            </w:r>
            <w:r>
              <w:rPr>
                <w:rFonts w:ascii="Times New Roman" w:hAnsi="Times New Roman"/>
                <w:noProof/>
                <w:lang w:val="en-GB"/>
              </w:rPr>
              <w:t xml:space="preserve">In </w:t>
            </w:r>
            <w:r>
              <w:rPr>
                <w:rFonts w:ascii="Times New Roman" w:hAnsi="Times New Roman"/>
                <w:b/>
                <w:noProof/>
                <w:lang w:val="en-GB"/>
              </w:rPr>
              <w:t>Germany</w:t>
            </w:r>
            <w:r>
              <w:rPr>
                <w:rFonts w:ascii="Times New Roman" w:hAnsi="Times New Roman"/>
                <w:noProof/>
                <w:lang w:val="en-GB"/>
              </w:rPr>
              <w:t>, a clear separation between the objectives and approaches of AMIF and ISF in the area of migration was achieved by indicating the Federal Office for Migration and Refugees as being responsible for implementing AMIF and the</w:t>
            </w:r>
            <w:r>
              <w:rPr>
                <w:rFonts w:ascii="Times New Roman" w:hAnsi="Times New Roman"/>
                <w:noProof/>
                <w:lang w:val="en-GB"/>
              </w:rPr>
              <w:t xml:space="preserve"> Federal Police Headquarters for implementing ISF-BV. In </w:t>
            </w:r>
            <w:r>
              <w:rPr>
                <w:rFonts w:ascii="Times New Roman" w:hAnsi="Times New Roman"/>
                <w:b/>
                <w:noProof/>
                <w:lang w:val="en-GB"/>
              </w:rPr>
              <w:t>Sweden</w:t>
            </w:r>
            <w:r>
              <w:rPr>
                <w:rFonts w:ascii="Times New Roman" w:hAnsi="Times New Roman"/>
                <w:noProof/>
                <w:lang w:val="en-GB"/>
              </w:rPr>
              <w:t>, the SEFI Council (Council for the protection of EU financial interests) was set up to promote the efficient and accurate use of EU-related funds. A meeting ‘Ensuring synergies and strengtheni</w:t>
            </w:r>
            <w:r>
              <w:rPr>
                <w:rFonts w:ascii="Times New Roman" w:hAnsi="Times New Roman"/>
                <w:noProof/>
                <w:lang w:val="en-GB"/>
              </w:rPr>
              <w:t>ng capacities for addressing migration and integration challenges in Sweden’ was held jointly by the Swedish authorities and the European Commission on 17 February 2017.</w:t>
            </w:r>
          </w:p>
        </w:tc>
      </w:tr>
    </w:tbl>
    <w:p w:rsidR="007D3598" w:rsidRDefault="007D3598">
      <w:pPr>
        <w:rPr>
          <w:noProof/>
        </w:rPr>
      </w:pPr>
    </w:p>
    <w:p w:rsidR="007D3598" w:rsidRDefault="007D3598">
      <w:pPr>
        <w:rPr>
          <w:noProof/>
        </w:rPr>
      </w:pPr>
    </w:p>
    <w:p w:rsidR="007D3598" w:rsidRDefault="00F8547B">
      <w:pPr>
        <w:pStyle w:val="HH3"/>
        <w:spacing w:before="0" w:after="0"/>
        <w:contextualSpacing w:val="0"/>
        <w:rPr>
          <w:noProof/>
        </w:rPr>
      </w:pPr>
      <w:r>
        <w:rPr>
          <w:noProof/>
        </w:rPr>
        <w:t>Complementarity</w:t>
      </w:r>
    </w:p>
    <w:p w:rsidR="007D3598" w:rsidRDefault="00F8547B">
      <w:pPr>
        <w:pStyle w:val="Text2"/>
        <w:rPr>
          <w:noProof/>
          <w:szCs w:val="24"/>
        </w:rPr>
      </w:pPr>
      <w:r>
        <w:rPr>
          <w:rFonts w:eastAsiaTheme="minorHAnsi"/>
          <w:noProof/>
          <w:szCs w:val="24"/>
          <w:lang w:eastAsia="en-GB"/>
        </w:rPr>
        <mc:AlternateContent>
          <mc:Choice Requires="wps">
            <w:drawing>
              <wp:anchor distT="0" distB="0" distL="114300" distR="114300" simplePos="0" relativeHeight="251661312" behindDoc="0" locked="0" layoutInCell="1" allowOverlap="1" wp14:anchorId="1CD7B641" wp14:editId="1A77A545">
                <wp:simplePos x="0" y="0"/>
                <wp:positionH relativeFrom="column">
                  <wp:posOffset>0</wp:posOffset>
                </wp:positionH>
                <wp:positionV relativeFrom="paragraph">
                  <wp:posOffset>174625</wp:posOffset>
                </wp:positionV>
                <wp:extent cx="6090285" cy="1208405"/>
                <wp:effectExtent l="0" t="0" r="24765" b="10795"/>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208405"/>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rPr>
                                <w:rFonts w:ascii="Times New Roman" w:hAnsi="Times New Roman"/>
                                <w:sz w:val="24"/>
                              </w:rPr>
                            </w:pPr>
                            <w:r>
                              <w:rPr>
                                <w:rFonts w:ascii="Times New Roman" w:hAnsi="Times New Roman"/>
                                <w:sz w:val="24"/>
                                <w:szCs w:val="24"/>
                              </w:rPr>
                              <w:t xml:space="preserve">The Fund’s objectives are complementary to other </w:t>
                            </w:r>
                            <w:r>
                              <w:rPr>
                                <w:rFonts w:ascii="Times New Roman" w:hAnsi="Times New Roman"/>
                                <w:sz w:val="24"/>
                                <w:szCs w:val="24"/>
                              </w:rPr>
                              <w:t>national policies. Complementarity with other EU financing instruments was planned at the programming stage. Coordinating mechanisms have been put in place to ensure complementarity at the implementation stage.</w:t>
                            </w:r>
                          </w:p>
                          <w:p w:rsidR="007D3598" w:rsidRDefault="00F8547B">
                            <w:pPr>
                              <w:pStyle w:val="BulletBoxFindings"/>
                              <w:tabs>
                                <w:tab w:val="clear" w:pos="1492"/>
                              </w:tabs>
                              <w:spacing w:before="0" w:after="0" w:line="240" w:lineRule="auto"/>
                              <w:ind w:left="0" w:firstLine="0"/>
                            </w:pPr>
                            <w:r>
                              <w:rPr>
                                <w:rFonts w:ascii="Times New Roman" w:hAnsi="Times New Roman"/>
                                <w:sz w:val="24"/>
                                <w:szCs w:val="24"/>
                              </w:rPr>
                              <w:t>Different implementation modes are complement</w:t>
                            </w:r>
                            <w:r>
                              <w:rPr>
                                <w:rFonts w:ascii="Times New Roman" w:hAnsi="Times New Roman"/>
                                <w:sz w:val="24"/>
                                <w:szCs w:val="24"/>
                              </w:rPr>
                              <w:t>ary to each other.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13.75pt;width:479.55pt;height:9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" strokecolor="#4f81bd [3204]" strokeweight="1.5pt">
                <v:textbo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rPr>
                          <w:rFonts w:ascii="Times New Roman" w:hAnsi="Times New Roman"/>
                          <w:sz w:val="24"/>
                        </w:rPr>
                      </w:pPr>
                      <w:r>
                        <w:rPr>
                          <w:rFonts w:ascii="Times New Roman" w:hAnsi="Times New Roman"/>
                          <w:sz w:val="24"/>
                          <w:szCs w:val="24"/>
                        </w:rPr>
                        <w:t xml:space="preserve">The Fund’s objectives are complementary to other </w:t>
                      </w:r>
                      <w:r>
                        <w:rPr>
                          <w:rFonts w:ascii="Times New Roman" w:hAnsi="Times New Roman"/>
                          <w:sz w:val="24"/>
                          <w:szCs w:val="24"/>
                        </w:rPr>
                        <w:t>national policies. Complementarity with other EU financing instruments was planned at the programming stage. Coordinating mechanisms have been put in place to ensure complementarity at the implementation stage.</w:t>
                      </w:r>
                    </w:p>
                    <w:p w:rsidR="007D3598" w:rsidRDefault="00F8547B">
                      <w:pPr>
                        <w:pStyle w:val="BulletBoxFindings"/>
                        <w:tabs>
                          <w:tab w:val="clear" w:pos="1492"/>
                        </w:tabs>
                        <w:spacing w:before="0" w:after="0" w:line="240" w:lineRule="auto"/>
                        <w:ind w:left="0" w:firstLine="0"/>
                      </w:pPr>
                      <w:r>
                        <w:rPr>
                          <w:rFonts w:ascii="Times New Roman" w:hAnsi="Times New Roman"/>
                          <w:sz w:val="24"/>
                          <w:szCs w:val="24"/>
                        </w:rPr>
                        <w:t>Different implementation modes are complement</w:t>
                      </w:r>
                      <w:r>
                        <w:rPr>
                          <w:rFonts w:ascii="Times New Roman" w:hAnsi="Times New Roman"/>
                          <w:sz w:val="24"/>
                          <w:szCs w:val="24"/>
                        </w:rPr>
                        <w:t>ary to each other.</w:t>
                      </w:r>
                    </w:p>
                  </w:txbxContent>
                </v:textbox>
                <w10:wrap type="topAndBottom"/>
              </v:shape>
            </w:pict>
          </mc:Fallback>
        </mc:AlternateContent>
      </w:r>
    </w:p>
    <w:p w:rsidR="007D3598" w:rsidRDefault="00F8547B">
      <w:pPr>
        <w:jc w:val="both"/>
        <w:rPr>
          <w:noProof/>
          <w:color w:val="000000"/>
          <w:lang w:eastAsia="en-GB"/>
        </w:rPr>
      </w:pPr>
      <w:r>
        <w:rPr>
          <w:noProof/>
        </w:rPr>
        <w:t>The evaluation raised evidence on the complementarity between the objectives set in the national programmes and those set in national policies in the area of borders and visa</w:t>
      </w:r>
      <w:r>
        <w:rPr>
          <w:rStyle w:val="FootnoteReference"/>
          <w:noProof/>
        </w:rPr>
        <w:footnoteReference w:id="197"/>
      </w:r>
      <w:r>
        <w:rPr>
          <w:noProof/>
        </w:rPr>
        <w:t>.</w:t>
      </w:r>
      <w:r>
        <w:rPr>
          <w:noProof/>
          <w:color w:val="000000"/>
          <w:lang w:eastAsia="en-GB"/>
        </w:rPr>
        <w:t xml:space="preserve"> No overlapping or duplication has been found.</w:t>
      </w:r>
    </w:p>
    <w:p w:rsidR="007D3598" w:rsidRDefault="007D3598">
      <w:pPr>
        <w:jc w:val="both"/>
        <w:rPr>
          <w:noProof/>
          <w:color w:val="000000"/>
          <w:lang w:eastAsia="en-GB"/>
        </w:rPr>
      </w:pPr>
    </w:p>
    <w:p w:rsidR="007D3598" w:rsidRDefault="00F8547B">
      <w:pPr>
        <w:jc w:val="both"/>
        <w:rPr>
          <w:noProof/>
          <w:color w:val="000000"/>
          <w:lang w:eastAsia="en-GB"/>
        </w:rPr>
      </w:pPr>
      <w:r>
        <w:rPr>
          <w:noProof/>
          <w:color w:val="000000"/>
          <w:lang w:eastAsia="en-GB"/>
        </w:rPr>
        <w:t>As for syner</w:t>
      </w:r>
      <w:r>
        <w:rPr>
          <w:noProof/>
          <w:color w:val="000000"/>
          <w:lang w:eastAsia="en-GB"/>
        </w:rPr>
        <w:t xml:space="preserve">gies, the security research under Horizon 2020 with its border component is the main source of synergies with the ISF-BV. Other EU interventions with potential for synergies with the ISF-BV include ESIF, under which training for border police is financed, </w:t>
      </w:r>
      <w:r>
        <w:rPr>
          <w:noProof/>
          <w:color w:val="000000"/>
          <w:lang w:eastAsia="en-GB"/>
        </w:rPr>
        <w:t>the ERDF, Customs 2020 and Frontex joint operations. It should be noted that so far, more emphasis has been put on minimising the risk of any potential overlaps rather than on synergies themselves.</w:t>
      </w:r>
    </w:p>
    <w:p w:rsidR="007D3598" w:rsidRDefault="007D3598">
      <w:pPr>
        <w:pStyle w:val="Body"/>
        <w:spacing w:before="0" w:after="0" w:line="240" w:lineRule="auto"/>
        <w:jc w:val="both"/>
        <w:rPr>
          <w:rFonts w:ascii="Times New Roman" w:hAnsi="Times New Roman"/>
          <w:noProof/>
          <w:color w:val="000000"/>
          <w:sz w:val="24"/>
          <w:lang w:eastAsia="en-GB"/>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rPr>
        <w:t>Some Member States</w:t>
      </w:r>
      <w:r>
        <w:rPr>
          <w:rStyle w:val="FootnoteReference"/>
          <w:rFonts w:ascii="Times New Roman" w:hAnsi="Times New Roman"/>
          <w:noProof/>
          <w:sz w:val="24"/>
          <w:szCs w:val="24"/>
        </w:rPr>
        <w:footnoteReference w:id="198"/>
      </w:r>
      <w:r>
        <w:rPr>
          <w:rFonts w:ascii="Times New Roman" w:hAnsi="Times New Roman"/>
          <w:noProof/>
          <w:sz w:val="24"/>
        </w:rPr>
        <w:t xml:space="preserve"> carried out assessments of the nation</w:t>
      </w:r>
      <w:r>
        <w:rPr>
          <w:rFonts w:ascii="Times New Roman" w:hAnsi="Times New Roman"/>
          <w:noProof/>
          <w:sz w:val="24"/>
        </w:rPr>
        <w:t xml:space="preserve">al interventions with complementary objectives during the identification of the funding priorities and measures under ISF-BV. </w:t>
      </w:r>
      <w:r>
        <w:rPr>
          <w:rFonts w:ascii="Times New Roman" w:hAnsi="Times New Roman"/>
          <w:noProof/>
          <w:sz w:val="24"/>
          <w:szCs w:val="24"/>
        </w:rPr>
        <w:t>Different consultation, coordination, and collaboration mechanisms were put in place to ensure alignment with actions set in the f</w:t>
      </w:r>
      <w:r>
        <w:rPr>
          <w:rFonts w:ascii="Times New Roman" w:hAnsi="Times New Roman"/>
          <w:noProof/>
          <w:sz w:val="24"/>
          <w:szCs w:val="24"/>
        </w:rPr>
        <w:t>ramework of other national policies</w:t>
      </w:r>
      <w:r>
        <w:rPr>
          <w:rStyle w:val="FootnoteReference"/>
          <w:rFonts w:ascii="Times New Roman" w:hAnsi="Times New Roman"/>
          <w:noProof/>
          <w:sz w:val="24"/>
          <w:szCs w:val="24"/>
        </w:rPr>
        <w:footnoteReference w:id="199"/>
      </w:r>
      <w:r>
        <w:rPr>
          <w:rFonts w:ascii="Times New Roman" w:hAnsi="Times New Roman"/>
          <w:noProof/>
          <w:sz w:val="24"/>
          <w:szCs w:val="24"/>
        </w:rPr>
        <w:t>, including:</w:t>
      </w:r>
    </w:p>
    <w:p w:rsidR="007D3598" w:rsidRDefault="00F8547B">
      <w:pPr>
        <w:pStyle w:val="Bulletpoint1"/>
        <w:numPr>
          <w:ilvl w:val="0"/>
          <w:numId w:val="54"/>
        </w:numPr>
        <w:spacing w:before="0" w:after="0" w:line="240" w:lineRule="auto"/>
        <w:jc w:val="both"/>
        <w:rPr>
          <w:rFonts w:ascii="Times New Roman" w:hAnsi="Times New Roman"/>
          <w:noProof/>
          <w:sz w:val="24"/>
          <w:szCs w:val="24"/>
        </w:rPr>
      </w:pPr>
      <w:r>
        <w:rPr>
          <w:rFonts w:ascii="Times New Roman" w:hAnsi="Times New Roman"/>
          <w:noProof/>
          <w:sz w:val="24"/>
          <w:szCs w:val="24"/>
        </w:rPr>
        <w:t>financial instruments and mechanisms to ensure traceability and control of funding throughout the entire project lifetime;</w:t>
      </w:r>
    </w:p>
    <w:p w:rsidR="007D3598" w:rsidRDefault="00F8547B">
      <w:pPr>
        <w:pStyle w:val="Bulletpoint1"/>
        <w:numPr>
          <w:ilvl w:val="0"/>
          <w:numId w:val="54"/>
        </w:numPr>
        <w:spacing w:before="0" w:after="0" w:line="240" w:lineRule="auto"/>
        <w:jc w:val="both"/>
        <w:rPr>
          <w:rFonts w:ascii="Times New Roman" w:hAnsi="Times New Roman"/>
          <w:noProof/>
          <w:sz w:val="24"/>
          <w:szCs w:val="24"/>
        </w:rPr>
      </w:pPr>
      <w:r>
        <w:rPr>
          <w:rFonts w:ascii="Times New Roman" w:hAnsi="Times New Roman"/>
          <w:noProof/>
          <w:sz w:val="24"/>
          <w:szCs w:val="24"/>
        </w:rPr>
        <w:t>consultation mechanisms with key stakeholders; and</w:t>
      </w:r>
    </w:p>
    <w:p w:rsidR="007D3598" w:rsidRDefault="00F8547B">
      <w:pPr>
        <w:pStyle w:val="Bulletpoint1"/>
        <w:numPr>
          <w:ilvl w:val="0"/>
          <w:numId w:val="54"/>
        </w:numPr>
        <w:spacing w:before="0" w:after="0" w:line="240" w:lineRule="auto"/>
        <w:jc w:val="both"/>
        <w:rPr>
          <w:rFonts w:ascii="Times New Roman" w:hAnsi="Times New Roman"/>
          <w:noProof/>
          <w:sz w:val="24"/>
          <w:szCs w:val="24"/>
        </w:rPr>
      </w:pPr>
      <w:r>
        <w:rPr>
          <w:rFonts w:ascii="Times New Roman" w:hAnsi="Times New Roman"/>
          <w:noProof/>
          <w:sz w:val="24"/>
          <w:szCs w:val="24"/>
        </w:rPr>
        <w:t>application and project selection</w:t>
      </w:r>
      <w:r>
        <w:rPr>
          <w:rFonts w:ascii="Times New Roman" w:hAnsi="Times New Roman"/>
          <w:noProof/>
          <w:sz w:val="24"/>
          <w:szCs w:val="24"/>
        </w:rPr>
        <w:t xml:space="preserve"> procedures that require the project’s coherence and complementarity to be demonstrated.</w:t>
      </w:r>
    </w:p>
    <w:p w:rsidR="007D3598" w:rsidRDefault="007D3598">
      <w:pPr>
        <w:jc w:val="both"/>
        <w:rPr>
          <w:noProof/>
        </w:rPr>
      </w:pPr>
    </w:p>
    <w:p w:rsidR="007D3598" w:rsidRDefault="00F8547B">
      <w:pPr>
        <w:jc w:val="both"/>
        <w:rPr>
          <w:noProof/>
        </w:rPr>
      </w:pPr>
      <w:r>
        <w:rPr>
          <w:noProof/>
        </w:rPr>
        <w:t>The responsible authority and the MC also played a key role in ensuring the Fund’s complementarity with national strategies in the field of visa and borders</w:t>
      </w:r>
      <w:r>
        <w:rPr>
          <w:rStyle w:val="FootnoteReference"/>
          <w:noProof/>
          <w:szCs w:val="24"/>
        </w:rPr>
        <w:footnoteReference w:id="200"/>
      </w:r>
      <w:r>
        <w:rPr>
          <w:noProof/>
        </w:rPr>
        <w:t>.</w:t>
      </w:r>
    </w:p>
    <w:p w:rsidR="007D3598" w:rsidRDefault="007D3598">
      <w:pPr>
        <w:jc w:val="both"/>
        <w:rPr>
          <w:noProof/>
        </w:rPr>
      </w:pPr>
    </w:p>
    <w:p w:rsidR="007D3598" w:rsidRDefault="00F8547B">
      <w:pPr>
        <w:jc w:val="both"/>
        <w:rPr>
          <w:noProof/>
        </w:rPr>
      </w:pPr>
      <w:r>
        <w:rPr>
          <w:noProof/>
        </w:rPr>
        <w:t>In Mem</w:t>
      </w:r>
      <w:r>
        <w:rPr>
          <w:noProof/>
        </w:rPr>
        <w:t xml:space="preserve">ber States where no assessment was carried out at the programming stage, the complementarity was ensured through management practices during the Fund’s implementation. More precisely, the </w:t>
      </w:r>
      <w:r>
        <w:rPr>
          <w:noProof/>
          <w:color w:val="000000"/>
        </w:rPr>
        <w:t xml:space="preserve">wide stakeholder consultation during the programming stage allowed </w:t>
      </w:r>
      <w:r>
        <w:rPr>
          <w:noProof/>
          <w:color w:val="000000"/>
        </w:rPr>
        <w:t>for high consistency of priorities and projects, therefore ensuring there were no overlaps with other relevant interventions</w:t>
      </w:r>
      <w:r>
        <w:rPr>
          <w:rStyle w:val="FootnoteReference"/>
          <w:noProof/>
          <w:color w:val="000000"/>
          <w:szCs w:val="24"/>
        </w:rPr>
        <w:footnoteReference w:id="201"/>
      </w:r>
      <w:r>
        <w:rPr>
          <w:noProof/>
          <w:color w:val="000000"/>
        </w:rPr>
        <w:t>.</w:t>
      </w:r>
    </w:p>
    <w:p w:rsidR="007D3598" w:rsidRDefault="007D3598">
      <w:pPr>
        <w:rPr>
          <w:noProof/>
        </w:rPr>
      </w:pPr>
    </w:p>
    <w:p w:rsidR="007D3598" w:rsidRDefault="00F8547B">
      <w:pPr>
        <w:jc w:val="both"/>
        <w:rPr>
          <w:noProof/>
        </w:rPr>
      </w:pPr>
      <w:r>
        <w:rPr>
          <w:noProof/>
        </w:rPr>
        <w:t>The interim evaluation highlighted evidence on the complementarity among the Fund’s different implementation mechanisms (shared,</w:t>
      </w:r>
      <w:r>
        <w:rPr>
          <w:noProof/>
        </w:rPr>
        <w:t xml:space="preserve"> direct and indirect).</w:t>
      </w:r>
      <w:r>
        <w:rPr>
          <w:noProof/>
          <w:color w:val="000000"/>
          <w:lang w:eastAsia="en-GB"/>
        </w:rPr>
        <w:t xml:space="preserve"> </w:t>
      </w:r>
      <w:r>
        <w:rPr>
          <w:noProof/>
        </w:rPr>
        <w:t>Many Member States deem the different implementation modes as having directly contributed to meeting ISF-BV objectives, ensuring that all needs that are not covered by shared management instruments can be covered through direct or in</w:t>
      </w:r>
      <w:r>
        <w:rPr>
          <w:noProof/>
        </w:rPr>
        <w:t>direct management instruments</w:t>
      </w:r>
      <w:r>
        <w:rPr>
          <w:rStyle w:val="FootnoteReference"/>
          <w:noProof/>
        </w:rPr>
        <w:footnoteReference w:id="202"/>
      </w:r>
      <w:r>
        <w:rPr>
          <w:noProof/>
        </w:rPr>
        <w:t xml:space="preserve">. </w:t>
      </w:r>
      <w:r>
        <w:rPr>
          <w:noProof/>
          <w:color w:val="000000"/>
          <w:lang w:eastAsia="en-GB"/>
        </w:rPr>
        <w:t>Moreover, no overlapping or duplication was found between them, since they actually covered different types of actions</w:t>
      </w:r>
      <w:r>
        <w:rPr>
          <w:rStyle w:val="FootnoteReference"/>
          <w:noProof/>
          <w:color w:val="000000"/>
          <w:szCs w:val="24"/>
          <w:lang w:eastAsia="en-GB"/>
        </w:rPr>
        <w:footnoteReference w:id="203"/>
      </w:r>
      <w:r>
        <w:rPr>
          <w:noProof/>
          <w:color w:val="000000"/>
          <w:lang w:eastAsia="en-GB"/>
        </w:rPr>
        <w:t>.</w:t>
      </w:r>
      <w:r>
        <w:rPr>
          <w:noProof/>
        </w:rPr>
        <w:t xml:space="preserve"> Specifically, direct and indirect management were generally intended to be designed and implemented to </w:t>
      </w:r>
      <w:r>
        <w:rPr>
          <w:noProof/>
        </w:rPr>
        <w:t xml:space="preserve">improve and complement interventions planned under national programmes, or to fund interventions that cannot be implemented under shared management for several reasons (i.e. allocation limits, difficulties in reviewing national programmes). In particular, </w:t>
      </w:r>
      <w:r>
        <w:rPr>
          <w:noProof/>
        </w:rPr>
        <w:t>EMAS enabled the support of actions, which are difficult to be implemented under national programmes (due to allocation limits), since they address emerging and unpredictable needs arising from emergency situations. In addition, EMAS has played a significa</w:t>
      </w:r>
      <w:r>
        <w:rPr>
          <w:noProof/>
        </w:rPr>
        <w:t>nt role in bridging the funding gap until the national programmes have been adopted. EMAS has also improved private-public synergies</w:t>
      </w:r>
      <w:r>
        <w:rPr>
          <w:rStyle w:val="FootnoteReference"/>
          <w:noProof/>
          <w:szCs w:val="24"/>
        </w:rPr>
        <w:footnoteReference w:id="204"/>
      </w:r>
      <w:r>
        <w:rPr>
          <w:noProof/>
        </w:rPr>
        <w:t>. UAs allowed the Member States to plan and implement cross-country projects, otherwise not affordable under the national p</w:t>
      </w:r>
      <w:r>
        <w:rPr>
          <w:noProof/>
        </w:rPr>
        <w:t>rogramme</w:t>
      </w:r>
      <w:r>
        <w:rPr>
          <w:rStyle w:val="FootnoteReference"/>
          <w:noProof/>
          <w:szCs w:val="24"/>
        </w:rPr>
        <w:footnoteReference w:id="205"/>
      </w:r>
      <w:r>
        <w:rPr>
          <w:noProof/>
        </w:rPr>
        <w:t>. Moreover, indirect management projects allowed the EU to entrust budget implementation tasks to partner countries or the bodies they have designated or international organisations provided with the necessary expertise and knowledge to properly m</w:t>
      </w:r>
      <w:r>
        <w:rPr>
          <w:noProof/>
        </w:rPr>
        <w:t>anage and implement the measures required.</w:t>
      </w:r>
    </w:p>
    <w:p w:rsidR="007D3598" w:rsidRDefault="007D3598">
      <w:pPr>
        <w:rPr>
          <w:noProof/>
        </w:rPr>
      </w:pPr>
    </w:p>
    <w:p w:rsidR="007D3598" w:rsidRDefault="00F8547B">
      <w:pPr>
        <w:pStyle w:val="caption10"/>
        <w:spacing w:before="0" w:after="0"/>
        <w:rPr>
          <w:rFonts w:ascii="Times New Roman" w:hAnsi="Times New Roman"/>
          <w:noProof/>
          <w:sz w:val="24"/>
          <w:lang w:val="en-GB"/>
        </w:rPr>
      </w:pPr>
      <w:r>
        <w:rPr>
          <w:rFonts w:ascii="Times New Roman" w:hAnsi="Times New Roman"/>
          <w:noProof/>
          <w:sz w:val="24"/>
          <w:lang w:val="en-GB"/>
        </w:rPr>
        <w:t>Examples of national assessments of other interventions during the programming stage</w:t>
      </w:r>
    </w:p>
    <w:p w:rsidR="007D3598" w:rsidRDefault="007D3598">
      <w:pPr>
        <w:pStyle w:val="caption10"/>
        <w:spacing w:before="0" w:after="0"/>
        <w:rPr>
          <w:rFonts w:ascii="Times New Roman" w:hAnsi="Times New Roman"/>
          <w:noProof/>
          <w:sz w:val="24"/>
          <w:lang w:val="en-GB"/>
        </w:rPr>
      </w:pPr>
    </w:p>
    <w:tbl>
      <w:tblPr>
        <w:tblStyle w:val="TableE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854"/>
      </w:tblGrid>
      <w:tr w:rsidR="007D3598">
        <w:tc>
          <w:tcPr>
            <w:tcW w:w="5000" w:type="pct"/>
            <w:shd w:val="clear" w:color="auto" w:fill="E0E0E0"/>
          </w:tcPr>
          <w:p w:rsidR="007D3598" w:rsidRDefault="00F8547B">
            <w:pPr>
              <w:pStyle w:val="Bulletpoint1"/>
              <w:numPr>
                <w:ilvl w:val="0"/>
                <w:numId w:val="0"/>
              </w:numPr>
              <w:spacing w:before="0" w:after="0" w:line="240" w:lineRule="auto"/>
              <w:ind w:left="142"/>
              <w:jc w:val="both"/>
              <w:rPr>
                <w:rFonts w:ascii="Times New Roman" w:hAnsi="Times New Roman"/>
                <w:noProof/>
                <w:lang w:val="en-GB"/>
              </w:rPr>
            </w:pPr>
            <w:r>
              <w:rPr>
                <w:rFonts w:ascii="Times New Roman" w:hAnsi="Times New Roman"/>
                <w:noProof/>
                <w:lang w:val="en-GB"/>
              </w:rPr>
              <w:t xml:space="preserve">In </w:t>
            </w:r>
            <w:r>
              <w:rPr>
                <w:rFonts w:ascii="Times New Roman" w:hAnsi="Times New Roman"/>
                <w:b/>
                <w:noProof/>
                <w:lang w:val="en-GB"/>
              </w:rPr>
              <w:t>Cyprus</w:t>
            </w:r>
            <w:r>
              <w:rPr>
                <w:rFonts w:ascii="Times New Roman" w:hAnsi="Times New Roman"/>
                <w:noProof/>
                <w:lang w:val="en-GB"/>
              </w:rPr>
              <w:t xml:space="preserve"> the complementarity issue of the objectives and actions was taken into consideration by the responsible authority in the programming phase. Furthermore, the country’s DG EPCD</w:t>
            </w:r>
            <w:r>
              <w:rPr>
                <w:rStyle w:val="FootnoteReference"/>
                <w:rFonts w:ascii="Times New Roman" w:hAnsi="Times New Roman"/>
                <w:noProof/>
              </w:rPr>
              <w:footnoteReference w:id="206"/>
            </w:r>
            <w:r>
              <w:rPr>
                <w:rFonts w:ascii="Times New Roman" w:hAnsi="Times New Roman"/>
                <w:noProof/>
                <w:lang w:val="en-GB"/>
              </w:rPr>
              <w:t xml:space="preserve"> launched the EU Funds Web Portal in 2014 serving as an information hub for the </w:t>
            </w:r>
            <w:r>
              <w:rPr>
                <w:rFonts w:ascii="Times New Roman" w:hAnsi="Times New Roman"/>
                <w:noProof/>
                <w:lang w:val="en-GB"/>
              </w:rPr>
              <w:t xml:space="preserve">public and businesses for all the cross-cutting EU programmes to enable further coordination among the funds. In the </w:t>
            </w:r>
            <w:r>
              <w:rPr>
                <w:rFonts w:ascii="Times New Roman" w:hAnsi="Times New Roman"/>
                <w:b/>
                <w:noProof/>
                <w:lang w:val="en-GB"/>
              </w:rPr>
              <w:t>Czech Republic</w:t>
            </w:r>
            <w:r>
              <w:rPr>
                <w:rFonts w:ascii="Times New Roman" w:hAnsi="Times New Roman"/>
                <w:noProof/>
                <w:lang w:val="en-GB"/>
              </w:rPr>
              <w:t>, the ‘National Schengen Plan 2014’ (NSP 2014) setting up the national strategy for visa policy was taken into account in the</w:t>
            </w:r>
            <w:r>
              <w:rPr>
                <w:rFonts w:ascii="Times New Roman" w:hAnsi="Times New Roman"/>
                <w:noProof/>
                <w:lang w:val="en-GB"/>
              </w:rPr>
              <w:t xml:space="preserve"> preparation of the national programme, thus ensuring mutual complementarity. </w:t>
            </w:r>
          </w:p>
        </w:tc>
      </w:tr>
      <w:tr w:rsidR="007D3598">
        <w:tc>
          <w:tcPr>
            <w:tcW w:w="5000" w:type="pct"/>
            <w:shd w:val="clear" w:color="auto" w:fill="E0E0E0"/>
          </w:tcPr>
          <w:p w:rsidR="007D3598" w:rsidRDefault="00F8547B">
            <w:pPr>
              <w:pStyle w:val="Bulletpoint1"/>
              <w:numPr>
                <w:ilvl w:val="0"/>
                <w:numId w:val="0"/>
              </w:numPr>
              <w:spacing w:before="0" w:after="0" w:line="240" w:lineRule="auto"/>
              <w:ind w:left="142"/>
              <w:jc w:val="both"/>
              <w:rPr>
                <w:rFonts w:ascii="Times New Roman" w:hAnsi="Times New Roman"/>
                <w:noProof/>
                <w:lang w:val="en-GB"/>
              </w:rPr>
            </w:pPr>
            <w:r>
              <w:rPr>
                <w:rFonts w:ascii="Times New Roman" w:hAnsi="Times New Roman"/>
                <w:noProof/>
                <w:lang w:val="en-GB"/>
              </w:rPr>
              <w:t xml:space="preserve">In </w:t>
            </w:r>
            <w:r>
              <w:rPr>
                <w:rFonts w:ascii="Times New Roman" w:hAnsi="Times New Roman"/>
                <w:b/>
                <w:noProof/>
                <w:lang w:val="en-GB"/>
              </w:rPr>
              <w:t>Switzerland</w:t>
            </w:r>
            <w:r>
              <w:rPr>
                <w:rFonts w:ascii="Times New Roman" w:hAnsi="Times New Roman"/>
                <w:noProof/>
                <w:lang w:val="en-GB"/>
              </w:rPr>
              <w:t>, the national IBM strategy was taken into account while the the National Programme was being prepared and was used in particular to prioritise the measures plann</w:t>
            </w:r>
            <w:r>
              <w:rPr>
                <w:rFonts w:ascii="Times New Roman" w:hAnsi="Times New Roman"/>
                <w:noProof/>
                <w:lang w:val="en-GB"/>
              </w:rPr>
              <w:t xml:space="preserve">ed under the ISF-BV. This ensured that the objectives of the envisaged measures were in line with and complementary to the objectives of the existing actions of Swiss IBM. </w:t>
            </w:r>
          </w:p>
        </w:tc>
      </w:tr>
    </w:tbl>
    <w:p w:rsidR="007D3598" w:rsidRDefault="007D3598">
      <w:pPr>
        <w:pStyle w:val="caption10"/>
        <w:spacing w:before="0" w:after="0"/>
        <w:rPr>
          <w:rFonts w:ascii="Times New Roman" w:hAnsi="Times New Roman"/>
          <w:noProof/>
          <w:sz w:val="24"/>
          <w:lang w:val="en-GB"/>
        </w:rPr>
      </w:pPr>
    </w:p>
    <w:p w:rsidR="007D3598" w:rsidRDefault="00F8547B">
      <w:pPr>
        <w:pStyle w:val="caption10"/>
        <w:spacing w:before="0" w:after="0"/>
        <w:rPr>
          <w:rFonts w:ascii="Times New Roman" w:hAnsi="Times New Roman"/>
          <w:noProof/>
          <w:sz w:val="24"/>
          <w:lang w:val="en-GB"/>
        </w:rPr>
      </w:pPr>
      <w:r>
        <w:rPr>
          <w:rFonts w:ascii="Times New Roman" w:hAnsi="Times New Roman"/>
          <w:noProof/>
          <w:sz w:val="24"/>
          <w:lang w:val="en-GB"/>
        </w:rPr>
        <w:t>Examples of coordinating mechanisms to ensure the Fund’s complementarity with nat</w:t>
      </w:r>
      <w:r>
        <w:rPr>
          <w:rFonts w:ascii="Times New Roman" w:hAnsi="Times New Roman"/>
          <w:noProof/>
          <w:sz w:val="24"/>
          <w:lang w:val="en-GB"/>
        </w:rPr>
        <w:t>ional interventions</w:t>
      </w:r>
    </w:p>
    <w:p w:rsidR="007D3598" w:rsidRDefault="007D3598">
      <w:pPr>
        <w:pStyle w:val="caption10"/>
        <w:spacing w:before="0" w:after="0"/>
        <w:rPr>
          <w:rFonts w:ascii="Times New Roman" w:hAnsi="Times New Roman"/>
          <w:noProof/>
          <w:sz w:val="24"/>
          <w:lang w:val="en-GB"/>
        </w:rPr>
      </w:pPr>
    </w:p>
    <w:tbl>
      <w:tblPr>
        <w:tblStyle w:val="TableE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854"/>
      </w:tblGrid>
      <w:tr w:rsidR="007D3598">
        <w:tc>
          <w:tcPr>
            <w:tcW w:w="5000" w:type="pct"/>
            <w:shd w:val="clear" w:color="auto" w:fill="E0E0E0"/>
          </w:tcPr>
          <w:p w:rsidR="007D3598" w:rsidRDefault="00F8547B">
            <w:pPr>
              <w:pStyle w:val="Bulletpoint1"/>
              <w:numPr>
                <w:ilvl w:val="0"/>
                <w:numId w:val="0"/>
              </w:numPr>
              <w:spacing w:before="0" w:after="0" w:line="240" w:lineRule="auto"/>
              <w:ind w:left="142"/>
              <w:jc w:val="both"/>
              <w:rPr>
                <w:rFonts w:ascii="Times New Roman" w:hAnsi="Times New Roman"/>
                <w:noProof/>
                <w:lang w:val="en-GB"/>
              </w:rPr>
            </w:pPr>
            <w:r>
              <w:rPr>
                <w:rFonts w:ascii="Times New Roman" w:hAnsi="Times New Roman"/>
                <w:noProof/>
                <w:lang w:val="en-GB"/>
              </w:rPr>
              <w:t xml:space="preserve">In </w:t>
            </w:r>
            <w:r>
              <w:rPr>
                <w:rFonts w:ascii="Times New Roman" w:hAnsi="Times New Roman"/>
                <w:b/>
                <w:noProof/>
                <w:lang w:val="en-GB"/>
              </w:rPr>
              <w:t>Austria</w:t>
            </w:r>
            <w:r>
              <w:rPr>
                <w:rFonts w:ascii="Times New Roman" w:hAnsi="Times New Roman"/>
                <w:noProof/>
                <w:lang w:val="en-GB"/>
              </w:rPr>
              <w:t xml:space="preserve"> a separate unit within the EU department of the Ministry of the Interior (BM.I) was responsible for coordinating all EU funding instruments at the BM.I including the avoidance of potential double-funding. Furthermore, the te</w:t>
            </w:r>
            <w:r>
              <w:rPr>
                <w:rFonts w:ascii="Times New Roman" w:hAnsi="Times New Roman"/>
                <w:noProof/>
                <w:lang w:val="en-GB"/>
              </w:rPr>
              <w:t xml:space="preserve">mplates for project proposals and monitoring and reporting included questions specifically aimed at preventing double-funding. In </w:t>
            </w:r>
            <w:r>
              <w:rPr>
                <w:rFonts w:ascii="Times New Roman" w:hAnsi="Times New Roman"/>
                <w:b/>
                <w:noProof/>
                <w:lang w:val="en-GB"/>
              </w:rPr>
              <w:t>Bulgaria</w:t>
            </w:r>
            <w:r>
              <w:rPr>
                <w:rFonts w:ascii="Times New Roman" w:hAnsi="Times New Roman"/>
                <w:noProof/>
                <w:lang w:val="en-GB"/>
              </w:rPr>
              <w:t xml:space="preserve"> and </w:t>
            </w:r>
            <w:r>
              <w:rPr>
                <w:rFonts w:ascii="Times New Roman" w:hAnsi="Times New Roman"/>
                <w:b/>
                <w:noProof/>
                <w:lang w:val="en-GB"/>
              </w:rPr>
              <w:t>Finland</w:t>
            </w:r>
            <w:r>
              <w:rPr>
                <w:rFonts w:ascii="Times New Roman" w:hAnsi="Times New Roman"/>
                <w:noProof/>
                <w:lang w:val="en-GB"/>
              </w:rPr>
              <w:t xml:space="preserve"> the ISF Monitoring Committee was indicated as responsible for ensuring the coordination between the relevant EU and national financing instruments. During the regular meetings, representatives from the relevant authorities could discuss ISF-BV projects de</w:t>
            </w:r>
            <w:r>
              <w:rPr>
                <w:rFonts w:ascii="Times New Roman" w:hAnsi="Times New Roman"/>
                <w:noProof/>
                <w:lang w:val="en-GB"/>
              </w:rPr>
              <w:t xml:space="preserve">tecting any possible synergies and complementarities with projects financed through national resources. In </w:t>
            </w:r>
            <w:r>
              <w:rPr>
                <w:rFonts w:ascii="Times New Roman" w:hAnsi="Times New Roman"/>
                <w:b/>
                <w:noProof/>
                <w:lang w:val="en-GB"/>
              </w:rPr>
              <w:t>Hungary</w:t>
            </w:r>
            <w:r>
              <w:rPr>
                <w:rFonts w:ascii="Times New Roman" w:hAnsi="Times New Roman"/>
                <w:noProof/>
                <w:lang w:val="en-GB"/>
              </w:rPr>
              <w:t xml:space="preserve"> the Ministry of Interior (MoI) plays a significant role in preventing any overlapping and double financing with the national budget. The MoI </w:t>
            </w:r>
            <w:r>
              <w:rPr>
                <w:rFonts w:ascii="Times New Roman" w:hAnsi="Times New Roman"/>
                <w:noProof/>
                <w:lang w:val="en-GB"/>
              </w:rPr>
              <w:t xml:space="preserve">also leads the Border Control Inter-ministerial Working Group which should ensure the harmonisation of all the developments at the borders which are co-financed by the EU or national funds; In </w:t>
            </w:r>
            <w:r>
              <w:rPr>
                <w:rFonts w:ascii="Times New Roman" w:hAnsi="Times New Roman"/>
                <w:b/>
                <w:noProof/>
                <w:lang w:val="en-GB"/>
              </w:rPr>
              <w:t>Iceland</w:t>
            </w:r>
            <w:r>
              <w:rPr>
                <w:rFonts w:ascii="Times New Roman" w:hAnsi="Times New Roman"/>
                <w:noProof/>
                <w:lang w:val="en-GB"/>
              </w:rPr>
              <w:t xml:space="preserve"> and </w:t>
            </w:r>
            <w:r>
              <w:rPr>
                <w:rFonts w:ascii="Times New Roman" w:hAnsi="Times New Roman"/>
                <w:b/>
                <w:noProof/>
                <w:lang w:val="en-GB"/>
              </w:rPr>
              <w:t>Slovakia</w:t>
            </w:r>
            <w:r>
              <w:rPr>
                <w:rFonts w:ascii="Times New Roman" w:hAnsi="Times New Roman"/>
                <w:noProof/>
                <w:lang w:val="en-GB"/>
              </w:rPr>
              <w:t xml:space="preserve"> the responsible authority is responsible f</w:t>
            </w:r>
            <w:r>
              <w:rPr>
                <w:rFonts w:ascii="Times New Roman" w:hAnsi="Times New Roman"/>
                <w:noProof/>
                <w:lang w:val="en-GB"/>
              </w:rPr>
              <w:t xml:space="preserve">or ensuring complementarity between co-financing from ISF-BV and other sources of funding at national and international level to foster synergies with national investments. In </w:t>
            </w:r>
            <w:r>
              <w:rPr>
                <w:rFonts w:ascii="Times New Roman" w:hAnsi="Times New Roman"/>
                <w:b/>
                <w:noProof/>
                <w:lang w:val="en-GB"/>
              </w:rPr>
              <w:t>Italy</w:t>
            </w:r>
            <w:r>
              <w:rPr>
                <w:rFonts w:ascii="Times New Roman" w:hAnsi="Times New Roman"/>
                <w:noProof/>
                <w:lang w:val="en-GB"/>
              </w:rPr>
              <w:t xml:space="preserve"> a monitoring and evaluation information system (containing the data of ISF</w:t>
            </w:r>
            <w:r>
              <w:rPr>
                <w:rFonts w:ascii="Times New Roman" w:hAnsi="Times New Roman"/>
                <w:noProof/>
                <w:lang w:val="en-GB"/>
              </w:rPr>
              <w:t xml:space="preserve"> and national operational programmes) was used to detect possible duplication of projects from different financial instruments and to generate alerts automatically.</w:t>
            </w:r>
          </w:p>
        </w:tc>
      </w:tr>
    </w:tbl>
    <w:p w:rsidR="007D3598" w:rsidRDefault="007D3598">
      <w:pPr>
        <w:pStyle w:val="Bulletpoint1"/>
        <w:numPr>
          <w:ilvl w:val="0"/>
          <w:numId w:val="0"/>
        </w:numPr>
        <w:spacing w:before="0" w:after="0" w:line="240" w:lineRule="auto"/>
        <w:ind w:left="502" w:hanging="360"/>
        <w:jc w:val="both"/>
        <w:rPr>
          <w:rFonts w:ascii="Times New Roman" w:hAnsi="Times New Roman"/>
          <w:noProof/>
          <w:color w:val="000000"/>
          <w:sz w:val="24"/>
          <w:szCs w:val="24"/>
          <w:lang w:eastAsia="en-GB"/>
        </w:rPr>
      </w:pPr>
      <w:bookmarkStart w:id="883" w:name="_Toc499543647"/>
      <w:bookmarkStart w:id="884" w:name="_Toc499549907"/>
      <w:bookmarkStart w:id="885" w:name="_Toc506393765"/>
      <w:bookmarkStart w:id="886" w:name="_Toc506475219"/>
      <w:bookmarkStart w:id="887" w:name="_Toc506478837"/>
      <w:bookmarkStart w:id="888" w:name="_Toc506479789"/>
      <w:bookmarkStart w:id="889" w:name="_Toc506483927"/>
      <w:bookmarkStart w:id="890" w:name="_Toc506529852"/>
      <w:bookmarkStart w:id="891" w:name="_Toc506531973"/>
      <w:bookmarkEnd w:id="883"/>
      <w:bookmarkEnd w:id="884"/>
    </w:p>
    <w:p w:rsidR="007D3598" w:rsidRDefault="007D3598">
      <w:pPr>
        <w:pStyle w:val="Bulletpoint1"/>
        <w:numPr>
          <w:ilvl w:val="0"/>
          <w:numId w:val="0"/>
        </w:numPr>
        <w:spacing w:before="0" w:after="0" w:line="240" w:lineRule="auto"/>
        <w:jc w:val="both"/>
        <w:rPr>
          <w:rFonts w:ascii="Times New Roman" w:hAnsi="Times New Roman"/>
          <w:noProof/>
          <w:color w:val="000000"/>
          <w:sz w:val="24"/>
          <w:szCs w:val="24"/>
          <w:lang w:eastAsia="en-GB"/>
        </w:rPr>
      </w:pPr>
    </w:p>
    <w:p w:rsidR="007D3598" w:rsidRDefault="00F8547B">
      <w:pPr>
        <w:pStyle w:val="HH2"/>
        <w:spacing w:before="0" w:after="0"/>
        <w:contextualSpacing w:val="0"/>
        <w:rPr>
          <w:noProof/>
        </w:rPr>
      </w:pPr>
      <w:bookmarkStart w:id="892" w:name="_Toc507083612"/>
      <w:bookmarkStart w:id="893" w:name="_Toc508279332"/>
      <w:bookmarkStart w:id="894" w:name="_Toc508369316"/>
      <w:bookmarkStart w:id="895" w:name="_Toc508375527"/>
      <w:bookmarkStart w:id="896" w:name="_Toc508715378"/>
      <w:bookmarkStart w:id="897" w:name="_Toc508975884"/>
      <w:bookmarkStart w:id="898" w:name="_Toc515270149"/>
      <w:r>
        <w:rPr>
          <w:noProof/>
        </w:rPr>
        <w:t>What is the EU added value of ISF-BV so far?</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rsidR="007D3598" w:rsidRDefault="007D3598">
      <w:pPr>
        <w:rPr>
          <w:noProof/>
        </w:rPr>
      </w:pPr>
    </w:p>
    <w:p w:rsidR="007D3598" w:rsidRDefault="00F8547B">
      <w:pPr>
        <w:jc w:val="both"/>
        <w:rPr>
          <w:noProof/>
        </w:rPr>
      </w:pPr>
      <w:r>
        <w:rPr>
          <w:rFonts w:eastAsiaTheme="minorHAnsi"/>
          <w:noProof/>
          <w:szCs w:val="24"/>
          <w:lang w:eastAsia="en-GB"/>
        </w:rPr>
        <mc:AlternateContent>
          <mc:Choice Requires="wps">
            <w:drawing>
              <wp:anchor distT="0" distB="0" distL="114300" distR="114300" simplePos="0" relativeHeight="251666432" behindDoc="0" locked="0" layoutInCell="1" allowOverlap="1" wp14:anchorId="7B0C10BE" wp14:editId="18EB5092">
                <wp:simplePos x="0" y="0"/>
                <wp:positionH relativeFrom="column">
                  <wp:posOffset>3175</wp:posOffset>
                </wp:positionH>
                <wp:positionV relativeFrom="paragraph">
                  <wp:posOffset>699770</wp:posOffset>
                </wp:positionV>
                <wp:extent cx="6090285" cy="1414780"/>
                <wp:effectExtent l="0" t="0" r="24765" b="1397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414780"/>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rPr>
                                <w:rFonts w:ascii="Times New Roman" w:hAnsi="Times New Roman"/>
                                <w:sz w:val="24"/>
                                <w:szCs w:val="24"/>
                              </w:rPr>
                            </w:pPr>
                            <w:r>
                              <w:rPr>
                                <w:rFonts w:ascii="Times New Roman" w:hAnsi="Times New Roman"/>
                                <w:sz w:val="24"/>
                              </w:rPr>
                              <w:t xml:space="preserve">The Fund ensured EU </w:t>
                            </w:r>
                            <w:r>
                              <w:rPr>
                                <w:rFonts w:ascii="Times New Roman" w:hAnsi="Times New Roman"/>
                                <w:sz w:val="24"/>
                              </w:rPr>
                              <w:t>added value through innovative investments in infrastructure and equipment. It supported cooperation between Member States. Training activities enabled by the Fund contributed to harmonising practices between Member States. A higher</w:t>
                            </w:r>
                            <w:r>
                              <w:rPr>
                                <w:rFonts w:ascii="Times New Roman" w:hAnsi="Times New Roman"/>
                                <w:sz w:val="24"/>
                                <w:szCs w:val="24"/>
                              </w:rPr>
                              <w:t xml:space="preserve"> EU added value could ha</w:t>
                            </w:r>
                            <w:r>
                              <w:rPr>
                                <w:rFonts w:ascii="Times New Roman" w:hAnsi="Times New Roman"/>
                                <w:sz w:val="24"/>
                                <w:szCs w:val="24"/>
                              </w:rPr>
                              <w:t>ve been expected in areas of consular cooperation, cooperation with third countries and IT systems.</w:t>
                            </w:r>
                          </w:p>
                          <w:p w:rsidR="007D3598" w:rsidRDefault="007D3598">
                            <w:pPr>
                              <w:pStyle w:val="BulletBoxFindings"/>
                              <w:tabs>
                                <w:tab w:val="clear" w:pos="1492"/>
                              </w:tabs>
                              <w:spacing w:before="0" w:after="0" w:line="240" w:lineRule="auto"/>
                              <w:ind w:left="0" w:firstLine="0"/>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pt;margin-top:55.1pt;width:479.55pt;height:1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" strokecolor="#4f81bd [3204]" strokeweight="1.5pt">
                <v:textbo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rPr>
                          <w:rFonts w:ascii="Times New Roman" w:hAnsi="Times New Roman"/>
                          <w:sz w:val="24"/>
                          <w:szCs w:val="24"/>
                        </w:rPr>
                      </w:pPr>
                      <w:r>
                        <w:rPr>
                          <w:rFonts w:ascii="Times New Roman" w:hAnsi="Times New Roman"/>
                          <w:sz w:val="24"/>
                        </w:rPr>
                        <w:t xml:space="preserve">The Fund ensured EU </w:t>
                      </w:r>
                      <w:r>
                        <w:rPr>
                          <w:rFonts w:ascii="Times New Roman" w:hAnsi="Times New Roman"/>
                          <w:sz w:val="24"/>
                        </w:rPr>
                        <w:t>added value through innovative investments in infrastructure and equipment. It supported cooperation between Member States. Training activities enabled by the Fund contributed to harmonising practices between Member States. A higher</w:t>
                      </w:r>
                      <w:r>
                        <w:rPr>
                          <w:rFonts w:ascii="Times New Roman" w:hAnsi="Times New Roman"/>
                          <w:sz w:val="24"/>
                          <w:szCs w:val="24"/>
                        </w:rPr>
                        <w:t xml:space="preserve"> EU added value could ha</w:t>
                      </w:r>
                      <w:r>
                        <w:rPr>
                          <w:rFonts w:ascii="Times New Roman" w:hAnsi="Times New Roman"/>
                          <w:sz w:val="24"/>
                          <w:szCs w:val="24"/>
                        </w:rPr>
                        <w:t>ve been expected in areas of consular cooperation, cooperation with third countries and IT systems.</w:t>
                      </w:r>
                    </w:p>
                    <w:p w:rsidR="007D3598" w:rsidRDefault="007D3598">
                      <w:pPr>
                        <w:pStyle w:val="BulletBoxFindings"/>
                        <w:tabs>
                          <w:tab w:val="clear" w:pos="1492"/>
                        </w:tabs>
                        <w:spacing w:before="0" w:after="0" w:line="240" w:lineRule="auto"/>
                        <w:ind w:left="0" w:firstLine="0"/>
                      </w:pPr>
                    </w:p>
                  </w:txbxContent>
                </v:textbox>
                <w10:wrap type="topAndBottom"/>
              </v:shape>
            </w:pict>
          </mc:Fallback>
        </mc:AlternateContent>
      </w:r>
      <w:r>
        <w:rPr>
          <w:noProof/>
        </w:rPr>
        <w:t xml:space="preserve">This question aims to assess the value that results from ISF-BV that is additional to the value that could result from interventions which would have been </w:t>
      </w:r>
      <w:r>
        <w:rPr>
          <w:noProof/>
        </w:rPr>
        <w:t>achieved by Member States at national level.</w:t>
      </w:r>
    </w:p>
    <w:p w:rsidR="007D3598" w:rsidRDefault="007D3598">
      <w:pPr>
        <w:jc w:val="both"/>
        <w:rPr>
          <w:i/>
          <w:noProof/>
          <w:szCs w:val="24"/>
        </w:rPr>
      </w:pPr>
    </w:p>
    <w:p w:rsidR="007D3598" w:rsidRDefault="00F8547B">
      <w:pPr>
        <w:pStyle w:val="Body"/>
        <w:spacing w:before="0" w:after="0" w:line="240" w:lineRule="auto"/>
        <w:jc w:val="both"/>
        <w:rPr>
          <w:rFonts w:ascii="Times New Roman" w:hAnsi="Times New Roman"/>
          <w:i/>
          <w:noProof/>
          <w:sz w:val="24"/>
          <w:szCs w:val="24"/>
        </w:rPr>
      </w:pPr>
      <w:r>
        <w:rPr>
          <w:rFonts w:ascii="Times New Roman" w:hAnsi="Times New Roman"/>
          <w:i/>
          <w:noProof/>
          <w:sz w:val="24"/>
          <w:szCs w:val="24"/>
        </w:rPr>
        <w:t>Shared management</w:t>
      </w:r>
    </w:p>
    <w:p w:rsidR="007D3598" w:rsidRDefault="007D3598">
      <w:pPr>
        <w:pStyle w:val="Body"/>
        <w:spacing w:before="0" w:after="0" w:line="240" w:lineRule="auto"/>
        <w:jc w:val="both"/>
        <w:rPr>
          <w:rFonts w:ascii="Times New Roman" w:hAnsi="Times New Roman"/>
          <w:i/>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The interim evaluation collected evidence on the added value of the projects supported by the Fund. Stakeholders</w:t>
      </w:r>
      <w:r>
        <w:rPr>
          <w:rStyle w:val="FootnoteReference"/>
          <w:rFonts w:ascii="Times New Roman" w:hAnsi="Times New Roman"/>
          <w:noProof/>
          <w:szCs w:val="24"/>
        </w:rPr>
        <w:footnoteReference w:id="207"/>
      </w:r>
      <w:r>
        <w:rPr>
          <w:rFonts w:ascii="Times New Roman" w:hAnsi="Times New Roman"/>
          <w:noProof/>
          <w:sz w:val="24"/>
          <w:szCs w:val="24"/>
        </w:rPr>
        <w:t xml:space="preserve"> agree that the Fund has strongly contributed to ensuring a high level of security in the EU, supporting the adoption of a </w:t>
      </w:r>
      <w:r>
        <w:rPr>
          <w:rFonts w:ascii="Times New Roman" w:hAnsi="Times New Roman"/>
          <w:b/>
          <w:noProof/>
          <w:sz w:val="24"/>
          <w:szCs w:val="24"/>
        </w:rPr>
        <w:t>harmonised approach to visa processing</w:t>
      </w:r>
      <w:r>
        <w:rPr>
          <w:rFonts w:ascii="Times New Roman" w:hAnsi="Times New Roman"/>
          <w:noProof/>
          <w:sz w:val="24"/>
          <w:szCs w:val="24"/>
        </w:rPr>
        <w:t xml:space="preserve"> as well as the establishment of IBM. The Fund acts as a catalyst, enabling, supporting, and </w:t>
      </w:r>
      <w:r>
        <w:rPr>
          <w:rFonts w:ascii="Times New Roman" w:hAnsi="Times New Roman"/>
          <w:b/>
          <w:noProof/>
          <w:sz w:val="24"/>
          <w:szCs w:val="24"/>
        </w:rPr>
        <w:t>st</w:t>
      </w:r>
      <w:r>
        <w:rPr>
          <w:rFonts w:ascii="Times New Roman" w:hAnsi="Times New Roman"/>
          <w:b/>
          <w:noProof/>
          <w:sz w:val="24"/>
          <w:szCs w:val="24"/>
        </w:rPr>
        <w:t>imulating innovations</w:t>
      </w:r>
      <w:r>
        <w:rPr>
          <w:rFonts w:ascii="Times New Roman" w:hAnsi="Times New Roman"/>
          <w:noProof/>
          <w:sz w:val="24"/>
          <w:szCs w:val="24"/>
        </w:rPr>
        <w:t xml:space="preserve"> that are taken up at national level, in terms of infrastructure, equipment and systems, new operational techniques, and working methods</w:t>
      </w:r>
      <w:r>
        <w:rPr>
          <w:rStyle w:val="FootnoteReference"/>
          <w:rFonts w:ascii="Times New Roman" w:hAnsi="Times New Roman"/>
          <w:noProof/>
          <w:sz w:val="24"/>
          <w:szCs w:val="24"/>
        </w:rPr>
        <w:footnoteReference w:id="208"/>
      </w:r>
      <w:r>
        <w:rPr>
          <w:rFonts w:ascii="Times New Roman" w:hAnsi="Times New Roman"/>
          <w:noProof/>
          <w:sz w:val="24"/>
          <w:szCs w:val="24"/>
        </w:rPr>
        <w:t>. In this respect, the actions considered as bringing higher EU added value are the ones supportin</w:t>
      </w:r>
      <w:r>
        <w:rPr>
          <w:rFonts w:ascii="Times New Roman" w:hAnsi="Times New Roman"/>
          <w:noProof/>
          <w:sz w:val="24"/>
          <w:szCs w:val="24"/>
        </w:rPr>
        <w:t>g the national capacity, both in the areas of visa and borders</w:t>
      </w:r>
      <w:r>
        <w:rPr>
          <w:rStyle w:val="FootnoteReference"/>
          <w:rFonts w:ascii="Times New Roman" w:hAnsi="Times New Roman"/>
          <w:noProof/>
          <w:sz w:val="24"/>
          <w:szCs w:val="24"/>
        </w:rPr>
        <w:footnoteReference w:id="209"/>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The uniform deployment of up-to-date </w:t>
      </w:r>
      <w:r>
        <w:rPr>
          <w:rFonts w:ascii="Times New Roman" w:hAnsi="Times New Roman"/>
          <w:b/>
          <w:noProof/>
          <w:sz w:val="24"/>
          <w:szCs w:val="24"/>
        </w:rPr>
        <w:t>IT systems</w:t>
      </w:r>
      <w:r>
        <w:rPr>
          <w:rFonts w:ascii="Times New Roman" w:hAnsi="Times New Roman"/>
          <w:noProof/>
          <w:sz w:val="24"/>
          <w:szCs w:val="24"/>
        </w:rPr>
        <w:t xml:space="preserve"> by all Member States appears to be key to fully achieving a common visa policy and IBM. Since large-scale IT systems need huge investments, it</w:t>
      </w:r>
      <w:r>
        <w:rPr>
          <w:rFonts w:ascii="Times New Roman" w:hAnsi="Times New Roman"/>
          <w:noProof/>
          <w:sz w:val="24"/>
          <w:szCs w:val="24"/>
        </w:rPr>
        <w:t xml:space="preserve"> is likely that, without an EU intervention, national IT systems would have continued to be diverse, thus affecting the EU’s capacity to achieve the overall objectives in the border and visa policy field. In this view, the Fund added value to national effo</w:t>
      </w:r>
      <w:r>
        <w:rPr>
          <w:rFonts w:ascii="Times New Roman" w:hAnsi="Times New Roman"/>
          <w:noProof/>
          <w:sz w:val="24"/>
          <w:szCs w:val="24"/>
        </w:rPr>
        <w:t>rts by allocating some resources specifically for this purpose and by pushing all Member States in implementing similar systems in line with EU standards, thus easing the exchange of information and increasing the EU’s security levels. In the field of visa</w:t>
      </w:r>
      <w:r>
        <w:rPr>
          <w:rFonts w:ascii="Times New Roman" w:hAnsi="Times New Roman"/>
          <w:noProof/>
          <w:sz w:val="24"/>
          <w:szCs w:val="24"/>
        </w:rPr>
        <w:t>, the use of new technologies added value in terms of efficiency in processing visas, improving the exchange of data and information within and between Member States</w:t>
      </w:r>
      <w:r>
        <w:rPr>
          <w:rStyle w:val="FootnoteReference"/>
          <w:rFonts w:ascii="Times New Roman" w:hAnsi="Times New Roman"/>
          <w:noProof/>
          <w:sz w:val="24"/>
          <w:szCs w:val="24"/>
        </w:rPr>
        <w:footnoteReference w:id="210"/>
      </w:r>
      <w:r>
        <w:rPr>
          <w:rFonts w:ascii="Times New Roman" w:hAnsi="Times New Roman"/>
          <w:noProof/>
          <w:sz w:val="24"/>
          <w:szCs w:val="24"/>
        </w:rPr>
        <w:t>. In the field of borders, the EU added value resulted in interoperable modern technologie</w:t>
      </w:r>
      <w:r>
        <w:rPr>
          <w:rFonts w:ascii="Times New Roman" w:hAnsi="Times New Roman"/>
          <w:noProof/>
          <w:sz w:val="24"/>
          <w:szCs w:val="24"/>
        </w:rPr>
        <w:t>s being developed, which improved the efficiency and speed of the Schengen Information System and Visa Information System. This promoted interconnection with the Schengen partners, which contributed to strengthening border checks and monitoring</w:t>
      </w:r>
      <w:r>
        <w:rPr>
          <w:rStyle w:val="FootnoteReference"/>
          <w:rFonts w:ascii="Times New Roman" w:hAnsi="Times New Roman"/>
          <w:noProof/>
          <w:sz w:val="24"/>
          <w:szCs w:val="24"/>
        </w:rPr>
        <w:footnoteReference w:id="211"/>
      </w:r>
      <w:r>
        <w:rPr>
          <w:rFonts w:ascii="Times New Roman" w:hAnsi="Times New Roman"/>
          <w:noProof/>
          <w:sz w:val="24"/>
          <w:szCs w:val="24"/>
        </w:rPr>
        <w:t>. Actions r</w:t>
      </w:r>
      <w:r>
        <w:rPr>
          <w:rFonts w:ascii="Times New Roman" w:hAnsi="Times New Roman"/>
          <w:noProof/>
          <w:sz w:val="24"/>
          <w:szCs w:val="24"/>
        </w:rPr>
        <w:t xml:space="preserve">elated to IT systems were usually complemented by actions funded by the </w:t>
      </w:r>
      <w:r>
        <w:rPr>
          <w:rFonts w:ascii="Times New Roman" w:hAnsi="Times New Roman"/>
          <w:b/>
          <w:noProof/>
          <w:sz w:val="24"/>
          <w:szCs w:val="24"/>
        </w:rPr>
        <w:t>operating support</w:t>
      </w:r>
      <w:r>
        <w:rPr>
          <w:rStyle w:val="FootnoteReference"/>
          <w:rFonts w:ascii="Times New Roman" w:hAnsi="Times New Roman"/>
          <w:noProof/>
          <w:sz w:val="24"/>
          <w:szCs w:val="24"/>
        </w:rPr>
        <w:footnoteReference w:id="212"/>
      </w:r>
      <w:r>
        <w:rPr>
          <w:rFonts w:ascii="Times New Roman" w:hAnsi="Times New Roman"/>
          <w:noProof/>
          <w:sz w:val="24"/>
          <w:szCs w:val="24"/>
        </w:rPr>
        <w:t>, which focused on the upgrading, developing and maintaining ITC equipment used to support both visa issuing and border management</w:t>
      </w:r>
      <w:r>
        <w:rPr>
          <w:rStyle w:val="FootnoteReference"/>
          <w:rFonts w:ascii="Times New Roman" w:hAnsi="Times New Roman"/>
          <w:noProof/>
          <w:sz w:val="24"/>
          <w:szCs w:val="24"/>
        </w:rPr>
        <w:footnoteReference w:id="213"/>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Moreover, the Fund contributed t</w:t>
      </w:r>
      <w:r>
        <w:rPr>
          <w:rFonts w:ascii="Times New Roman" w:hAnsi="Times New Roman"/>
          <w:noProof/>
          <w:sz w:val="24"/>
          <w:szCs w:val="24"/>
        </w:rPr>
        <w:t xml:space="preserve">o improved </w:t>
      </w:r>
      <w:r>
        <w:rPr>
          <w:rFonts w:ascii="Times New Roman" w:hAnsi="Times New Roman"/>
          <w:b/>
          <w:noProof/>
          <w:sz w:val="24"/>
          <w:szCs w:val="24"/>
        </w:rPr>
        <w:t>cooperation among the different actors</w:t>
      </w:r>
      <w:r>
        <w:rPr>
          <w:rFonts w:ascii="Times New Roman" w:hAnsi="Times New Roman"/>
          <w:noProof/>
          <w:sz w:val="24"/>
          <w:szCs w:val="24"/>
        </w:rPr>
        <w:t xml:space="preserve"> involved at different levels (EU, national, projects level), therefore enabling the strengthening of Member States capacities and users awareness as well as the improvement of the quality of services</w:t>
      </w:r>
      <w:r>
        <w:rPr>
          <w:rStyle w:val="FootnoteReference"/>
          <w:rFonts w:ascii="Times New Roman" w:hAnsi="Times New Roman"/>
          <w:noProof/>
          <w:sz w:val="24"/>
          <w:szCs w:val="24"/>
        </w:rPr>
        <w:footnoteReference w:id="214"/>
      </w:r>
      <w:r>
        <w:rPr>
          <w:rFonts w:ascii="Times New Roman" w:hAnsi="Times New Roman"/>
          <w:noProof/>
          <w:sz w:val="24"/>
          <w:szCs w:val="24"/>
        </w:rPr>
        <w:t>. In l</w:t>
      </w:r>
      <w:r>
        <w:rPr>
          <w:rFonts w:ascii="Times New Roman" w:hAnsi="Times New Roman"/>
          <w:noProof/>
          <w:sz w:val="24"/>
          <w:szCs w:val="24"/>
        </w:rPr>
        <w:t>ight of this, stakeholders found that consular cooperation brings EU added value</w:t>
      </w:r>
      <w:r>
        <w:rPr>
          <w:rStyle w:val="FootnoteReference"/>
          <w:rFonts w:ascii="Times New Roman" w:hAnsi="Times New Roman"/>
          <w:noProof/>
          <w:sz w:val="24"/>
          <w:szCs w:val="24"/>
        </w:rPr>
        <w:footnoteReference w:id="215"/>
      </w:r>
      <w:r>
        <w:rPr>
          <w:rFonts w:ascii="Times New Roman" w:hAnsi="Times New Roman"/>
          <w:noProof/>
          <w:sz w:val="24"/>
          <w:szCs w:val="24"/>
        </w:rPr>
        <w:t>, by:</w:t>
      </w:r>
    </w:p>
    <w:p w:rsidR="007D3598" w:rsidRDefault="00F8547B">
      <w:pPr>
        <w:pStyle w:val="Body"/>
        <w:numPr>
          <w:ilvl w:val="0"/>
          <w:numId w:val="103"/>
        </w:numPr>
        <w:spacing w:before="0" w:after="0" w:line="240" w:lineRule="auto"/>
        <w:jc w:val="both"/>
        <w:rPr>
          <w:rFonts w:ascii="Times New Roman" w:hAnsi="Times New Roman"/>
          <w:noProof/>
          <w:sz w:val="24"/>
          <w:szCs w:val="24"/>
        </w:rPr>
      </w:pPr>
      <w:r>
        <w:rPr>
          <w:rFonts w:ascii="Times New Roman" w:hAnsi="Times New Roman"/>
          <w:noProof/>
          <w:sz w:val="24"/>
          <w:szCs w:val="24"/>
        </w:rPr>
        <w:t>setting up and developing common application centres;</w:t>
      </w:r>
    </w:p>
    <w:p w:rsidR="007D3598" w:rsidRDefault="00F8547B">
      <w:pPr>
        <w:pStyle w:val="Body"/>
        <w:numPr>
          <w:ilvl w:val="0"/>
          <w:numId w:val="103"/>
        </w:numPr>
        <w:spacing w:before="0" w:after="0" w:line="240" w:lineRule="auto"/>
        <w:jc w:val="both"/>
        <w:rPr>
          <w:rFonts w:ascii="Times New Roman" w:hAnsi="Times New Roman"/>
          <w:noProof/>
          <w:sz w:val="24"/>
          <w:szCs w:val="24"/>
        </w:rPr>
      </w:pPr>
      <w:r>
        <w:rPr>
          <w:rFonts w:ascii="Times New Roman" w:hAnsi="Times New Roman"/>
          <w:noProof/>
          <w:sz w:val="24"/>
          <w:szCs w:val="24"/>
        </w:rPr>
        <w:t>purchasing equipment for consular offices including hardware equipment for the functioning of national Visa Informa</w:t>
      </w:r>
      <w:r>
        <w:rPr>
          <w:rFonts w:ascii="Times New Roman" w:hAnsi="Times New Roman"/>
          <w:noProof/>
          <w:sz w:val="24"/>
          <w:szCs w:val="24"/>
        </w:rPr>
        <w:t>tion System and its connection to central Visa Information System;</w:t>
      </w:r>
    </w:p>
    <w:p w:rsidR="007D3598" w:rsidRDefault="00F8547B">
      <w:pPr>
        <w:pStyle w:val="Body"/>
        <w:numPr>
          <w:ilvl w:val="0"/>
          <w:numId w:val="103"/>
        </w:numPr>
        <w:spacing w:before="0" w:after="0" w:line="240" w:lineRule="auto"/>
        <w:jc w:val="both"/>
        <w:rPr>
          <w:rFonts w:ascii="Times New Roman" w:hAnsi="Times New Roman"/>
          <w:noProof/>
          <w:sz w:val="24"/>
          <w:szCs w:val="24"/>
        </w:rPr>
      </w:pPr>
      <w:r>
        <w:rPr>
          <w:rFonts w:ascii="Times New Roman" w:hAnsi="Times New Roman"/>
          <w:noProof/>
          <w:sz w:val="24"/>
          <w:szCs w:val="24"/>
        </w:rPr>
        <w:t>repairing/refurbishing consular offices;</w:t>
      </w:r>
    </w:p>
    <w:p w:rsidR="007D3598" w:rsidRDefault="00F8547B">
      <w:pPr>
        <w:pStyle w:val="Body"/>
        <w:numPr>
          <w:ilvl w:val="0"/>
          <w:numId w:val="103"/>
        </w:numPr>
        <w:spacing w:before="0" w:after="0" w:line="240" w:lineRule="auto"/>
        <w:jc w:val="both"/>
        <w:rPr>
          <w:rFonts w:ascii="Times New Roman" w:hAnsi="Times New Roman"/>
          <w:noProof/>
          <w:sz w:val="24"/>
          <w:szCs w:val="24"/>
        </w:rPr>
      </w:pPr>
      <w:r>
        <w:rPr>
          <w:rFonts w:ascii="Times New Roman" w:hAnsi="Times New Roman"/>
          <w:noProof/>
          <w:sz w:val="24"/>
          <w:szCs w:val="24"/>
        </w:rPr>
        <w:t>deploying consular officers; and</w:t>
      </w:r>
    </w:p>
    <w:p w:rsidR="007D3598" w:rsidRDefault="00F8547B">
      <w:pPr>
        <w:pStyle w:val="Body"/>
        <w:numPr>
          <w:ilvl w:val="0"/>
          <w:numId w:val="103"/>
        </w:numPr>
        <w:spacing w:before="0" w:after="0" w:line="240" w:lineRule="auto"/>
        <w:jc w:val="both"/>
        <w:rPr>
          <w:rFonts w:ascii="Times New Roman" w:hAnsi="Times New Roman"/>
          <w:noProof/>
          <w:sz w:val="24"/>
          <w:szCs w:val="24"/>
        </w:rPr>
      </w:pPr>
      <w:r>
        <w:rPr>
          <w:rFonts w:ascii="Times New Roman" w:hAnsi="Times New Roman"/>
          <w:noProof/>
          <w:sz w:val="24"/>
          <w:szCs w:val="24"/>
        </w:rPr>
        <w:t>implementing technological infrastructure.</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The Fund has also strengthened information sharing and collaboration </w:t>
      </w:r>
      <w:r>
        <w:rPr>
          <w:rFonts w:ascii="Times New Roman" w:hAnsi="Times New Roman"/>
          <w:noProof/>
          <w:sz w:val="24"/>
          <w:szCs w:val="24"/>
        </w:rPr>
        <w:t>mechanisms. It has also enabled synergies on security issues between Member States</w:t>
      </w:r>
      <w:r>
        <w:rPr>
          <w:rStyle w:val="FootnoteReference"/>
          <w:rFonts w:ascii="Times New Roman" w:hAnsi="Times New Roman"/>
          <w:noProof/>
          <w:sz w:val="24"/>
          <w:szCs w:val="24"/>
        </w:rPr>
        <w:footnoteReference w:id="216"/>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lang w:eastAsia="it-IT"/>
        </w:rPr>
      </w:pPr>
      <w:r>
        <w:rPr>
          <w:rFonts w:ascii="Times New Roman" w:hAnsi="Times New Roman"/>
          <w:noProof/>
          <w:sz w:val="24"/>
          <w:szCs w:val="24"/>
        </w:rPr>
        <w:t>According to some Member States</w:t>
      </w:r>
      <w:r>
        <w:rPr>
          <w:rStyle w:val="FootnoteReference"/>
          <w:rFonts w:ascii="Times New Roman" w:hAnsi="Times New Roman"/>
          <w:noProof/>
          <w:sz w:val="24"/>
          <w:szCs w:val="24"/>
        </w:rPr>
        <w:footnoteReference w:id="217"/>
      </w:r>
      <w:r>
        <w:rPr>
          <w:rFonts w:ascii="Times New Roman" w:hAnsi="Times New Roman"/>
          <w:noProof/>
          <w:sz w:val="24"/>
          <w:szCs w:val="24"/>
        </w:rPr>
        <w:t xml:space="preserve">, EU added value was related to the Fund’s capacity to strengthen </w:t>
      </w:r>
      <w:r>
        <w:rPr>
          <w:rFonts w:ascii="Times New Roman" w:hAnsi="Times New Roman"/>
          <w:b/>
          <w:noProof/>
          <w:sz w:val="24"/>
          <w:szCs w:val="24"/>
        </w:rPr>
        <w:t>solidarity and responsibility</w:t>
      </w:r>
      <w:r>
        <w:rPr>
          <w:rFonts w:ascii="Times New Roman" w:hAnsi="Times New Roman"/>
          <w:noProof/>
          <w:sz w:val="24"/>
          <w:szCs w:val="24"/>
        </w:rPr>
        <w:t>, by boosting cooperation under EUROSUR and</w:t>
      </w:r>
      <w:r>
        <w:rPr>
          <w:rFonts w:ascii="Times New Roman" w:hAnsi="Times New Roman"/>
          <w:noProof/>
          <w:sz w:val="24"/>
          <w:szCs w:val="24"/>
        </w:rPr>
        <w:t xml:space="preserve"> with Frontex.</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From a financial perspective, the Fund enabled projects with a </w:t>
      </w:r>
      <w:r>
        <w:rPr>
          <w:rFonts w:ascii="Times New Roman" w:hAnsi="Times New Roman"/>
          <w:b/>
          <w:noProof/>
          <w:sz w:val="24"/>
          <w:szCs w:val="24"/>
        </w:rPr>
        <w:t>high volume of investments</w:t>
      </w:r>
      <w:r>
        <w:rPr>
          <w:rFonts w:ascii="Times New Roman" w:hAnsi="Times New Roman"/>
          <w:noProof/>
          <w:sz w:val="24"/>
          <w:szCs w:val="24"/>
        </w:rPr>
        <w:t xml:space="preserve"> to be implemented that would have not been possible under national budgets. Without the support of ISF-BV (i) the scope of actions would have not been the same, (ii) the quality could have been compromised given the high standards required for EU-funded p</w:t>
      </w:r>
      <w:r>
        <w:rPr>
          <w:rFonts w:ascii="Times New Roman" w:hAnsi="Times New Roman"/>
          <w:noProof/>
          <w:sz w:val="24"/>
          <w:szCs w:val="24"/>
        </w:rPr>
        <w:t>rojects, and (iii) there could potentially have been implementation delays and the loss of knowledgeable staff</w:t>
      </w:r>
      <w:r>
        <w:rPr>
          <w:rStyle w:val="FootnoteReference"/>
          <w:rFonts w:ascii="Times New Roman" w:hAnsi="Times New Roman"/>
          <w:noProof/>
          <w:sz w:val="24"/>
          <w:szCs w:val="24"/>
        </w:rPr>
        <w:footnoteReference w:id="218"/>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What is more, </w:t>
      </w:r>
      <w:r>
        <w:rPr>
          <w:rFonts w:ascii="Times New Roman" w:hAnsi="Times New Roman"/>
          <w:b/>
          <w:noProof/>
          <w:sz w:val="24"/>
          <w:szCs w:val="24"/>
        </w:rPr>
        <w:t>training activities</w:t>
      </w:r>
      <w:r>
        <w:rPr>
          <w:rFonts w:ascii="Times New Roman" w:hAnsi="Times New Roman"/>
          <w:noProof/>
          <w:sz w:val="24"/>
          <w:szCs w:val="24"/>
        </w:rPr>
        <w:t xml:space="preserve"> brought EU added value since it enabled practices to be harmonised across the Member States. Concerning the </w:t>
      </w:r>
      <w:r>
        <w:rPr>
          <w:rFonts w:ascii="Times New Roman" w:hAnsi="Times New Roman"/>
          <w:noProof/>
          <w:sz w:val="24"/>
          <w:szCs w:val="24"/>
        </w:rPr>
        <w:t xml:space="preserve">field of visa, the training of personnel was aimed at supporting the implementation of the common visa policy and the correct and uniform application of the Schengen </w:t>
      </w:r>
      <w:r>
        <w:rPr>
          <w:rFonts w:ascii="Times New Roman" w:hAnsi="Times New Roman"/>
          <w:i/>
          <w:noProof/>
          <w:sz w:val="24"/>
          <w:szCs w:val="24"/>
        </w:rPr>
        <w:t>acquis</w:t>
      </w:r>
      <w:r>
        <w:rPr>
          <w:rStyle w:val="FootnoteReference"/>
          <w:rFonts w:ascii="Times New Roman" w:hAnsi="Times New Roman"/>
          <w:noProof/>
          <w:sz w:val="24"/>
          <w:szCs w:val="24"/>
        </w:rPr>
        <w:footnoteReference w:id="219"/>
      </w:r>
      <w:r>
        <w:rPr>
          <w:rFonts w:ascii="Times New Roman" w:hAnsi="Times New Roman"/>
          <w:noProof/>
          <w:sz w:val="24"/>
          <w:szCs w:val="24"/>
        </w:rPr>
        <w:t>. Concerning the management of external borders, the training aimed to facilitate t</w:t>
      </w:r>
      <w:r>
        <w:rPr>
          <w:rFonts w:ascii="Times New Roman" w:hAnsi="Times New Roman"/>
          <w:noProof/>
          <w:sz w:val="24"/>
          <w:szCs w:val="24"/>
        </w:rPr>
        <w:t>he sharing of information and best practices for border control to improve the effectiveness of the border checks</w:t>
      </w:r>
      <w:r>
        <w:rPr>
          <w:rStyle w:val="FootnoteReference"/>
          <w:rFonts w:ascii="Times New Roman" w:hAnsi="Times New Roman"/>
          <w:noProof/>
          <w:sz w:val="24"/>
          <w:szCs w:val="24"/>
        </w:rPr>
        <w:footnoteReference w:id="220"/>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i/>
          <w:noProof/>
          <w:sz w:val="24"/>
          <w:szCs w:val="24"/>
        </w:rPr>
      </w:pPr>
    </w:p>
    <w:p w:rsidR="007D3598" w:rsidRDefault="00F8547B">
      <w:pPr>
        <w:pStyle w:val="Body"/>
        <w:spacing w:before="0" w:after="0" w:line="240" w:lineRule="auto"/>
        <w:jc w:val="both"/>
        <w:rPr>
          <w:rFonts w:ascii="Times New Roman" w:hAnsi="Times New Roman"/>
          <w:noProof/>
          <w:sz w:val="24"/>
          <w:szCs w:val="24"/>
          <w:lang w:eastAsia="it-IT"/>
        </w:rPr>
      </w:pPr>
      <w:r>
        <w:rPr>
          <w:rFonts w:ascii="Times New Roman" w:hAnsi="Times New Roman"/>
          <w:noProof/>
          <w:sz w:val="24"/>
          <w:szCs w:val="24"/>
        </w:rPr>
        <w:t>To conclude, it is worth mentioning some areas where a higher EU added value might be expected in light of the Fund’s objectives and relate</w:t>
      </w:r>
      <w:r>
        <w:rPr>
          <w:rFonts w:ascii="Times New Roman" w:hAnsi="Times New Roman"/>
          <w:noProof/>
          <w:sz w:val="24"/>
          <w:szCs w:val="24"/>
        </w:rPr>
        <w:t xml:space="preserve">d EU commitment. In particular, </w:t>
      </w:r>
      <w:r>
        <w:rPr>
          <w:rFonts w:ascii="Times New Roman" w:hAnsi="Times New Roman"/>
          <w:b/>
          <w:noProof/>
          <w:sz w:val="24"/>
          <w:szCs w:val="24"/>
        </w:rPr>
        <w:t>consular cooperation</w:t>
      </w:r>
      <w:r>
        <w:rPr>
          <w:rFonts w:ascii="Times New Roman" w:hAnsi="Times New Roman"/>
          <w:noProof/>
          <w:sz w:val="24"/>
          <w:szCs w:val="24"/>
        </w:rPr>
        <w:t xml:space="preserve"> represents the second national objective in terms of EU commitment (10 %, with a total amount of EUR 14.8 million). However, Member States included few consular cooperation activities in their national p</w:t>
      </w:r>
      <w:r>
        <w:rPr>
          <w:rFonts w:ascii="Times New Roman" w:hAnsi="Times New Roman"/>
          <w:noProof/>
          <w:sz w:val="24"/>
          <w:szCs w:val="24"/>
        </w:rPr>
        <w:t xml:space="preserve">rogrammes, showing a low interest towards this objective. Similar considerations apply to </w:t>
      </w:r>
      <w:r>
        <w:rPr>
          <w:rFonts w:ascii="Times New Roman" w:hAnsi="Times New Roman"/>
          <w:b/>
          <w:noProof/>
          <w:sz w:val="24"/>
          <w:szCs w:val="24"/>
        </w:rPr>
        <w:t>Member States cooperation with third countries</w:t>
      </w:r>
      <w:r>
        <w:rPr>
          <w:rFonts w:ascii="Times New Roman" w:hAnsi="Times New Roman"/>
          <w:noProof/>
          <w:sz w:val="24"/>
          <w:szCs w:val="24"/>
        </w:rPr>
        <w:t>, as only a few Member States</w:t>
      </w:r>
      <w:r>
        <w:rPr>
          <w:rStyle w:val="FootnoteReference"/>
          <w:rFonts w:ascii="Times New Roman" w:hAnsi="Times New Roman"/>
          <w:noProof/>
          <w:sz w:val="24"/>
          <w:szCs w:val="24"/>
        </w:rPr>
        <w:footnoteReference w:id="221"/>
      </w:r>
      <w:r>
        <w:rPr>
          <w:rFonts w:ascii="Times New Roman" w:hAnsi="Times New Roman"/>
          <w:noProof/>
          <w:sz w:val="24"/>
          <w:szCs w:val="24"/>
        </w:rPr>
        <w:t xml:space="preserve"> implemented actions pursuing this objective and most stakeholders considered the Fund’s c</w:t>
      </w:r>
      <w:r>
        <w:rPr>
          <w:rFonts w:ascii="Times New Roman" w:hAnsi="Times New Roman"/>
          <w:noProof/>
          <w:sz w:val="24"/>
          <w:szCs w:val="24"/>
        </w:rPr>
        <w:t xml:space="preserve">ontribution quite limited. Finally, despite the results achieved in terms of setting up and running </w:t>
      </w:r>
      <w:r>
        <w:rPr>
          <w:rFonts w:ascii="Times New Roman" w:hAnsi="Times New Roman"/>
          <w:b/>
          <w:noProof/>
          <w:sz w:val="24"/>
          <w:szCs w:val="24"/>
        </w:rPr>
        <w:t>IT systems</w:t>
      </w:r>
      <w:r>
        <w:rPr>
          <w:rFonts w:ascii="Times New Roman" w:hAnsi="Times New Roman"/>
          <w:noProof/>
          <w:sz w:val="24"/>
          <w:szCs w:val="24"/>
        </w:rPr>
        <w:t>, some Member States</w:t>
      </w:r>
      <w:r>
        <w:rPr>
          <w:rStyle w:val="FootnoteReference"/>
          <w:rFonts w:ascii="Times New Roman" w:hAnsi="Times New Roman"/>
          <w:noProof/>
          <w:color w:val="000000"/>
          <w:sz w:val="24"/>
          <w:szCs w:val="24"/>
          <w:lang w:eastAsia="en-GB"/>
        </w:rPr>
        <w:footnoteReference w:id="222"/>
      </w:r>
      <w:r>
        <w:rPr>
          <w:rFonts w:ascii="Times New Roman" w:hAnsi="Times New Roman"/>
          <w:noProof/>
          <w:sz w:val="24"/>
          <w:szCs w:val="24"/>
        </w:rPr>
        <w:t xml:space="preserve"> reported that better results would be achieved if the EU financing was higher. Additional EU resources would have ensured be</w:t>
      </w:r>
      <w:r>
        <w:rPr>
          <w:rFonts w:ascii="Times New Roman" w:hAnsi="Times New Roman"/>
          <w:noProof/>
          <w:sz w:val="24"/>
          <w:szCs w:val="24"/>
        </w:rPr>
        <w:t>tter IT systems development</w:t>
      </w:r>
      <w:r>
        <w:rPr>
          <w:rFonts w:ascii="Times New Roman" w:hAnsi="Times New Roman"/>
          <w:noProof/>
          <w:sz w:val="24"/>
          <w:szCs w:val="24"/>
          <w:lang w:eastAsia="en-GB"/>
        </w:rPr>
        <w:t xml:space="preserve"> as well as systems interoperability.</w:t>
      </w:r>
    </w:p>
    <w:p w:rsidR="007D3598" w:rsidRDefault="007D3598">
      <w:pPr>
        <w:pStyle w:val="Body"/>
        <w:spacing w:before="0" w:after="0" w:line="240" w:lineRule="auto"/>
        <w:jc w:val="both"/>
        <w:rPr>
          <w:rFonts w:ascii="Times New Roman" w:hAnsi="Times New Roman"/>
          <w:i/>
          <w:noProof/>
          <w:sz w:val="24"/>
          <w:szCs w:val="24"/>
        </w:rPr>
      </w:pPr>
    </w:p>
    <w:p w:rsidR="007D3598" w:rsidRDefault="00F8547B">
      <w:pPr>
        <w:pStyle w:val="Body"/>
        <w:spacing w:before="0" w:after="0" w:line="240" w:lineRule="auto"/>
        <w:jc w:val="both"/>
        <w:rPr>
          <w:rFonts w:ascii="Times New Roman" w:hAnsi="Times New Roman"/>
          <w:i/>
          <w:noProof/>
          <w:sz w:val="24"/>
          <w:szCs w:val="24"/>
        </w:rPr>
      </w:pPr>
      <w:r>
        <w:rPr>
          <w:rFonts w:ascii="Times New Roman" w:hAnsi="Times New Roman"/>
          <w:i/>
          <w:noProof/>
          <w:sz w:val="24"/>
          <w:szCs w:val="24"/>
        </w:rPr>
        <w:t>Direct management</w:t>
      </w:r>
    </w:p>
    <w:p w:rsidR="007D3598" w:rsidRDefault="007D3598">
      <w:pPr>
        <w:pStyle w:val="Body"/>
        <w:spacing w:before="0" w:after="0" w:line="240" w:lineRule="auto"/>
        <w:jc w:val="both"/>
        <w:rPr>
          <w:rFonts w:ascii="Times New Roman" w:hAnsi="Times New Roman"/>
          <w:i/>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The analysis of data showed that, without the resources provided by the Fund under EMAS, </w:t>
      </w:r>
      <w:r>
        <w:rPr>
          <w:rFonts w:ascii="Times New Roman" w:hAnsi="Times New Roman"/>
          <w:b/>
          <w:noProof/>
          <w:sz w:val="24"/>
          <w:szCs w:val="24"/>
        </w:rPr>
        <w:t>the use of national funding only would have resulted in a more difficult and small</w:t>
      </w:r>
      <w:r>
        <w:rPr>
          <w:rFonts w:ascii="Times New Roman" w:hAnsi="Times New Roman"/>
          <w:b/>
          <w:noProof/>
          <w:sz w:val="24"/>
          <w:szCs w:val="24"/>
        </w:rPr>
        <w:t>er scale implementation of actions with a lower impact overall</w:t>
      </w:r>
      <w:r>
        <w:rPr>
          <w:rFonts w:ascii="Times New Roman" w:hAnsi="Times New Roman"/>
          <w:noProof/>
          <w:sz w:val="24"/>
          <w:szCs w:val="24"/>
        </w:rPr>
        <w:t>. EU added value of EMAS can be seen in innovative solutions proposed</w:t>
      </w:r>
      <w:r>
        <w:rPr>
          <w:rStyle w:val="FootnoteReference"/>
          <w:rFonts w:ascii="Times New Roman" w:hAnsi="Times New Roman"/>
          <w:noProof/>
          <w:sz w:val="24"/>
          <w:szCs w:val="24"/>
          <w:lang w:eastAsia="nl-BE"/>
        </w:rPr>
        <w:footnoteReference w:id="223"/>
      </w:r>
      <w:r>
        <w:rPr>
          <w:rFonts w:ascii="Times New Roman" w:hAnsi="Times New Roman"/>
          <w:noProof/>
          <w:sz w:val="24"/>
          <w:szCs w:val="24"/>
        </w:rPr>
        <w:t>,</w:t>
      </w:r>
      <w:r>
        <w:rPr>
          <w:rFonts w:ascii="Times New Roman" w:hAnsi="Times New Roman"/>
          <w:noProof/>
          <w:sz w:val="24"/>
          <w:szCs w:val="24"/>
          <w:lang w:eastAsia="nl-BE"/>
        </w:rPr>
        <w:t xml:space="preserve"> and the effective, timely, and efficient handling of migration flows, the crisis, and emerging needs. The EMAS measures ha</w:t>
      </w:r>
      <w:r>
        <w:rPr>
          <w:rFonts w:ascii="Times New Roman" w:hAnsi="Times New Roman"/>
          <w:noProof/>
          <w:sz w:val="24"/>
          <w:szCs w:val="24"/>
          <w:lang w:eastAsia="nl-BE"/>
        </w:rPr>
        <w:t>ve contributed to (i) a closer cooperation and collaboration across Member States, (ii) improved coordination of relevant stakeholders at local and national level and (iii) i</w:t>
      </w:r>
      <w:r>
        <w:rPr>
          <w:rFonts w:ascii="Times New Roman" w:hAnsi="Times New Roman"/>
          <w:noProof/>
          <w:sz w:val="24"/>
          <w:szCs w:val="24"/>
        </w:rPr>
        <w:t>mproved synergies between public institutions and the private sector.</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As for the </w:t>
      </w:r>
      <w:r>
        <w:rPr>
          <w:rFonts w:ascii="Times New Roman" w:hAnsi="Times New Roman"/>
          <w:noProof/>
          <w:sz w:val="24"/>
          <w:szCs w:val="24"/>
        </w:rPr>
        <w:t>few action grants awarded under UAs, their implementation is at a very early stage. Therefore no conclusions can be drawn for the interim evaluation.</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i/>
          <w:noProof/>
          <w:sz w:val="24"/>
          <w:szCs w:val="24"/>
        </w:rPr>
      </w:pPr>
      <w:r>
        <w:rPr>
          <w:rFonts w:ascii="Times New Roman" w:hAnsi="Times New Roman"/>
          <w:i/>
          <w:noProof/>
          <w:sz w:val="24"/>
          <w:szCs w:val="24"/>
        </w:rPr>
        <w:t>Indirect management</w:t>
      </w:r>
    </w:p>
    <w:p w:rsidR="007D3598" w:rsidRDefault="007D3598">
      <w:pPr>
        <w:pStyle w:val="Body"/>
        <w:spacing w:before="0" w:after="0" w:line="240" w:lineRule="auto"/>
        <w:jc w:val="both"/>
        <w:rPr>
          <w:rFonts w:ascii="Times New Roman" w:hAnsi="Times New Roman"/>
          <w:i/>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 xml:space="preserve">The Fund allocated some resources to specific bodies and institutions which allowed </w:t>
      </w:r>
      <w:r>
        <w:rPr>
          <w:rFonts w:ascii="Times New Roman" w:hAnsi="Times New Roman"/>
          <w:noProof/>
          <w:sz w:val="24"/>
          <w:szCs w:val="24"/>
        </w:rPr>
        <w:t xml:space="preserve">them to extend the scope of their activities by complementing Commission and national actions requiring a high level of expertise and knowledge. This mechanism provided </w:t>
      </w:r>
      <w:r>
        <w:rPr>
          <w:rFonts w:ascii="Times New Roman" w:hAnsi="Times New Roman"/>
          <w:b/>
          <w:noProof/>
          <w:sz w:val="24"/>
          <w:szCs w:val="24"/>
        </w:rPr>
        <w:t>EU added value by strengthening existing synergies between stakeholders at different le</w:t>
      </w:r>
      <w:r>
        <w:rPr>
          <w:rFonts w:ascii="Times New Roman" w:hAnsi="Times New Roman"/>
          <w:b/>
          <w:noProof/>
          <w:sz w:val="24"/>
          <w:szCs w:val="24"/>
        </w:rPr>
        <w:t xml:space="preserve">vels </w:t>
      </w:r>
      <w:r>
        <w:rPr>
          <w:rFonts w:ascii="Times New Roman" w:hAnsi="Times New Roman"/>
          <w:noProof/>
          <w:sz w:val="24"/>
          <w:szCs w:val="24"/>
        </w:rPr>
        <w:t>(international, EU, Member States), therefore developing a coherent EU response to emerging challenges.</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Three actions have been implemented under indirect management so far. The Commission entrusted eu-LISA to carry out the ‘Smart Borders Pilot’ test</w:t>
      </w:r>
      <w:r>
        <w:rPr>
          <w:rFonts w:ascii="Times New Roman" w:hAnsi="Times New Roman"/>
          <w:noProof/>
          <w:sz w:val="24"/>
          <w:szCs w:val="24"/>
        </w:rPr>
        <w:t>ing phase, in the context of a ‘Proof of Concept’ exercise, as regards the Smart Borders Package adopted by the Commission on 28 February 2013. Overall, over a period of 7 months, eu-LISA successfully carried out 78 testing activities for both automated an</w:t>
      </w:r>
      <w:r>
        <w:rPr>
          <w:rFonts w:ascii="Times New Roman" w:hAnsi="Times New Roman"/>
          <w:noProof/>
          <w:sz w:val="24"/>
          <w:szCs w:val="24"/>
        </w:rPr>
        <w:t>d manual border controls, covering different environments, and finally provided a significant evidence base to assert the feasibility of systems and processes proposed for Smart Borders. The Fund allowed eu-LISA to improve the relationship with several sub</w:t>
      </w:r>
      <w:r>
        <w:rPr>
          <w:rFonts w:ascii="Times New Roman" w:hAnsi="Times New Roman"/>
          <w:noProof/>
          <w:sz w:val="24"/>
          <w:szCs w:val="24"/>
        </w:rPr>
        <w:t xml:space="preserve">jects: (i) Member States, by coordinating and supervising their activities; (ii) the Commission and the European Parliament, through continuous communication and reporting activities; (iii) other EU institutions and agencies (i.e. European Data Protection </w:t>
      </w:r>
      <w:r>
        <w:rPr>
          <w:rFonts w:ascii="Times New Roman" w:hAnsi="Times New Roman"/>
          <w:noProof/>
          <w:sz w:val="24"/>
          <w:szCs w:val="24"/>
        </w:rPr>
        <w:t>Supervisor, the Fundamental Rights Agency and Frontex), involved in both the preparation and execution phases.</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The Commission entrusted the ICMPD to implement the action ‘Mobility Partnership Facility’ (MPF). The MPF contributed to operationalising the EU</w:t>
      </w:r>
      <w:r>
        <w:rPr>
          <w:rFonts w:ascii="Times New Roman" w:hAnsi="Times New Roman"/>
          <w:noProof/>
          <w:sz w:val="24"/>
          <w:szCs w:val="24"/>
        </w:rPr>
        <w:t xml:space="preserve"> GAMM and improving the EU’s discussion and cooperation with partner countries, in the area of migration and mobility, providing them with targeted, flexible and tailor-made assistance. Preliminary results showed that the MPF allowed Member States and part</w:t>
      </w:r>
      <w:r>
        <w:rPr>
          <w:rFonts w:ascii="Times New Roman" w:hAnsi="Times New Roman"/>
          <w:noProof/>
          <w:sz w:val="24"/>
          <w:szCs w:val="24"/>
        </w:rPr>
        <w:t>ner countries to implement their priorities according to: (i) flexible deadlines; (ii) simple procedures (i.e. user-friendly grant agreements, 15-day long evaluation process); and (iii) a significant co-financing rate, up to 95 %. The MPF contributed to st</w:t>
      </w:r>
      <w:r>
        <w:rPr>
          <w:rFonts w:ascii="Times New Roman" w:hAnsi="Times New Roman"/>
          <w:noProof/>
          <w:sz w:val="24"/>
          <w:szCs w:val="24"/>
        </w:rPr>
        <w:t>rengthening partner countries’ capacities, improving the levels of information and knowledge to critically review ongoing activities and policy processes.</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rPr>
        <w:t>Furthermore, the Commission entrusted the UNHCR to implement the action ‘Support to Greece for the d</w:t>
      </w:r>
      <w:r>
        <w:rPr>
          <w:rFonts w:ascii="Times New Roman" w:hAnsi="Times New Roman"/>
          <w:noProof/>
          <w:sz w:val="24"/>
          <w:szCs w:val="24"/>
        </w:rPr>
        <w:t>evelopment of the hotspot/relocation scheme as well as for developing asylum reception capacity’. This action helped to create 20 000 reception places and supported relocation processes, easing the deployment of UNHCR expertise and technical staff. UNHCR s</w:t>
      </w:r>
      <w:r>
        <w:rPr>
          <w:rFonts w:ascii="Times New Roman" w:hAnsi="Times New Roman"/>
          <w:noProof/>
          <w:sz w:val="24"/>
          <w:szCs w:val="24"/>
        </w:rPr>
        <w:t xml:space="preserve">taff also supported the Greek Ministry of Interior in managing and coordinating the sites as well as the Reception and Identification Service. The action improved the capacities of several national stakeholders involved in implementing referred processes, </w:t>
      </w:r>
      <w:r>
        <w:rPr>
          <w:rFonts w:ascii="Times New Roman" w:hAnsi="Times New Roman"/>
          <w:noProof/>
          <w:sz w:val="24"/>
          <w:szCs w:val="24"/>
        </w:rPr>
        <w:t>as well as the cooperation and coordination mechanisms between them.</w:t>
      </w:r>
    </w:p>
    <w:p w:rsidR="007D3598" w:rsidRDefault="007D3598">
      <w:pPr>
        <w:pStyle w:val="Body"/>
        <w:spacing w:before="0" w:after="0" w:line="240" w:lineRule="auto"/>
        <w:jc w:val="both"/>
        <w:rPr>
          <w:rFonts w:ascii="Times New Roman" w:hAnsi="Times New Roman"/>
          <w:noProof/>
          <w:sz w:val="24"/>
        </w:rPr>
      </w:pPr>
    </w:p>
    <w:p w:rsidR="007D3598" w:rsidRDefault="007D3598">
      <w:pPr>
        <w:rPr>
          <w:noProof/>
        </w:rPr>
      </w:pPr>
    </w:p>
    <w:p w:rsidR="007D3598" w:rsidRDefault="00F8547B">
      <w:pPr>
        <w:pStyle w:val="HH2"/>
        <w:spacing w:before="0" w:after="0"/>
        <w:contextualSpacing w:val="0"/>
        <w:rPr>
          <w:noProof/>
        </w:rPr>
      </w:pPr>
      <w:bookmarkStart w:id="899" w:name="_Toc504504071"/>
      <w:bookmarkStart w:id="900" w:name="_Toc504553510"/>
      <w:bookmarkStart w:id="901" w:name="_Toc505869974"/>
      <w:bookmarkStart w:id="902" w:name="_Toc505870237"/>
      <w:bookmarkStart w:id="903" w:name="_Toc505872847"/>
      <w:bookmarkStart w:id="904" w:name="_Toc505872954"/>
      <w:bookmarkStart w:id="905" w:name="_Toc504504072"/>
      <w:bookmarkStart w:id="906" w:name="_Toc504553511"/>
      <w:bookmarkStart w:id="907" w:name="_Toc505869975"/>
      <w:bookmarkStart w:id="908" w:name="_Toc505870238"/>
      <w:bookmarkStart w:id="909" w:name="_Toc505872848"/>
      <w:bookmarkStart w:id="910" w:name="_Toc505872955"/>
      <w:bookmarkStart w:id="911" w:name="_Toc504504073"/>
      <w:bookmarkStart w:id="912" w:name="_Toc504553512"/>
      <w:bookmarkStart w:id="913" w:name="_Toc505869976"/>
      <w:bookmarkStart w:id="914" w:name="_Toc505870239"/>
      <w:bookmarkStart w:id="915" w:name="_Toc505872849"/>
      <w:bookmarkStart w:id="916" w:name="_Toc505872956"/>
      <w:bookmarkStart w:id="917" w:name="_Toc504504074"/>
      <w:bookmarkStart w:id="918" w:name="_Toc504553513"/>
      <w:bookmarkStart w:id="919" w:name="_Toc505869977"/>
      <w:bookmarkStart w:id="920" w:name="_Toc505870240"/>
      <w:bookmarkStart w:id="921" w:name="_Toc505872850"/>
      <w:bookmarkStart w:id="922" w:name="_Toc505872957"/>
      <w:bookmarkStart w:id="923" w:name="_Toc504504075"/>
      <w:bookmarkStart w:id="924" w:name="_Toc504553514"/>
      <w:bookmarkStart w:id="925" w:name="_Toc505869978"/>
      <w:bookmarkStart w:id="926" w:name="_Toc505870241"/>
      <w:bookmarkStart w:id="927" w:name="_Toc505872851"/>
      <w:bookmarkStart w:id="928" w:name="_Toc505872958"/>
      <w:bookmarkStart w:id="929" w:name="_Toc504504076"/>
      <w:bookmarkStart w:id="930" w:name="_Toc504553515"/>
      <w:bookmarkStart w:id="931" w:name="_Toc505869979"/>
      <w:bookmarkStart w:id="932" w:name="_Toc505870242"/>
      <w:bookmarkStart w:id="933" w:name="_Toc505872852"/>
      <w:bookmarkStart w:id="934" w:name="_Toc505872959"/>
      <w:bookmarkStart w:id="935" w:name="_Toc506393766"/>
      <w:bookmarkStart w:id="936" w:name="_Toc506475220"/>
      <w:bookmarkStart w:id="937" w:name="_Toc506478838"/>
      <w:bookmarkStart w:id="938" w:name="_Toc506479790"/>
      <w:bookmarkStart w:id="939" w:name="_Toc506483928"/>
      <w:bookmarkStart w:id="940" w:name="_Toc506529853"/>
      <w:bookmarkStart w:id="941" w:name="_Toc506531974"/>
      <w:bookmarkStart w:id="942" w:name="_Toc507083613"/>
      <w:bookmarkStart w:id="943" w:name="_Toc508279333"/>
      <w:bookmarkStart w:id="944" w:name="_Toc508369317"/>
      <w:bookmarkStart w:id="945" w:name="_Toc508375528"/>
      <w:bookmarkStart w:id="946" w:name="_Toc508715379"/>
      <w:bookmarkStart w:id="947" w:name="_Toc508975885"/>
      <w:bookmarkStart w:id="948" w:name="_Toc515270150"/>
      <w:bookmarkStart w:id="949" w:name="_Toc50447572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Pr>
          <w:noProof/>
        </w:rPr>
        <w:t>How sustainable are the actions implemented under ISF-BV so far?</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rsidR="007D3598" w:rsidRDefault="007D3598">
      <w:pPr>
        <w:pStyle w:val="Text2"/>
        <w:ind w:left="0"/>
        <w:jc w:val="both"/>
        <w:rPr>
          <w:noProof/>
        </w:rPr>
      </w:pPr>
    </w:p>
    <w:p w:rsidR="007D3598" w:rsidRDefault="00F8547B">
      <w:pPr>
        <w:pStyle w:val="Text2"/>
        <w:ind w:left="0"/>
        <w:jc w:val="both"/>
        <w:rPr>
          <w:noProof/>
        </w:rPr>
      </w:pPr>
      <w:r>
        <w:rPr>
          <w:noProof/>
        </w:rPr>
        <w:t>Evidence collected suggests that the project outputs are able to continue after the EU support is over both for shared,</w:t>
      </w:r>
      <w:r>
        <w:rPr>
          <w:noProof/>
        </w:rPr>
        <w:t xml:space="preserve"> direct and indirect management.</w:t>
      </w:r>
    </w:p>
    <w:p w:rsidR="007D3598" w:rsidRDefault="00F8547B">
      <w:pPr>
        <w:pStyle w:val="Text2"/>
        <w:ind w:left="0"/>
        <w:jc w:val="both"/>
        <w:rPr>
          <w:noProof/>
        </w:rPr>
      </w:pPr>
      <w:r>
        <w:rPr>
          <w:rFonts w:eastAsiaTheme="minorHAnsi"/>
          <w:noProof/>
          <w:szCs w:val="24"/>
          <w:lang w:eastAsia="en-GB"/>
        </w:rPr>
        <mc:AlternateContent>
          <mc:Choice Requires="wps">
            <w:drawing>
              <wp:anchor distT="0" distB="0" distL="114300" distR="114300" simplePos="0" relativeHeight="251662336" behindDoc="0" locked="0" layoutInCell="1" allowOverlap="1" wp14:anchorId="167EBB25" wp14:editId="16DE4692">
                <wp:simplePos x="0" y="0"/>
                <wp:positionH relativeFrom="column">
                  <wp:posOffset>0</wp:posOffset>
                </wp:positionH>
                <wp:positionV relativeFrom="paragraph">
                  <wp:posOffset>173990</wp:posOffset>
                </wp:positionV>
                <wp:extent cx="6090285" cy="1208405"/>
                <wp:effectExtent l="0" t="0" r="24765" b="10795"/>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208405"/>
                        </a:xfrm>
                        <a:prstGeom prst="rect">
                          <a:avLst/>
                        </a:prstGeom>
                        <a:solidFill>
                          <a:srgbClr val="FFFFFF"/>
                        </a:solidFill>
                        <a:ln w="19050">
                          <a:solidFill>
                            <a:schemeClr val="accent1"/>
                          </a:solidFill>
                          <a:miter lim="800000"/>
                          <a:headEnd/>
                          <a:tailEnd/>
                        </a:ln>
                      </wps:spPr>
                      <wps:txb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rPr>
                              <w:t>The sustainability of actions funded by ISF-BV relies on the continuity of EU funding with the national funding. This appears to be insufficient to ensure the same level of investments. Training activities</w:t>
                            </w:r>
                            <w:r>
                              <w:rPr>
                                <w:rFonts w:ascii="Times New Roman" w:hAnsi="Times New Roman"/>
                                <w:sz w:val="24"/>
                              </w:rPr>
                              <w:t xml:space="preserve"> play an important role in ensuring the sustainability of actions in the long term.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0;margin-top:13.7pt;width:479.55pt;height:9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" strokecolor="#4f81bd [3204]" strokeweight="1.5pt">
                <v:textbox>
                  <w:txbxContent>
                    <w:p w:rsidR="007D3598" w:rsidRDefault="00F8547B">
                      <w:pPr>
                        <w:jc w:val="both"/>
                        <w:rPr>
                          <w:rFonts w:cs="EC Square Sans Pro"/>
                          <w:b/>
                          <w:color w:val="000000"/>
                          <w:szCs w:val="24"/>
                        </w:rPr>
                      </w:pPr>
                      <w:r>
                        <w:rPr>
                          <w:rFonts w:cs="EC Square Sans Pro"/>
                          <w:b/>
                          <w:color w:val="000000"/>
                          <w:szCs w:val="24"/>
                        </w:rPr>
                        <w:t>In a nutshell</w:t>
                      </w:r>
                    </w:p>
                    <w:p w:rsidR="007D3598" w:rsidRDefault="007D3598">
                      <w:pPr>
                        <w:jc w:val="both"/>
                        <w:rPr>
                          <w:rFonts w:cs="EC Square Sans Pro"/>
                          <w:color w:val="000000"/>
                          <w:szCs w:val="24"/>
                        </w:rPr>
                      </w:pPr>
                    </w:p>
                    <w:p w:rsidR="007D3598" w:rsidRDefault="00F8547B">
                      <w:pPr>
                        <w:pStyle w:val="BulletBoxFindings"/>
                        <w:tabs>
                          <w:tab w:val="clear" w:pos="1492"/>
                        </w:tabs>
                        <w:spacing w:before="0" w:after="0" w:line="240" w:lineRule="auto"/>
                        <w:ind w:left="0" w:firstLine="0"/>
                      </w:pPr>
                      <w:r>
                        <w:rPr>
                          <w:rFonts w:ascii="Times New Roman" w:hAnsi="Times New Roman"/>
                          <w:sz w:val="24"/>
                        </w:rPr>
                        <w:t>The sustainability of actions funded by ISF-BV relies on the continuity of EU funding with the national funding. This appears to be insufficient to ensure the same level of investments. Training activities</w:t>
                      </w:r>
                      <w:r>
                        <w:rPr>
                          <w:rFonts w:ascii="Times New Roman" w:hAnsi="Times New Roman"/>
                          <w:sz w:val="24"/>
                        </w:rPr>
                        <w:t xml:space="preserve"> play an important role in ensuring the sustainability of actions in the long term. </w:t>
                      </w:r>
                    </w:p>
                  </w:txbxContent>
                </v:textbox>
                <w10:wrap type="topAndBottom"/>
              </v:shape>
            </w:pict>
          </mc:Fallback>
        </mc:AlternateContent>
      </w:r>
    </w:p>
    <w:p w:rsidR="007D3598" w:rsidRDefault="00F8547B">
      <w:pPr>
        <w:pStyle w:val="Body"/>
        <w:spacing w:before="0" w:after="0" w:line="240" w:lineRule="auto"/>
        <w:jc w:val="both"/>
        <w:rPr>
          <w:rFonts w:ascii="Times New Roman" w:hAnsi="Times New Roman"/>
          <w:i/>
          <w:noProof/>
          <w:sz w:val="24"/>
          <w:szCs w:val="24"/>
        </w:rPr>
      </w:pPr>
      <w:r>
        <w:rPr>
          <w:rFonts w:ascii="Times New Roman" w:hAnsi="Times New Roman"/>
          <w:i/>
          <w:noProof/>
          <w:sz w:val="24"/>
          <w:szCs w:val="24"/>
        </w:rPr>
        <w:t>Shared &amp; direct management</w:t>
      </w:r>
    </w:p>
    <w:p w:rsidR="007D3598" w:rsidRDefault="007D3598">
      <w:pPr>
        <w:pStyle w:val="Body"/>
        <w:spacing w:before="0" w:after="0" w:line="240" w:lineRule="auto"/>
        <w:jc w:val="both"/>
        <w:rPr>
          <w:rFonts w:ascii="Times New Roman" w:hAnsi="Times New Roman"/>
          <w:i/>
          <w:noProof/>
          <w:sz w:val="24"/>
          <w:szCs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rPr>
        <w:t xml:space="preserve">The EBF </w:t>
      </w:r>
      <w:r>
        <w:rPr>
          <w:rFonts w:ascii="Times New Roman" w:hAnsi="Times New Roman"/>
          <w:i/>
          <w:noProof/>
          <w:sz w:val="24"/>
        </w:rPr>
        <w:t>ex post</w:t>
      </w:r>
      <w:r>
        <w:rPr>
          <w:rFonts w:ascii="Times New Roman" w:hAnsi="Times New Roman"/>
          <w:noProof/>
          <w:sz w:val="24"/>
        </w:rPr>
        <w:t xml:space="preserve"> evaluation</w:t>
      </w:r>
      <w:r>
        <w:rPr>
          <w:rStyle w:val="FootnoteReference"/>
          <w:rFonts w:ascii="Times New Roman" w:hAnsi="Times New Roman"/>
          <w:noProof/>
          <w:sz w:val="24"/>
          <w:szCs w:val="24"/>
        </w:rPr>
        <w:footnoteReference w:id="224"/>
      </w:r>
      <w:r>
        <w:rPr>
          <w:rFonts w:ascii="Times New Roman" w:hAnsi="Times New Roman"/>
          <w:noProof/>
          <w:sz w:val="24"/>
          <w:szCs w:val="24"/>
        </w:rPr>
        <w:t xml:space="preserve"> concluded that overall the actions in the 2011-2013 period were </w:t>
      </w:r>
      <w:r>
        <w:rPr>
          <w:rFonts w:ascii="Times New Roman" w:hAnsi="Times New Roman"/>
          <w:noProof/>
          <w:sz w:val="24"/>
        </w:rPr>
        <w:t>sustainable</w:t>
      </w:r>
      <w:r>
        <w:rPr>
          <w:rFonts w:ascii="Times New Roman" w:hAnsi="Times New Roman"/>
          <w:noProof/>
          <w:sz w:val="24"/>
          <w:szCs w:val="24"/>
        </w:rPr>
        <w:t xml:space="preserve">, as most of the assets acquired and </w:t>
      </w:r>
      <w:r>
        <w:rPr>
          <w:rFonts w:ascii="Times New Roman" w:hAnsi="Times New Roman"/>
          <w:noProof/>
          <w:sz w:val="24"/>
          <w:szCs w:val="24"/>
        </w:rPr>
        <w:t>knowledge generated were still being used while the evaluation was conducted (2016). The evaluation recommended that the following components be introduced in order to further improve sustainability of actions:</w:t>
      </w:r>
    </w:p>
    <w:p w:rsidR="007D3598" w:rsidRDefault="00F8547B">
      <w:pPr>
        <w:pStyle w:val="Body"/>
        <w:numPr>
          <w:ilvl w:val="0"/>
          <w:numId w:val="104"/>
        </w:numPr>
        <w:spacing w:before="0" w:after="0" w:line="240" w:lineRule="auto"/>
        <w:jc w:val="both"/>
        <w:rPr>
          <w:rFonts w:ascii="Times New Roman" w:hAnsi="Times New Roman"/>
          <w:noProof/>
          <w:sz w:val="24"/>
          <w:lang w:eastAsia="nl-BE"/>
        </w:rPr>
      </w:pPr>
      <w:r>
        <w:rPr>
          <w:rFonts w:ascii="Times New Roman" w:hAnsi="Times New Roman"/>
          <w:noProof/>
          <w:sz w:val="24"/>
        </w:rPr>
        <w:t>sustainability indicators</w:t>
      </w:r>
      <w:r>
        <w:rPr>
          <w:rFonts w:ascii="Times New Roman" w:hAnsi="Times New Roman"/>
          <w:noProof/>
          <w:sz w:val="24"/>
          <w:szCs w:val="24"/>
        </w:rPr>
        <w:t xml:space="preserve"> to be part of the a</w:t>
      </w:r>
      <w:r>
        <w:rPr>
          <w:rFonts w:ascii="Times New Roman" w:hAnsi="Times New Roman"/>
          <w:noProof/>
          <w:sz w:val="24"/>
          <w:szCs w:val="24"/>
        </w:rPr>
        <w:t xml:space="preserve">pproval process at project and </w:t>
      </w:r>
      <w:r>
        <w:rPr>
          <w:rFonts w:ascii="Times New Roman" w:hAnsi="Times New Roman"/>
          <w:noProof/>
          <w:sz w:val="24"/>
        </w:rPr>
        <w:t>annual programme level;</w:t>
      </w:r>
    </w:p>
    <w:p w:rsidR="007D3598" w:rsidRDefault="00F8547B">
      <w:pPr>
        <w:pStyle w:val="Body"/>
        <w:numPr>
          <w:ilvl w:val="0"/>
          <w:numId w:val="104"/>
        </w:numPr>
        <w:spacing w:before="0" w:after="0" w:line="240" w:lineRule="auto"/>
        <w:jc w:val="both"/>
        <w:rPr>
          <w:rFonts w:ascii="Times New Roman" w:hAnsi="Times New Roman"/>
          <w:noProof/>
          <w:sz w:val="24"/>
          <w:lang w:eastAsia="nl-BE"/>
        </w:rPr>
      </w:pPr>
      <w:r>
        <w:rPr>
          <w:rFonts w:ascii="Times New Roman" w:hAnsi="Times New Roman"/>
          <w:noProof/>
          <w:sz w:val="24"/>
        </w:rPr>
        <w:t xml:space="preserve">compulsory </w:t>
      </w:r>
      <w:r>
        <w:rPr>
          <w:rFonts w:ascii="Times New Roman" w:hAnsi="Times New Roman"/>
          <w:i/>
          <w:noProof/>
          <w:sz w:val="24"/>
          <w:lang w:eastAsia="nl-BE"/>
        </w:rPr>
        <w:t>ex ante</w:t>
      </w:r>
      <w:r>
        <w:rPr>
          <w:rFonts w:ascii="Times New Roman" w:hAnsi="Times New Roman"/>
          <w:noProof/>
          <w:sz w:val="24"/>
          <w:lang w:eastAsia="nl-BE"/>
        </w:rPr>
        <w:t xml:space="preserve"> assessments of investments</w:t>
      </w:r>
      <w:r>
        <w:rPr>
          <w:rFonts w:ascii="Times New Roman" w:hAnsi="Times New Roman"/>
          <w:noProof/>
          <w:sz w:val="24"/>
          <w:szCs w:val="24"/>
          <w:lang w:eastAsia="nl-BE"/>
        </w:rPr>
        <w:t xml:space="preserve"> requiring significant maintenance and operating costs with commitment from beneficiaries to secure the estimated post-acquisition costs</w:t>
      </w:r>
      <w:r>
        <w:rPr>
          <w:rFonts w:ascii="Times New Roman" w:hAnsi="Times New Roman"/>
          <w:noProof/>
          <w:sz w:val="24"/>
          <w:lang w:eastAsia="nl-BE"/>
        </w:rPr>
        <w:t>; and</w:t>
      </w:r>
    </w:p>
    <w:p w:rsidR="007D3598" w:rsidRDefault="00F8547B">
      <w:pPr>
        <w:pStyle w:val="Body"/>
        <w:numPr>
          <w:ilvl w:val="0"/>
          <w:numId w:val="104"/>
        </w:numPr>
        <w:spacing w:before="0" w:after="0" w:line="240" w:lineRule="auto"/>
        <w:jc w:val="both"/>
        <w:rPr>
          <w:rFonts w:ascii="Times New Roman" w:hAnsi="Times New Roman"/>
          <w:noProof/>
          <w:sz w:val="24"/>
          <w:lang w:eastAsia="nl-BE"/>
        </w:rPr>
      </w:pPr>
      <w:r>
        <w:rPr>
          <w:rFonts w:ascii="Times New Roman" w:hAnsi="Times New Roman"/>
          <w:noProof/>
          <w:sz w:val="24"/>
          <w:lang w:eastAsia="nl-BE"/>
        </w:rPr>
        <w:t>procurement pr</w:t>
      </w:r>
      <w:r>
        <w:rPr>
          <w:rFonts w:ascii="Times New Roman" w:hAnsi="Times New Roman"/>
          <w:noProof/>
          <w:sz w:val="24"/>
          <w:lang w:eastAsia="nl-BE"/>
        </w:rPr>
        <w:t xml:space="preserve">ocess to include provisions on the length of warranty, maintenance, and training </w:t>
      </w:r>
      <w:r>
        <w:rPr>
          <w:rFonts w:ascii="Times New Roman" w:hAnsi="Times New Roman"/>
          <w:noProof/>
          <w:sz w:val="24"/>
          <w:szCs w:val="24"/>
          <w:lang w:eastAsia="nl-BE"/>
        </w:rPr>
        <w:t>if appropriate</w:t>
      </w:r>
      <w:r>
        <w:rPr>
          <w:rFonts w:ascii="Times New Roman" w:hAnsi="Times New Roman"/>
          <w:noProof/>
          <w:sz w:val="24"/>
          <w:lang w:eastAsia="nl-BE"/>
        </w:rPr>
        <w:t>.</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spacing w:before="0" w:after="0" w:line="240" w:lineRule="auto"/>
        <w:jc w:val="both"/>
        <w:rPr>
          <w:rFonts w:ascii="Times New Roman" w:hAnsi="Times New Roman"/>
          <w:noProof/>
          <w:sz w:val="24"/>
          <w:szCs w:val="24"/>
          <w:lang w:eastAsia="nl-BE"/>
        </w:rPr>
      </w:pPr>
      <w:r>
        <w:rPr>
          <w:rFonts w:ascii="Times New Roman" w:hAnsi="Times New Roman"/>
          <w:noProof/>
          <w:sz w:val="24"/>
          <w:szCs w:val="24"/>
          <w:lang w:eastAsia="nl-BE"/>
        </w:rPr>
        <w:t xml:space="preserve">The ISF-BV embraced some of the recommendations from the EBF </w:t>
      </w:r>
      <w:r>
        <w:rPr>
          <w:rFonts w:ascii="Times New Roman" w:hAnsi="Times New Roman"/>
          <w:i/>
          <w:noProof/>
          <w:sz w:val="24"/>
          <w:szCs w:val="24"/>
          <w:lang w:eastAsia="nl-BE"/>
        </w:rPr>
        <w:t>ex post</w:t>
      </w:r>
      <w:r>
        <w:rPr>
          <w:rFonts w:ascii="Times New Roman" w:hAnsi="Times New Roman"/>
          <w:noProof/>
          <w:sz w:val="24"/>
          <w:szCs w:val="24"/>
          <w:lang w:eastAsia="nl-BE"/>
        </w:rPr>
        <w:t xml:space="preserve"> evaluation. Sustainability indicators were not included among the common indicators provided by Regulation (EU) No 515/2014 and 22</w:t>
      </w:r>
      <w:r>
        <w:rPr>
          <w:rStyle w:val="FootnoteReference"/>
          <w:rFonts w:ascii="Times New Roman" w:hAnsi="Times New Roman"/>
          <w:noProof/>
          <w:sz w:val="24"/>
          <w:szCs w:val="24"/>
          <w:lang w:eastAsia="nl-BE"/>
        </w:rPr>
        <w:footnoteReference w:id="225"/>
      </w:r>
      <w:r>
        <w:rPr>
          <w:rFonts w:ascii="Times New Roman" w:hAnsi="Times New Roman"/>
          <w:noProof/>
          <w:sz w:val="24"/>
          <w:szCs w:val="24"/>
          <w:lang w:eastAsia="nl-BE"/>
        </w:rPr>
        <w:t xml:space="preserve"> out of 30 Member States</w:t>
      </w:r>
      <w:r>
        <w:rPr>
          <w:rStyle w:val="FootnoteReference"/>
          <w:rFonts w:ascii="Times New Roman" w:hAnsi="Times New Roman"/>
          <w:noProof/>
          <w:sz w:val="24"/>
          <w:szCs w:val="24"/>
          <w:lang w:eastAsia="nl-BE"/>
        </w:rPr>
        <w:footnoteReference w:id="226"/>
      </w:r>
      <w:r>
        <w:rPr>
          <w:rFonts w:ascii="Times New Roman" w:hAnsi="Times New Roman"/>
          <w:noProof/>
          <w:sz w:val="24"/>
          <w:szCs w:val="24"/>
          <w:lang w:eastAsia="nl-BE"/>
        </w:rPr>
        <w:t xml:space="preserve"> did not include any specific reference to sustainability in the national programmes</w:t>
      </w:r>
      <w:r>
        <w:rPr>
          <w:rFonts w:ascii="Times New Roman" w:hAnsi="Times New Roman"/>
          <w:noProof/>
          <w:sz w:val="24"/>
          <w:lang w:eastAsia="nl-BE"/>
        </w:rPr>
        <w:t xml:space="preserve">. Common </w:t>
      </w:r>
      <w:r>
        <w:rPr>
          <w:rFonts w:ascii="Times New Roman" w:hAnsi="Times New Roman"/>
          <w:noProof/>
          <w:sz w:val="24"/>
          <w:lang w:eastAsia="nl-BE"/>
        </w:rPr>
        <w:t>indicators</w:t>
      </w:r>
      <w:r>
        <w:rPr>
          <w:rFonts w:ascii="Times New Roman" w:hAnsi="Times New Roman"/>
          <w:noProof/>
          <w:sz w:val="24"/>
          <w:szCs w:val="24"/>
          <w:lang w:eastAsia="nl-BE"/>
        </w:rPr>
        <w:t xml:space="preserve"> were eventually introduced by Commission Delegated Regulation (EU) 2017/207</w:t>
      </w:r>
      <w:r>
        <w:rPr>
          <w:rStyle w:val="FootnoteReference"/>
          <w:rFonts w:ascii="Times New Roman" w:hAnsi="Times New Roman"/>
          <w:noProof/>
          <w:sz w:val="24"/>
          <w:szCs w:val="24"/>
          <w:lang w:eastAsia="nl-BE"/>
        </w:rPr>
        <w:footnoteReference w:id="227"/>
      </w:r>
      <w:r>
        <w:rPr>
          <w:rFonts w:ascii="Times New Roman" w:hAnsi="Times New Roman"/>
          <w:noProof/>
          <w:sz w:val="24"/>
          <w:szCs w:val="24"/>
          <w:lang w:eastAsia="nl-BE"/>
        </w:rPr>
        <w:t>. Only five Member States committed to the sustainability of the implemented projects</w:t>
      </w:r>
      <w:r>
        <w:rPr>
          <w:rStyle w:val="FootnoteReference"/>
          <w:rFonts w:ascii="Times New Roman" w:hAnsi="Times New Roman"/>
          <w:noProof/>
          <w:sz w:val="24"/>
          <w:szCs w:val="24"/>
          <w:lang w:eastAsia="nl-BE"/>
        </w:rPr>
        <w:footnoteReference w:id="228"/>
      </w:r>
      <w:r>
        <w:rPr>
          <w:rFonts w:ascii="Times New Roman" w:hAnsi="Times New Roman"/>
          <w:noProof/>
          <w:sz w:val="24"/>
          <w:szCs w:val="24"/>
          <w:lang w:eastAsia="nl-BE"/>
        </w:rPr>
        <w:t xml:space="preserve">. There is no evidence of specific provisions or mandatory requirements either for </w:t>
      </w:r>
      <w:r>
        <w:rPr>
          <w:rFonts w:ascii="Times New Roman" w:hAnsi="Times New Roman"/>
          <w:noProof/>
          <w:sz w:val="24"/>
          <w:szCs w:val="24"/>
          <w:lang w:eastAsia="nl-BE"/>
        </w:rPr>
        <w:t xml:space="preserve">the </w:t>
      </w:r>
      <w:r>
        <w:rPr>
          <w:rFonts w:ascii="Times New Roman" w:hAnsi="Times New Roman"/>
          <w:i/>
          <w:noProof/>
          <w:sz w:val="24"/>
          <w:szCs w:val="24"/>
          <w:lang w:eastAsia="nl-BE"/>
        </w:rPr>
        <w:t>ex ante</w:t>
      </w:r>
      <w:r>
        <w:rPr>
          <w:rFonts w:ascii="Times New Roman" w:hAnsi="Times New Roman"/>
          <w:noProof/>
          <w:sz w:val="24"/>
          <w:szCs w:val="24"/>
          <w:lang w:eastAsia="nl-BE"/>
        </w:rPr>
        <w:t xml:space="preserve"> assessment of investment or for the length of warranty, maintenance, and training.</w:t>
      </w:r>
    </w:p>
    <w:p w:rsidR="007D3598" w:rsidRDefault="007D3598">
      <w:pPr>
        <w:pStyle w:val="Body"/>
        <w:spacing w:before="0" w:after="0" w:line="240" w:lineRule="auto"/>
        <w:jc w:val="both"/>
        <w:rPr>
          <w:rFonts w:ascii="Times New Roman" w:hAnsi="Times New Roman"/>
          <w:noProof/>
          <w:sz w:val="24"/>
          <w:szCs w:val="24"/>
          <w:lang w:eastAsia="nl-BE"/>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lang w:eastAsia="nl-BE"/>
        </w:rPr>
        <w:t xml:space="preserve">However, beyond the issues related to the EBF </w:t>
      </w:r>
      <w:r>
        <w:rPr>
          <w:rFonts w:ascii="Times New Roman" w:hAnsi="Times New Roman"/>
          <w:i/>
          <w:noProof/>
          <w:sz w:val="24"/>
          <w:szCs w:val="24"/>
          <w:lang w:eastAsia="nl-BE"/>
        </w:rPr>
        <w:t>ex post</w:t>
      </w:r>
      <w:r>
        <w:rPr>
          <w:rFonts w:ascii="Times New Roman" w:hAnsi="Times New Roman"/>
          <w:noProof/>
          <w:sz w:val="24"/>
          <w:szCs w:val="24"/>
          <w:lang w:eastAsia="nl-BE"/>
        </w:rPr>
        <w:t xml:space="preserve"> evaluation’s conclusion, </w:t>
      </w:r>
      <w:r>
        <w:rPr>
          <w:rFonts w:ascii="Times New Roman" w:hAnsi="Times New Roman"/>
          <w:noProof/>
          <w:sz w:val="24"/>
          <w:szCs w:val="24"/>
        </w:rPr>
        <w:t>the interim evaluation of ISF-BV highlighted evidence of the sustainability of th</w:t>
      </w:r>
      <w:r>
        <w:rPr>
          <w:rFonts w:ascii="Times New Roman" w:hAnsi="Times New Roman"/>
          <w:noProof/>
          <w:sz w:val="24"/>
          <w:szCs w:val="24"/>
        </w:rPr>
        <w:t xml:space="preserve">e Fund’s results. </w:t>
      </w:r>
      <w:r>
        <w:rPr>
          <w:rFonts w:ascii="Times New Roman" w:hAnsi="Times New Roman"/>
          <w:noProof/>
          <w:sz w:val="24"/>
          <w:szCs w:val="24"/>
          <w:lang w:eastAsia="nl-BE"/>
        </w:rPr>
        <w:t xml:space="preserve">22 out of 30 Member States stated that the </w:t>
      </w:r>
      <w:r>
        <w:rPr>
          <w:rFonts w:ascii="Times New Roman" w:hAnsi="Times New Roman"/>
          <w:noProof/>
          <w:sz w:val="24"/>
          <w:szCs w:val="24"/>
        </w:rPr>
        <w:t xml:space="preserve">ISF-BV actions are long-term actions by their nature, since they are generally designed and structured to remain operational after the Fund’s support ends. In particular, </w:t>
      </w:r>
      <w:r>
        <w:rPr>
          <w:rFonts w:ascii="Times New Roman" w:hAnsi="Times New Roman"/>
          <w:b/>
          <w:noProof/>
          <w:sz w:val="24"/>
          <w:szCs w:val="24"/>
          <w:lang w:eastAsia="nl-BE"/>
        </w:rPr>
        <w:t>investments in infrastru</w:t>
      </w:r>
      <w:r>
        <w:rPr>
          <w:rFonts w:ascii="Times New Roman" w:hAnsi="Times New Roman"/>
          <w:b/>
          <w:noProof/>
          <w:sz w:val="24"/>
          <w:szCs w:val="24"/>
          <w:lang w:eastAsia="nl-BE"/>
        </w:rPr>
        <w:t>cture</w:t>
      </w:r>
      <w:r>
        <w:rPr>
          <w:rFonts w:ascii="Times New Roman" w:hAnsi="Times New Roman"/>
          <w:noProof/>
          <w:sz w:val="24"/>
          <w:szCs w:val="24"/>
          <w:lang w:eastAsia="nl-BE"/>
        </w:rPr>
        <w:t>, facilities, and IT systems have relatively high sustainability, as they usually require smaller maintenance costs compared to the initial investments. Even if not explicitly referring to sustainability, the Fund — particularly operating support reso</w:t>
      </w:r>
      <w:r>
        <w:rPr>
          <w:rFonts w:ascii="Times New Roman" w:hAnsi="Times New Roman"/>
          <w:noProof/>
          <w:sz w:val="24"/>
          <w:szCs w:val="24"/>
          <w:lang w:eastAsia="nl-BE"/>
        </w:rPr>
        <w:t>urces — was used for maintaining the equipment purchased, aiming to ensure the proper functioning of infrastructure and to give continuity to the activities</w:t>
      </w:r>
      <w:r>
        <w:rPr>
          <w:rStyle w:val="FootnoteReference"/>
          <w:rFonts w:ascii="Times New Roman" w:hAnsi="Times New Roman"/>
          <w:noProof/>
          <w:sz w:val="24"/>
          <w:szCs w:val="24"/>
          <w:lang w:eastAsia="nl-BE"/>
        </w:rPr>
        <w:footnoteReference w:id="229"/>
      </w:r>
      <w:r>
        <w:rPr>
          <w:rFonts w:ascii="Times New Roman" w:hAnsi="Times New Roman"/>
          <w:noProof/>
          <w:sz w:val="24"/>
          <w:szCs w:val="24"/>
          <w:lang w:eastAsia="nl-BE"/>
        </w:rPr>
        <w:t>.</w:t>
      </w:r>
      <w:r>
        <w:rPr>
          <w:rFonts w:ascii="Times New Roman" w:hAnsi="Times New Roman"/>
          <w:noProof/>
          <w:sz w:val="24"/>
          <w:szCs w:val="24"/>
        </w:rPr>
        <w:t xml:space="preserve"> The sustainability of actions is also ensured through </w:t>
      </w:r>
      <w:r>
        <w:rPr>
          <w:rFonts w:ascii="Times New Roman" w:hAnsi="Times New Roman"/>
          <w:b/>
          <w:noProof/>
          <w:sz w:val="24"/>
          <w:szCs w:val="24"/>
        </w:rPr>
        <w:t xml:space="preserve">training </w:t>
      </w:r>
      <w:r>
        <w:rPr>
          <w:rFonts w:ascii="Times New Roman" w:hAnsi="Times New Roman"/>
          <w:noProof/>
          <w:sz w:val="24"/>
          <w:szCs w:val="24"/>
        </w:rPr>
        <w:t>sessions, information-sharing, and</w:t>
      </w:r>
      <w:r>
        <w:rPr>
          <w:rFonts w:ascii="Times New Roman" w:hAnsi="Times New Roman"/>
          <w:noProof/>
          <w:sz w:val="24"/>
          <w:szCs w:val="24"/>
        </w:rPr>
        <w:t xml:space="preserve"> cooperation mechanisms that helped to improve expertise, knowledge, and the qualifications of staff involved in managing and implementing projects</w:t>
      </w:r>
      <w:r>
        <w:rPr>
          <w:rStyle w:val="FootnoteReference"/>
          <w:rFonts w:ascii="Times New Roman" w:hAnsi="Times New Roman"/>
          <w:noProof/>
          <w:sz w:val="24"/>
          <w:szCs w:val="24"/>
        </w:rPr>
        <w:footnoteReference w:id="230"/>
      </w:r>
      <w:r>
        <w:rPr>
          <w:rFonts w:ascii="Times New Roman" w:hAnsi="Times New Roman"/>
          <w:noProof/>
          <w:sz w:val="24"/>
          <w:szCs w:val="24"/>
        </w:rPr>
        <w:t>. Furthermore, the effects achieved through the Fund’s support are also expected to continue after the EU fu</w:t>
      </w:r>
      <w:r>
        <w:rPr>
          <w:rFonts w:ascii="Times New Roman" w:hAnsi="Times New Roman"/>
          <w:noProof/>
          <w:sz w:val="24"/>
          <w:szCs w:val="24"/>
        </w:rPr>
        <w:t>nding, relying on national budgets to ensure the continuity of interventions and related impacts</w:t>
      </w:r>
      <w:r>
        <w:rPr>
          <w:rStyle w:val="FootnoteReference"/>
          <w:rFonts w:ascii="Times New Roman" w:hAnsi="Times New Roman"/>
          <w:noProof/>
          <w:sz w:val="24"/>
          <w:szCs w:val="24"/>
        </w:rPr>
        <w:footnoteReference w:id="231"/>
      </w:r>
      <w:r>
        <w:rPr>
          <w:rFonts w:ascii="Times New Roman" w:hAnsi="Times New Roman"/>
          <w:noProof/>
          <w:sz w:val="24"/>
          <w:szCs w:val="24"/>
        </w:rPr>
        <w:t>.</w:t>
      </w:r>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caption10"/>
        <w:spacing w:before="0" w:after="0"/>
        <w:rPr>
          <w:rFonts w:ascii="Times New Roman" w:hAnsi="Times New Roman"/>
          <w:noProof/>
          <w:sz w:val="24"/>
          <w:lang w:val="en-GB"/>
        </w:rPr>
      </w:pPr>
      <w:r>
        <w:rPr>
          <w:rFonts w:ascii="Times New Roman" w:hAnsi="Times New Roman"/>
          <w:noProof/>
          <w:sz w:val="24"/>
          <w:lang w:val="en-GB"/>
        </w:rPr>
        <w:t>Examples of Member States reporting on project sustainability during the programming phase</w:t>
      </w:r>
    </w:p>
    <w:p w:rsidR="007D3598" w:rsidRDefault="007D3598">
      <w:pPr>
        <w:pStyle w:val="caption10"/>
        <w:spacing w:before="0" w:after="0"/>
        <w:jc w:val="both"/>
        <w:rPr>
          <w:rFonts w:ascii="Times New Roman" w:hAnsi="Times New Roman"/>
          <w:noProof/>
          <w:sz w:val="24"/>
          <w:lang w:val="en-GB"/>
        </w:rPr>
      </w:pPr>
    </w:p>
    <w:tbl>
      <w:tblPr>
        <w:tblStyle w:val="TableE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854"/>
      </w:tblGrid>
      <w:tr w:rsidR="007D3598">
        <w:tc>
          <w:tcPr>
            <w:tcW w:w="5000" w:type="pct"/>
            <w:shd w:val="clear" w:color="auto" w:fill="E0E0E0"/>
          </w:tcPr>
          <w:p w:rsidR="007D3598" w:rsidRDefault="00F8547B">
            <w:pPr>
              <w:pStyle w:val="Bulletpoint1"/>
              <w:numPr>
                <w:ilvl w:val="0"/>
                <w:numId w:val="0"/>
              </w:numPr>
              <w:spacing w:before="0" w:after="0" w:line="240" w:lineRule="auto"/>
              <w:ind w:left="142"/>
              <w:jc w:val="both"/>
              <w:rPr>
                <w:rFonts w:ascii="Times New Roman" w:hAnsi="Times New Roman"/>
                <w:noProof/>
                <w:sz w:val="24"/>
                <w:szCs w:val="18"/>
                <w:lang w:val="en-GB" w:eastAsia="nl-BE"/>
              </w:rPr>
            </w:pPr>
            <w:r>
              <w:rPr>
                <w:rFonts w:ascii="Times New Roman" w:hAnsi="Times New Roman"/>
                <w:b/>
                <w:noProof/>
                <w:lang w:val="en-GB" w:eastAsia="nl-BE"/>
              </w:rPr>
              <w:t xml:space="preserve">Estonia </w:t>
            </w:r>
            <w:r>
              <w:rPr>
                <w:rFonts w:ascii="Times New Roman" w:hAnsi="Times New Roman"/>
                <w:noProof/>
                <w:lang w:val="en-GB" w:eastAsia="nl-BE"/>
              </w:rPr>
              <w:t xml:space="preserve">planned the purchase of an additional central station and of the infrastructure supporting it to ensure the sustainability of the operative radio communication network, making border control more effective. Moreover, attention is devoted to sustaining the </w:t>
            </w:r>
            <w:r>
              <w:rPr>
                <w:rFonts w:ascii="Times New Roman" w:hAnsi="Times New Roman"/>
                <w:noProof/>
                <w:lang w:val="en-GB" w:eastAsia="nl-BE"/>
              </w:rPr>
              <w:t xml:space="preserve">activities involving the Immigration Liaison Officers (ILOs) in order to maintain the established connections in third countries (e.g. in Ukraine); </w:t>
            </w:r>
            <w:r>
              <w:rPr>
                <w:rFonts w:ascii="Times New Roman" w:hAnsi="Times New Roman"/>
                <w:b/>
                <w:noProof/>
                <w:lang w:val="en-GB" w:eastAsia="nl-BE"/>
              </w:rPr>
              <w:t>Lithuania</w:t>
            </w:r>
            <w:r>
              <w:rPr>
                <w:rFonts w:ascii="Times New Roman" w:hAnsi="Times New Roman"/>
                <w:noProof/>
                <w:lang w:val="en-GB" w:eastAsia="nl-BE"/>
              </w:rPr>
              <w:t xml:space="preserve"> expressed its commitment to maintaining the border surveillance systems through national resources</w:t>
            </w:r>
            <w:r>
              <w:rPr>
                <w:rFonts w:ascii="Times New Roman" w:hAnsi="Times New Roman"/>
                <w:noProof/>
                <w:lang w:val="en-GB" w:eastAsia="nl-BE"/>
              </w:rPr>
              <w:t>. It aims to ensure the disaster recovery and business continuity plan is implemented</w:t>
            </w:r>
            <w:r>
              <w:rPr>
                <w:rStyle w:val="FootnoteReference"/>
                <w:rFonts w:ascii="Times New Roman" w:hAnsi="Times New Roman"/>
                <w:noProof/>
                <w:lang w:eastAsia="nl-BE"/>
              </w:rPr>
              <w:footnoteReference w:id="232"/>
            </w:r>
            <w:r>
              <w:rPr>
                <w:rFonts w:ascii="Times New Roman" w:hAnsi="Times New Roman"/>
                <w:noProof/>
                <w:lang w:val="en-GB" w:eastAsia="nl-BE"/>
              </w:rPr>
              <w:t xml:space="preserve">, as well as the back-up components of the national Schengen Information System II; </w:t>
            </w:r>
            <w:r>
              <w:rPr>
                <w:rFonts w:ascii="Times New Roman" w:hAnsi="Times New Roman"/>
                <w:b/>
                <w:noProof/>
                <w:lang w:val="en-GB" w:eastAsia="nl-BE"/>
              </w:rPr>
              <w:t xml:space="preserve">Latvia </w:t>
            </w:r>
            <w:r>
              <w:rPr>
                <w:rFonts w:ascii="Times New Roman" w:hAnsi="Times New Roman"/>
                <w:noProof/>
                <w:lang w:val="en-GB" w:eastAsia="nl-BE"/>
              </w:rPr>
              <w:t>expected to have a reliable, modern and sustainable national entry/exit system;</w:t>
            </w:r>
            <w:r>
              <w:rPr>
                <w:rFonts w:ascii="Times New Roman" w:hAnsi="Times New Roman"/>
                <w:noProof/>
                <w:lang w:val="en-GB" w:eastAsia="nl-BE"/>
              </w:rPr>
              <w:t xml:space="preserve"> </w:t>
            </w:r>
            <w:r>
              <w:rPr>
                <w:rFonts w:ascii="Times New Roman" w:hAnsi="Times New Roman"/>
                <w:b/>
                <w:noProof/>
                <w:lang w:val="en-GB" w:eastAsia="nl-BE"/>
              </w:rPr>
              <w:t>Malta</w:t>
            </w:r>
            <w:r>
              <w:rPr>
                <w:rFonts w:ascii="Times New Roman" w:hAnsi="Times New Roman"/>
                <w:noProof/>
                <w:lang w:val="en-GB" w:eastAsia="nl-BE"/>
              </w:rPr>
              <w:t xml:space="preserve"> in its Manual of Procedures for the Asylum, Migration and Integration Fund and Internal Security Fund 2014-2020, sustainability of projects is directly mentioned in the subtitle ‘</w:t>
            </w:r>
            <w:r>
              <w:rPr>
                <w:rFonts w:ascii="Times New Roman" w:hAnsi="Times New Roman"/>
                <w:i/>
                <w:noProof/>
                <w:lang w:val="en-GB"/>
              </w:rPr>
              <w:t>Sustainable Management of Internal Security and Migration Flows’</w:t>
            </w:r>
            <w:r>
              <w:rPr>
                <w:rStyle w:val="FootnoteReference"/>
                <w:rFonts w:ascii="Times New Roman" w:hAnsi="Times New Roman"/>
                <w:i/>
                <w:noProof/>
              </w:rPr>
              <w:footnoteReference w:id="233"/>
            </w:r>
            <w:r>
              <w:rPr>
                <w:rFonts w:ascii="Times New Roman" w:hAnsi="Times New Roman"/>
                <w:noProof/>
                <w:lang w:val="en-GB"/>
              </w:rPr>
              <w:t>, mak</w:t>
            </w:r>
            <w:r>
              <w:rPr>
                <w:rFonts w:ascii="Times New Roman" w:hAnsi="Times New Roman"/>
                <w:noProof/>
                <w:lang w:val="en-GB"/>
              </w:rPr>
              <w:t xml:space="preserve">ing it a compulsory requirement to include the text in the publications concerning AMIF/ISF. In </w:t>
            </w:r>
            <w:r>
              <w:rPr>
                <w:rFonts w:ascii="Times New Roman" w:hAnsi="Times New Roman"/>
                <w:b/>
                <w:noProof/>
                <w:lang w:val="en-GB" w:eastAsia="nl-BE"/>
              </w:rPr>
              <w:t xml:space="preserve">Slovakia </w:t>
            </w:r>
            <w:r>
              <w:rPr>
                <w:rFonts w:ascii="Times New Roman" w:hAnsi="Times New Roman"/>
                <w:noProof/>
                <w:lang w:val="en-GB" w:eastAsia="nl-BE"/>
              </w:rPr>
              <w:t>authorities involved in the ISF-BV management have to regularly check the staff expertise so as to be prepared in case of changes in the operational en</w:t>
            </w:r>
            <w:r>
              <w:rPr>
                <w:rFonts w:ascii="Times New Roman" w:hAnsi="Times New Roman"/>
                <w:noProof/>
                <w:lang w:val="en-GB" w:eastAsia="nl-BE"/>
              </w:rPr>
              <w:t>vironment. There is often the need for specific training (including language trainings) to upgrade staff skills, ensuring the sustainability and continuity of the achieved high-level performance.</w:t>
            </w:r>
          </w:p>
        </w:tc>
      </w:tr>
    </w:tbl>
    <w:p w:rsidR="007D3598" w:rsidRDefault="007D3598">
      <w:pPr>
        <w:rPr>
          <w:noProof/>
        </w:rPr>
      </w:pPr>
    </w:p>
    <w:p w:rsidR="007D3598" w:rsidRDefault="007D3598">
      <w:pPr>
        <w:rPr>
          <w:noProof/>
        </w:rPr>
      </w:pPr>
    </w:p>
    <w:p w:rsidR="007D3598" w:rsidRDefault="007D3598">
      <w:pPr>
        <w:pStyle w:val="caption10"/>
        <w:spacing w:before="0" w:after="0"/>
        <w:rPr>
          <w:rFonts w:ascii="Times New Roman" w:hAnsi="Times New Roman"/>
          <w:noProof/>
          <w:sz w:val="24"/>
          <w:lang w:val="en-GB"/>
        </w:rPr>
      </w:pPr>
    </w:p>
    <w:p w:rsidR="007D3598" w:rsidRDefault="007D3598">
      <w:pPr>
        <w:rPr>
          <w:noProof/>
        </w:rPr>
      </w:pPr>
    </w:p>
    <w:p w:rsidR="007D3598" w:rsidRDefault="007D3598">
      <w:pPr>
        <w:rPr>
          <w:noProof/>
        </w:rPr>
      </w:pPr>
    </w:p>
    <w:p w:rsidR="007D3598" w:rsidRDefault="00F8547B">
      <w:pPr>
        <w:jc w:val="center"/>
        <w:rPr>
          <w:b/>
          <w:noProof/>
        </w:rPr>
      </w:pPr>
      <w:r>
        <w:rPr>
          <w:b/>
          <w:noProof/>
        </w:rPr>
        <w:t>Examples of measures to ensure sustainability</w:t>
      </w:r>
    </w:p>
    <w:p w:rsidR="007D3598" w:rsidRDefault="007D3598">
      <w:pPr>
        <w:pStyle w:val="caption10"/>
        <w:spacing w:before="0" w:after="0"/>
        <w:jc w:val="both"/>
        <w:rPr>
          <w:rFonts w:ascii="Times New Roman" w:hAnsi="Times New Roman"/>
          <w:noProof/>
          <w:sz w:val="24"/>
          <w:lang w:val="en-GB"/>
        </w:rPr>
      </w:pPr>
    </w:p>
    <w:tbl>
      <w:tblPr>
        <w:tblStyle w:val="TableE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9854"/>
      </w:tblGrid>
      <w:tr w:rsidR="007D3598">
        <w:tc>
          <w:tcPr>
            <w:tcW w:w="5000" w:type="pct"/>
            <w:shd w:val="clear" w:color="auto" w:fill="E0E0E0"/>
          </w:tcPr>
          <w:p w:rsidR="007D3598" w:rsidRDefault="00F8547B">
            <w:pPr>
              <w:pStyle w:val="Bulletpoint1"/>
              <w:numPr>
                <w:ilvl w:val="0"/>
                <w:numId w:val="0"/>
              </w:numPr>
              <w:spacing w:before="0" w:after="0" w:line="240" w:lineRule="auto"/>
              <w:ind w:left="142"/>
              <w:jc w:val="both"/>
              <w:rPr>
                <w:rFonts w:ascii="Times New Roman" w:hAnsi="Times New Roman"/>
                <w:noProof/>
                <w:lang w:val="en-GB" w:eastAsia="nl-BE"/>
              </w:rPr>
            </w:pPr>
            <w:r>
              <w:rPr>
                <w:rFonts w:ascii="Times New Roman" w:hAnsi="Times New Roman"/>
                <w:b/>
                <w:noProof/>
                <w:lang w:val="en-GB" w:eastAsia="nl-BE"/>
              </w:rPr>
              <w:t>Austria</w:t>
            </w:r>
            <w:r>
              <w:rPr>
                <w:rFonts w:ascii="Times New Roman" w:hAnsi="Times New Roman"/>
                <w:noProof/>
                <w:lang w:val="en-GB" w:eastAsia="nl-BE"/>
              </w:rPr>
              <w:t xml:space="preserve">, </w:t>
            </w:r>
            <w:r>
              <w:rPr>
                <w:rFonts w:ascii="Times New Roman" w:hAnsi="Times New Roman"/>
                <w:b/>
                <w:noProof/>
                <w:lang w:val="en-GB" w:eastAsia="nl-BE"/>
              </w:rPr>
              <w:t>Belgium</w:t>
            </w:r>
            <w:r>
              <w:rPr>
                <w:rFonts w:ascii="Times New Roman" w:hAnsi="Times New Roman"/>
                <w:noProof/>
                <w:lang w:val="en-GB" w:eastAsia="nl-BE"/>
              </w:rPr>
              <w:t xml:space="preserve"> and </w:t>
            </w:r>
            <w:r>
              <w:rPr>
                <w:rFonts w:ascii="Times New Roman" w:hAnsi="Times New Roman"/>
                <w:b/>
                <w:noProof/>
                <w:lang w:val="en-GB" w:eastAsia="nl-BE"/>
              </w:rPr>
              <w:t>Cyprus</w:t>
            </w:r>
            <w:r>
              <w:rPr>
                <w:rFonts w:ascii="Times New Roman" w:hAnsi="Times New Roman"/>
                <w:noProof/>
                <w:lang w:val="en-GB" w:eastAsia="nl-BE"/>
              </w:rPr>
              <w:t>, during the programming stage, included project beneficiaries in the public policy dialogue as well as in the negotiation process, with the aim of identifying potential investments, the impact of which was likely to produce significant</w:t>
            </w:r>
            <w:r>
              <w:rPr>
                <w:rFonts w:ascii="Times New Roman" w:hAnsi="Times New Roman"/>
                <w:noProof/>
                <w:lang w:val="en-GB" w:eastAsia="nl-BE"/>
              </w:rPr>
              <w:t xml:space="preserve"> results, at EU and national levels, beyond the Fund’s support</w:t>
            </w:r>
            <w:r>
              <w:rPr>
                <w:rStyle w:val="FootnoteReference"/>
                <w:rFonts w:ascii="Times New Roman" w:hAnsi="Times New Roman"/>
                <w:noProof/>
                <w:lang w:eastAsia="nl-BE"/>
              </w:rPr>
              <w:footnoteReference w:id="234"/>
            </w:r>
            <w:r>
              <w:rPr>
                <w:rFonts w:ascii="Times New Roman" w:hAnsi="Times New Roman"/>
                <w:noProof/>
                <w:lang w:val="en-GB" w:eastAsia="nl-BE"/>
              </w:rPr>
              <w:t>.</w:t>
            </w:r>
            <w:r>
              <w:rPr>
                <w:rFonts w:ascii="Times New Roman" w:hAnsi="Times New Roman"/>
                <w:b/>
                <w:noProof/>
                <w:lang w:val="en-GB" w:eastAsia="nl-BE"/>
              </w:rPr>
              <w:t xml:space="preserve"> Bulgaria</w:t>
            </w:r>
            <w:r>
              <w:rPr>
                <w:rFonts w:ascii="Times New Roman" w:hAnsi="Times New Roman"/>
                <w:noProof/>
                <w:lang w:val="en-GB" w:eastAsia="nl-BE"/>
              </w:rPr>
              <w:t xml:space="preserve"> sets strict sustainability requirements in its eligibility rules to apply for projects. Beneficiaries have to guarantee that they will also maintain the projects through national fun</w:t>
            </w:r>
            <w:r>
              <w:rPr>
                <w:rFonts w:ascii="Times New Roman" w:hAnsi="Times New Roman"/>
                <w:noProof/>
                <w:lang w:val="en-GB" w:eastAsia="nl-BE"/>
              </w:rPr>
              <w:t>ding after the ISF-BV fund is finished. Sustainability requirements depend on the type of equipment purchased: IT systems should be used for at least 3 years whereas helicopters, vessels, and buildings should be in use for almost 10 years</w:t>
            </w:r>
            <w:r>
              <w:rPr>
                <w:rStyle w:val="FootnoteReference"/>
                <w:rFonts w:ascii="Times New Roman" w:hAnsi="Times New Roman"/>
                <w:noProof/>
                <w:lang w:eastAsia="nl-BE"/>
              </w:rPr>
              <w:footnoteReference w:id="235"/>
            </w:r>
            <w:r>
              <w:rPr>
                <w:rFonts w:ascii="Times New Roman" w:hAnsi="Times New Roman"/>
                <w:noProof/>
                <w:lang w:val="en-GB" w:eastAsia="nl-BE"/>
              </w:rPr>
              <w:t>. In</w:t>
            </w:r>
            <w:r>
              <w:rPr>
                <w:rFonts w:ascii="Times New Roman" w:hAnsi="Times New Roman"/>
                <w:b/>
                <w:noProof/>
                <w:lang w:val="en-GB" w:eastAsia="nl-BE"/>
              </w:rPr>
              <w:t xml:space="preserve"> Malta</w:t>
            </w:r>
            <w:r>
              <w:rPr>
                <w:rFonts w:ascii="Times New Roman" w:hAnsi="Times New Roman"/>
                <w:noProof/>
                <w:lang w:val="en-GB" w:eastAsia="nl-BE"/>
              </w:rPr>
              <w:t xml:space="preserve"> benefi</w:t>
            </w:r>
            <w:r>
              <w:rPr>
                <w:rFonts w:ascii="Times New Roman" w:hAnsi="Times New Roman"/>
                <w:noProof/>
                <w:lang w:val="en-GB" w:eastAsia="nl-BE"/>
              </w:rPr>
              <w:t>ciaries are obliged to sign a declaration that ensures that the investments will be operational after the Fund’s support ends</w:t>
            </w:r>
            <w:r>
              <w:rPr>
                <w:rStyle w:val="FootnoteReference"/>
                <w:rFonts w:ascii="Times New Roman" w:hAnsi="Times New Roman"/>
                <w:noProof/>
                <w:lang w:eastAsia="nl-BE"/>
              </w:rPr>
              <w:footnoteReference w:id="236"/>
            </w:r>
            <w:r>
              <w:rPr>
                <w:rFonts w:ascii="Times New Roman" w:hAnsi="Times New Roman"/>
                <w:noProof/>
                <w:lang w:val="en-GB" w:eastAsia="nl-BE"/>
              </w:rPr>
              <w:t>.</w:t>
            </w:r>
            <w:r>
              <w:rPr>
                <w:rFonts w:ascii="Times New Roman" w:hAnsi="Times New Roman"/>
                <w:b/>
                <w:noProof/>
                <w:lang w:val="en-GB" w:eastAsia="nl-BE"/>
              </w:rPr>
              <w:t xml:space="preserve"> </w:t>
            </w:r>
            <w:r>
              <w:rPr>
                <w:rFonts w:ascii="Times New Roman" w:hAnsi="Times New Roman"/>
                <w:noProof/>
                <w:lang w:val="en-GB" w:eastAsia="nl-BE"/>
              </w:rPr>
              <w:t>In</w:t>
            </w:r>
            <w:r>
              <w:rPr>
                <w:rFonts w:ascii="Times New Roman" w:hAnsi="Times New Roman"/>
                <w:b/>
                <w:noProof/>
                <w:lang w:val="en-GB" w:eastAsia="nl-BE"/>
              </w:rPr>
              <w:t xml:space="preserve"> Poland</w:t>
            </w:r>
            <w:r>
              <w:rPr>
                <w:rFonts w:ascii="Times New Roman" w:hAnsi="Times New Roman"/>
                <w:noProof/>
                <w:lang w:val="en-GB" w:eastAsia="nl-BE"/>
              </w:rPr>
              <w:t xml:space="preserve">, beneficiaries have to demonstrate significant long-term sustainability, declaring the annual cost for the project </w:t>
            </w:r>
            <w:r>
              <w:rPr>
                <w:rFonts w:ascii="Times New Roman" w:hAnsi="Times New Roman"/>
                <w:noProof/>
                <w:lang w:val="en-GB" w:eastAsia="nl-BE"/>
              </w:rPr>
              <w:t>maintenance and their commitment in assuring it. The sustainability of the projects is measured by the Delegated Authority after the project is completed</w:t>
            </w:r>
            <w:r>
              <w:rPr>
                <w:rStyle w:val="FootnoteReference"/>
                <w:rFonts w:ascii="Times New Roman" w:hAnsi="Times New Roman"/>
                <w:noProof/>
                <w:lang w:eastAsia="nl-BE"/>
              </w:rPr>
              <w:footnoteReference w:id="237"/>
            </w:r>
            <w:r>
              <w:rPr>
                <w:rFonts w:ascii="Times New Roman" w:hAnsi="Times New Roman"/>
                <w:noProof/>
                <w:lang w:val="en-GB" w:eastAsia="nl-BE"/>
              </w:rPr>
              <w:t xml:space="preserve">. </w:t>
            </w:r>
            <w:r>
              <w:rPr>
                <w:rFonts w:ascii="Times New Roman" w:hAnsi="Times New Roman"/>
                <w:b/>
                <w:noProof/>
                <w:lang w:val="en-GB" w:eastAsia="nl-BE"/>
              </w:rPr>
              <w:t>Switzerland</w:t>
            </w:r>
            <w:r>
              <w:rPr>
                <w:rFonts w:ascii="Times New Roman" w:hAnsi="Times New Roman"/>
                <w:noProof/>
                <w:lang w:val="en-GB" w:eastAsia="nl-BE"/>
              </w:rPr>
              <w:t xml:space="preserve"> requires beneficiaries to use the infrastructure they purchase for at least 3 years</w:t>
            </w:r>
            <w:r>
              <w:rPr>
                <w:rStyle w:val="FootnoteReference"/>
                <w:rFonts w:ascii="Times New Roman" w:hAnsi="Times New Roman"/>
                <w:noProof/>
                <w:lang w:eastAsia="nl-BE"/>
              </w:rPr>
              <w:footnoteReference w:id="238"/>
            </w:r>
            <w:r>
              <w:rPr>
                <w:rFonts w:ascii="Times New Roman" w:hAnsi="Times New Roman"/>
                <w:noProof/>
                <w:lang w:val="en-GB" w:eastAsia="nl-BE"/>
              </w:rPr>
              <w:t>.</w:t>
            </w:r>
          </w:p>
        </w:tc>
      </w:tr>
    </w:tbl>
    <w:p w:rsidR="007D3598" w:rsidRDefault="007D3598">
      <w:pPr>
        <w:pStyle w:val="Body"/>
        <w:spacing w:before="0" w:after="0" w:line="240" w:lineRule="auto"/>
        <w:jc w:val="both"/>
        <w:rPr>
          <w:rFonts w:ascii="Times New Roman" w:hAnsi="Times New Roman"/>
          <w:i/>
          <w:noProof/>
          <w:sz w:val="24"/>
          <w:szCs w:val="24"/>
        </w:rPr>
      </w:pPr>
    </w:p>
    <w:p w:rsidR="007D3598" w:rsidRDefault="00F8547B">
      <w:pPr>
        <w:autoSpaceDE w:val="0"/>
        <w:autoSpaceDN w:val="0"/>
        <w:adjustRightInd w:val="0"/>
        <w:jc w:val="both"/>
        <w:rPr>
          <w:noProof/>
          <w:lang w:eastAsia="nl-BE"/>
        </w:rPr>
      </w:pPr>
      <w:r>
        <w:rPr>
          <w:noProof/>
          <w:szCs w:val="24"/>
          <w:lang w:eastAsia="nl-BE"/>
        </w:rPr>
        <w:t xml:space="preserve">As for shared management, the sustainability of investments under direct and indirect management is also ensured by other funding schemes. In particular, under direct </w:t>
      </w:r>
      <w:r>
        <w:rPr>
          <w:noProof/>
          <w:lang w:eastAsia="nl-BE"/>
        </w:rPr>
        <w:t xml:space="preserve">management it is ensured by referring to other EU Funds (i.e. AMIF), national, and other </w:t>
      </w:r>
      <w:r>
        <w:rPr>
          <w:noProof/>
          <w:lang w:eastAsia="nl-BE"/>
        </w:rPr>
        <w:t>donor’s resources as well as by the exchange of good practices and know-how among actors and other Member States. Under indirect management, the sustainability of investments is ensured by the commitment of resources under Member States national budgets as</w:t>
      </w:r>
      <w:r>
        <w:rPr>
          <w:noProof/>
          <w:lang w:eastAsia="nl-BE"/>
        </w:rPr>
        <w:t xml:space="preserve"> well as the exchange of good practice and know-how.</w:t>
      </w:r>
    </w:p>
    <w:p w:rsidR="007D3598" w:rsidRDefault="007D3598">
      <w:pPr>
        <w:autoSpaceDE w:val="0"/>
        <w:autoSpaceDN w:val="0"/>
        <w:adjustRightInd w:val="0"/>
        <w:jc w:val="both"/>
        <w:rPr>
          <w:noProof/>
          <w:szCs w:val="24"/>
          <w:lang w:eastAsia="nl-BE"/>
        </w:rPr>
      </w:pPr>
    </w:p>
    <w:p w:rsidR="007D3598" w:rsidRDefault="00F8547B">
      <w:pPr>
        <w:pStyle w:val="HH1"/>
        <w:spacing w:before="0" w:after="0"/>
        <w:contextualSpacing w:val="0"/>
        <w:rPr>
          <w:noProof/>
        </w:rPr>
      </w:pPr>
      <w:bookmarkStart w:id="950" w:name="_Toc507083615"/>
      <w:bookmarkStart w:id="951" w:name="_Toc508279335"/>
      <w:bookmarkStart w:id="952" w:name="_Toc508369319"/>
      <w:bookmarkStart w:id="953" w:name="_Toc508375530"/>
      <w:bookmarkStart w:id="954" w:name="_Toc508715381"/>
      <w:bookmarkStart w:id="955" w:name="_Toc508975887"/>
      <w:bookmarkStart w:id="956" w:name="_Toc515270151"/>
      <w:bookmarkEnd w:id="949"/>
      <w:r>
        <w:rPr>
          <w:noProof/>
        </w:rPr>
        <w:t>Conclusions and issues for further consideration</w:t>
      </w:r>
      <w:bookmarkEnd w:id="950"/>
      <w:bookmarkEnd w:id="951"/>
      <w:bookmarkEnd w:id="952"/>
      <w:bookmarkEnd w:id="953"/>
      <w:bookmarkEnd w:id="954"/>
      <w:bookmarkEnd w:id="955"/>
      <w:bookmarkEnd w:id="956"/>
    </w:p>
    <w:p w:rsidR="007D3598" w:rsidRDefault="007D3598">
      <w:pPr>
        <w:pStyle w:val="ListParagraph"/>
        <w:ind w:left="765"/>
        <w:contextualSpacing w:val="0"/>
        <w:jc w:val="both"/>
        <w:rPr>
          <w:noProof/>
          <w:szCs w:val="24"/>
          <w:highlight w:val="yellow"/>
        </w:rPr>
      </w:pPr>
    </w:p>
    <w:p w:rsidR="007D3598" w:rsidRDefault="00F8547B">
      <w:pPr>
        <w:pStyle w:val="HH2"/>
        <w:spacing w:before="0" w:after="0"/>
        <w:contextualSpacing w:val="0"/>
        <w:rPr>
          <w:noProof/>
        </w:rPr>
      </w:pPr>
      <w:bookmarkStart w:id="957" w:name="_Toc506389113"/>
      <w:bookmarkStart w:id="958" w:name="_Toc506393665"/>
      <w:bookmarkStart w:id="959" w:name="_Toc506393717"/>
      <w:bookmarkStart w:id="960" w:name="_Toc506393769"/>
      <w:bookmarkStart w:id="961" w:name="_Toc506395203"/>
      <w:bookmarkStart w:id="962" w:name="_Toc506459543"/>
      <w:bookmarkStart w:id="963" w:name="_Toc506466822"/>
      <w:bookmarkStart w:id="964" w:name="_Toc506468224"/>
      <w:bookmarkStart w:id="965" w:name="_Toc506468851"/>
      <w:bookmarkStart w:id="966" w:name="_Toc506472183"/>
      <w:bookmarkStart w:id="967" w:name="_Toc506474734"/>
      <w:bookmarkStart w:id="968" w:name="_Toc506474128"/>
      <w:bookmarkStart w:id="969" w:name="_Toc506475223"/>
      <w:bookmarkStart w:id="970" w:name="_Toc506476293"/>
      <w:bookmarkStart w:id="971" w:name="_Toc506475409"/>
      <w:bookmarkStart w:id="972" w:name="_Toc506477321"/>
      <w:bookmarkStart w:id="973" w:name="_Toc506477427"/>
      <w:bookmarkStart w:id="974" w:name="_Toc506478295"/>
      <w:bookmarkStart w:id="975" w:name="_Toc506478601"/>
      <w:bookmarkStart w:id="976" w:name="_Toc506478841"/>
      <w:bookmarkStart w:id="977" w:name="_Toc506479793"/>
      <w:bookmarkStart w:id="978" w:name="_Toc506483608"/>
      <w:bookmarkStart w:id="979" w:name="_Toc506483830"/>
      <w:bookmarkStart w:id="980" w:name="_Toc506483931"/>
      <w:bookmarkStart w:id="981" w:name="_Toc506529769"/>
      <w:bookmarkStart w:id="982" w:name="_Toc506529856"/>
      <w:bookmarkStart w:id="983" w:name="_Toc506530128"/>
      <w:bookmarkStart w:id="984" w:name="_Toc506531407"/>
      <w:bookmarkStart w:id="985" w:name="_Toc506534960"/>
      <w:bookmarkStart w:id="986" w:name="_Toc506531977"/>
      <w:bookmarkStart w:id="987" w:name="_Toc506535776"/>
      <w:bookmarkStart w:id="988" w:name="_Toc507063124"/>
      <w:bookmarkStart w:id="989" w:name="_Toc507064071"/>
      <w:bookmarkStart w:id="990" w:name="_Toc507070939"/>
      <w:bookmarkStart w:id="991" w:name="_Toc507082256"/>
      <w:bookmarkStart w:id="992" w:name="_Toc507082296"/>
      <w:bookmarkStart w:id="993" w:name="_Toc507082336"/>
      <w:bookmarkStart w:id="994" w:name="_Toc507083616"/>
      <w:bookmarkStart w:id="995" w:name="_Toc507087275"/>
      <w:bookmarkStart w:id="996" w:name="_Toc506389114"/>
      <w:bookmarkStart w:id="997" w:name="_Toc506393666"/>
      <w:bookmarkStart w:id="998" w:name="_Toc506393718"/>
      <w:bookmarkStart w:id="999" w:name="_Toc506393770"/>
      <w:bookmarkStart w:id="1000" w:name="_Toc506395204"/>
      <w:bookmarkStart w:id="1001" w:name="_Toc506459544"/>
      <w:bookmarkStart w:id="1002" w:name="_Toc506466823"/>
      <w:bookmarkStart w:id="1003" w:name="_Toc506468225"/>
      <w:bookmarkStart w:id="1004" w:name="_Toc506468852"/>
      <w:bookmarkStart w:id="1005" w:name="_Toc506472184"/>
      <w:bookmarkStart w:id="1006" w:name="_Toc506474735"/>
      <w:bookmarkStart w:id="1007" w:name="_Toc506474129"/>
      <w:bookmarkStart w:id="1008" w:name="_Toc506475224"/>
      <w:bookmarkStart w:id="1009" w:name="_Toc506476294"/>
      <w:bookmarkStart w:id="1010" w:name="_Toc506475410"/>
      <w:bookmarkStart w:id="1011" w:name="_Toc506477322"/>
      <w:bookmarkStart w:id="1012" w:name="_Toc506477428"/>
      <w:bookmarkStart w:id="1013" w:name="_Toc506478296"/>
      <w:bookmarkStart w:id="1014" w:name="_Toc506478602"/>
      <w:bookmarkStart w:id="1015" w:name="_Toc506478842"/>
      <w:bookmarkStart w:id="1016" w:name="_Toc506479794"/>
      <w:bookmarkStart w:id="1017" w:name="_Toc506483609"/>
      <w:bookmarkStart w:id="1018" w:name="_Toc506483831"/>
      <w:bookmarkStart w:id="1019" w:name="_Toc506483932"/>
      <w:bookmarkStart w:id="1020" w:name="_Toc506529770"/>
      <w:bookmarkStart w:id="1021" w:name="_Toc506529857"/>
      <w:bookmarkStart w:id="1022" w:name="_Toc506530129"/>
      <w:bookmarkStart w:id="1023" w:name="_Toc506531408"/>
      <w:bookmarkStart w:id="1024" w:name="_Toc506534961"/>
      <w:bookmarkStart w:id="1025" w:name="_Toc506531978"/>
      <w:bookmarkStart w:id="1026" w:name="_Toc506535777"/>
      <w:bookmarkStart w:id="1027" w:name="_Toc507063125"/>
      <w:bookmarkStart w:id="1028" w:name="_Toc507064072"/>
      <w:bookmarkStart w:id="1029" w:name="_Toc507070940"/>
      <w:bookmarkStart w:id="1030" w:name="_Toc507082257"/>
      <w:bookmarkStart w:id="1031" w:name="_Toc507082297"/>
      <w:bookmarkStart w:id="1032" w:name="_Toc507082337"/>
      <w:bookmarkStart w:id="1033" w:name="_Toc507083617"/>
      <w:bookmarkStart w:id="1034" w:name="_Toc507087276"/>
      <w:bookmarkStart w:id="1035" w:name="_Toc506389115"/>
      <w:bookmarkStart w:id="1036" w:name="_Toc506393667"/>
      <w:bookmarkStart w:id="1037" w:name="_Toc506393719"/>
      <w:bookmarkStart w:id="1038" w:name="_Toc506393771"/>
      <w:bookmarkStart w:id="1039" w:name="_Toc506395205"/>
      <w:bookmarkStart w:id="1040" w:name="_Toc506459545"/>
      <w:bookmarkStart w:id="1041" w:name="_Toc506466824"/>
      <w:bookmarkStart w:id="1042" w:name="_Toc506468226"/>
      <w:bookmarkStart w:id="1043" w:name="_Toc506468853"/>
      <w:bookmarkStart w:id="1044" w:name="_Toc506472185"/>
      <w:bookmarkStart w:id="1045" w:name="_Toc506474736"/>
      <w:bookmarkStart w:id="1046" w:name="_Toc506474130"/>
      <w:bookmarkStart w:id="1047" w:name="_Toc506475225"/>
      <w:bookmarkStart w:id="1048" w:name="_Toc506476295"/>
      <w:bookmarkStart w:id="1049" w:name="_Toc506475411"/>
      <w:bookmarkStart w:id="1050" w:name="_Toc506477323"/>
      <w:bookmarkStart w:id="1051" w:name="_Toc506477429"/>
      <w:bookmarkStart w:id="1052" w:name="_Toc506478297"/>
      <w:bookmarkStart w:id="1053" w:name="_Toc506478603"/>
      <w:bookmarkStart w:id="1054" w:name="_Toc506478843"/>
      <w:bookmarkStart w:id="1055" w:name="_Toc506479795"/>
      <w:bookmarkStart w:id="1056" w:name="_Toc506483610"/>
      <w:bookmarkStart w:id="1057" w:name="_Toc506483832"/>
      <w:bookmarkStart w:id="1058" w:name="_Toc506483933"/>
      <w:bookmarkStart w:id="1059" w:name="_Toc506529771"/>
      <w:bookmarkStart w:id="1060" w:name="_Toc506529858"/>
      <w:bookmarkStart w:id="1061" w:name="_Toc506530130"/>
      <w:bookmarkStart w:id="1062" w:name="_Toc506531409"/>
      <w:bookmarkStart w:id="1063" w:name="_Toc506534962"/>
      <w:bookmarkStart w:id="1064" w:name="_Toc506531979"/>
      <w:bookmarkStart w:id="1065" w:name="_Toc506535778"/>
      <w:bookmarkStart w:id="1066" w:name="_Toc507063126"/>
      <w:bookmarkStart w:id="1067" w:name="_Toc507064073"/>
      <w:bookmarkStart w:id="1068" w:name="_Toc507070941"/>
      <w:bookmarkStart w:id="1069" w:name="_Toc507082258"/>
      <w:bookmarkStart w:id="1070" w:name="_Toc507082298"/>
      <w:bookmarkStart w:id="1071" w:name="_Toc507082338"/>
      <w:bookmarkStart w:id="1072" w:name="_Toc507083618"/>
      <w:bookmarkStart w:id="1073" w:name="_Toc507087277"/>
      <w:bookmarkStart w:id="1074" w:name="_Toc508274326"/>
      <w:bookmarkStart w:id="1075" w:name="_Toc508275370"/>
      <w:bookmarkStart w:id="1076" w:name="_Toc508274327"/>
      <w:bookmarkStart w:id="1077" w:name="_Toc508275371"/>
      <w:bookmarkStart w:id="1078" w:name="_Toc508274328"/>
      <w:bookmarkStart w:id="1079" w:name="_Toc508275372"/>
      <w:bookmarkStart w:id="1080" w:name="_Toc500856915"/>
      <w:bookmarkStart w:id="1081" w:name="_Toc500858353"/>
      <w:bookmarkStart w:id="1082" w:name="_Toc500869281"/>
      <w:bookmarkStart w:id="1083" w:name="_Toc500872772"/>
      <w:bookmarkStart w:id="1084" w:name="_Toc500873073"/>
      <w:bookmarkStart w:id="1085" w:name="_Toc503465901"/>
      <w:bookmarkStart w:id="1086" w:name="_Toc504475729"/>
      <w:bookmarkStart w:id="1087" w:name="_Toc506393772"/>
      <w:bookmarkStart w:id="1088" w:name="_Toc506475226"/>
      <w:bookmarkStart w:id="1089" w:name="_Toc506478844"/>
      <w:bookmarkStart w:id="1090" w:name="_Toc506479796"/>
      <w:bookmarkStart w:id="1091" w:name="_Toc506483934"/>
      <w:bookmarkStart w:id="1092" w:name="_Toc506529859"/>
      <w:bookmarkStart w:id="1093" w:name="_Toc506531980"/>
      <w:bookmarkStart w:id="1094" w:name="_Toc507083619"/>
      <w:bookmarkStart w:id="1095" w:name="_Toc508279336"/>
      <w:bookmarkStart w:id="1096" w:name="_Toc508369320"/>
      <w:bookmarkStart w:id="1097" w:name="_Toc508375531"/>
      <w:bookmarkStart w:id="1098" w:name="_Toc508715382"/>
      <w:bookmarkStart w:id="1099" w:name="_Toc508975888"/>
      <w:bookmarkStart w:id="1100" w:name="_Toc515270152"/>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r>
        <w:rPr>
          <w:noProof/>
        </w:rPr>
        <w:t>Effectiveness</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rsidR="007D3598" w:rsidRDefault="007D3598">
      <w:pPr>
        <w:rPr>
          <w:noProof/>
        </w:rPr>
      </w:pPr>
    </w:p>
    <w:p w:rsidR="007D3598" w:rsidRDefault="00F8547B">
      <w:pPr>
        <w:jc w:val="both"/>
        <w:rPr>
          <w:noProof/>
        </w:rPr>
      </w:pPr>
      <w:bookmarkStart w:id="1101" w:name="_Toc500856916"/>
      <w:bookmarkStart w:id="1102" w:name="_Toc500858354"/>
      <w:bookmarkStart w:id="1103" w:name="_Toc500869282"/>
      <w:bookmarkStart w:id="1104" w:name="_Toc500872773"/>
      <w:bookmarkStart w:id="1105" w:name="_Toc500873074"/>
      <w:bookmarkStart w:id="1106" w:name="_Toc503465902"/>
      <w:bookmarkStart w:id="1107" w:name="_Toc504475730"/>
      <w:bookmarkStart w:id="1108" w:name="_Toc506393773"/>
      <w:bookmarkStart w:id="1109" w:name="_Toc506475227"/>
      <w:bookmarkStart w:id="1110" w:name="_Toc506478845"/>
      <w:bookmarkStart w:id="1111" w:name="_Toc506479797"/>
      <w:bookmarkStart w:id="1112" w:name="_Toc506483935"/>
      <w:bookmarkStart w:id="1113" w:name="_Toc506529860"/>
      <w:bookmarkStart w:id="1114" w:name="_Toc506531981"/>
      <w:bookmarkStart w:id="1115" w:name="_Toc507083620"/>
      <w:r>
        <w:rPr>
          <w:noProof/>
        </w:rPr>
        <w:t xml:space="preserve">Concerning the common </w:t>
      </w:r>
      <w:r>
        <w:rPr>
          <w:b/>
          <w:noProof/>
        </w:rPr>
        <w:t>visa policy</w:t>
      </w:r>
      <w:r>
        <w:rPr>
          <w:noProof/>
        </w:rPr>
        <w:t>, the Fund is considered mainly effective. The Fund helped to facilitate legitimate travel, boosting Mem</w:t>
      </w:r>
      <w:r>
        <w:rPr>
          <w:noProof/>
        </w:rPr>
        <w:t>bers States’ capacities to verify the authenticity of documents used for visa applications, to develop information system for coordinating visa applications  and procuring security equipment for consular representations in third countries. The Fund’s contr</w:t>
      </w:r>
      <w:r>
        <w:rPr>
          <w:noProof/>
        </w:rPr>
        <w:t xml:space="preserve">ibution towards consular cooperation was limited in many Member States due to the delays in starting the implementation. </w:t>
      </w:r>
      <w:r>
        <w:rPr>
          <w:noProof/>
          <w:szCs w:val="24"/>
        </w:rPr>
        <w:t>T</w:t>
      </w:r>
      <w:r>
        <w:rPr>
          <w:noProof/>
        </w:rPr>
        <w:t>raining courses targeted consular officials, police, and border guard officials engaged in developing and implementing the common visa</w:t>
      </w:r>
      <w:r>
        <w:rPr>
          <w:noProof/>
        </w:rPr>
        <w:t xml:space="preserve"> policy. The E</w:t>
      </w:r>
      <w:r>
        <w:rPr>
          <w:noProof/>
          <w:szCs w:val="24"/>
        </w:rPr>
        <w:t xml:space="preserve">U’s </w:t>
      </w:r>
      <w:r>
        <w:rPr>
          <w:i/>
          <w:noProof/>
          <w:szCs w:val="24"/>
        </w:rPr>
        <w:t>acquis</w:t>
      </w:r>
      <w:r>
        <w:rPr>
          <w:noProof/>
          <w:szCs w:val="24"/>
        </w:rPr>
        <w:t xml:space="preserve"> on visa has been supported either </w:t>
      </w:r>
      <w:r>
        <w:rPr>
          <w:noProof/>
        </w:rPr>
        <w:t>through mixed projects that also pursue other objectives, or through projects specifically targeted to this objective</w:t>
      </w:r>
      <w:r>
        <w:rPr>
          <w:noProof/>
          <w:szCs w:val="24"/>
        </w:rPr>
        <w:t>. The development of a common visa policy was also supported through the establi</w:t>
      </w:r>
      <w:r>
        <w:rPr>
          <w:noProof/>
          <w:szCs w:val="24"/>
        </w:rPr>
        <w:t>shment and operation of IT systems, particularly regarding the national Visa Information System.</w:t>
      </w:r>
      <w:r>
        <w:rPr>
          <w:noProof/>
        </w:rPr>
        <w:t xml:space="preserve"> The operating support for visa measures also proved to be extremely useful for covering those staff costs and other running costs related to implementing the E</w:t>
      </w:r>
      <w:r>
        <w:rPr>
          <w:noProof/>
        </w:rPr>
        <w:t xml:space="preserve">U’s common visa policy. </w:t>
      </w:r>
      <w:r>
        <w:rPr>
          <w:noProof/>
          <w:szCs w:val="24"/>
        </w:rPr>
        <w:t>Only a few Member States have used the Fund to strengthen their cooperation with third countries. However, the Fund allowed some Member States multiple postings of temporary liaison officers and visa experts to consulates in the thi</w:t>
      </w:r>
      <w:r>
        <w:rPr>
          <w:noProof/>
          <w:szCs w:val="24"/>
        </w:rPr>
        <w:t>rd countries and therefore improved the detection of fraudulent documents. The existence of different national rules for implementing the Fund was a factor that hindered joint projects between Member States.</w:t>
      </w:r>
    </w:p>
    <w:p w:rsidR="007D3598" w:rsidRDefault="007D3598">
      <w:pPr>
        <w:jc w:val="both"/>
        <w:rPr>
          <w:noProof/>
          <w:szCs w:val="24"/>
        </w:rPr>
      </w:pPr>
    </w:p>
    <w:p w:rsidR="007D3598" w:rsidRDefault="00F8547B">
      <w:pPr>
        <w:jc w:val="both"/>
        <w:rPr>
          <w:noProof/>
        </w:rPr>
      </w:pPr>
      <w:r>
        <w:rPr>
          <w:noProof/>
          <w:lang w:eastAsia="nl-BE"/>
        </w:rPr>
        <w:t xml:space="preserve">As regards the area of integrated </w:t>
      </w:r>
      <w:r>
        <w:rPr>
          <w:b/>
          <w:noProof/>
          <w:lang w:eastAsia="nl-BE"/>
        </w:rPr>
        <w:t xml:space="preserve">border </w:t>
      </w:r>
      <w:r>
        <w:rPr>
          <w:b/>
          <w:noProof/>
          <w:lang w:eastAsia="nl-BE"/>
        </w:rPr>
        <w:t>management</w:t>
      </w:r>
      <w:r>
        <w:rPr>
          <w:noProof/>
          <w:lang w:eastAsia="nl-BE"/>
        </w:rPr>
        <w:t xml:space="preserve">, </w:t>
      </w:r>
      <w:r>
        <w:rPr>
          <w:noProof/>
        </w:rPr>
        <w:t>the Fund is considered mainly effective in the context of t</w:t>
      </w:r>
      <w:r>
        <w:rPr>
          <w:noProof/>
          <w:lang w:eastAsia="nl-BE"/>
        </w:rPr>
        <w:t xml:space="preserve">he security and migration crisis. </w:t>
      </w:r>
      <w:r>
        <w:rPr>
          <w:noProof/>
        </w:rPr>
        <w:t>By boosting the border management capacity at the EU’s external borders, the Fund contributed to safeguarding the free movement of people within the Sc</w:t>
      </w:r>
      <w:r>
        <w:rPr>
          <w:noProof/>
        </w:rPr>
        <w:t>hengen area. The Fund contributed towards the effectiveness of external border controls by supporting measures focused on purchasing, modernising, upgrading and replacing border control and surveillance equipment. Border management capacity was addressed t</w:t>
      </w:r>
      <w:r>
        <w:rPr>
          <w:noProof/>
        </w:rPr>
        <w:t xml:space="preserve">hrough the introduction of Automated Border Control (ABC) gates. </w:t>
      </w:r>
      <w:r>
        <w:rPr>
          <w:noProof/>
          <w:color w:val="000000"/>
          <w:szCs w:val="24"/>
        </w:rPr>
        <w:t xml:space="preserve">Training activities </w:t>
      </w:r>
      <w:r>
        <w:rPr>
          <w:noProof/>
        </w:rPr>
        <w:t xml:space="preserve">co-financed by the Fund contributed to the implementation of the EU’s </w:t>
      </w:r>
      <w:r>
        <w:rPr>
          <w:i/>
          <w:noProof/>
        </w:rPr>
        <w:t>acquis</w:t>
      </w:r>
      <w:r>
        <w:rPr>
          <w:noProof/>
        </w:rPr>
        <w:t xml:space="preserve"> that </w:t>
      </w:r>
      <w:r>
        <w:rPr>
          <w:noProof/>
          <w:color w:val="000000"/>
          <w:szCs w:val="24"/>
        </w:rPr>
        <w:t xml:space="preserve">aims to improve staff awareness and competencies on border management and on using </w:t>
      </w:r>
      <w:r>
        <w:rPr>
          <w:noProof/>
          <w:color w:val="000000"/>
          <w:szCs w:val="24"/>
        </w:rPr>
        <w:t>related IT information systems. These training activities also improved the linguistic skills of the staff responsible for border management.</w:t>
      </w:r>
      <w:r>
        <w:rPr>
          <w:noProof/>
        </w:rPr>
        <w:t xml:space="preserve"> The cooperation facilitated by the Fund between Member States and between Member States and Frontex, including pur</w:t>
      </w:r>
      <w:r>
        <w:rPr>
          <w:noProof/>
        </w:rPr>
        <w:t>chases of equipment to be used in Frontex operations with the Fund’s help, contributed to solidarity and responsibility sharing. The Fund played also a significant role in developing EUROSUR</w:t>
      </w:r>
      <w:r>
        <w:rPr>
          <w:rStyle w:val="FootnoteReference"/>
          <w:noProof/>
        </w:rPr>
        <w:footnoteReference w:id="239"/>
      </w:r>
      <w:r>
        <w:rPr>
          <w:noProof/>
        </w:rPr>
        <w:t xml:space="preserve"> by co-financing activities both under national programmes and UA</w:t>
      </w:r>
      <w:r>
        <w:rPr>
          <w:noProof/>
        </w:rPr>
        <w:t xml:space="preserve">s with the objective of improving situational awareness and increasing the reaction capability at the external borders. However, </w:t>
      </w:r>
      <w:r>
        <w:rPr>
          <w:noProof/>
          <w:szCs w:val="24"/>
        </w:rPr>
        <w:t xml:space="preserve">limited progress was registered regarding promoting the development, implementation and enforcement of policies with a view of </w:t>
      </w:r>
      <w:r>
        <w:rPr>
          <w:noProof/>
          <w:szCs w:val="24"/>
        </w:rPr>
        <w:t>ensuring the absence of any controls on persons, whatever their nationality. Currently, the Fund is not supporting  Member States in the application of the non-refoulement principle.</w:t>
      </w:r>
    </w:p>
    <w:p w:rsidR="007D3598" w:rsidRDefault="007D3598">
      <w:pPr>
        <w:jc w:val="both"/>
        <w:rPr>
          <w:noProof/>
        </w:rPr>
      </w:pPr>
    </w:p>
    <w:p w:rsidR="007D3598" w:rsidRDefault="00F8547B">
      <w:pPr>
        <w:jc w:val="both"/>
        <w:rPr>
          <w:noProof/>
        </w:rPr>
      </w:pPr>
      <w:r>
        <w:rPr>
          <w:noProof/>
        </w:rPr>
        <w:t xml:space="preserve">Regarding </w:t>
      </w:r>
      <w:r>
        <w:rPr>
          <w:b/>
          <w:noProof/>
        </w:rPr>
        <w:t>direct management</w:t>
      </w:r>
      <w:r>
        <w:rPr>
          <w:noProof/>
        </w:rPr>
        <w:t>, it is very difficult to draw any conclusion</w:t>
      </w:r>
      <w:r>
        <w:rPr>
          <w:noProof/>
        </w:rPr>
        <w:t>s on the effectiveness of the action grants awarded under UAs or EMAS since very few actions have been completed in the period covered by the interim evaluation. While EMAS measures proved to be an efficient instrument to rapidly address a number of emerge</w:t>
      </w:r>
      <w:r>
        <w:rPr>
          <w:noProof/>
        </w:rPr>
        <w:t>ncy situations arising from the migration crisis, action grants under UAs proved to less popular. Member States expressed limited interest in them with few proposals received to the calls published by the Commission.</w:t>
      </w:r>
    </w:p>
    <w:p w:rsidR="007D3598" w:rsidRDefault="007D3598">
      <w:pPr>
        <w:rPr>
          <w:noProof/>
        </w:rPr>
      </w:pPr>
    </w:p>
    <w:p w:rsidR="007D3598" w:rsidRDefault="00F8547B">
      <w:pPr>
        <w:rPr>
          <w:b/>
          <w:noProof/>
        </w:rPr>
      </w:pPr>
      <w:r>
        <w:rPr>
          <w:b/>
          <w:noProof/>
        </w:rPr>
        <w:t>Issues for future consideration:</w:t>
      </w:r>
    </w:p>
    <w:p w:rsidR="007D3598" w:rsidRDefault="00F8547B">
      <w:pPr>
        <w:pStyle w:val="ListParagraph"/>
        <w:numPr>
          <w:ilvl w:val="0"/>
          <w:numId w:val="74"/>
        </w:numPr>
        <w:jc w:val="both"/>
        <w:rPr>
          <w:noProof/>
        </w:rPr>
      </w:pPr>
      <w:r>
        <w:rPr>
          <w:noProof/>
        </w:rPr>
        <w:t>The c</w:t>
      </w:r>
      <w:r>
        <w:rPr>
          <w:noProof/>
        </w:rPr>
        <w:t>urrent structure of the Fund divided into external borders and visa should be maintained.</w:t>
      </w:r>
    </w:p>
    <w:p w:rsidR="007D3598" w:rsidRDefault="00F8547B">
      <w:pPr>
        <w:pStyle w:val="ListParagraph"/>
        <w:numPr>
          <w:ilvl w:val="0"/>
          <w:numId w:val="74"/>
        </w:numPr>
        <w:jc w:val="both"/>
        <w:rPr>
          <w:noProof/>
        </w:rPr>
      </w:pPr>
      <w:r>
        <w:rPr>
          <w:noProof/>
        </w:rPr>
        <w:t>The possibility of using emergency assistance is crucial and also ensures the Fund’s responsiveness and relevance in changing circumstances.</w:t>
      </w:r>
    </w:p>
    <w:p w:rsidR="007D3598" w:rsidRDefault="007D3598">
      <w:pPr>
        <w:rPr>
          <w:noProof/>
        </w:rPr>
      </w:pPr>
    </w:p>
    <w:p w:rsidR="007D3598" w:rsidRDefault="00F8547B">
      <w:pPr>
        <w:pStyle w:val="HH2"/>
        <w:spacing w:before="0" w:after="0"/>
        <w:contextualSpacing w:val="0"/>
        <w:rPr>
          <w:noProof/>
        </w:rPr>
      </w:pPr>
      <w:bookmarkStart w:id="1116" w:name="_Toc508279337"/>
      <w:bookmarkStart w:id="1117" w:name="_Toc508369321"/>
      <w:bookmarkStart w:id="1118" w:name="_Toc508375532"/>
      <w:bookmarkStart w:id="1119" w:name="_Toc508715383"/>
      <w:bookmarkStart w:id="1120" w:name="_Toc508975889"/>
      <w:bookmarkStart w:id="1121" w:name="_Toc515270153"/>
      <w:r>
        <w:rPr>
          <w:noProof/>
        </w:rPr>
        <w:t>Efficiency</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rsidR="007D3598" w:rsidRDefault="007D3598">
      <w:pPr>
        <w:rPr>
          <w:noProof/>
        </w:rPr>
      </w:pPr>
    </w:p>
    <w:p w:rsidR="007D3598" w:rsidRDefault="00F8547B">
      <w:pPr>
        <w:jc w:val="both"/>
        <w:rPr>
          <w:noProof/>
          <w:szCs w:val="24"/>
          <w:lang w:eastAsia="en-GB"/>
        </w:rPr>
      </w:pPr>
      <w:r>
        <w:rPr>
          <w:noProof/>
          <w:szCs w:val="24"/>
          <w:lang w:eastAsia="en-GB"/>
        </w:rPr>
        <w:t>The implemen</w:t>
      </w:r>
      <w:r>
        <w:rPr>
          <w:noProof/>
          <w:szCs w:val="24"/>
          <w:lang w:eastAsia="en-GB"/>
        </w:rPr>
        <w:t xml:space="preserve">tation of the national programmes started very slowly creating challenges for evaluating the Fund’s cost-effectiveness because the majority of the projects are still ongoing. </w:t>
      </w:r>
      <w:r>
        <w:rPr>
          <w:noProof/>
          <w:lang w:eastAsia="en-GB"/>
        </w:rPr>
        <w:t>Low levels of human resources costs were associated with the pace of implementati</w:t>
      </w:r>
      <w:r>
        <w:rPr>
          <w:noProof/>
          <w:lang w:eastAsia="en-GB"/>
        </w:rPr>
        <w:t xml:space="preserve">on of the national programmes in the Member States. </w:t>
      </w:r>
      <w:r>
        <w:rPr>
          <w:noProof/>
          <w:szCs w:val="24"/>
          <w:lang w:eastAsia="en-GB"/>
        </w:rPr>
        <w:t>Overall, human resources at EU and national level show a growing or stable number of FTEs over the years from 2014 to 2017, despite the large increase in value of the EMAS and the emergency situation on t</w:t>
      </w:r>
      <w:r>
        <w:rPr>
          <w:noProof/>
          <w:szCs w:val="24"/>
          <w:lang w:eastAsia="en-GB"/>
        </w:rPr>
        <w:t>he ground following the migration crisis.</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Efficiency was ensured by means of considerable knowledge and expertise gained through experience from previous projects and the flexibility of the national programmes. Furthermore national measures concerning the</w:t>
      </w:r>
      <w:r>
        <w:rPr>
          <w:rFonts w:ascii="Times New Roman" w:hAnsi="Times New Roman"/>
          <w:noProof/>
          <w:sz w:val="24"/>
          <w:szCs w:val="24"/>
          <w:lang w:eastAsia="en-GB"/>
        </w:rPr>
        <w:t xml:space="preserve"> application, implementation, monitoring and reporting processes have been put in place in some Member States to ensure efficiency. As for the anti-fraud measures, they are generally considered as appropriate and effective.</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pStyle w:val="Body"/>
        <w:spacing w:before="0" w:after="0" w:line="240" w:lineRule="auto"/>
        <w:jc w:val="both"/>
        <w:rPr>
          <w:rFonts w:ascii="Times New Roman" w:hAnsi="Times New Roman"/>
          <w:noProof/>
          <w:sz w:val="24"/>
          <w:szCs w:val="24"/>
          <w:lang w:eastAsia="en-GB"/>
        </w:rPr>
      </w:pPr>
      <w:r>
        <w:rPr>
          <w:rFonts w:ascii="Times New Roman" w:hAnsi="Times New Roman"/>
          <w:noProof/>
          <w:sz w:val="24"/>
          <w:szCs w:val="24"/>
          <w:lang w:eastAsia="en-GB"/>
        </w:rPr>
        <w:t>There are also a number of issu</w:t>
      </w:r>
      <w:r>
        <w:rPr>
          <w:rFonts w:ascii="Times New Roman" w:hAnsi="Times New Roman"/>
          <w:noProof/>
          <w:sz w:val="24"/>
          <w:szCs w:val="24"/>
          <w:lang w:eastAsia="en-GB"/>
        </w:rPr>
        <w:t>es at Member States level that Member States deem as negatively affecting efficiency and these are: (i) requirement to allocate minimum percentages among national objectives, (ii) complex and recurrent reports, (iii) common indicators and (iv) alignment of</w:t>
      </w:r>
      <w:r>
        <w:rPr>
          <w:rFonts w:ascii="Times New Roman" w:hAnsi="Times New Roman"/>
          <w:noProof/>
          <w:sz w:val="24"/>
          <w:szCs w:val="24"/>
          <w:lang w:eastAsia="en-GB"/>
        </w:rPr>
        <w:t xml:space="preserve"> monitoring calendars.</w:t>
      </w:r>
    </w:p>
    <w:p w:rsidR="007D3598" w:rsidRDefault="007D3598">
      <w:pPr>
        <w:pStyle w:val="Body"/>
        <w:spacing w:before="0" w:after="0" w:line="240" w:lineRule="auto"/>
        <w:jc w:val="both"/>
        <w:rPr>
          <w:rFonts w:ascii="Times New Roman" w:hAnsi="Times New Roman"/>
          <w:noProof/>
          <w:sz w:val="24"/>
          <w:szCs w:val="24"/>
          <w:lang w:eastAsia="en-GB"/>
        </w:rPr>
      </w:pPr>
    </w:p>
    <w:p w:rsidR="007D3598" w:rsidRDefault="00F8547B">
      <w:pPr>
        <w:jc w:val="both"/>
        <w:rPr>
          <w:noProof/>
          <w:szCs w:val="24"/>
          <w:lang w:eastAsia="en-GB"/>
        </w:rPr>
      </w:pPr>
      <w:r>
        <w:rPr>
          <w:noProof/>
          <w:szCs w:val="24"/>
          <w:lang w:eastAsia="en-GB"/>
        </w:rPr>
        <w:t>Overall, direct and indirect management actions were deemed reasonable in terms of financial and human resources.</w:t>
      </w:r>
    </w:p>
    <w:p w:rsidR="007D3598" w:rsidRDefault="007D3598">
      <w:pPr>
        <w:jc w:val="both"/>
        <w:rPr>
          <w:noProof/>
          <w:szCs w:val="24"/>
          <w:lang w:eastAsia="en-GB"/>
        </w:rPr>
      </w:pPr>
    </w:p>
    <w:p w:rsidR="007D3598" w:rsidRDefault="00F8547B">
      <w:pPr>
        <w:rPr>
          <w:b/>
          <w:noProof/>
        </w:rPr>
      </w:pPr>
      <w:r>
        <w:rPr>
          <w:b/>
          <w:noProof/>
        </w:rPr>
        <w:t>Issues for future consideration:</w:t>
      </w:r>
    </w:p>
    <w:p w:rsidR="007D3598" w:rsidRDefault="00F8547B">
      <w:pPr>
        <w:pStyle w:val="ListParagraph"/>
        <w:numPr>
          <w:ilvl w:val="0"/>
          <w:numId w:val="74"/>
        </w:numPr>
        <w:jc w:val="both"/>
        <w:rPr>
          <w:noProof/>
        </w:rPr>
      </w:pPr>
      <w:r>
        <w:rPr>
          <w:noProof/>
          <w:szCs w:val="24"/>
          <w:lang w:eastAsia="en-GB"/>
        </w:rPr>
        <w:t>The common monitoring and evaluation framework with relevant indicators should be es</w:t>
      </w:r>
      <w:r>
        <w:rPr>
          <w:noProof/>
          <w:szCs w:val="24"/>
          <w:lang w:eastAsia="en-GB"/>
        </w:rPr>
        <w:t>tablished at the beginning of the programming period addressing for example reporting requirements.</w:t>
      </w:r>
    </w:p>
    <w:p w:rsidR="007D3598" w:rsidRDefault="00F8547B">
      <w:pPr>
        <w:pStyle w:val="ListParagraph"/>
        <w:numPr>
          <w:ilvl w:val="0"/>
          <w:numId w:val="74"/>
        </w:numPr>
        <w:jc w:val="both"/>
        <w:rPr>
          <w:noProof/>
        </w:rPr>
      </w:pPr>
      <w:r>
        <w:rPr>
          <w:noProof/>
        </w:rPr>
        <w:t>The framework for jointly implemented projects, for example, in the area of common consular cooperation should be better refined, addressing, for example, e</w:t>
      </w:r>
      <w:r>
        <w:rPr>
          <w:noProof/>
        </w:rPr>
        <w:t>ligibility rules.</w:t>
      </w:r>
    </w:p>
    <w:p w:rsidR="007D3598" w:rsidRDefault="007D3598">
      <w:pPr>
        <w:rPr>
          <w:noProof/>
        </w:rPr>
      </w:pPr>
    </w:p>
    <w:p w:rsidR="007D3598" w:rsidRDefault="00F8547B">
      <w:pPr>
        <w:pStyle w:val="HH2"/>
        <w:spacing w:before="0" w:after="0"/>
        <w:contextualSpacing w:val="0"/>
        <w:rPr>
          <w:noProof/>
        </w:rPr>
      </w:pPr>
      <w:bookmarkStart w:id="1122" w:name="_Toc500856918"/>
      <w:bookmarkStart w:id="1123" w:name="_Toc500858356"/>
      <w:bookmarkStart w:id="1124" w:name="_Toc500869284"/>
      <w:bookmarkStart w:id="1125" w:name="_Toc500872775"/>
      <w:bookmarkStart w:id="1126" w:name="_Toc500873076"/>
      <w:bookmarkStart w:id="1127" w:name="_Toc503465904"/>
      <w:bookmarkStart w:id="1128" w:name="_Toc504475732"/>
      <w:bookmarkStart w:id="1129" w:name="_Toc506393778"/>
      <w:bookmarkStart w:id="1130" w:name="_Toc506475232"/>
      <w:bookmarkStart w:id="1131" w:name="_Toc506478850"/>
      <w:bookmarkStart w:id="1132" w:name="_Toc506479802"/>
      <w:bookmarkStart w:id="1133" w:name="_Toc506483940"/>
      <w:bookmarkStart w:id="1134" w:name="_Toc506529865"/>
      <w:bookmarkStart w:id="1135" w:name="_Toc506532017"/>
      <w:bookmarkStart w:id="1136" w:name="_Toc507083625"/>
      <w:bookmarkStart w:id="1137" w:name="_Toc508279342"/>
      <w:bookmarkStart w:id="1138" w:name="_Toc508369326"/>
      <w:bookmarkStart w:id="1139" w:name="_Toc508375537"/>
      <w:bookmarkStart w:id="1140" w:name="_Toc508715388"/>
      <w:bookmarkStart w:id="1141" w:name="_Toc508975894"/>
      <w:bookmarkStart w:id="1142" w:name="_Toc515270154"/>
      <w:bookmarkStart w:id="1143" w:name="_Toc500856919"/>
      <w:bookmarkStart w:id="1144" w:name="_Toc500858357"/>
      <w:bookmarkStart w:id="1145" w:name="_Toc500869285"/>
      <w:bookmarkStart w:id="1146" w:name="_Toc500872776"/>
      <w:bookmarkStart w:id="1147" w:name="_Toc500873077"/>
      <w:bookmarkStart w:id="1148" w:name="_Toc503465905"/>
      <w:bookmarkStart w:id="1149" w:name="_Toc504475733"/>
      <w:bookmarkStart w:id="1150" w:name="_Toc506393774"/>
      <w:bookmarkStart w:id="1151" w:name="_Toc506475228"/>
      <w:bookmarkStart w:id="1152" w:name="_Toc506478846"/>
      <w:bookmarkStart w:id="1153" w:name="_Toc506479798"/>
      <w:bookmarkStart w:id="1154" w:name="_Toc506483936"/>
      <w:bookmarkStart w:id="1155" w:name="_Toc506529861"/>
      <w:bookmarkStart w:id="1156" w:name="_Toc506531982"/>
      <w:bookmarkStart w:id="1157" w:name="_Toc507083621"/>
      <w:bookmarkStart w:id="1158" w:name="_Toc508279338"/>
      <w:bookmarkStart w:id="1159" w:name="_Toc508369322"/>
      <w:bookmarkStart w:id="1160" w:name="_Toc508375533"/>
      <w:bookmarkStart w:id="1161" w:name="_Toc508715384"/>
      <w:bookmarkStart w:id="1162" w:name="_Toc508975890"/>
      <w:bookmarkStart w:id="1163" w:name="_Toc500856917"/>
      <w:bookmarkStart w:id="1164" w:name="_Toc500858355"/>
      <w:bookmarkStart w:id="1165" w:name="_Toc500869283"/>
      <w:bookmarkStart w:id="1166" w:name="_Toc500872774"/>
      <w:bookmarkStart w:id="1167" w:name="_Toc500873075"/>
      <w:bookmarkStart w:id="1168" w:name="_Toc503465903"/>
      <w:bookmarkStart w:id="1169" w:name="_Toc504475731"/>
      <w:r>
        <w:rPr>
          <w:noProof/>
        </w:rPr>
        <w:t>Simplification</w:t>
      </w:r>
      <w:bookmarkEnd w:id="1122"/>
      <w:bookmarkEnd w:id="1123"/>
      <w:bookmarkEnd w:id="1124"/>
      <w:bookmarkEnd w:id="1125"/>
      <w:bookmarkEnd w:id="1126"/>
      <w:bookmarkEnd w:id="1127"/>
      <w:bookmarkEnd w:id="1128"/>
      <w:r>
        <w:rPr>
          <w:noProof/>
        </w:rPr>
        <w:t xml:space="preserve"> of management procedures and reduction of administrative burden</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rsidR="007D3598" w:rsidRDefault="007D3598">
      <w:pPr>
        <w:pStyle w:val="Text1"/>
        <w:rPr>
          <w:noProof/>
        </w:rPr>
      </w:pPr>
      <w:bookmarkStart w:id="1170" w:name="_Toc481484483"/>
    </w:p>
    <w:p w:rsidR="007D3598" w:rsidRDefault="00F8547B">
      <w:pPr>
        <w:jc w:val="both"/>
        <w:rPr>
          <w:noProof/>
        </w:rPr>
      </w:pPr>
      <w:r>
        <w:rPr>
          <w:noProof/>
        </w:rPr>
        <w:t xml:space="preserve">Overall, the ISF-BV ensured clear progress was made towards simplifying procedures especially regarding the programming phase. Stakeholders highlighted that </w:t>
      </w:r>
      <w:r>
        <w:rPr>
          <w:noProof/>
        </w:rPr>
        <w:t>multiannual programming enabled emerging needs to be addressed throughout the seven-year timeframe and large investments to be managed in the long term. This contributed to a reduction of administrative burden raised by the annual implementation cycle. Adm</w:t>
      </w:r>
      <w:r>
        <w:rPr>
          <w:noProof/>
        </w:rPr>
        <w:t>inistrative simplification also came from the introduction of the simplified cost options, and particularly the flat rate calculation used with indirect costs, as well as from the digitalisation of reporting and communication procedures.</w:t>
      </w:r>
    </w:p>
    <w:p w:rsidR="007D3598" w:rsidRDefault="007D3598">
      <w:pPr>
        <w:jc w:val="both"/>
        <w:rPr>
          <w:noProof/>
        </w:rPr>
      </w:pPr>
    </w:p>
    <w:p w:rsidR="007D3598" w:rsidRDefault="00F8547B">
      <w:pPr>
        <w:jc w:val="both"/>
        <w:rPr>
          <w:noProof/>
        </w:rPr>
      </w:pPr>
      <w:r>
        <w:rPr>
          <w:noProof/>
        </w:rPr>
        <w:t>However, the admi</w:t>
      </w:r>
      <w:r>
        <w:rPr>
          <w:noProof/>
        </w:rPr>
        <w:t xml:space="preserve">nistrative burden is still perceived as high, as regards both the administrations responsible for managing the funds and beneficiaries. </w:t>
      </w:r>
      <w:r>
        <w:rPr>
          <w:noProof/>
          <w:szCs w:val="24"/>
          <w:lang w:eastAsia="en-GB"/>
        </w:rPr>
        <w:t xml:space="preserve">The Common Monitoring and Evaluation Framework was established too late, well after the projects had started. </w:t>
      </w:r>
      <w:r>
        <w:rPr>
          <w:noProof/>
        </w:rPr>
        <w:t>Monitoring</w:t>
      </w:r>
      <w:r>
        <w:rPr>
          <w:noProof/>
        </w:rPr>
        <w:t>, reporting, and verification measures are still perceived as burdensome and Member States ask for clearer and more detailed guidance to ease compliance with Commission requirements. Further guidance is also needed to ensure a common definition of the simp</w:t>
      </w:r>
      <w:r>
        <w:rPr>
          <w:noProof/>
        </w:rPr>
        <w:t>lified cost options that is perceived as positive but is still not clear to beneficiaries, making them reluctant to use it.</w:t>
      </w:r>
    </w:p>
    <w:p w:rsidR="007D3598" w:rsidRDefault="007D3598">
      <w:pPr>
        <w:jc w:val="both"/>
        <w:rPr>
          <w:noProof/>
        </w:rPr>
      </w:pPr>
    </w:p>
    <w:p w:rsidR="007D3598" w:rsidRDefault="00F8547B">
      <w:pPr>
        <w:jc w:val="both"/>
        <w:rPr>
          <w:noProof/>
        </w:rPr>
      </w:pPr>
      <w:r>
        <w:rPr>
          <w:noProof/>
        </w:rPr>
        <w:t>As regards direct management, procedures showed to be suitable, clear, and transparent and do not create additional burden to Membe</w:t>
      </w:r>
      <w:r>
        <w:rPr>
          <w:noProof/>
        </w:rPr>
        <w:t>r States or beneficiaries.</w:t>
      </w:r>
    </w:p>
    <w:p w:rsidR="007D3598" w:rsidRDefault="007D3598">
      <w:pPr>
        <w:pStyle w:val="Text1"/>
        <w:ind w:left="0"/>
        <w:rPr>
          <w:noProof/>
        </w:rPr>
      </w:pPr>
    </w:p>
    <w:p w:rsidR="007D3598" w:rsidRDefault="00F8547B">
      <w:pPr>
        <w:rPr>
          <w:b/>
          <w:noProof/>
        </w:rPr>
      </w:pPr>
      <w:r>
        <w:rPr>
          <w:b/>
          <w:noProof/>
        </w:rPr>
        <w:t>Issues for future consideration:</w:t>
      </w:r>
    </w:p>
    <w:p w:rsidR="007D3598" w:rsidRDefault="00F8547B">
      <w:pPr>
        <w:pStyle w:val="ListParagraph"/>
        <w:numPr>
          <w:ilvl w:val="0"/>
          <w:numId w:val="74"/>
        </w:numPr>
        <w:jc w:val="both"/>
        <w:rPr>
          <w:noProof/>
        </w:rPr>
      </w:pPr>
      <w:r>
        <w:rPr>
          <w:noProof/>
          <w:szCs w:val="24"/>
          <w:lang w:eastAsia="en-GB"/>
        </w:rPr>
        <w:t>The common monitoring and evaluation framework with relevant indicators should be established at the beginning of the programming period simplifying the processes and calendars.</w:t>
      </w:r>
    </w:p>
    <w:p w:rsidR="007D3598" w:rsidRDefault="007D3598">
      <w:pPr>
        <w:rPr>
          <w:noProof/>
        </w:rPr>
      </w:pPr>
    </w:p>
    <w:p w:rsidR="007D3598" w:rsidRDefault="00F8547B">
      <w:pPr>
        <w:pStyle w:val="HH2"/>
        <w:spacing w:before="0" w:after="0"/>
        <w:contextualSpacing w:val="0"/>
        <w:rPr>
          <w:noProof/>
        </w:rPr>
      </w:pPr>
      <w:bookmarkStart w:id="1171" w:name="_Toc515270155"/>
      <w:bookmarkEnd w:id="1170"/>
      <w:r>
        <w:rPr>
          <w:noProof/>
        </w:rPr>
        <w:t>Relevance</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71"/>
    </w:p>
    <w:p w:rsidR="007D3598" w:rsidRDefault="007D3598">
      <w:pPr>
        <w:rPr>
          <w:noProof/>
        </w:rPr>
      </w:pPr>
      <w:bookmarkStart w:id="1172" w:name="_Toc500856920"/>
      <w:bookmarkStart w:id="1173" w:name="_Toc500858358"/>
      <w:bookmarkStart w:id="1174" w:name="_Toc500869286"/>
      <w:bookmarkStart w:id="1175" w:name="_Toc500872777"/>
      <w:bookmarkStart w:id="1176" w:name="_Toc500873078"/>
      <w:bookmarkStart w:id="1177" w:name="_Toc503465906"/>
      <w:bookmarkStart w:id="1178" w:name="_Toc504475734"/>
      <w:bookmarkStart w:id="1179" w:name="_Toc506393775"/>
      <w:bookmarkStart w:id="1180" w:name="_Toc506475229"/>
      <w:bookmarkStart w:id="1181" w:name="_Toc506478847"/>
      <w:bookmarkStart w:id="1182" w:name="_Toc506479799"/>
      <w:bookmarkStart w:id="1183" w:name="_Toc506483937"/>
      <w:bookmarkStart w:id="1184" w:name="_Toc506529862"/>
      <w:bookmarkStart w:id="1185" w:name="_Toc506531983"/>
    </w:p>
    <w:p w:rsidR="007D3598" w:rsidRDefault="00F8547B">
      <w:pPr>
        <w:jc w:val="both"/>
        <w:rPr>
          <w:noProof/>
        </w:rPr>
      </w:pPr>
      <w:r>
        <w:rPr>
          <w:noProof/>
        </w:rPr>
        <w:t>The p</w:t>
      </w:r>
      <w:r>
        <w:rPr>
          <w:noProof/>
        </w:rPr>
        <w:t>riorities and objectives set by Regulation (EU) 515/2014 as well as those within the annual work programme of both EMAS and Union actions have proven to still be relevant and aligned to current needs and problems. The types of needs identified during the p</w:t>
      </w:r>
      <w:r>
        <w:rPr>
          <w:noProof/>
        </w:rPr>
        <w:t>rogramming stage did not change significantly during the Fund’s implementation and no new need or priority emerged that was not properly covered by the Fund. The main mechanisms identified to ensure the Fund’s relevance included (i) the policy dialogue and</w:t>
      </w:r>
      <w:r>
        <w:rPr>
          <w:noProof/>
        </w:rPr>
        <w:t xml:space="preserve"> the consultative method adopted during the programming stage, (ii) the monitoring role played by both the responsible authority and by the Monitoring Committee, (iii) the possibility to make budgetary adjustments and transfers, and (iv) the mid-term revie</w:t>
      </w:r>
      <w:r>
        <w:rPr>
          <w:noProof/>
        </w:rPr>
        <w:t>w of the national programmes.</w:t>
      </w:r>
    </w:p>
    <w:p w:rsidR="007D3598" w:rsidRDefault="007D3598">
      <w:pPr>
        <w:jc w:val="both"/>
        <w:rPr>
          <w:noProof/>
        </w:rPr>
      </w:pPr>
    </w:p>
    <w:p w:rsidR="007D3598" w:rsidRDefault="00F8547B">
      <w:pPr>
        <w:jc w:val="both"/>
        <w:rPr>
          <w:noProof/>
        </w:rPr>
      </w:pPr>
      <w:r>
        <w:rPr>
          <w:noProof/>
        </w:rPr>
        <w:t>The interim evaluation also shows that the Fund’s scope is sufficiently broad to enable the implementation of the necessary actions in the areas of external border management and the common policy on visa.</w:t>
      </w:r>
    </w:p>
    <w:p w:rsidR="007D3598" w:rsidRDefault="007D3598">
      <w:pPr>
        <w:jc w:val="both"/>
        <w:rPr>
          <w:noProof/>
        </w:rPr>
      </w:pPr>
    </w:p>
    <w:p w:rsidR="007D3598" w:rsidRDefault="00F8547B">
      <w:pPr>
        <w:jc w:val="both"/>
        <w:rPr>
          <w:noProof/>
        </w:rPr>
      </w:pPr>
      <w:r>
        <w:rPr>
          <w:noProof/>
        </w:rPr>
        <w:t xml:space="preserve">Despite the </w:t>
      </w:r>
      <w:r>
        <w:rPr>
          <w:noProof/>
        </w:rPr>
        <w:t>evidence gathered on the Fund’s relevance, it has been noted that more flexibility would be needed as far as the national programmes’ implementation is concerned. The main issue was found around the fragmentation of actions under multiple national objectiv</w:t>
      </w:r>
      <w:r>
        <w:rPr>
          <w:noProof/>
        </w:rPr>
        <w:t>es that prevented resources being pooled around key priorities making the implementation of cross-objective projects difficult. This has also led to an increased administrative burden as the Member States are required to report on the implementation of cro</w:t>
      </w:r>
      <w:r>
        <w:rPr>
          <w:noProof/>
        </w:rPr>
        <w:t>ss-objective actions for each national objective concerned with the action’s specific scope.</w:t>
      </w:r>
    </w:p>
    <w:p w:rsidR="007D3598" w:rsidRDefault="007D3598">
      <w:pPr>
        <w:jc w:val="both"/>
        <w:rPr>
          <w:noProof/>
        </w:rPr>
      </w:pPr>
    </w:p>
    <w:p w:rsidR="007D3598" w:rsidRDefault="00F8547B">
      <w:pPr>
        <w:rPr>
          <w:b/>
          <w:noProof/>
        </w:rPr>
      </w:pPr>
      <w:r>
        <w:rPr>
          <w:b/>
          <w:noProof/>
        </w:rPr>
        <w:t>Issues for future consideration:</w:t>
      </w:r>
    </w:p>
    <w:p w:rsidR="007D3598" w:rsidRDefault="00F8547B">
      <w:pPr>
        <w:pStyle w:val="ListParagraph"/>
        <w:numPr>
          <w:ilvl w:val="0"/>
          <w:numId w:val="74"/>
        </w:numPr>
        <w:jc w:val="both"/>
        <w:rPr>
          <w:noProof/>
        </w:rPr>
      </w:pPr>
      <w:r>
        <w:rPr>
          <w:noProof/>
        </w:rPr>
        <w:t>The Fund’s scope, which allows flexibility, should be maintained.</w:t>
      </w:r>
    </w:p>
    <w:p w:rsidR="007D3598" w:rsidRDefault="00F8547B">
      <w:pPr>
        <w:pStyle w:val="ListParagraph"/>
        <w:numPr>
          <w:ilvl w:val="0"/>
          <w:numId w:val="74"/>
        </w:numPr>
        <w:jc w:val="both"/>
        <w:rPr>
          <w:noProof/>
        </w:rPr>
      </w:pPr>
      <w:r>
        <w:rPr>
          <w:noProof/>
        </w:rPr>
        <w:t>The fragmentation of national programmes under several objectiv</w:t>
      </w:r>
      <w:r>
        <w:rPr>
          <w:noProof/>
        </w:rPr>
        <w:t>es with minimum percentages of funding should be reconsidered in order to increase flexibility.</w:t>
      </w:r>
    </w:p>
    <w:p w:rsidR="007D3598" w:rsidRDefault="007D3598">
      <w:pPr>
        <w:rPr>
          <w:noProof/>
        </w:rPr>
      </w:pPr>
    </w:p>
    <w:p w:rsidR="007D3598" w:rsidRDefault="00F8547B">
      <w:pPr>
        <w:pStyle w:val="HH2"/>
        <w:spacing w:before="0" w:after="0"/>
        <w:contextualSpacing w:val="0"/>
        <w:rPr>
          <w:noProof/>
        </w:rPr>
      </w:pPr>
      <w:bookmarkStart w:id="1186" w:name="_Toc507083622"/>
      <w:bookmarkStart w:id="1187" w:name="_Toc508279339"/>
      <w:bookmarkStart w:id="1188" w:name="_Toc508369323"/>
      <w:bookmarkStart w:id="1189" w:name="_Toc508375534"/>
      <w:bookmarkStart w:id="1190" w:name="_Toc508715385"/>
      <w:bookmarkStart w:id="1191" w:name="_Toc508975891"/>
      <w:bookmarkStart w:id="1192" w:name="_Toc515270156"/>
      <w:r>
        <w:rPr>
          <w:noProof/>
        </w:rPr>
        <w:t>Coherence</w:t>
      </w:r>
      <w:bookmarkEnd w:id="1172"/>
      <w:bookmarkEnd w:id="1173"/>
      <w:bookmarkEnd w:id="1174"/>
      <w:bookmarkEnd w:id="1175"/>
      <w:bookmarkEnd w:id="1176"/>
      <w:bookmarkEnd w:id="1177"/>
      <w:bookmarkEnd w:id="1178"/>
      <w:r>
        <w:rPr>
          <w:noProof/>
        </w:rPr>
        <w:t xml:space="preserve"> and complementarity</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rsidR="007D3598" w:rsidRDefault="007D3598">
      <w:pPr>
        <w:rPr>
          <w:noProof/>
        </w:rPr>
      </w:pPr>
      <w:bookmarkStart w:id="1193" w:name="_Toc500856921"/>
      <w:bookmarkStart w:id="1194" w:name="_Toc500858359"/>
      <w:bookmarkStart w:id="1195" w:name="_Toc500869287"/>
      <w:bookmarkStart w:id="1196" w:name="_Toc500872778"/>
      <w:bookmarkStart w:id="1197" w:name="_Toc500873079"/>
      <w:bookmarkStart w:id="1198" w:name="_Toc503465907"/>
      <w:bookmarkStart w:id="1199" w:name="_Toc504475735"/>
      <w:bookmarkStart w:id="1200" w:name="_Toc500856922"/>
      <w:bookmarkStart w:id="1201" w:name="_Toc500858360"/>
      <w:bookmarkStart w:id="1202" w:name="_Toc500869288"/>
      <w:bookmarkStart w:id="1203" w:name="_Toc500872779"/>
      <w:bookmarkStart w:id="1204" w:name="_Toc500873080"/>
      <w:bookmarkStart w:id="1205" w:name="_Toc503465908"/>
      <w:bookmarkStart w:id="1206" w:name="_Toc504475736"/>
      <w:bookmarkStart w:id="1207" w:name="_Toc506393776"/>
      <w:bookmarkStart w:id="1208" w:name="_Toc506475230"/>
      <w:bookmarkStart w:id="1209" w:name="_Toc506478848"/>
      <w:bookmarkStart w:id="1210" w:name="_Toc506479800"/>
      <w:bookmarkStart w:id="1211" w:name="_Toc506483938"/>
      <w:bookmarkStart w:id="1212" w:name="_Toc506529863"/>
      <w:bookmarkStart w:id="1213" w:name="_Toc506531984"/>
      <w:bookmarkEnd w:id="1193"/>
      <w:bookmarkEnd w:id="1194"/>
      <w:bookmarkEnd w:id="1195"/>
      <w:bookmarkEnd w:id="1196"/>
      <w:bookmarkEnd w:id="1197"/>
      <w:bookmarkEnd w:id="1198"/>
      <w:bookmarkEnd w:id="1199"/>
    </w:p>
    <w:p w:rsidR="007D3598" w:rsidRDefault="00F8547B">
      <w:pPr>
        <w:jc w:val="both"/>
        <w:rPr>
          <w:noProof/>
        </w:rPr>
      </w:pPr>
      <w:r>
        <w:rPr>
          <w:noProof/>
        </w:rPr>
        <w:t xml:space="preserve">Most assessments </w:t>
      </w:r>
      <w:r>
        <w:rPr>
          <w:noProof/>
          <w:szCs w:val="24"/>
        </w:rPr>
        <w:t>of other EU interventions carried out by Member States have taken place at the programming stage in order to en</w:t>
      </w:r>
      <w:r>
        <w:rPr>
          <w:noProof/>
          <w:szCs w:val="24"/>
        </w:rPr>
        <w:t xml:space="preserve">sure coherence and complementarity with them. Most Member States have also </w:t>
      </w:r>
      <w:r>
        <w:rPr>
          <w:noProof/>
        </w:rPr>
        <w:t>adopted different coordinating mechanisms at the implementation stage to ensure coherence and complementarity with similar interventions carried out under other EU funds. These mech</w:t>
      </w:r>
      <w:r>
        <w:rPr>
          <w:noProof/>
        </w:rPr>
        <w:t xml:space="preserve">anisms include interinstitutional exchange of information and cooperation among authorities responsible for different EU funds and specific institutional arrangements to boost their coordination and synergies. No overlapping </w:t>
      </w:r>
      <w:r>
        <w:rPr>
          <w:noProof/>
          <w:szCs w:val="24"/>
        </w:rPr>
        <w:t>has been</w:t>
      </w:r>
      <w:r>
        <w:rPr>
          <w:noProof/>
        </w:rPr>
        <w:t xml:space="preserve"> found between the ISF-</w:t>
      </w:r>
      <w:r>
        <w:rPr>
          <w:noProof/>
        </w:rPr>
        <w:t>BV and national interventions in the field of visa and borders. The design of the national programmes was based on a thorough policy dialogue between the Commission and the Member States, taking account of key needs and priorities as reported at the nation</w:t>
      </w:r>
      <w:r>
        <w:rPr>
          <w:noProof/>
        </w:rPr>
        <w:t xml:space="preserve">al level. Also, it has been claimed that </w:t>
      </w:r>
      <w:r>
        <w:rPr>
          <w:noProof/>
          <w:szCs w:val="24"/>
        </w:rPr>
        <w:t>the</w:t>
      </w:r>
      <w:r>
        <w:rPr>
          <w:noProof/>
        </w:rPr>
        <w:t xml:space="preserve"> Monitoring Committee and the Responsible Authority play a pivotal role in ensuring synergies and avoiding overlaps between the ISF-BV and other EU instruments. They did this through regular cooperation with othe</w:t>
      </w:r>
      <w:r>
        <w:rPr>
          <w:noProof/>
        </w:rPr>
        <w:t xml:space="preserve">r national institutions implementing other funds (incl. EU funds) and with </w:t>
      </w:r>
      <w:r>
        <w:rPr>
          <w:noProof/>
          <w:szCs w:val="24"/>
        </w:rPr>
        <w:t>counterparts</w:t>
      </w:r>
      <w:r>
        <w:rPr>
          <w:noProof/>
        </w:rPr>
        <w:t xml:space="preserve"> in other Member States to avoid any overlaps and double-funding.</w:t>
      </w:r>
    </w:p>
    <w:p w:rsidR="007D3598" w:rsidRDefault="007D3598">
      <w:pPr>
        <w:jc w:val="both"/>
        <w:rPr>
          <w:noProof/>
          <w:szCs w:val="24"/>
        </w:rPr>
      </w:pPr>
    </w:p>
    <w:p w:rsidR="007D3598" w:rsidRDefault="00F8547B">
      <w:pPr>
        <w:jc w:val="both"/>
        <w:rPr>
          <w:noProof/>
          <w:szCs w:val="24"/>
        </w:rPr>
      </w:pPr>
      <w:r>
        <w:rPr>
          <w:noProof/>
        </w:rPr>
        <w:t xml:space="preserve">As regards </w:t>
      </w:r>
      <w:r>
        <w:rPr>
          <w:b/>
          <w:noProof/>
        </w:rPr>
        <w:t>direct management</w:t>
      </w:r>
      <w:r>
        <w:rPr>
          <w:noProof/>
        </w:rPr>
        <w:t xml:space="preserve">, </w:t>
      </w:r>
      <w:r>
        <w:rPr>
          <w:noProof/>
          <w:lang w:eastAsia="nl-BE"/>
        </w:rPr>
        <w:t xml:space="preserve">both EMAS and UAs show they are coherent </w:t>
      </w:r>
      <w:r>
        <w:rPr>
          <w:rFonts w:cs="TimesNewRomanPSMT"/>
          <w:noProof/>
          <w:lang w:eastAsia="nl-BE"/>
        </w:rPr>
        <w:t>with</w:t>
      </w:r>
      <w:r>
        <w:rPr>
          <w:noProof/>
          <w:szCs w:val="24"/>
          <w:lang w:eastAsia="nl-BE"/>
        </w:rPr>
        <w:t xml:space="preserve"> and complementary to </w:t>
      </w:r>
      <w:r>
        <w:rPr>
          <w:noProof/>
          <w:lang w:eastAsia="nl-BE"/>
        </w:rPr>
        <w:t>actio</w:t>
      </w:r>
      <w:r>
        <w:rPr>
          <w:noProof/>
          <w:lang w:eastAsia="nl-BE"/>
        </w:rPr>
        <w:t xml:space="preserve">ns supported by other EU funds, actions supported by EU Agencies, and </w:t>
      </w:r>
      <w:r>
        <w:rPr>
          <w:noProof/>
          <w:szCs w:val="24"/>
          <w:lang w:eastAsia="nl-BE"/>
        </w:rPr>
        <w:t xml:space="preserve">other </w:t>
      </w:r>
      <w:r>
        <w:rPr>
          <w:noProof/>
          <w:lang w:eastAsia="nl-BE"/>
        </w:rPr>
        <w:t xml:space="preserve">EMAS </w:t>
      </w:r>
      <w:r>
        <w:rPr>
          <w:noProof/>
          <w:szCs w:val="24"/>
          <w:lang w:eastAsia="nl-BE"/>
        </w:rPr>
        <w:t xml:space="preserve">actions </w:t>
      </w:r>
      <w:r>
        <w:rPr>
          <w:noProof/>
          <w:lang w:eastAsia="nl-BE"/>
        </w:rPr>
        <w:t xml:space="preserve">funded under the ISF-BV. </w:t>
      </w:r>
      <w:r>
        <w:rPr>
          <w:noProof/>
          <w:szCs w:val="24"/>
          <w:lang w:eastAsia="nl-BE"/>
        </w:rPr>
        <w:t>N</w:t>
      </w:r>
      <w:r>
        <w:rPr>
          <w:noProof/>
          <w:szCs w:val="24"/>
        </w:rPr>
        <w:t>o</w:t>
      </w:r>
      <w:r>
        <w:rPr>
          <w:noProof/>
        </w:rPr>
        <w:t xml:space="preserve"> issues of overlapping between the ISF-BV’s direct management instruments and other relevant national interventions have been found. </w:t>
      </w:r>
      <w:r>
        <w:rPr>
          <w:noProof/>
          <w:szCs w:val="24"/>
        </w:rPr>
        <w:t>EMAS ac</w:t>
      </w:r>
      <w:r>
        <w:rPr>
          <w:noProof/>
          <w:szCs w:val="24"/>
        </w:rPr>
        <w:t>tions</w:t>
      </w:r>
      <w:r>
        <w:rPr>
          <w:noProof/>
        </w:rPr>
        <w:t xml:space="preserve"> generally improve and complete interventions planned at national level</w:t>
      </w:r>
      <w:r>
        <w:rPr>
          <w:noProof/>
          <w:szCs w:val="24"/>
        </w:rPr>
        <w:t xml:space="preserve"> and allow for actions to be</w:t>
      </w:r>
      <w:r>
        <w:rPr>
          <w:noProof/>
        </w:rPr>
        <w:t xml:space="preserve"> implemented</w:t>
      </w:r>
      <w:r>
        <w:rPr>
          <w:noProof/>
          <w:szCs w:val="24"/>
        </w:rPr>
        <w:t xml:space="preserve"> on a larger</w:t>
      </w:r>
      <w:r>
        <w:rPr>
          <w:noProof/>
        </w:rPr>
        <w:t xml:space="preserve"> scale</w:t>
      </w:r>
      <w:r>
        <w:rPr>
          <w:noProof/>
          <w:szCs w:val="24"/>
        </w:rPr>
        <w:t>.</w:t>
      </w:r>
    </w:p>
    <w:p w:rsidR="007D3598" w:rsidRDefault="007D3598">
      <w:pPr>
        <w:rPr>
          <w:noProof/>
        </w:rPr>
      </w:pPr>
    </w:p>
    <w:p w:rsidR="007D3598" w:rsidRDefault="00F8547B">
      <w:pPr>
        <w:rPr>
          <w:b/>
          <w:noProof/>
        </w:rPr>
      </w:pPr>
      <w:r>
        <w:rPr>
          <w:b/>
          <w:noProof/>
        </w:rPr>
        <w:t>Issues for future consideration:</w:t>
      </w:r>
    </w:p>
    <w:p w:rsidR="007D3598" w:rsidRDefault="00F8547B">
      <w:pPr>
        <w:pStyle w:val="ListParagraph"/>
        <w:numPr>
          <w:ilvl w:val="0"/>
          <w:numId w:val="74"/>
        </w:numPr>
        <w:jc w:val="both"/>
        <w:rPr>
          <w:noProof/>
        </w:rPr>
      </w:pPr>
      <w:r>
        <w:rPr>
          <w:noProof/>
        </w:rPr>
        <w:t xml:space="preserve">As coherence and complementarity were ensured at the programming stage, in future </w:t>
      </w:r>
      <w:r>
        <w:rPr>
          <w:noProof/>
        </w:rPr>
        <w:t>coordination should be intensified during implementation in order to ensure even better coherence and complementarity between different types of actions.</w:t>
      </w:r>
    </w:p>
    <w:p w:rsidR="007D3598" w:rsidRDefault="00F8547B">
      <w:pPr>
        <w:pStyle w:val="ListParagraph"/>
        <w:numPr>
          <w:ilvl w:val="0"/>
          <w:numId w:val="74"/>
        </w:numPr>
        <w:jc w:val="both"/>
        <w:rPr>
          <w:noProof/>
        </w:rPr>
      </w:pPr>
      <w:r>
        <w:rPr>
          <w:noProof/>
        </w:rPr>
        <w:t>The complementarity of emergency assistance with respective national programmes and other EU programme</w:t>
      </w:r>
      <w:r>
        <w:rPr>
          <w:noProof/>
        </w:rPr>
        <w:t>s should be ensured from the start.</w:t>
      </w:r>
    </w:p>
    <w:p w:rsidR="007D3598" w:rsidRDefault="007D3598">
      <w:pPr>
        <w:jc w:val="both"/>
        <w:rPr>
          <w:noProof/>
        </w:rPr>
      </w:pPr>
    </w:p>
    <w:p w:rsidR="007D3598" w:rsidRDefault="007D3598">
      <w:pPr>
        <w:pStyle w:val="Body"/>
        <w:spacing w:before="0" w:after="0" w:line="240" w:lineRule="auto"/>
        <w:rPr>
          <w:rFonts w:ascii="Times New Roman" w:hAnsi="Times New Roman"/>
          <w:noProof/>
          <w:lang w:eastAsia="nl-BE"/>
        </w:rPr>
      </w:pPr>
    </w:p>
    <w:p w:rsidR="007D3598" w:rsidRDefault="00F8547B">
      <w:pPr>
        <w:pStyle w:val="HH2"/>
        <w:spacing w:before="0" w:after="0"/>
        <w:contextualSpacing w:val="0"/>
        <w:rPr>
          <w:noProof/>
        </w:rPr>
      </w:pPr>
      <w:bookmarkStart w:id="1214" w:name="_Toc507083623"/>
      <w:bookmarkStart w:id="1215" w:name="_Toc508279340"/>
      <w:bookmarkStart w:id="1216" w:name="_Toc508369324"/>
      <w:bookmarkStart w:id="1217" w:name="_Toc508375535"/>
      <w:bookmarkStart w:id="1218" w:name="_Toc508715386"/>
      <w:bookmarkStart w:id="1219" w:name="_Toc508975892"/>
      <w:bookmarkStart w:id="1220" w:name="_Toc515270157"/>
      <w:r>
        <w:rPr>
          <w:noProof/>
        </w:rPr>
        <w:t>EU Added Value</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rsidR="007D3598" w:rsidRDefault="007D3598">
      <w:pPr>
        <w:rPr>
          <w:noProof/>
        </w:rPr>
      </w:pPr>
    </w:p>
    <w:p w:rsidR="007D3598" w:rsidRDefault="00F8547B">
      <w:pPr>
        <w:jc w:val="both"/>
        <w:rPr>
          <w:noProof/>
        </w:rPr>
      </w:pPr>
      <w:r>
        <w:rPr>
          <w:noProof/>
        </w:rPr>
        <w:t>The Fund’s increased cooperation among actors dealing with visa processing and border management across the EU, improving the sharing of information and practices and contributing to their harmonisation</w:t>
      </w:r>
      <w:r>
        <w:rPr>
          <w:noProof/>
        </w:rPr>
        <w:t xml:space="preserve"> at the EU level. Furthermore, the Fund bolstered the interconnection of national IT and information systems, both among the Member States and with EU systems. Training proved to be a relevant mechanism to ensure the Fund’s EU added value since it supporte</w:t>
      </w:r>
      <w:r>
        <w:rPr>
          <w:noProof/>
        </w:rPr>
        <w:t>d a common understanding of visa and border issues and related management. Operating support allowed the Member States to finance daily tasks and regular operating costs (i.e. staff, maintenance, repair costs) on both border and visa management.</w:t>
      </w:r>
    </w:p>
    <w:p w:rsidR="007D3598" w:rsidRDefault="007D3598">
      <w:pPr>
        <w:jc w:val="both"/>
        <w:rPr>
          <w:noProof/>
        </w:rPr>
      </w:pPr>
    </w:p>
    <w:p w:rsidR="007D3598" w:rsidRDefault="00F8547B">
      <w:pPr>
        <w:jc w:val="both"/>
        <w:rPr>
          <w:noProof/>
        </w:rPr>
      </w:pPr>
      <w:r>
        <w:rPr>
          <w:noProof/>
        </w:rPr>
        <w:t>From a fi</w:t>
      </w:r>
      <w:r>
        <w:rPr>
          <w:noProof/>
        </w:rPr>
        <w:t>nancial point of view, without a dedicated EU funding instrument in the areas covered by ISF-BV, national funding would not have allowed the effective and efficient funding of the actions planned. Actions would have been implemented with much more difficul</w:t>
      </w:r>
      <w:r>
        <w:rPr>
          <w:noProof/>
        </w:rPr>
        <w:t>ty. They would not have been implemented on the scale nor in the timeframe planned due to insufficient national resources.</w:t>
      </w:r>
    </w:p>
    <w:p w:rsidR="007D3598" w:rsidRDefault="007D3598">
      <w:pPr>
        <w:jc w:val="both"/>
        <w:rPr>
          <w:noProof/>
        </w:rPr>
      </w:pPr>
    </w:p>
    <w:p w:rsidR="007D3598" w:rsidRDefault="00F8547B">
      <w:pPr>
        <w:jc w:val="both"/>
        <w:rPr>
          <w:noProof/>
          <w:szCs w:val="24"/>
        </w:rPr>
      </w:pPr>
      <w:r>
        <w:rPr>
          <w:noProof/>
          <w:szCs w:val="24"/>
        </w:rPr>
        <w:t xml:space="preserve">A higher EU added value could have been expected in areas of consular cooperation, cooperation with third countries and IT systems, </w:t>
      </w:r>
      <w:r>
        <w:rPr>
          <w:noProof/>
          <w:szCs w:val="24"/>
        </w:rPr>
        <w:t>especially in light of the Fund’s objectives and related EU commitment.</w:t>
      </w:r>
    </w:p>
    <w:p w:rsidR="007D3598" w:rsidRDefault="007D3598">
      <w:pPr>
        <w:jc w:val="both"/>
        <w:rPr>
          <w:noProof/>
        </w:rPr>
      </w:pPr>
    </w:p>
    <w:p w:rsidR="007D3598" w:rsidRDefault="00F8547B">
      <w:pPr>
        <w:jc w:val="both"/>
        <w:rPr>
          <w:noProof/>
          <w:szCs w:val="24"/>
        </w:rPr>
      </w:pPr>
      <w:r>
        <w:rPr>
          <w:noProof/>
        </w:rPr>
        <w:t>As regards direct management, without the resources provided by EMAS and UAs, national funding on its own would have resulted in a much more difficult and smaller scale implementation</w:t>
      </w:r>
      <w:r>
        <w:rPr>
          <w:noProof/>
        </w:rPr>
        <w:t xml:space="preserve">, with a lower general impact. The Fund’s main advantages entailed by these measures included higher cooperation both </w:t>
      </w:r>
      <w:r>
        <w:rPr>
          <w:noProof/>
          <w:szCs w:val="24"/>
        </w:rPr>
        <w:t>across and within Member States, including the sharing of information, know-how and good practices as well as better private-public collab</w:t>
      </w:r>
      <w:r>
        <w:rPr>
          <w:noProof/>
          <w:szCs w:val="24"/>
        </w:rPr>
        <w:t>oration. This allowed for a prompt and efficient handling of migration flows and related emergencies.</w:t>
      </w:r>
    </w:p>
    <w:p w:rsidR="007D3598" w:rsidRDefault="007D3598">
      <w:pPr>
        <w:jc w:val="both"/>
        <w:rPr>
          <w:noProof/>
          <w:szCs w:val="24"/>
        </w:rPr>
      </w:pPr>
    </w:p>
    <w:p w:rsidR="007D3598" w:rsidRDefault="00F8547B">
      <w:pPr>
        <w:pStyle w:val="Body"/>
        <w:spacing w:before="0" w:after="0" w:line="240" w:lineRule="auto"/>
        <w:jc w:val="both"/>
        <w:rPr>
          <w:noProof/>
        </w:rPr>
      </w:pPr>
      <w:r>
        <w:rPr>
          <w:rFonts w:ascii="Times New Roman" w:hAnsi="Times New Roman"/>
          <w:noProof/>
          <w:sz w:val="24"/>
          <w:szCs w:val="24"/>
        </w:rPr>
        <w:t>Actions funded under indirect management consisted of allocating some resources to specific bodies and institutions, which allowed them to extend the sco</w:t>
      </w:r>
      <w:r>
        <w:rPr>
          <w:rFonts w:ascii="Times New Roman" w:hAnsi="Times New Roman"/>
          <w:noProof/>
          <w:sz w:val="24"/>
          <w:szCs w:val="24"/>
        </w:rPr>
        <w:t>pe of their activities by complementing Commission and national actions requiring a high level of expertise and knowledge. This mechanism provided EU added value by strengthening existing synergies between stakeholders at different levels (international, E</w:t>
      </w:r>
      <w:r>
        <w:rPr>
          <w:rFonts w:ascii="Times New Roman" w:hAnsi="Times New Roman"/>
          <w:noProof/>
          <w:sz w:val="24"/>
          <w:szCs w:val="24"/>
        </w:rPr>
        <w:t>U, Member States) and therefore developing a coherent EU response to emerging challenges.</w:t>
      </w:r>
    </w:p>
    <w:p w:rsidR="007D3598" w:rsidRDefault="007D3598">
      <w:pPr>
        <w:jc w:val="both"/>
        <w:rPr>
          <w:noProof/>
        </w:rPr>
      </w:pPr>
    </w:p>
    <w:p w:rsidR="007D3598" w:rsidRDefault="00F8547B">
      <w:pPr>
        <w:rPr>
          <w:b/>
          <w:noProof/>
        </w:rPr>
      </w:pPr>
      <w:r>
        <w:rPr>
          <w:b/>
          <w:noProof/>
        </w:rPr>
        <w:t>Issues for future consideration:</w:t>
      </w:r>
    </w:p>
    <w:p w:rsidR="007D3598" w:rsidRDefault="00F8547B">
      <w:pPr>
        <w:pStyle w:val="ListParagraph"/>
        <w:numPr>
          <w:ilvl w:val="0"/>
          <w:numId w:val="74"/>
        </w:numPr>
        <w:jc w:val="both"/>
        <w:rPr>
          <w:noProof/>
        </w:rPr>
      </w:pPr>
      <w:r>
        <w:rPr>
          <w:noProof/>
        </w:rPr>
        <w:t xml:space="preserve">Support through ISF-BV and all its instruments should be continued which would send a clear message on the importance of solidarity </w:t>
      </w:r>
      <w:r>
        <w:rPr>
          <w:noProof/>
        </w:rPr>
        <w:t>and cooperation between Member States in order to manage the EU’s external borders effectively.</w:t>
      </w:r>
    </w:p>
    <w:p w:rsidR="007D3598" w:rsidRDefault="007D3598">
      <w:pPr>
        <w:rPr>
          <w:noProof/>
        </w:rPr>
      </w:pPr>
    </w:p>
    <w:p w:rsidR="007D3598" w:rsidRDefault="00F8547B">
      <w:pPr>
        <w:pStyle w:val="HH2"/>
        <w:spacing w:before="0" w:after="0"/>
        <w:contextualSpacing w:val="0"/>
        <w:rPr>
          <w:noProof/>
        </w:rPr>
      </w:pPr>
      <w:bookmarkStart w:id="1221" w:name="_Toc506393777"/>
      <w:bookmarkStart w:id="1222" w:name="_Toc506475231"/>
      <w:bookmarkStart w:id="1223" w:name="_Toc506478849"/>
      <w:bookmarkStart w:id="1224" w:name="_Toc506479801"/>
      <w:bookmarkStart w:id="1225" w:name="_Toc506483939"/>
      <w:bookmarkStart w:id="1226" w:name="_Toc506529864"/>
      <w:bookmarkStart w:id="1227" w:name="_Toc506531985"/>
      <w:bookmarkStart w:id="1228" w:name="_Toc507083624"/>
      <w:bookmarkStart w:id="1229" w:name="_Toc508279341"/>
      <w:bookmarkStart w:id="1230" w:name="_Toc508369325"/>
      <w:bookmarkStart w:id="1231" w:name="_Toc508375536"/>
      <w:bookmarkStart w:id="1232" w:name="_Toc508715387"/>
      <w:bookmarkStart w:id="1233" w:name="_Toc508975893"/>
      <w:bookmarkStart w:id="1234" w:name="_Toc515270158"/>
      <w:r>
        <w:rPr>
          <w:noProof/>
        </w:rPr>
        <w:t>Sustainability</w:t>
      </w:r>
      <w:bookmarkEnd w:id="1163"/>
      <w:bookmarkEnd w:id="1164"/>
      <w:bookmarkEnd w:id="1165"/>
      <w:bookmarkEnd w:id="1166"/>
      <w:bookmarkEnd w:id="1167"/>
      <w:bookmarkEnd w:id="1168"/>
      <w:bookmarkEnd w:id="1169"/>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rsidR="007D3598" w:rsidRDefault="007D3598">
      <w:pPr>
        <w:rPr>
          <w:noProof/>
        </w:rPr>
      </w:pPr>
    </w:p>
    <w:p w:rsidR="007D3598" w:rsidRDefault="00F8547B">
      <w:pPr>
        <w:pStyle w:val="Body"/>
        <w:spacing w:before="0" w:after="0" w:line="240" w:lineRule="auto"/>
        <w:jc w:val="both"/>
        <w:rPr>
          <w:rFonts w:ascii="Times New Roman" w:hAnsi="Times New Roman"/>
          <w:noProof/>
          <w:sz w:val="24"/>
        </w:rPr>
      </w:pPr>
      <w:r>
        <w:rPr>
          <w:rFonts w:ascii="Times New Roman" w:hAnsi="Times New Roman"/>
          <w:noProof/>
          <w:sz w:val="24"/>
        </w:rPr>
        <w:t>The majority of Member States did not report any evidence on the sustainability of projects. Some Member States reported that they took care of</w:t>
      </w:r>
      <w:r>
        <w:rPr>
          <w:rFonts w:ascii="Times New Roman" w:hAnsi="Times New Roman"/>
          <w:noProof/>
          <w:sz w:val="24"/>
        </w:rPr>
        <w:t xml:space="preserve"> sustainability in the programming stage, by requesting beneficiaries to demonstrate their commitment to maintaining the projects even after the ISF. According to the national evaluation reports, only five Member States committed to the sustainability of t</w:t>
      </w:r>
      <w:r>
        <w:rPr>
          <w:rFonts w:ascii="Times New Roman" w:hAnsi="Times New Roman"/>
          <w:noProof/>
          <w:sz w:val="24"/>
        </w:rPr>
        <w:t>he implemented actions.</w:t>
      </w:r>
    </w:p>
    <w:p w:rsidR="007D3598" w:rsidRDefault="007D3598">
      <w:pPr>
        <w:pStyle w:val="Body"/>
        <w:spacing w:before="0" w:after="0" w:line="240" w:lineRule="auto"/>
        <w:jc w:val="both"/>
        <w:rPr>
          <w:rFonts w:ascii="Times New Roman" w:hAnsi="Times New Roman"/>
          <w:noProof/>
          <w:sz w:val="24"/>
        </w:rPr>
      </w:pPr>
    </w:p>
    <w:p w:rsidR="007D3598" w:rsidRDefault="00F8547B">
      <w:pPr>
        <w:pStyle w:val="Body"/>
        <w:spacing w:before="0" w:after="0" w:line="240" w:lineRule="auto"/>
        <w:jc w:val="both"/>
        <w:rPr>
          <w:rFonts w:ascii="Times New Roman" w:hAnsi="Times New Roman"/>
          <w:noProof/>
          <w:sz w:val="24"/>
          <w:szCs w:val="24"/>
        </w:rPr>
      </w:pPr>
      <w:r>
        <w:rPr>
          <w:rFonts w:ascii="Times New Roman" w:hAnsi="Times New Roman"/>
          <w:noProof/>
          <w:sz w:val="24"/>
          <w:szCs w:val="24"/>
          <w:lang w:eastAsia="nl-BE"/>
        </w:rPr>
        <w:t xml:space="preserve">Many </w:t>
      </w:r>
      <w:r>
        <w:rPr>
          <w:rFonts w:ascii="Times New Roman" w:hAnsi="Times New Roman"/>
          <w:noProof/>
          <w:sz w:val="24"/>
          <w:szCs w:val="24"/>
        </w:rPr>
        <w:t>ISF-BV actions are long-term actions by their nature, since they are generally designed to remain operational beyond the Fund’s support (</w:t>
      </w:r>
      <w:r>
        <w:rPr>
          <w:rFonts w:ascii="Times New Roman" w:hAnsi="Times New Roman"/>
          <w:noProof/>
          <w:sz w:val="24"/>
          <w:szCs w:val="24"/>
          <w:lang w:eastAsia="nl-BE"/>
        </w:rPr>
        <w:t xml:space="preserve">investments in infrastructure, facilities, and IT systems). ISF-BV-funded training </w:t>
      </w:r>
      <w:r>
        <w:rPr>
          <w:rFonts w:ascii="Times New Roman" w:hAnsi="Times New Roman"/>
          <w:noProof/>
          <w:sz w:val="24"/>
          <w:szCs w:val="24"/>
        </w:rPr>
        <w:t xml:space="preserve">sessions and cooperation mechanisms contributed to the sustainability of actions through improving expertise, knowledge, and the qualifications of staff involved in managing and implementing projects. </w:t>
      </w:r>
      <w:r>
        <w:rPr>
          <w:rFonts w:ascii="Times New Roman" w:hAnsi="Times New Roman"/>
          <w:noProof/>
          <w:sz w:val="24"/>
          <w:szCs w:val="24"/>
          <w:lang w:eastAsia="nl-BE"/>
        </w:rPr>
        <w:t>In conclusion, the</w:t>
      </w:r>
      <w:r>
        <w:rPr>
          <w:rFonts w:ascii="Times New Roman" w:hAnsi="Times New Roman"/>
          <w:noProof/>
          <w:sz w:val="24"/>
          <w:szCs w:val="24"/>
        </w:rPr>
        <w:t xml:space="preserve"> effects achieved through the Fund’s </w:t>
      </w:r>
      <w:r>
        <w:rPr>
          <w:rFonts w:ascii="Times New Roman" w:hAnsi="Times New Roman"/>
          <w:noProof/>
          <w:sz w:val="24"/>
          <w:szCs w:val="24"/>
        </w:rPr>
        <w:t>support are also expected to continue after the Fund has finished, relying greatly on future EU funding and also national budgets to ensure the continuity of interventions and related impacts.</w:t>
      </w:r>
    </w:p>
    <w:p w:rsidR="007D3598" w:rsidRDefault="007D3598">
      <w:pPr>
        <w:pStyle w:val="Body"/>
        <w:spacing w:before="0" w:after="0" w:line="240" w:lineRule="auto"/>
        <w:jc w:val="both"/>
        <w:rPr>
          <w:rFonts w:ascii="Times New Roman" w:hAnsi="Times New Roman"/>
          <w:noProof/>
          <w:sz w:val="24"/>
          <w:szCs w:val="24"/>
          <w:lang w:eastAsia="nl-BE"/>
        </w:rPr>
      </w:pPr>
    </w:p>
    <w:p w:rsidR="007D3598" w:rsidRDefault="00F8547B">
      <w:pPr>
        <w:pStyle w:val="Body"/>
        <w:spacing w:before="0" w:after="0" w:line="240" w:lineRule="auto"/>
        <w:jc w:val="both"/>
        <w:rPr>
          <w:rFonts w:ascii="Times New Roman" w:hAnsi="Times New Roman"/>
          <w:noProof/>
        </w:rPr>
      </w:pPr>
      <w:r>
        <w:rPr>
          <w:rFonts w:ascii="Times New Roman" w:hAnsi="Times New Roman"/>
          <w:noProof/>
          <w:sz w:val="24"/>
        </w:rPr>
        <w:t>Under direct and indirect management, sustainability of action</w:t>
      </w:r>
      <w:r>
        <w:rPr>
          <w:rFonts w:ascii="Times New Roman" w:hAnsi="Times New Roman"/>
          <w:noProof/>
          <w:sz w:val="24"/>
        </w:rPr>
        <w:t>s depends on complementary EU, national or other donor funding.</w:t>
      </w:r>
    </w:p>
    <w:p w:rsidR="007D3598" w:rsidRDefault="007D3598">
      <w:pPr>
        <w:rPr>
          <w:noProof/>
        </w:rPr>
      </w:pPr>
    </w:p>
    <w:p w:rsidR="007D3598" w:rsidRDefault="00F8547B">
      <w:pPr>
        <w:rPr>
          <w:b/>
          <w:noProof/>
        </w:rPr>
      </w:pPr>
      <w:r>
        <w:rPr>
          <w:b/>
          <w:noProof/>
        </w:rPr>
        <w:t>Issues for future consideration:</w:t>
      </w:r>
    </w:p>
    <w:p w:rsidR="007D3598" w:rsidRDefault="00F8547B">
      <w:pPr>
        <w:pStyle w:val="Bulletpointslist"/>
        <w:numPr>
          <w:ilvl w:val="0"/>
          <w:numId w:val="74"/>
        </w:numPr>
        <w:spacing w:after="0"/>
        <w:rPr>
          <w:noProof/>
        </w:rPr>
      </w:pPr>
      <w:r>
        <w:rPr>
          <w:noProof/>
        </w:rPr>
        <w:t xml:space="preserve">Sustainability, in terms of both financial sustainability and the effects of sustainability, should be taken into account at the project design and selection </w:t>
      </w:r>
      <w:r>
        <w:rPr>
          <w:noProof/>
        </w:rPr>
        <w:t>stage.</w:t>
      </w:r>
    </w:p>
    <w:p w:rsidR="007D3598" w:rsidRDefault="00F8547B">
      <w:pPr>
        <w:pStyle w:val="Bulletpointslist"/>
        <w:numPr>
          <w:ilvl w:val="0"/>
          <w:numId w:val="74"/>
        </w:numPr>
        <w:spacing w:after="0"/>
        <w:rPr>
          <w:iCs/>
          <w:noProof/>
        </w:rPr>
      </w:pPr>
      <w:r>
        <w:rPr>
          <w:noProof/>
        </w:rPr>
        <w:t>Disseminating information and supporting the uptake of good practices by other projects should further improve sustainability</w:t>
      </w:r>
      <w:r>
        <w:rPr>
          <w:iCs/>
          <w:noProof/>
        </w:rPr>
        <w:t>.</w:t>
      </w:r>
    </w:p>
    <w:p w:rsidR="007D3598" w:rsidRDefault="007D3598">
      <w:pPr>
        <w:rPr>
          <w:noProof/>
        </w:rPr>
      </w:pPr>
    </w:p>
    <w:p w:rsidR="007D3598" w:rsidRDefault="007D3598">
      <w:pPr>
        <w:rPr>
          <w:noProof/>
        </w:rPr>
      </w:pPr>
    </w:p>
    <w:p w:rsidR="007D3598" w:rsidRDefault="00F8547B">
      <w:pPr>
        <w:rPr>
          <w:b/>
          <w:smallCaps/>
          <w:noProof/>
          <w:color w:val="365F91" w:themeColor="accent1" w:themeShade="BF"/>
          <w:sz w:val="32"/>
          <w:szCs w:val="32"/>
        </w:rPr>
      </w:pPr>
      <w:bookmarkStart w:id="1235" w:name="_Toc504475737"/>
      <w:bookmarkStart w:id="1236" w:name="_Toc471997754"/>
      <w:bookmarkStart w:id="1237" w:name="_Toc481484484"/>
      <w:bookmarkStart w:id="1238" w:name="_Toc506393780"/>
      <w:bookmarkStart w:id="1239" w:name="_Toc506475234"/>
      <w:bookmarkStart w:id="1240" w:name="_Toc506478852"/>
      <w:bookmarkStart w:id="1241" w:name="_Toc506479804"/>
      <w:bookmarkStart w:id="1242" w:name="_Toc506483942"/>
      <w:bookmarkStart w:id="1243" w:name="_Toc506529867"/>
      <w:bookmarkStart w:id="1244" w:name="_Toc506532019"/>
      <w:bookmarkStart w:id="1245" w:name="_Toc507083626"/>
      <w:bookmarkStart w:id="1246" w:name="_Toc508279343"/>
      <w:bookmarkStart w:id="1247" w:name="_Toc508369327"/>
      <w:bookmarkStart w:id="1248" w:name="_Toc508375538"/>
      <w:bookmarkStart w:id="1249" w:name="_Toc508715389"/>
      <w:bookmarkStart w:id="1250" w:name="_Toc508975895"/>
      <w:r>
        <w:rPr>
          <w:noProof/>
        </w:rPr>
        <w:br w:type="page"/>
      </w:r>
    </w:p>
    <w:p w:rsidR="007D3598" w:rsidRDefault="00F8547B">
      <w:pPr>
        <w:pStyle w:val="HH1"/>
        <w:numPr>
          <w:ilvl w:val="0"/>
          <w:numId w:val="0"/>
        </w:numPr>
        <w:spacing w:before="0" w:after="0"/>
        <w:contextualSpacing w:val="0"/>
        <w:rPr>
          <w:rFonts w:eastAsiaTheme="minorHAnsi"/>
          <w:noProof/>
        </w:rPr>
      </w:pPr>
      <w:bookmarkStart w:id="1251" w:name="_Toc515270159"/>
      <w:r>
        <w:rPr>
          <w:noProof/>
        </w:rPr>
        <w:t>Annex 1: Procedural information</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rsidR="007D3598" w:rsidRDefault="007D3598">
      <w:pPr>
        <w:rPr>
          <w:rFonts w:eastAsiaTheme="minorHAnsi"/>
          <w:noProof/>
        </w:rPr>
      </w:pPr>
    </w:p>
    <w:tbl>
      <w:tblPr>
        <w:tblStyle w:val="TableGrid"/>
        <w:tblW w:w="0" w:type="auto"/>
        <w:tblLook w:val="04A0" w:firstRow="1" w:lastRow="0" w:firstColumn="1" w:lastColumn="0" w:noHBand="0" w:noVBand="1"/>
      </w:tblPr>
      <w:tblGrid>
        <w:gridCol w:w="3652"/>
        <w:gridCol w:w="6095"/>
      </w:tblGrid>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Leading Directorate-General</w:t>
            </w:r>
          </w:p>
        </w:tc>
        <w:tc>
          <w:tcPr>
            <w:tcW w:w="6095" w:type="dxa"/>
          </w:tcPr>
          <w:p w:rsidR="007D3598" w:rsidRDefault="00F8547B">
            <w:pPr>
              <w:pStyle w:val="NormalWeb"/>
              <w:spacing w:before="0" w:beforeAutospacing="0" w:after="0" w:afterAutospacing="0"/>
              <w:jc w:val="both"/>
              <w:rPr>
                <w:noProof/>
              </w:rPr>
            </w:pPr>
            <w:r>
              <w:rPr>
                <w:noProof/>
              </w:rPr>
              <w:t>the Commission</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Participating units of the Commission</w:t>
            </w:r>
          </w:p>
        </w:tc>
        <w:tc>
          <w:tcPr>
            <w:tcW w:w="6095" w:type="dxa"/>
          </w:tcPr>
          <w:p w:rsidR="007D3598" w:rsidRDefault="00F8547B">
            <w:pPr>
              <w:pStyle w:val="NormalWeb"/>
              <w:spacing w:before="0" w:beforeAutospacing="0" w:after="0" w:afterAutospacing="0"/>
              <w:jc w:val="both"/>
              <w:rPr>
                <w:noProof/>
              </w:rPr>
            </w:pPr>
            <w:r>
              <w:rPr>
                <w:noProof/>
              </w:rPr>
              <w:t xml:space="preserve">A2 </w:t>
            </w:r>
            <w:r>
              <w:rPr>
                <w:noProof/>
              </w:rPr>
              <w:t>— Legal Affairs</w:t>
            </w:r>
          </w:p>
          <w:p w:rsidR="007D3598" w:rsidRDefault="00F8547B">
            <w:pPr>
              <w:pStyle w:val="NormalWeb"/>
              <w:spacing w:before="0" w:beforeAutospacing="0" w:after="0" w:afterAutospacing="0"/>
              <w:jc w:val="both"/>
              <w:rPr>
                <w:noProof/>
              </w:rPr>
            </w:pPr>
            <w:r>
              <w:rPr>
                <w:noProof/>
              </w:rPr>
              <w:t>B2 — Visa Policy and document security</w:t>
            </w:r>
          </w:p>
          <w:p w:rsidR="007D3598" w:rsidRDefault="00F8547B">
            <w:pPr>
              <w:pStyle w:val="NormalWeb"/>
              <w:spacing w:before="0" w:beforeAutospacing="0" w:after="0" w:afterAutospacing="0"/>
              <w:jc w:val="both"/>
              <w:rPr>
                <w:noProof/>
              </w:rPr>
            </w:pPr>
            <w:r>
              <w:rPr>
                <w:noProof/>
              </w:rPr>
              <w:t>B3 — Information Systems for Borders and Security</w:t>
            </w:r>
          </w:p>
          <w:p w:rsidR="007D3598" w:rsidRDefault="00F8547B">
            <w:pPr>
              <w:pStyle w:val="NormalWeb"/>
              <w:spacing w:before="0" w:beforeAutospacing="0" w:after="0" w:afterAutospacing="0"/>
              <w:jc w:val="both"/>
              <w:rPr>
                <w:noProof/>
              </w:rPr>
            </w:pPr>
            <w:r>
              <w:rPr>
                <w:noProof/>
              </w:rPr>
              <w:t>C2 — Border Management and Schengen</w:t>
            </w:r>
          </w:p>
          <w:p w:rsidR="007D3598" w:rsidRDefault="00F8547B">
            <w:pPr>
              <w:pStyle w:val="NormalWeb"/>
              <w:spacing w:before="0" w:beforeAutospacing="0" w:after="0" w:afterAutospacing="0"/>
              <w:jc w:val="both"/>
              <w:rPr>
                <w:noProof/>
              </w:rPr>
            </w:pPr>
            <w:r>
              <w:rPr>
                <w:noProof/>
              </w:rPr>
              <w:t>E1 — Union Actions</w:t>
            </w:r>
          </w:p>
          <w:p w:rsidR="007D3598" w:rsidRDefault="00F8547B">
            <w:pPr>
              <w:pStyle w:val="NormalWeb"/>
              <w:spacing w:before="0" w:beforeAutospacing="0" w:after="0" w:afterAutospacing="0"/>
              <w:jc w:val="both"/>
              <w:rPr>
                <w:noProof/>
              </w:rPr>
            </w:pPr>
            <w:r>
              <w:rPr>
                <w:noProof/>
              </w:rPr>
              <w:t>E2 — National programmes for south and east Europe, evaluation, AMF/ISF Committee</w:t>
            </w:r>
          </w:p>
          <w:p w:rsidR="007D3598" w:rsidRDefault="00F8547B">
            <w:pPr>
              <w:pStyle w:val="NormalWeb"/>
              <w:spacing w:before="0" w:beforeAutospacing="0" w:after="0" w:afterAutospacing="0"/>
              <w:jc w:val="both"/>
              <w:rPr>
                <w:noProof/>
              </w:rPr>
            </w:pPr>
            <w:r>
              <w:rPr>
                <w:noProof/>
              </w:rPr>
              <w:t xml:space="preserve">E3 — National </w:t>
            </w:r>
            <w:r>
              <w:rPr>
                <w:noProof/>
              </w:rPr>
              <w:t>programmes for north and west Europe, budget, MFF, agencies</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 xml:space="preserve">Participating DGs in ISSG </w:t>
            </w:r>
          </w:p>
        </w:tc>
        <w:tc>
          <w:tcPr>
            <w:tcW w:w="6095" w:type="dxa"/>
          </w:tcPr>
          <w:p w:rsidR="007D3598" w:rsidRDefault="00F8547B">
            <w:pPr>
              <w:pStyle w:val="NormalWeb"/>
              <w:spacing w:before="0" w:beforeAutospacing="0" w:after="0" w:afterAutospacing="0"/>
              <w:jc w:val="both"/>
              <w:rPr>
                <w:noProof/>
              </w:rPr>
            </w:pPr>
            <w:r>
              <w:rPr>
                <w:noProof/>
              </w:rPr>
              <w:t>Secretariat-General</w:t>
            </w:r>
          </w:p>
          <w:p w:rsidR="007D3598" w:rsidRDefault="00F8547B">
            <w:pPr>
              <w:pStyle w:val="NormalWeb"/>
              <w:spacing w:before="0" w:beforeAutospacing="0" w:after="0" w:afterAutospacing="0"/>
              <w:jc w:val="both"/>
              <w:rPr>
                <w:noProof/>
              </w:rPr>
            </w:pPr>
            <w:r>
              <w:rPr>
                <w:noProof/>
              </w:rPr>
              <w:t>DG BUDG</w:t>
            </w:r>
          </w:p>
          <w:p w:rsidR="007D3598" w:rsidRDefault="00F8547B">
            <w:pPr>
              <w:pStyle w:val="NormalWeb"/>
              <w:spacing w:before="0" w:beforeAutospacing="0" w:after="0" w:afterAutospacing="0"/>
              <w:jc w:val="both"/>
              <w:rPr>
                <w:noProof/>
              </w:rPr>
            </w:pPr>
            <w:r>
              <w:rPr>
                <w:noProof/>
              </w:rPr>
              <w:t>DG JUST</w:t>
            </w:r>
          </w:p>
          <w:p w:rsidR="007D3598" w:rsidRDefault="00F8547B">
            <w:pPr>
              <w:pStyle w:val="NormalWeb"/>
              <w:spacing w:before="0" w:beforeAutospacing="0" w:after="0" w:afterAutospacing="0"/>
              <w:jc w:val="both"/>
              <w:rPr>
                <w:noProof/>
              </w:rPr>
            </w:pPr>
            <w:r>
              <w:rPr>
                <w:noProof/>
              </w:rPr>
              <w:t>DG TAXUD</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Legal base</w:t>
            </w:r>
          </w:p>
        </w:tc>
        <w:tc>
          <w:tcPr>
            <w:tcW w:w="6095" w:type="dxa"/>
          </w:tcPr>
          <w:p w:rsidR="007D3598" w:rsidRDefault="00F8547B">
            <w:pPr>
              <w:pStyle w:val="NormalWeb"/>
              <w:spacing w:before="0" w:beforeAutospacing="0" w:after="0" w:afterAutospacing="0"/>
              <w:jc w:val="both"/>
              <w:rPr>
                <w:noProof/>
              </w:rPr>
            </w:pPr>
            <w:r>
              <w:rPr>
                <w:noProof/>
              </w:rPr>
              <w:t>According to Art. 57 of Regulation (EU) No 514/2014, the Commission shall submit to the European Parliament, to</w:t>
            </w:r>
            <w:r>
              <w:rPr>
                <w:noProof/>
              </w:rPr>
              <w:t xml:space="preserve"> the Council, to the European Economic and Social Committee and to the Committee of the Regions an interim evaluation report of ISF-BV at the level of the Union by 30 June 2018.</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Roadmap approval</w:t>
            </w:r>
          </w:p>
        </w:tc>
        <w:tc>
          <w:tcPr>
            <w:tcW w:w="6095" w:type="dxa"/>
          </w:tcPr>
          <w:p w:rsidR="007D3598" w:rsidRDefault="00F8547B">
            <w:pPr>
              <w:pStyle w:val="NormalWeb"/>
              <w:spacing w:before="0" w:beforeAutospacing="0" w:after="0" w:afterAutospacing="0"/>
              <w:jc w:val="both"/>
              <w:rPr>
                <w:noProof/>
              </w:rPr>
            </w:pPr>
            <w:r>
              <w:rPr>
                <w:noProof/>
              </w:rPr>
              <w:t>11 April 2017</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 xml:space="preserve">Decide planning </w:t>
            </w:r>
          </w:p>
        </w:tc>
        <w:tc>
          <w:tcPr>
            <w:tcW w:w="6095" w:type="dxa"/>
          </w:tcPr>
          <w:p w:rsidR="007D3598" w:rsidRDefault="00F8547B">
            <w:pPr>
              <w:pStyle w:val="NormalWeb"/>
              <w:tabs>
                <w:tab w:val="center" w:pos="2483"/>
              </w:tabs>
              <w:spacing w:before="0" w:beforeAutospacing="0" w:after="0" w:afterAutospacing="0"/>
              <w:jc w:val="both"/>
              <w:rPr>
                <w:noProof/>
              </w:rPr>
            </w:pPr>
            <w:r>
              <w:rPr>
                <w:noProof/>
              </w:rPr>
              <w:t>PLAN/2017/891</w:t>
            </w:r>
            <w:r>
              <w:rPr>
                <w:noProof/>
              </w:rPr>
              <w:tab/>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 xml:space="preserve">Exceptions </w:t>
            </w:r>
            <w:r>
              <w:rPr>
                <w:noProof/>
              </w:rPr>
              <w:t>to the Better Regulation guidelines</w:t>
            </w:r>
          </w:p>
        </w:tc>
        <w:tc>
          <w:tcPr>
            <w:tcW w:w="6095" w:type="dxa"/>
          </w:tcPr>
          <w:p w:rsidR="007D3598" w:rsidRDefault="00F8547B">
            <w:pPr>
              <w:pStyle w:val="NormalWeb"/>
              <w:tabs>
                <w:tab w:val="center" w:pos="2483"/>
              </w:tabs>
              <w:spacing w:before="0" w:beforeAutospacing="0" w:after="0" w:afterAutospacing="0"/>
              <w:jc w:val="both"/>
              <w:rPr>
                <w:noProof/>
              </w:rPr>
            </w:pPr>
            <w:r>
              <w:rPr>
                <w:noProof/>
              </w:rPr>
              <w:t xml:space="preserve">None noted </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External consulting firm specialised in evaluation</w:t>
            </w:r>
          </w:p>
        </w:tc>
        <w:tc>
          <w:tcPr>
            <w:tcW w:w="6095" w:type="dxa"/>
          </w:tcPr>
          <w:p w:rsidR="007D3598" w:rsidRDefault="00F8547B">
            <w:pPr>
              <w:pStyle w:val="NormalWeb"/>
              <w:spacing w:before="0" w:beforeAutospacing="0" w:after="0" w:afterAutospacing="0"/>
              <w:jc w:val="both"/>
              <w:rPr>
                <w:noProof/>
              </w:rPr>
            </w:pPr>
            <w:r>
              <w:rPr>
                <w:noProof/>
              </w:rPr>
              <w:t>Contract signed on 19 September 2017 with a consortium of:</w:t>
            </w:r>
          </w:p>
          <w:p w:rsidR="007D3598" w:rsidRDefault="00F8547B">
            <w:pPr>
              <w:pStyle w:val="NormalWeb"/>
              <w:numPr>
                <w:ilvl w:val="0"/>
                <w:numId w:val="21"/>
              </w:numPr>
              <w:spacing w:before="0" w:beforeAutospacing="0" w:after="0" w:afterAutospacing="0"/>
              <w:ind w:left="317" w:hanging="283"/>
              <w:jc w:val="both"/>
              <w:rPr>
                <w:noProof/>
              </w:rPr>
            </w:pPr>
            <w:r>
              <w:rPr>
                <w:noProof/>
              </w:rPr>
              <w:t>Ernst &amp; Young Special Business Services (lead partner), BE;</w:t>
            </w:r>
          </w:p>
          <w:p w:rsidR="007D3598" w:rsidRDefault="00F8547B">
            <w:pPr>
              <w:pStyle w:val="NormalWeb"/>
              <w:numPr>
                <w:ilvl w:val="0"/>
                <w:numId w:val="21"/>
              </w:numPr>
              <w:spacing w:before="0" w:beforeAutospacing="0" w:after="0" w:afterAutospacing="0"/>
              <w:ind w:left="317" w:hanging="283"/>
              <w:jc w:val="both"/>
              <w:rPr>
                <w:noProof/>
              </w:rPr>
            </w:pPr>
            <w:r>
              <w:rPr>
                <w:noProof/>
              </w:rPr>
              <w:t>Centre for International Legal Cooper</w:t>
            </w:r>
            <w:r>
              <w:rPr>
                <w:noProof/>
              </w:rPr>
              <w:t>ation, NL;</w:t>
            </w:r>
          </w:p>
          <w:p w:rsidR="007D3598" w:rsidRDefault="00F8547B">
            <w:pPr>
              <w:pStyle w:val="NormalWeb"/>
              <w:numPr>
                <w:ilvl w:val="0"/>
                <w:numId w:val="21"/>
              </w:numPr>
              <w:spacing w:before="0" w:beforeAutospacing="0" w:after="0" w:afterAutospacing="0"/>
              <w:ind w:left="317" w:hanging="283"/>
              <w:jc w:val="both"/>
              <w:rPr>
                <w:noProof/>
              </w:rPr>
            </w:pPr>
            <w:r>
              <w:rPr>
                <w:noProof/>
              </w:rPr>
              <w:t xml:space="preserve">Rand Europa Community Interest Company, UK. </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Number of inter-service steering group meetings</w:t>
            </w:r>
          </w:p>
        </w:tc>
        <w:tc>
          <w:tcPr>
            <w:tcW w:w="6095" w:type="dxa"/>
          </w:tcPr>
          <w:p w:rsidR="007D3598" w:rsidRDefault="00F8547B">
            <w:pPr>
              <w:pStyle w:val="NormalWeb"/>
              <w:spacing w:before="0" w:beforeAutospacing="0" w:after="0" w:afterAutospacing="0"/>
              <w:jc w:val="both"/>
              <w:rPr>
                <w:noProof/>
              </w:rPr>
            </w:pPr>
            <w:r>
              <w:rPr>
                <w:noProof/>
              </w:rPr>
              <w:t>4 meetings as (last on: 8 March 2018)</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Last deliverable handed in</w:t>
            </w:r>
          </w:p>
        </w:tc>
        <w:tc>
          <w:tcPr>
            <w:tcW w:w="6095" w:type="dxa"/>
          </w:tcPr>
          <w:p w:rsidR="007D3598" w:rsidRDefault="00F8547B">
            <w:pPr>
              <w:pStyle w:val="NormalWeb"/>
              <w:spacing w:before="0" w:beforeAutospacing="0" w:after="0" w:afterAutospacing="0"/>
              <w:jc w:val="both"/>
              <w:rPr>
                <w:noProof/>
              </w:rPr>
            </w:pPr>
            <w:r>
              <w:rPr>
                <w:noProof/>
              </w:rPr>
              <w:t>12 March 2018 (Final report for acceptance)</w:t>
            </w:r>
          </w:p>
        </w:tc>
      </w:tr>
      <w:tr w:rsidR="007D3598">
        <w:tc>
          <w:tcPr>
            <w:tcW w:w="3652" w:type="dxa"/>
            <w:tcBorders>
              <w:bottom w:val="single" w:sz="4" w:space="0" w:color="auto"/>
            </w:tcBorders>
            <w:shd w:val="clear" w:color="auto" w:fill="auto"/>
          </w:tcPr>
          <w:p w:rsidR="007D3598" w:rsidRDefault="00F8547B">
            <w:pPr>
              <w:pStyle w:val="NormalWeb"/>
              <w:spacing w:before="0" w:beforeAutospacing="0" w:after="0" w:afterAutospacing="0"/>
              <w:jc w:val="both"/>
              <w:rPr>
                <w:noProof/>
              </w:rPr>
            </w:pPr>
            <w:r>
              <w:rPr>
                <w:noProof/>
              </w:rPr>
              <w:t>Approval of the final report by Steering</w:t>
            </w:r>
            <w:r>
              <w:rPr>
                <w:noProof/>
              </w:rPr>
              <w:t xml:space="preserve"> Group</w:t>
            </w:r>
          </w:p>
        </w:tc>
        <w:tc>
          <w:tcPr>
            <w:tcW w:w="6095" w:type="dxa"/>
            <w:tcBorders>
              <w:bottom w:val="single" w:sz="4" w:space="0" w:color="auto"/>
            </w:tcBorders>
          </w:tcPr>
          <w:p w:rsidR="007D3598" w:rsidRDefault="007D3598">
            <w:pPr>
              <w:pStyle w:val="NormalWeb"/>
              <w:spacing w:before="0" w:beforeAutospacing="0" w:after="0" w:afterAutospacing="0"/>
              <w:jc w:val="both"/>
              <w:rPr>
                <w:noProof/>
              </w:rPr>
            </w:pP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 xml:space="preserve">Regulatory Scrutiny Board (RSB) meeting </w:t>
            </w:r>
          </w:p>
        </w:tc>
        <w:tc>
          <w:tcPr>
            <w:tcW w:w="6095" w:type="dxa"/>
          </w:tcPr>
          <w:p w:rsidR="007D3598" w:rsidRDefault="00F8547B">
            <w:pPr>
              <w:pStyle w:val="NormalWeb"/>
              <w:spacing w:before="0" w:beforeAutospacing="0" w:after="0" w:afterAutospacing="0"/>
              <w:jc w:val="both"/>
              <w:rPr>
                <w:noProof/>
              </w:rPr>
            </w:pPr>
            <w:r>
              <w:rPr>
                <w:noProof/>
              </w:rPr>
              <w:t xml:space="preserve">11 April 2018 </w:t>
            </w:r>
          </w:p>
        </w:tc>
      </w:tr>
      <w:tr w:rsidR="007D3598">
        <w:tc>
          <w:tcPr>
            <w:tcW w:w="3652" w:type="dxa"/>
            <w:shd w:val="clear" w:color="auto" w:fill="auto"/>
          </w:tcPr>
          <w:p w:rsidR="007D3598" w:rsidRDefault="00F8547B">
            <w:pPr>
              <w:pStyle w:val="NormalWeb"/>
              <w:spacing w:before="0" w:beforeAutospacing="0" w:after="0" w:afterAutospacing="0"/>
              <w:jc w:val="both"/>
              <w:rPr>
                <w:noProof/>
              </w:rPr>
            </w:pPr>
            <w:r>
              <w:rPr>
                <w:noProof/>
              </w:rPr>
              <w:t>Resubmission of the SWD to the RSB</w:t>
            </w:r>
          </w:p>
        </w:tc>
        <w:tc>
          <w:tcPr>
            <w:tcW w:w="6095" w:type="dxa"/>
          </w:tcPr>
          <w:p w:rsidR="007D3598" w:rsidRDefault="007D3598">
            <w:pPr>
              <w:pStyle w:val="NormalWeb"/>
              <w:spacing w:before="0" w:beforeAutospacing="0" w:after="0" w:afterAutospacing="0"/>
              <w:jc w:val="both"/>
              <w:rPr>
                <w:noProof/>
              </w:rPr>
            </w:pPr>
          </w:p>
        </w:tc>
      </w:tr>
    </w:tbl>
    <w:p w:rsidR="007D3598" w:rsidRDefault="007D3598">
      <w:pPr>
        <w:jc w:val="both"/>
        <w:rPr>
          <w:noProof/>
          <w:szCs w:val="24"/>
        </w:rPr>
      </w:pPr>
    </w:p>
    <w:p w:rsidR="007D3598" w:rsidRDefault="007D3598">
      <w:pPr>
        <w:jc w:val="both"/>
        <w:rPr>
          <w:noProof/>
          <w:szCs w:val="24"/>
        </w:rPr>
      </w:pPr>
    </w:p>
    <w:p w:rsidR="007D3598" w:rsidRDefault="00F8547B">
      <w:pPr>
        <w:rPr>
          <w:b/>
          <w:smallCaps/>
          <w:noProof/>
          <w:color w:val="365F91" w:themeColor="accent1" w:themeShade="BF"/>
          <w:sz w:val="32"/>
          <w:szCs w:val="32"/>
        </w:rPr>
      </w:pPr>
      <w:bookmarkStart w:id="1252" w:name="_Toc500874484"/>
      <w:bookmarkStart w:id="1253" w:name="_Ref500225563"/>
      <w:bookmarkStart w:id="1254" w:name="_Toc504475738"/>
      <w:bookmarkStart w:id="1255" w:name="_Ref505689554"/>
      <w:bookmarkStart w:id="1256" w:name="_Toc506393781"/>
      <w:bookmarkStart w:id="1257" w:name="_Toc506475235"/>
      <w:bookmarkStart w:id="1258" w:name="_Toc506478853"/>
      <w:bookmarkStart w:id="1259" w:name="_Toc506479805"/>
      <w:bookmarkStart w:id="1260" w:name="_Toc506483943"/>
      <w:bookmarkStart w:id="1261" w:name="_Toc506529868"/>
      <w:bookmarkStart w:id="1262" w:name="_Toc506532020"/>
      <w:bookmarkStart w:id="1263" w:name="_Toc507083627"/>
      <w:bookmarkStart w:id="1264" w:name="_Toc508279344"/>
      <w:bookmarkStart w:id="1265" w:name="_Toc508369328"/>
      <w:bookmarkStart w:id="1266" w:name="_Toc508375539"/>
      <w:bookmarkStart w:id="1267" w:name="_Toc508715390"/>
      <w:bookmarkStart w:id="1268" w:name="_Toc508975896"/>
      <w:r>
        <w:rPr>
          <w:noProof/>
        </w:rPr>
        <w:br w:type="page"/>
      </w:r>
    </w:p>
    <w:p w:rsidR="007D3598" w:rsidRDefault="00F8547B">
      <w:pPr>
        <w:pStyle w:val="HH1"/>
        <w:numPr>
          <w:ilvl w:val="0"/>
          <w:numId w:val="0"/>
        </w:numPr>
        <w:spacing w:before="0" w:after="0"/>
        <w:contextualSpacing w:val="0"/>
        <w:rPr>
          <w:noProof/>
        </w:rPr>
      </w:pPr>
      <w:bookmarkStart w:id="1269" w:name="_Toc515270160"/>
      <w:r>
        <w:rPr>
          <w:noProof/>
        </w:rPr>
        <w:t xml:space="preserve">Annex 2: Stakeholder </w:t>
      </w:r>
      <w:bookmarkEnd w:id="1252"/>
      <w:bookmarkEnd w:id="1253"/>
      <w:bookmarkEnd w:id="1254"/>
      <w:r>
        <w:rPr>
          <w:noProof/>
        </w:rPr>
        <w:t>consultation</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rsidR="007D3598" w:rsidRDefault="007D3598">
      <w:pPr>
        <w:pStyle w:val="Body"/>
        <w:spacing w:before="0" w:after="0" w:line="240" w:lineRule="auto"/>
        <w:jc w:val="both"/>
        <w:rPr>
          <w:rFonts w:ascii="Times New Roman" w:hAnsi="Times New Roman"/>
          <w:noProof/>
          <w:sz w:val="24"/>
          <w:szCs w:val="24"/>
        </w:rPr>
      </w:pPr>
    </w:p>
    <w:p w:rsidR="007D3598" w:rsidRDefault="00F8547B">
      <w:pPr>
        <w:pStyle w:val="Body"/>
        <w:jc w:val="both"/>
        <w:rPr>
          <w:rFonts w:ascii="Times New Roman" w:hAnsi="Times New Roman"/>
          <w:noProof/>
          <w:sz w:val="24"/>
          <w:szCs w:val="24"/>
        </w:rPr>
      </w:pPr>
      <w:r>
        <w:rPr>
          <w:rFonts w:ascii="Times New Roman" w:hAnsi="Times New Roman"/>
          <w:noProof/>
          <w:sz w:val="24"/>
          <w:szCs w:val="24"/>
        </w:rPr>
        <w:t xml:space="preserve">ISF-BV had a consultation strategy whose objective was to gather input from stakeholders (evidence, data, as well </w:t>
      </w:r>
      <w:r>
        <w:rPr>
          <w:rFonts w:ascii="Times New Roman" w:hAnsi="Times New Roman"/>
          <w:noProof/>
          <w:sz w:val="24"/>
          <w:szCs w:val="24"/>
        </w:rPr>
        <w:t>as views and opinions) and ensure that all of them have the opportunity to present their views to the Commission on how well the existing programmes have performed and the extent to which they met the EU’s objectives in these areas. Stakeholders’ input was</w:t>
      </w:r>
      <w:r>
        <w:rPr>
          <w:rFonts w:ascii="Times New Roman" w:hAnsi="Times New Roman"/>
          <w:noProof/>
          <w:sz w:val="24"/>
          <w:szCs w:val="24"/>
        </w:rPr>
        <w:t xml:space="preserve"> sought to provide the Commission with valuable insights on how well the current funds are performing, including on the challenges related to the implementation.</w:t>
      </w:r>
    </w:p>
    <w:p w:rsidR="007D3598" w:rsidRDefault="00F8547B">
      <w:pPr>
        <w:pStyle w:val="Body"/>
        <w:jc w:val="both"/>
        <w:rPr>
          <w:rFonts w:ascii="Times New Roman" w:hAnsi="Times New Roman"/>
          <w:noProof/>
          <w:sz w:val="24"/>
          <w:szCs w:val="24"/>
        </w:rPr>
      </w:pPr>
      <w:r>
        <w:rPr>
          <w:rFonts w:ascii="Times New Roman" w:hAnsi="Times New Roman"/>
          <w:noProof/>
          <w:sz w:val="24"/>
          <w:szCs w:val="24"/>
        </w:rPr>
        <w:t xml:space="preserve">The Commission services have worked on the future multiannual financial framework in clusters </w:t>
      </w:r>
      <w:r>
        <w:rPr>
          <w:rFonts w:ascii="Times New Roman" w:hAnsi="Times New Roman"/>
          <w:noProof/>
          <w:sz w:val="24"/>
          <w:szCs w:val="24"/>
        </w:rPr>
        <w:t xml:space="preserve">setting up a streamlined consultation that covered both forward and backward looking questions on the programmes. This open consultation, as provided for in the Better Regulation guidelines and the interim evaluation’s consultation strategy, was meant for </w:t>
      </w:r>
      <w:r>
        <w:rPr>
          <w:rFonts w:ascii="Times New Roman" w:hAnsi="Times New Roman"/>
          <w:noProof/>
          <w:sz w:val="24"/>
          <w:szCs w:val="24"/>
        </w:rPr>
        <w:t>the general public and was published for 8 weeks on the Commission’s portal</w:t>
      </w:r>
      <w:r>
        <w:rPr>
          <w:rStyle w:val="FootnoteReference"/>
          <w:rFonts w:ascii="Times New Roman" w:hAnsi="Times New Roman"/>
          <w:noProof/>
          <w:sz w:val="24"/>
          <w:szCs w:val="24"/>
        </w:rPr>
        <w:footnoteReference w:id="240"/>
      </w:r>
      <w:r>
        <w:rPr>
          <w:rFonts w:ascii="Times New Roman" w:hAnsi="Times New Roman"/>
          <w:noProof/>
          <w:sz w:val="24"/>
          <w:szCs w:val="24"/>
        </w:rPr>
        <w:t>. 350 answers and 52 position papers have been received in this context. No separate, specific open consultation for the mid-term evaluation was carried out. Launching a specific c</w:t>
      </w:r>
      <w:r>
        <w:rPr>
          <w:rFonts w:ascii="Times New Roman" w:hAnsi="Times New Roman"/>
          <w:noProof/>
          <w:sz w:val="24"/>
          <w:szCs w:val="24"/>
        </w:rPr>
        <w:t xml:space="preserve">onsultation for the mid-term evaluations could have created confusion and not provided much added value compared to the broader exercise. </w:t>
      </w:r>
    </w:p>
    <w:p w:rsidR="007D3598" w:rsidRDefault="00F8547B">
      <w:pPr>
        <w:pStyle w:val="Body"/>
        <w:jc w:val="both"/>
        <w:rPr>
          <w:rFonts w:ascii="Times New Roman" w:hAnsi="Times New Roman"/>
          <w:noProof/>
          <w:sz w:val="24"/>
          <w:szCs w:val="24"/>
        </w:rPr>
      </w:pPr>
      <w:r>
        <w:rPr>
          <w:rFonts w:ascii="Times New Roman" w:hAnsi="Times New Roman"/>
          <w:noProof/>
          <w:sz w:val="24"/>
          <w:szCs w:val="24"/>
        </w:rPr>
        <w:t>Instead, a targeted consultation specific for the mid-term evaluation was carried-out, which eventually was used to c</w:t>
      </w:r>
      <w:r>
        <w:rPr>
          <w:rFonts w:ascii="Times New Roman" w:hAnsi="Times New Roman"/>
          <w:noProof/>
          <w:sz w:val="24"/>
          <w:szCs w:val="24"/>
        </w:rPr>
        <w:t>ontextualise the findings. The questionnaires were aimed at the beneficiaries of Union actions and EMAS and were made available in English, French and German. This consultation only received input from 4 participants.</w:t>
      </w:r>
    </w:p>
    <w:p w:rsidR="007D3598" w:rsidRDefault="00F8547B">
      <w:pPr>
        <w:pStyle w:val="Body"/>
        <w:jc w:val="both"/>
        <w:rPr>
          <w:rFonts w:ascii="Times New Roman" w:hAnsi="Times New Roman"/>
          <w:noProof/>
          <w:sz w:val="24"/>
          <w:szCs w:val="24"/>
        </w:rPr>
      </w:pPr>
      <w:r>
        <w:rPr>
          <w:rFonts w:ascii="Times New Roman" w:hAnsi="Times New Roman"/>
          <w:noProof/>
          <w:sz w:val="24"/>
          <w:szCs w:val="24"/>
        </w:rPr>
        <w:t xml:space="preserve">The results of this </w:t>
      </w:r>
      <w:r>
        <w:rPr>
          <w:rFonts w:ascii="Times New Roman" w:hAnsi="Times New Roman"/>
          <w:b/>
          <w:noProof/>
          <w:sz w:val="24"/>
          <w:szCs w:val="24"/>
        </w:rPr>
        <w:t>targeted consultat</w:t>
      </w:r>
      <w:r>
        <w:rPr>
          <w:rFonts w:ascii="Times New Roman" w:hAnsi="Times New Roman"/>
          <w:b/>
          <w:noProof/>
          <w:sz w:val="24"/>
          <w:szCs w:val="24"/>
        </w:rPr>
        <w:t>ion</w:t>
      </w:r>
      <w:r>
        <w:rPr>
          <w:rFonts w:ascii="Times New Roman" w:hAnsi="Times New Roman"/>
          <w:noProof/>
          <w:sz w:val="24"/>
          <w:szCs w:val="24"/>
        </w:rPr>
        <w:t xml:space="preserve"> are reproduced below:</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747"/>
      </w:tblGrid>
      <w:tr w:rsidR="007D3598">
        <w:tc>
          <w:tcPr>
            <w:tcW w:w="9747" w:type="dxa"/>
            <w:hideMark/>
          </w:tcPr>
          <w:p w:rsidR="007D3598" w:rsidRDefault="00F8547B">
            <w:pPr>
              <w:pStyle w:val="ListParagraph"/>
              <w:numPr>
                <w:ilvl w:val="0"/>
                <w:numId w:val="63"/>
              </w:numPr>
              <w:ind w:left="284" w:hanging="284"/>
              <w:jc w:val="both"/>
              <w:rPr>
                <w:noProof/>
                <w:sz w:val="22"/>
              </w:rPr>
            </w:pPr>
            <w:r>
              <w:rPr>
                <w:noProof/>
                <w:sz w:val="22"/>
              </w:rPr>
              <w:t xml:space="preserve">Of the 4 answers received, half (2) were from individuals answering in their professional capacity and half (2) from respondents answering on behalf of their organisations. All 4 of these were from national public authorities and </w:t>
            </w:r>
            <w:r>
              <w:rPr>
                <w:noProof/>
                <w:sz w:val="22"/>
              </w:rPr>
              <w:t>have declared knowing very well ISF-BV because they have benefitted from its funding.</w:t>
            </w:r>
          </w:p>
          <w:p w:rsidR="007D3598" w:rsidRDefault="00F8547B">
            <w:pPr>
              <w:pStyle w:val="ListParagraph"/>
              <w:numPr>
                <w:ilvl w:val="0"/>
                <w:numId w:val="63"/>
              </w:numPr>
              <w:ind w:left="284" w:hanging="284"/>
              <w:jc w:val="both"/>
              <w:rPr>
                <w:noProof/>
                <w:sz w:val="22"/>
              </w:rPr>
            </w:pPr>
            <w:r>
              <w:rPr>
                <w:noProof/>
                <w:sz w:val="22"/>
              </w:rPr>
              <w:t>The first part of the consultation concerned the importance of the specific objectives of ISF-BV for the policy priorities in the Member States (absence of controls at in</w:t>
            </w:r>
            <w:r>
              <w:rPr>
                <w:noProof/>
                <w:sz w:val="22"/>
              </w:rPr>
              <w:t xml:space="preserve">ternal borders, checks at external borders, integrated management system for the external borders, better consular cooperation on visa issuance, IT systems, situational awareness, Union aquis, copperation of Member States in third countries and with third </w:t>
            </w:r>
            <w:r>
              <w:rPr>
                <w:noProof/>
                <w:sz w:val="22"/>
              </w:rPr>
              <w:t>countries). The answers received are overwhelmingly consider very important the ISF-BV objectives.</w:t>
            </w:r>
          </w:p>
          <w:p w:rsidR="007D3598" w:rsidRDefault="00F8547B">
            <w:pPr>
              <w:pStyle w:val="ListParagraph"/>
              <w:numPr>
                <w:ilvl w:val="0"/>
                <w:numId w:val="63"/>
              </w:numPr>
              <w:ind w:left="284" w:hanging="284"/>
              <w:jc w:val="both"/>
              <w:rPr>
                <w:noProof/>
                <w:sz w:val="22"/>
              </w:rPr>
            </w:pPr>
            <w:r>
              <w:rPr>
                <w:noProof/>
                <w:sz w:val="22"/>
              </w:rPr>
              <w:t>The second part of the consultation concerned the extent at which the actions financed by ISF-BV in the Member States contribute to the Fund's objectives (ab</w:t>
            </w:r>
            <w:r>
              <w:rPr>
                <w:noProof/>
                <w:sz w:val="22"/>
              </w:rPr>
              <w:t>sence of controls at internal borders, checks at external borders, integrated management system for the external borders, better consular cooperation on visa issuance, IT systems, situational awareness, Union aquis, copperation of Member States in third co</w:t>
            </w:r>
            <w:r>
              <w:rPr>
                <w:noProof/>
                <w:sz w:val="22"/>
              </w:rPr>
              <w:t>untries and with third countries). The vast majority of answers consider that ISF-BV funded projects do contribute to the development of the Fund's objectives (either to a great extent or fully). Only one participant did not know how to answer in the follo</w:t>
            </w:r>
            <w:r>
              <w:rPr>
                <w:noProof/>
                <w:sz w:val="22"/>
              </w:rPr>
              <w:t>wing cases: absence of controls at internal borders, IT systems, copperation of Member States in third countries and with third countries. Half of the participants (2) did not know how to answer to the question regarding better consular cooperation on visa</w:t>
            </w:r>
            <w:r>
              <w:rPr>
                <w:noProof/>
                <w:sz w:val="22"/>
              </w:rPr>
              <w:t xml:space="preserve"> issuance.</w:t>
            </w:r>
          </w:p>
          <w:p w:rsidR="007D3598" w:rsidRDefault="00F8547B">
            <w:pPr>
              <w:pStyle w:val="ListParagraph"/>
              <w:numPr>
                <w:ilvl w:val="0"/>
                <w:numId w:val="63"/>
              </w:numPr>
              <w:ind w:left="284" w:hanging="284"/>
              <w:jc w:val="both"/>
              <w:rPr>
                <w:noProof/>
                <w:sz w:val="22"/>
              </w:rPr>
            </w:pPr>
            <w:r>
              <w:rPr>
                <w:noProof/>
                <w:sz w:val="22"/>
              </w:rPr>
              <w:t>All respondents consider ISF-BV being able to address new and emerging needs and having a positive influence on how Member States work with border management and Schengen visa processing.</w:t>
            </w:r>
          </w:p>
          <w:p w:rsidR="007D3598" w:rsidRDefault="00F8547B">
            <w:pPr>
              <w:pStyle w:val="ListParagraph"/>
              <w:numPr>
                <w:ilvl w:val="0"/>
                <w:numId w:val="63"/>
              </w:numPr>
              <w:ind w:left="284" w:hanging="284"/>
              <w:jc w:val="both"/>
              <w:rPr>
                <w:noProof/>
                <w:sz w:val="22"/>
              </w:rPr>
            </w:pPr>
            <w:r>
              <w:rPr>
                <w:noProof/>
                <w:sz w:val="22"/>
              </w:rPr>
              <w:t>Regarding the cooperation among Member States, respondent</w:t>
            </w:r>
            <w:r>
              <w:rPr>
                <w:noProof/>
                <w:sz w:val="22"/>
              </w:rPr>
              <w:t>s consider that ISF-BV's contribution was positive in the area of borde management (4), and Schengen visa processing (2).</w:t>
            </w:r>
          </w:p>
          <w:p w:rsidR="007D3598" w:rsidRDefault="00F8547B">
            <w:pPr>
              <w:pStyle w:val="ListParagraph"/>
              <w:numPr>
                <w:ilvl w:val="0"/>
                <w:numId w:val="63"/>
              </w:numPr>
              <w:ind w:left="284" w:hanging="284"/>
              <w:jc w:val="both"/>
              <w:rPr>
                <w:noProof/>
                <w:sz w:val="22"/>
              </w:rPr>
            </w:pPr>
            <w:r>
              <w:rPr>
                <w:noProof/>
                <w:sz w:val="22"/>
              </w:rPr>
              <w:t>Regarding whether the EU policies would have been implemented without the support of ISF-BV, respondents are divided with half (2) con</w:t>
            </w:r>
            <w:r>
              <w:rPr>
                <w:noProof/>
                <w:sz w:val="22"/>
              </w:rPr>
              <w:t>sidering it mostly likely in the area of border management and half (2) unlikely, while the majority (3) considered likely in the area of Schengen visa processing.</w:t>
            </w:r>
          </w:p>
          <w:p w:rsidR="007D3598" w:rsidRDefault="00F8547B">
            <w:pPr>
              <w:pStyle w:val="ListParagraph"/>
              <w:numPr>
                <w:ilvl w:val="0"/>
                <w:numId w:val="63"/>
              </w:numPr>
              <w:ind w:left="284" w:hanging="284"/>
              <w:jc w:val="both"/>
              <w:rPr>
                <w:noProof/>
                <w:sz w:val="22"/>
              </w:rPr>
            </w:pPr>
            <w:r>
              <w:rPr>
                <w:noProof/>
                <w:sz w:val="22"/>
              </w:rPr>
              <w:t>Looking at ISF-BV so far, respondents did not know whether the Fund promotes new actions tha</w:t>
            </w:r>
            <w:r>
              <w:rPr>
                <w:noProof/>
                <w:sz w:val="22"/>
              </w:rPr>
              <w:t>t were not delivered in the Member States before in the area of borde management (2) and Schengen visa processing (4 out of 4).</w:t>
            </w:r>
          </w:p>
          <w:p w:rsidR="007D3598" w:rsidRDefault="00F8547B">
            <w:pPr>
              <w:pStyle w:val="ListParagraph"/>
              <w:numPr>
                <w:ilvl w:val="0"/>
                <w:numId w:val="63"/>
              </w:numPr>
              <w:ind w:left="284" w:hanging="284"/>
              <w:jc w:val="both"/>
              <w:rPr>
                <w:noProof/>
                <w:sz w:val="22"/>
              </w:rPr>
            </w:pPr>
            <w:r>
              <w:rPr>
                <w:noProof/>
                <w:sz w:val="22"/>
              </w:rPr>
              <w:t>All respondents think that ISF-BV funded projects help beneficiaries to better support border management, better protect externa</w:t>
            </w:r>
            <w:r>
              <w:rPr>
                <w:noProof/>
                <w:sz w:val="22"/>
              </w:rPr>
              <w:t>l borders, better ensure the smooth crossing of borders, better tackle illegal immigration and better facilitate the travel of third-country nationals.</w:t>
            </w:r>
          </w:p>
          <w:p w:rsidR="007D3598" w:rsidRDefault="00F8547B">
            <w:pPr>
              <w:pStyle w:val="ListParagraph"/>
              <w:numPr>
                <w:ilvl w:val="0"/>
                <w:numId w:val="63"/>
              </w:numPr>
              <w:ind w:left="284" w:hanging="284"/>
              <w:jc w:val="both"/>
              <w:rPr>
                <w:noProof/>
                <w:sz w:val="22"/>
              </w:rPr>
            </w:pPr>
            <w:r>
              <w:rPr>
                <w:noProof/>
                <w:sz w:val="22"/>
              </w:rPr>
              <w:t>Respondents were divided in who considered ISF-BV generally easier or much easier (3) to implement compa</w:t>
            </w:r>
            <w:r>
              <w:rPr>
                <w:noProof/>
                <w:sz w:val="22"/>
              </w:rPr>
              <w:t>red to the previous programming period (SOLID) and who found it generally harder (1).</w:t>
            </w:r>
          </w:p>
          <w:p w:rsidR="007D3598" w:rsidRDefault="00F8547B">
            <w:pPr>
              <w:pStyle w:val="ListParagraph"/>
              <w:numPr>
                <w:ilvl w:val="0"/>
                <w:numId w:val="63"/>
              </w:numPr>
              <w:ind w:left="284" w:hanging="284"/>
              <w:jc w:val="both"/>
              <w:rPr>
                <w:noProof/>
                <w:sz w:val="22"/>
              </w:rPr>
            </w:pPr>
            <w:r>
              <w:rPr>
                <w:noProof/>
                <w:sz w:val="22"/>
              </w:rPr>
              <w:t xml:space="preserve">In what concerns the degree at which actions financed by ISF-BV are coherent with actions and projects funded by national resources, all respondents were positive (4) in </w:t>
            </w:r>
            <w:r>
              <w:rPr>
                <w:noProof/>
                <w:sz w:val="22"/>
              </w:rPr>
              <w:t>the field of border management and half of them were positive in the field of Schengen visa processing (2) with the other halh not being able to answer.</w:t>
            </w:r>
          </w:p>
          <w:p w:rsidR="007D3598" w:rsidRDefault="00F8547B">
            <w:pPr>
              <w:pStyle w:val="ListParagraph"/>
              <w:numPr>
                <w:ilvl w:val="0"/>
                <w:numId w:val="63"/>
              </w:numPr>
              <w:ind w:left="284" w:hanging="284"/>
              <w:jc w:val="both"/>
              <w:rPr>
                <w:noProof/>
              </w:rPr>
            </w:pPr>
            <w:r>
              <w:rPr>
                <w:noProof/>
                <w:sz w:val="22"/>
              </w:rPr>
              <w:t>Regarding sustainability, respondents were divided into those who believe actions would continue at lea</w:t>
            </w:r>
            <w:r>
              <w:rPr>
                <w:noProof/>
                <w:sz w:val="22"/>
              </w:rPr>
              <w:t xml:space="preserve">st partially also in the absence of the EU financial support (2) and those who did not know whether this would have happened (2). The same proportion was then reproduced regarding the achievement of the objectives in the absence of ISF-BV – 2 who consider </w:t>
            </w:r>
            <w:r>
              <w:rPr>
                <w:noProof/>
                <w:sz w:val="22"/>
              </w:rPr>
              <w:t>that these could have been achieved and 2 who believe it would have not been possible.</w:t>
            </w:r>
          </w:p>
          <w:p w:rsidR="007D3598" w:rsidRDefault="00F8547B">
            <w:pPr>
              <w:pStyle w:val="ListParagraph"/>
              <w:numPr>
                <w:ilvl w:val="0"/>
                <w:numId w:val="63"/>
              </w:numPr>
              <w:ind w:left="284" w:hanging="284"/>
              <w:jc w:val="both"/>
              <w:rPr>
                <w:noProof/>
              </w:rPr>
            </w:pPr>
            <w:r>
              <w:rPr>
                <w:noProof/>
              </w:rPr>
              <w:t xml:space="preserve">This targeted consultation has complemented the interviews and an online consultation run in parallel by the consultant, and the table below provides an overview of the </w:t>
            </w:r>
            <w:r>
              <w:rPr>
                <w:noProof/>
              </w:rPr>
              <w:t>response rate to this latter. The results of all those consultations have been used to answer and contextualise the answers to the evaluation questions.</w:t>
            </w:r>
          </w:p>
          <w:p w:rsidR="007D3598" w:rsidRDefault="007D3598">
            <w:pPr>
              <w:pStyle w:val="ListParagraph"/>
              <w:numPr>
                <w:ilvl w:val="0"/>
                <w:numId w:val="63"/>
              </w:numPr>
              <w:ind w:left="284" w:hanging="284"/>
              <w:jc w:val="both"/>
              <w:rPr>
                <w:noProof/>
              </w:rPr>
            </w:pPr>
          </w:p>
        </w:tc>
      </w:tr>
    </w:tbl>
    <w:p w:rsidR="007D3598" w:rsidRDefault="007D3598">
      <w:pPr>
        <w:spacing w:after="200" w:line="276" w:lineRule="auto"/>
        <w:jc w:val="both"/>
        <w:rPr>
          <w:noProof/>
          <w:szCs w:val="24"/>
        </w:rPr>
      </w:pPr>
    </w:p>
    <w:p w:rsidR="007D3598" w:rsidRDefault="00F8547B">
      <w:pPr>
        <w:spacing w:after="200" w:line="276" w:lineRule="auto"/>
        <w:jc w:val="both"/>
        <w:rPr>
          <w:noProof/>
          <w:szCs w:val="24"/>
        </w:rPr>
      </w:pPr>
      <w:r>
        <w:rPr>
          <w:noProof/>
          <w:szCs w:val="24"/>
        </w:rPr>
        <w:t xml:space="preserve">This targeted consultation has complemented the interviews and an online consultation run in </w:t>
      </w:r>
      <w:r>
        <w:rPr>
          <w:noProof/>
          <w:szCs w:val="24"/>
        </w:rPr>
        <w:t>parallel by the consultant, and the table below provides an overview of the response rate to this latter. The results of all those consultations have been used to answer and contextualise the answers to the evaluation questions.</w:t>
      </w:r>
    </w:p>
    <w:p w:rsidR="007D3598" w:rsidRDefault="00F8547B">
      <w:pPr>
        <w:pStyle w:val="Tableheading"/>
        <w:keepNext/>
        <w:spacing w:before="0" w:after="0"/>
        <w:contextualSpacing w:val="0"/>
        <w:rPr>
          <w:rFonts w:ascii="Times New Roman" w:hAnsi="Times New Roman"/>
          <w:b w:val="0"/>
          <w:i/>
          <w:noProof/>
          <w:sz w:val="20"/>
        </w:rPr>
      </w:pPr>
      <w:bookmarkStart w:id="1270" w:name="_Toc504757364"/>
      <w:bookmarkStart w:id="1271" w:name="_Ref505689790"/>
      <w:r>
        <w:rPr>
          <w:rFonts w:ascii="Times New Roman" w:hAnsi="Times New Roman"/>
          <w:b w:val="0"/>
          <w:i/>
          <w:noProof/>
          <w:sz w:val="20"/>
        </w:rPr>
        <w:t>Table 8: Overview of consul</w:t>
      </w:r>
      <w:r>
        <w:rPr>
          <w:rFonts w:ascii="Times New Roman" w:hAnsi="Times New Roman"/>
          <w:b w:val="0"/>
          <w:i/>
          <w:noProof/>
          <w:sz w:val="20"/>
        </w:rPr>
        <w:t>tant's online survey respondents</w:t>
      </w:r>
      <w:bookmarkEnd w:id="1270"/>
      <w:bookmarkEnd w:id="1271"/>
    </w:p>
    <w:tbl>
      <w:tblPr>
        <w:tblStyle w:val="EYTable2"/>
        <w:tblW w:w="3114" w:type="pct"/>
        <w:tblInd w:w="108" w:type="dxa"/>
        <w:tblLook w:val="04A0" w:firstRow="1" w:lastRow="0" w:firstColumn="1" w:lastColumn="0" w:noHBand="0" w:noVBand="1"/>
      </w:tblPr>
      <w:tblGrid>
        <w:gridCol w:w="3105"/>
        <w:gridCol w:w="781"/>
        <w:gridCol w:w="1021"/>
        <w:gridCol w:w="1230"/>
      </w:tblGrid>
      <w:tr w:rsidR="007D3598" w:rsidTr="007D3598">
        <w:trPr>
          <w:cnfStyle w:val="100000000000" w:firstRow="1" w:lastRow="0" w:firstColumn="0" w:lastColumn="0" w:oddVBand="0" w:evenVBand="0" w:oddHBand="0" w:evenHBand="0" w:firstRowFirstColumn="0" w:firstRowLastColumn="0" w:lastRowFirstColumn="0" w:lastRowLastColumn="0"/>
          <w:trHeight w:val="300"/>
          <w:tblHeader/>
        </w:trPr>
        <w:tc>
          <w:tcPr>
            <w:tcW w:w="2507" w:type="pct"/>
            <w:noWrap/>
            <w:hideMark/>
          </w:tcPr>
          <w:p w:rsidR="007D3598" w:rsidRDefault="007D3598">
            <w:pPr>
              <w:keepNext/>
              <w:rPr>
                <w:b w:val="0"/>
                <w:noProof/>
                <w:sz w:val="16"/>
                <w:szCs w:val="16"/>
                <w:lang w:val="en-GB" w:eastAsia="it-IT"/>
              </w:rPr>
            </w:pPr>
          </w:p>
        </w:tc>
        <w:tc>
          <w:tcPr>
            <w:tcW w:w="644" w:type="pct"/>
            <w:noWrap/>
            <w:hideMark/>
          </w:tcPr>
          <w:p w:rsidR="007D3598" w:rsidRDefault="00F8547B">
            <w:pPr>
              <w:keepNext/>
              <w:rPr>
                <w:b w:val="0"/>
                <w:noProof/>
                <w:sz w:val="16"/>
                <w:szCs w:val="16"/>
                <w:lang w:eastAsia="it-IT"/>
              </w:rPr>
            </w:pPr>
            <w:r>
              <w:rPr>
                <w:noProof/>
                <w:sz w:val="16"/>
                <w:szCs w:val="16"/>
                <w:lang w:eastAsia="it-IT"/>
              </w:rPr>
              <w:t>N. Sent</w:t>
            </w:r>
          </w:p>
        </w:tc>
        <w:tc>
          <w:tcPr>
            <w:tcW w:w="839" w:type="pct"/>
            <w:noWrap/>
            <w:hideMark/>
          </w:tcPr>
          <w:p w:rsidR="007D3598" w:rsidRDefault="00F8547B">
            <w:pPr>
              <w:keepNext/>
              <w:rPr>
                <w:b w:val="0"/>
                <w:noProof/>
                <w:sz w:val="16"/>
                <w:szCs w:val="16"/>
                <w:lang w:eastAsia="it-IT"/>
              </w:rPr>
            </w:pPr>
            <w:r>
              <w:rPr>
                <w:noProof/>
                <w:sz w:val="16"/>
                <w:szCs w:val="16"/>
                <w:lang w:eastAsia="it-IT"/>
              </w:rPr>
              <w:t xml:space="preserve">Discarded </w:t>
            </w:r>
          </w:p>
        </w:tc>
        <w:tc>
          <w:tcPr>
            <w:tcW w:w="1009" w:type="pct"/>
            <w:noWrap/>
            <w:hideMark/>
          </w:tcPr>
          <w:p w:rsidR="007D3598" w:rsidRDefault="00F8547B">
            <w:pPr>
              <w:keepNext/>
              <w:rPr>
                <w:b w:val="0"/>
                <w:noProof/>
                <w:sz w:val="16"/>
                <w:szCs w:val="16"/>
                <w:lang w:eastAsia="it-IT"/>
              </w:rPr>
            </w:pPr>
            <w:r>
              <w:rPr>
                <w:noProof/>
                <w:sz w:val="16"/>
                <w:szCs w:val="16"/>
                <w:lang w:eastAsia="it-IT"/>
              </w:rPr>
              <w:t>N. Completed</w:t>
            </w:r>
          </w:p>
        </w:tc>
      </w:tr>
      <w:tr w:rsidR="007D3598" w:rsidTr="007D3598">
        <w:trPr>
          <w:cnfStyle w:val="000000100000" w:firstRow="0" w:lastRow="0" w:firstColumn="0" w:lastColumn="0" w:oddVBand="0" w:evenVBand="0" w:oddHBand="1" w:evenHBand="0" w:firstRowFirstColumn="0" w:firstRowLastColumn="0" w:lastRowFirstColumn="0" w:lastRowLastColumn="0"/>
          <w:trHeight w:val="300"/>
        </w:trPr>
        <w:tc>
          <w:tcPr>
            <w:tcW w:w="2507" w:type="pct"/>
            <w:noWrap/>
            <w:hideMark/>
          </w:tcPr>
          <w:p w:rsidR="007D3598" w:rsidRDefault="00F8547B">
            <w:pPr>
              <w:keepNext/>
              <w:rPr>
                <w:noProof/>
                <w:color w:val="000000"/>
                <w:sz w:val="16"/>
                <w:szCs w:val="16"/>
                <w:lang w:eastAsia="it-IT"/>
              </w:rPr>
            </w:pPr>
            <w:r>
              <w:rPr>
                <w:noProof/>
                <w:color w:val="000000"/>
                <w:sz w:val="16"/>
                <w:szCs w:val="16"/>
                <w:lang w:eastAsia="it-IT"/>
              </w:rPr>
              <w:t>Monitoring Committees</w:t>
            </w:r>
          </w:p>
        </w:tc>
        <w:tc>
          <w:tcPr>
            <w:tcW w:w="644" w:type="pct"/>
            <w:noWrap/>
            <w:hideMark/>
          </w:tcPr>
          <w:p w:rsidR="007D3598" w:rsidRDefault="00F8547B">
            <w:pPr>
              <w:keepNext/>
              <w:jc w:val="right"/>
              <w:rPr>
                <w:noProof/>
                <w:color w:val="000000"/>
                <w:sz w:val="16"/>
                <w:szCs w:val="16"/>
                <w:lang w:eastAsia="it-IT"/>
              </w:rPr>
            </w:pPr>
            <w:r>
              <w:rPr>
                <w:noProof/>
                <w:color w:val="000000"/>
                <w:sz w:val="16"/>
                <w:szCs w:val="16"/>
                <w:lang w:eastAsia="it-IT"/>
              </w:rPr>
              <w:t>167</w:t>
            </w:r>
          </w:p>
        </w:tc>
        <w:tc>
          <w:tcPr>
            <w:tcW w:w="839" w:type="pct"/>
            <w:noWrap/>
            <w:hideMark/>
          </w:tcPr>
          <w:p w:rsidR="007D3598" w:rsidRDefault="00F8547B">
            <w:pPr>
              <w:keepNext/>
              <w:jc w:val="right"/>
              <w:rPr>
                <w:noProof/>
                <w:color w:val="000000"/>
                <w:sz w:val="16"/>
                <w:szCs w:val="16"/>
                <w:lang w:eastAsia="it-IT"/>
              </w:rPr>
            </w:pPr>
            <w:r>
              <w:rPr>
                <w:noProof/>
                <w:color w:val="000000"/>
                <w:sz w:val="16"/>
                <w:szCs w:val="16"/>
                <w:lang w:eastAsia="it-IT"/>
              </w:rPr>
              <w:t>16</w:t>
            </w:r>
          </w:p>
        </w:tc>
        <w:tc>
          <w:tcPr>
            <w:tcW w:w="1009" w:type="pct"/>
            <w:noWrap/>
            <w:hideMark/>
          </w:tcPr>
          <w:p w:rsidR="007D3598" w:rsidRDefault="00F8547B">
            <w:pPr>
              <w:keepNext/>
              <w:jc w:val="right"/>
              <w:rPr>
                <w:noProof/>
                <w:color w:val="000000"/>
                <w:sz w:val="16"/>
                <w:szCs w:val="16"/>
                <w:lang w:eastAsia="it-IT"/>
              </w:rPr>
            </w:pPr>
            <w:r>
              <w:rPr>
                <w:noProof/>
                <w:color w:val="000000"/>
                <w:sz w:val="16"/>
                <w:szCs w:val="16"/>
                <w:lang w:eastAsia="it-IT"/>
              </w:rPr>
              <w:t>26</w:t>
            </w:r>
          </w:p>
        </w:tc>
      </w:tr>
      <w:tr w:rsidR="007D3598" w:rsidTr="007D3598">
        <w:trPr>
          <w:trHeight w:val="300"/>
        </w:trPr>
        <w:tc>
          <w:tcPr>
            <w:tcW w:w="2507" w:type="pct"/>
            <w:noWrap/>
            <w:hideMark/>
          </w:tcPr>
          <w:p w:rsidR="007D3598" w:rsidRDefault="00F8547B">
            <w:pPr>
              <w:keepNext/>
              <w:rPr>
                <w:noProof/>
                <w:color w:val="000000"/>
                <w:sz w:val="16"/>
                <w:szCs w:val="16"/>
                <w:lang w:eastAsia="it-IT"/>
              </w:rPr>
            </w:pPr>
            <w:r>
              <w:rPr>
                <w:noProof/>
                <w:color w:val="000000"/>
                <w:sz w:val="16"/>
                <w:szCs w:val="16"/>
                <w:lang w:eastAsia="it-IT"/>
              </w:rPr>
              <w:t>Ministry of Foreign Affairs</w:t>
            </w:r>
          </w:p>
        </w:tc>
        <w:tc>
          <w:tcPr>
            <w:tcW w:w="644" w:type="pct"/>
            <w:noWrap/>
            <w:hideMark/>
          </w:tcPr>
          <w:p w:rsidR="007D3598" w:rsidRDefault="00F8547B">
            <w:pPr>
              <w:keepNext/>
              <w:jc w:val="right"/>
              <w:rPr>
                <w:noProof/>
                <w:color w:val="000000"/>
                <w:sz w:val="16"/>
                <w:szCs w:val="16"/>
                <w:lang w:eastAsia="it-IT"/>
              </w:rPr>
            </w:pPr>
            <w:r>
              <w:rPr>
                <w:noProof/>
                <w:color w:val="000000"/>
                <w:sz w:val="16"/>
                <w:szCs w:val="16"/>
                <w:lang w:eastAsia="it-IT"/>
              </w:rPr>
              <w:t>12</w:t>
            </w:r>
          </w:p>
        </w:tc>
        <w:tc>
          <w:tcPr>
            <w:tcW w:w="839" w:type="pct"/>
            <w:noWrap/>
            <w:hideMark/>
          </w:tcPr>
          <w:p w:rsidR="007D3598" w:rsidRDefault="00F8547B">
            <w:pPr>
              <w:keepNext/>
              <w:jc w:val="right"/>
              <w:rPr>
                <w:noProof/>
                <w:color w:val="000000"/>
                <w:sz w:val="16"/>
                <w:szCs w:val="16"/>
                <w:lang w:eastAsia="it-IT"/>
              </w:rPr>
            </w:pPr>
            <w:r>
              <w:rPr>
                <w:noProof/>
                <w:color w:val="000000"/>
                <w:sz w:val="16"/>
                <w:szCs w:val="16"/>
                <w:lang w:eastAsia="it-IT"/>
              </w:rPr>
              <w:t>0</w:t>
            </w:r>
          </w:p>
        </w:tc>
        <w:tc>
          <w:tcPr>
            <w:tcW w:w="1009" w:type="pct"/>
            <w:noWrap/>
            <w:hideMark/>
          </w:tcPr>
          <w:p w:rsidR="007D3598" w:rsidRDefault="00F8547B">
            <w:pPr>
              <w:keepNext/>
              <w:jc w:val="right"/>
              <w:rPr>
                <w:noProof/>
                <w:color w:val="000000"/>
                <w:sz w:val="16"/>
                <w:szCs w:val="16"/>
                <w:lang w:eastAsia="it-IT"/>
              </w:rPr>
            </w:pPr>
            <w:r>
              <w:rPr>
                <w:noProof/>
                <w:color w:val="000000"/>
                <w:sz w:val="16"/>
                <w:szCs w:val="16"/>
                <w:lang w:eastAsia="it-IT"/>
              </w:rPr>
              <w:t>1</w:t>
            </w:r>
          </w:p>
        </w:tc>
      </w:tr>
      <w:tr w:rsidR="007D3598" w:rsidTr="007D3598">
        <w:trPr>
          <w:cnfStyle w:val="000000100000" w:firstRow="0" w:lastRow="0" w:firstColumn="0" w:lastColumn="0" w:oddVBand="0" w:evenVBand="0" w:oddHBand="1" w:evenHBand="0" w:firstRowFirstColumn="0" w:firstRowLastColumn="0" w:lastRowFirstColumn="0" w:lastRowLastColumn="0"/>
          <w:trHeight w:val="300"/>
        </w:trPr>
        <w:tc>
          <w:tcPr>
            <w:tcW w:w="2507" w:type="pct"/>
            <w:noWrap/>
            <w:hideMark/>
          </w:tcPr>
          <w:p w:rsidR="007D3598" w:rsidRDefault="00F8547B">
            <w:pPr>
              <w:keepNext/>
              <w:rPr>
                <w:noProof/>
                <w:color w:val="000000"/>
                <w:sz w:val="16"/>
                <w:szCs w:val="16"/>
                <w:lang w:val="en-GB" w:eastAsia="it-IT"/>
              </w:rPr>
            </w:pPr>
            <w:r>
              <w:rPr>
                <w:noProof/>
                <w:color w:val="000000"/>
                <w:sz w:val="16"/>
                <w:szCs w:val="16"/>
                <w:lang w:val="en-GB" w:eastAsia="it-IT"/>
              </w:rPr>
              <w:t>responsible authority and delegated authority</w:t>
            </w:r>
          </w:p>
        </w:tc>
        <w:tc>
          <w:tcPr>
            <w:tcW w:w="644" w:type="pct"/>
            <w:noWrap/>
            <w:hideMark/>
          </w:tcPr>
          <w:p w:rsidR="007D3598" w:rsidRDefault="00F8547B">
            <w:pPr>
              <w:keepNext/>
              <w:jc w:val="right"/>
              <w:rPr>
                <w:noProof/>
                <w:color w:val="000000"/>
                <w:sz w:val="16"/>
                <w:szCs w:val="16"/>
                <w:lang w:eastAsia="it-IT"/>
              </w:rPr>
            </w:pPr>
            <w:r>
              <w:rPr>
                <w:noProof/>
                <w:color w:val="000000"/>
                <w:sz w:val="16"/>
                <w:szCs w:val="16"/>
                <w:lang w:eastAsia="it-IT"/>
              </w:rPr>
              <w:t>21</w:t>
            </w:r>
          </w:p>
        </w:tc>
        <w:tc>
          <w:tcPr>
            <w:tcW w:w="839" w:type="pct"/>
            <w:noWrap/>
            <w:hideMark/>
          </w:tcPr>
          <w:p w:rsidR="007D3598" w:rsidRDefault="00F8547B">
            <w:pPr>
              <w:keepNext/>
              <w:jc w:val="right"/>
              <w:rPr>
                <w:noProof/>
                <w:color w:val="000000"/>
                <w:sz w:val="16"/>
                <w:szCs w:val="16"/>
                <w:lang w:eastAsia="it-IT"/>
              </w:rPr>
            </w:pPr>
            <w:r>
              <w:rPr>
                <w:noProof/>
                <w:color w:val="000000"/>
                <w:sz w:val="16"/>
                <w:szCs w:val="16"/>
                <w:lang w:eastAsia="it-IT"/>
              </w:rPr>
              <w:t>5</w:t>
            </w:r>
          </w:p>
        </w:tc>
        <w:tc>
          <w:tcPr>
            <w:tcW w:w="1009" w:type="pct"/>
            <w:noWrap/>
            <w:hideMark/>
          </w:tcPr>
          <w:p w:rsidR="007D3598" w:rsidRDefault="00F8547B">
            <w:pPr>
              <w:keepNext/>
              <w:jc w:val="right"/>
              <w:rPr>
                <w:noProof/>
                <w:color w:val="000000"/>
                <w:sz w:val="16"/>
                <w:szCs w:val="16"/>
                <w:lang w:eastAsia="it-IT"/>
              </w:rPr>
            </w:pPr>
            <w:r>
              <w:rPr>
                <w:noProof/>
                <w:color w:val="000000"/>
                <w:sz w:val="16"/>
                <w:szCs w:val="16"/>
                <w:lang w:eastAsia="it-IT"/>
              </w:rPr>
              <w:t>4</w:t>
            </w:r>
          </w:p>
        </w:tc>
      </w:tr>
      <w:tr w:rsidR="007D3598" w:rsidTr="007D3598">
        <w:trPr>
          <w:trHeight w:val="300"/>
        </w:trPr>
        <w:tc>
          <w:tcPr>
            <w:tcW w:w="2507" w:type="pct"/>
            <w:noWrap/>
            <w:hideMark/>
          </w:tcPr>
          <w:p w:rsidR="007D3598" w:rsidRDefault="00F8547B">
            <w:pPr>
              <w:keepNext/>
              <w:rPr>
                <w:noProof/>
                <w:color w:val="000000"/>
                <w:sz w:val="16"/>
                <w:szCs w:val="16"/>
                <w:lang w:eastAsia="it-IT"/>
              </w:rPr>
            </w:pPr>
            <w:r>
              <w:rPr>
                <w:noProof/>
                <w:color w:val="000000"/>
                <w:sz w:val="16"/>
                <w:szCs w:val="16"/>
                <w:lang w:eastAsia="it-IT"/>
              </w:rPr>
              <w:t>audit authority</w:t>
            </w:r>
          </w:p>
        </w:tc>
        <w:tc>
          <w:tcPr>
            <w:tcW w:w="644" w:type="pct"/>
            <w:noWrap/>
            <w:hideMark/>
          </w:tcPr>
          <w:p w:rsidR="007D3598" w:rsidRDefault="00F8547B">
            <w:pPr>
              <w:keepNext/>
              <w:jc w:val="right"/>
              <w:rPr>
                <w:noProof/>
                <w:color w:val="000000"/>
                <w:sz w:val="16"/>
                <w:szCs w:val="16"/>
                <w:lang w:eastAsia="it-IT"/>
              </w:rPr>
            </w:pPr>
            <w:r>
              <w:rPr>
                <w:noProof/>
                <w:color w:val="000000"/>
                <w:sz w:val="16"/>
                <w:szCs w:val="16"/>
                <w:lang w:eastAsia="it-IT"/>
              </w:rPr>
              <w:t>32</w:t>
            </w:r>
          </w:p>
        </w:tc>
        <w:tc>
          <w:tcPr>
            <w:tcW w:w="839" w:type="pct"/>
            <w:noWrap/>
            <w:hideMark/>
          </w:tcPr>
          <w:p w:rsidR="007D3598" w:rsidRDefault="00F8547B">
            <w:pPr>
              <w:keepNext/>
              <w:jc w:val="right"/>
              <w:rPr>
                <w:noProof/>
                <w:color w:val="000000"/>
                <w:sz w:val="16"/>
                <w:szCs w:val="16"/>
                <w:lang w:eastAsia="it-IT"/>
              </w:rPr>
            </w:pPr>
            <w:r>
              <w:rPr>
                <w:noProof/>
                <w:color w:val="000000"/>
                <w:sz w:val="16"/>
                <w:szCs w:val="16"/>
                <w:lang w:eastAsia="it-IT"/>
              </w:rPr>
              <w:t>4</w:t>
            </w:r>
          </w:p>
        </w:tc>
        <w:tc>
          <w:tcPr>
            <w:tcW w:w="1009" w:type="pct"/>
            <w:noWrap/>
            <w:hideMark/>
          </w:tcPr>
          <w:p w:rsidR="007D3598" w:rsidRDefault="00F8547B">
            <w:pPr>
              <w:keepNext/>
              <w:jc w:val="right"/>
              <w:rPr>
                <w:noProof/>
                <w:color w:val="000000"/>
                <w:sz w:val="16"/>
                <w:szCs w:val="16"/>
                <w:lang w:eastAsia="it-IT"/>
              </w:rPr>
            </w:pPr>
            <w:r>
              <w:rPr>
                <w:noProof/>
                <w:color w:val="000000"/>
                <w:sz w:val="16"/>
                <w:szCs w:val="16"/>
                <w:lang w:eastAsia="it-IT"/>
              </w:rPr>
              <w:t>2</w:t>
            </w:r>
          </w:p>
        </w:tc>
      </w:tr>
      <w:tr w:rsidR="007D3598" w:rsidTr="007D3598">
        <w:trPr>
          <w:cnfStyle w:val="000000100000" w:firstRow="0" w:lastRow="0" w:firstColumn="0" w:lastColumn="0" w:oddVBand="0" w:evenVBand="0" w:oddHBand="1" w:evenHBand="0" w:firstRowFirstColumn="0" w:firstRowLastColumn="0" w:lastRowFirstColumn="0" w:lastRowLastColumn="0"/>
          <w:trHeight w:val="300"/>
        </w:trPr>
        <w:tc>
          <w:tcPr>
            <w:tcW w:w="2507" w:type="pct"/>
            <w:noWrap/>
            <w:hideMark/>
          </w:tcPr>
          <w:p w:rsidR="007D3598" w:rsidRDefault="00F8547B">
            <w:pPr>
              <w:keepNext/>
              <w:rPr>
                <w:noProof/>
                <w:color w:val="000000"/>
                <w:sz w:val="16"/>
                <w:szCs w:val="16"/>
                <w:lang w:eastAsia="it-IT"/>
              </w:rPr>
            </w:pPr>
            <w:r>
              <w:rPr>
                <w:noProof/>
                <w:color w:val="000000"/>
                <w:sz w:val="16"/>
                <w:szCs w:val="16"/>
                <w:lang w:eastAsia="it-IT"/>
              </w:rPr>
              <w:t>EMAS beneficiaries/coordinator</w:t>
            </w:r>
          </w:p>
        </w:tc>
        <w:tc>
          <w:tcPr>
            <w:tcW w:w="644" w:type="pct"/>
            <w:noWrap/>
            <w:hideMark/>
          </w:tcPr>
          <w:p w:rsidR="007D3598" w:rsidRDefault="00F8547B">
            <w:pPr>
              <w:keepNext/>
              <w:jc w:val="right"/>
              <w:rPr>
                <w:noProof/>
                <w:color w:val="000000"/>
                <w:sz w:val="16"/>
                <w:szCs w:val="16"/>
                <w:lang w:eastAsia="it-IT"/>
              </w:rPr>
            </w:pPr>
            <w:r>
              <w:rPr>
                <w:noProof/>
                <w:color w:val="000000"/>
                <w:sz w:val="16"/>
                <w:szCs w:val="16"/>
                <w:lang w:eastAsia="it-IT"/>
              </w:rPr>
              <w:t>42</w:t>
            </w:r>
          </w:p>
        </w:tc>
        <w:tc>
          <w:tcPr>
            <w:tcW w:w="839" w:type="pct"/>
            <w:noWrap/>
            <w:hideMark/>
          </w:tcPr>
          <w:p w:rsidR="007D3598" w:rsidRDefault="00F8547B">
            <w:pPr>
              <w:keepNext/>
              <w:jc w:val="right"/>
              <w:rPr>
                <w:noProof/>
                <w:color w:val="000000"/>
                <w:sz w:val="16"/>
                <w:szCs w:val="16"/>
                <w:lang w:eastAsia="it-IT"/>
              </w:rPr>
            </w:pPr>
            <w:r>
              <w:rPr>
                <w:noProof/>
                <w:color w:val="000000"/>
                <w:sz w:val="16"/>
                <w:szCs w:val="16"/>
                <w:lang w:eastAsia="it-IT"/>
              </w:rPr>
              <w:t>1</w:t>
            </w:r>
          </w:p>
        </w:tc>
        <w:tc>
          <w:tcPr>
            <w:tcW w:w="1009" w:type="pct"/>
            <w:noWrap/>
            <w:hideMark/>
          </w:tcPr>
          <w:p w:rsidR="007D3598" w:rsidRDefault="00F8547B">
            <w:pPr>
              <w:keepNext/>
              <w:jc w:val="right"/>
              <w:rPr>
                <w:noProof/>
                <w:color w:val="000000"/>
                <w:sz w:val="16"/>
                <w:szCs w:val="16"/>
                <w:lang w:eastAsia="it-IT"/>
              </w:rPr>
            </w:pPr>
            <w:r>
              <w:rPr>
                <w:noProof/>
                <w:color w:val="000000"/>
                <w:sz w:val="16"/>
                <w:szCs w:val="16"/>
                <w:lang w:eastAsia="it-IT"/>
              </w:rPr>
              <w:t>4</w:t>
            </w:r>
          </w:p>
        </w:tc>
      </w:tr>
      <w:tr w:rsidR="007D3598" w:rsidTr="007D3598">
        <w:trPr>
          <w:trHeight w:val="300"/>
        </w:trPr>
        <w:tc>
          <w:tcPr>
            <w:tcW w:w="2507" w:type="pct"/>
            <w:noWrap/>
            <w:hideMark/>
          </w:tcPr>
          <w:p w:rsidR="007D3598" w:rsidRDefault="00F8547B">
            <w:pPr>
              <w:keepNext/>
              <w:rPr>
                <w:noProof/>
                <w:color w:val="000000"/>
                <w:sz w:val="16"/>
                <w:szCs w:val="16"/>
                <w:lang w:eastAsia="it-IT"/>
              </w:rPr>
            </w:pPr>
            <w:r>
              <w:rPr>
                <w:noProof/>
                <w:color w:val="000000"/>
                <w:sz w:val="16"/>
                <w:szCs w:val="16"/>
                <w:lang w:eastAsia="it-IT"/>
              </w:rPr>
              <w:t>UAs</w:t>
            </w:r>
            <w:r>
              <w:rPr>
                <w:noProof/>
                <w:color w:val="000000"/>
                <w:sz w:val="16"/>
                <w:szCs w:val="16"/>
                <w:lang w:eastAsia="it-IT"/>
              </w:rPr>
              <w:t xml:space="preserve"> beneficiaries/coordinators</w:t>
            </w:r>
          </w:p>
        </w:tc>
        <w:tc>
          <w:tcPr>
            <w:tcW w:w="644" w:type="pct"/>
            <w:noWrap/>
            <w:hideMark/>
          </w:tcPr>
          <w:p w:rsidR="007D3598" w:rsidRDefault="00F8547B">
            <w:pPr>
              <w:keepNext/>
              <w:jc w:val="right"/>
              <w:rPr>
                <w:noProof/>
                <w:color w:val="000000"/>
                <w:sz w:val="16"/>
                <w:szCs w:val="16"/>
                <w:lang w:eastAsia="it-IT"/>
              </w:rPr>
            </w:pPr>
            <w:r>
              <w:rPr>
                <w:noProof/>
                <w:color w:val="000000"/>
                <w:sz w:val="16"/>
                <w:szCs w:val="16"/>
                <w:lang w:eastAsia="it-IT"/>
              </w:rPr>
              <w:t>3</w:t>
            </w:r>
          </w:p>
        </w:tc>
        <w:tc>
          <w:tcPr>
            <w:tcW w:w="839" w:type="pct"/>
            <w:noWrap/>
            <w:hideMark/>
          </w:tcPr>
          <w:p w:rsidR="007D3598" w:rsidRDefault="00F8547B">
            <w:pPr>
              <w:keepNext/>
              <w:jc w:val="right"/>
              <w:rPr>
                <w:noProof/>
                <w:color w:val="000000"/>
                <w:sz w:val="16"/>
                <w:szCs w:val="16"/>
                <w:lang w:eastAsia="it-IT"/>
              </w:rPr>
            </w:pPr>
            <w:r>
              <w:rPr>
                <w:noProof/>
                <w:color w:val="000000"/>
                <w:sz w:val="16"/>
                <w:szCs w:val="16"/>
                <w:lang w:eastAsia="it-IT"/>
              </w:rPr>
              <w:t>0</w:t>
            </w:r>
          </w:p>
        </w:tc>
        <w:tc>
          <w:tcPr>
            <w:tcW w:w="1009" w:type="pct"/>
            <w:noWrap/>
            <w:hideMark/>
          </w:tcPr>
          <w:p w:rsidR="007D3598" w:rsidRDefault="00F8547B">
            <w:pPr>
              <w:keepNext/>
              <w:jc w:val="right"/>
              <w:rPr>
                <w:noProof/>
                <w:color w:val="000000"/>
                <w:sz w:val="16"/>
                <w:szCs w:val="16"/>
                <w:lang w:eastAsia="it-IT"/>
              </w:rPr>
            </w:pPr>
            <w:r>
              <w:rPr>
                <w:noProof/>
                <w:color w:val="000000"/>
                <w:sz w:val="16"/>
                <w:szCs w:val="16"/>
                <w:lang w:eastAsia="it-IT"/>
              </w:rPr>
              <w:t>0</w:t>
            </w:r>
          </w:p>
        </w:tc>
      </w:tr>
      <w:tr w:rsidR="007D3598" w:rsidTr="007D3598">
        <w:trPr>
          <w:cnfStyle w:val="000000100000" w:firstRow="0" w:lastRow="0" w:firstColumn="0" w:lastColumn="0" w:oddVBand="0" w:evenVBand="0" w:oddHBand="1" w:evenHBand="0" w:firstRowFirstColumn="0" w:firstRowLastColumn="0" w:lastRowFirstColumn="0" w:lastRowLastColumn="0"/>
          <w:trHeight w:val="300"/>
        </w:trPr>
        <w:tc>
          <w:tcPr>
            <w:tcW w:w="2507" w:type="pct"/>
            <w:noWrap/>
            <w:hideMark/>
          </w:tcPr>
          <w:p w:rsidR="007D3598" w:rsidRDefault="00F8547B">
            <w:pPr>
              <w:keepNext/>
              <w:rPr>
                <w:noProof/>
                <w:color w:val="000000"/>
                <w:sz w:val="16"/>
                <w:szCs w:val="16"/>
                <w:lang w:eastAsia="it-IT"/>
              </w:rPr>
            </w:pPr>
            <w:r>
              <w:rPr>
                <w:noProof/>
                <w:color w:val="000000"/>
                <w:sz w:val="16"/>
                <w:szCs w:val="16"/>
                <w:lang w:eastAsia="it-IT"/>
              </w:rPr>
              <w:t>Multiannual programme beneficiaries</w:t>
            </w:r>
          </w:p>
        </w:tc>
        <w:tc>
          <w:tcPr>
            <w:tcW w:w="644" w:type="pct"/>
            <w:noWrap/>
            <w:hideMark/>
          </w:tcPr>
          <w:p w:rsidR="007D3598" w:rsidRDefault="00F8547B">
            <w:pPr>
              <w:keepNext/>
              <w:jc w:val="right"/>
              <w:rPr>
                <w:noProof/>
                <w:color w:val="000000"/>
                <w:sz w:val="16"/>
                <w:szCs w:val="16"/>
                <w:lang w:eastAsia="it-IT"/>
              </w:rPr>
            </w:pPr>
            <w:r>
              <w:rPr>
                <w:noProof/>
                <w:color w:val="000000"/>
                <w:sz w:val="16"/>
                <w:szCs w:val="16"/>
                <w:lang w:eastAsia="it-IT"/>
              </w:rPr>
              <w:t>110</w:t>
            </w:r>
          </w:p>
        </w:tc>
        <w:tc>
          <w:tcPr>
            <w:tcW w:w="839" w:type="pct"/>
            <w:noWrap/>
            <w:hideMark/>
          </w:tcPr>
          <w:p w:rsidR="007D3598" w:rsidRDefault="00F8547B">
            <w:pPr>
              <w:keepNext/>
              <w:jc w:val="right"/>
              <w:rPr>
                <w:noProof/>
                <w:color w:val="000000"/>
                <w:sz w:val="16"/>
                <w:szCs w:val="16"/>
                <w:lang w:eastAsia="it-IT"/>
              </w:rPr>
            </w:pPr>
            <w:r>
              <w:rPr>
                <w:noProof/>
                <w:color w:val="000000"/>
                <w:sz w:val="16"/>
                <w:szCs w:val="16"/>
                <w:lang w:eastAsia="it-IT"/>
              </w:rPr>
              <w:t>2</w:t>
            </w:r>
          </w:p>
        </w:tc>
        <w:tc>
          <w:tcPr>
            <w:tcW w:w="1009" w:type="pct"/>
            <w:noWrap/>
            <w:hideMark/>
          </w:tcPr>
          <w:p w:rsidR="007D3598" w:rsidRDefault="00F8547B">
            <w:pPr>
              <w:keepNext/>
              <w:jc w:val="right"/>
              <w:rPr>
                <w:noProof/>
                <w:color w:val="000000"/>
                <w:sz w:val="16"/>
                <w:szCs w:val="16"/>
                <w:lang w:eastAsia="it-IT"/>
              </w:rPr>
            </w:pPr>
            <w:r>
              <w:rPr>
                <w:noProof/>
                <w:color w:val="000000"/>
                <w:sz w:val="16"/>
                <w:szCs w:val="16"/>
                <w:lang w:eastAsia="it-IT"/>
              </w:rPr>
              <w:t>17</w:t>
            </w:r>
          </w:p>
        </w:tc>
      </w:tr>
      <w:tr w:rsidR="007D3598" w:rsidTr="007D3598">
        <w:trPr>
          <w:trHeight w:val="300"/>
        </w:trPr>
        <w:tc>
          <w:tcPr>
            <w:tcW w:w="2507" w:type="pct"/>
            <w:noWrap/>
            <w:hideMark/>
          </w:tcPr>
          <w:p w:rsidR="007D3598" w:rsidRDefault="00F8547B">
            <w:pPr>
              <w:keepNext/>
              <w:rPr>
                <w:noProof/>
                <w:color w:val="000000"/>
                <w:sz w:val="16"/>
                <w:szCs w:val="16"/>
                <w:lang w:eastAsia="it-IT"/>
              </w:rPr>
            </w:pPr>
            <w:r>
              <w:rPr>
                <w:noProof/>
                <w:color w:val="000000"/>
                <w:sz w:val="16"/>
                <w:szCs w:val="16"/>
                <w:lang w:eastAsia="it-IT"/>
              </w:rPr>
              <w:t>Experts</w:t>
            </w:r>
          </w:p>
        </w:tc>
        <w:tc>
          <w:tcPr>
            <w:tcW w:w="644" w:type="pct"/>
            <w:noWrap/>
            <w:hideMark/>
          </w:tcPr>
          <w:p w:rsidR="007D3598" w:rsidRDefault="00F8547B">
            <w:pPr>
              <w:keepNext/>
              <w:jc w:val="right"/>
              <w:rPr>
                <w:noProof/>
                <w:color w:val="000000"/>
                <w:sz w:val="16"/>
                <w:szCs w:val="16"/>
                <w:lang w:eastAsia="it-IT"/>
              </w:rPr>
            </w:pPr>
            <w:r>
              <w:rPr>
                <w:noProof/>
                <w:color w:val="000000"/>
                <w:sz w:val="16"/>
                <w:szCs w:val="16"/>
                <w:lang w:eastAsia="it-IT"/>
              </w:rPr>
              <w:t>9</w:t>
            </w:r>
          </w:p>
        </w:tc>
        <w:tc>
          <w:tcPr>
            <w:tcW w:w="839" w:type="pct"/>
            <w:noWrap/>
            <w:hideMark/>
          </w:tcPr>
          <w:p w:rsidR="007D3598" w:rsidRDefault="00F8547B">
            <w:pPr>
              <w:keepNext/>
              <w:jc w:val="right"/>
              <w:rPr>
                <w:noProof/>
                <w:color w:val="000000"/>
                <w:sz w:val="16"/>
                <w:szCs w:val="16"/>
                <w:lang w:eastAsia="it-IT"/>
              </w:rPr>
            </w:pPr>
            <w:r>
              <w:rPr>
                <w:noProof/>
                <w:color w:val="000000"/>
                <w:sz w:val="16"/>
                <w:szCs w:val="16"/>
                <w:lang w:eastAsia="it-IT"/>
              </w:rPr>
              <w:t>5</w:t>
            </w:r>
          </w:p>
        </w:tc>
        <w:tc>
          <w:tcPr>
            <w:tcW w:w="1009" w:type="pct"/>
            <w:noWrap/>
            <w:hideMark/>
          </w:tcPr>
          <w:p w:rsidR="007D3598" w:rsidRDefault="00F8547B">
            <w:pPr>
              <w:keepNext/>
              <w:jc w:val="right"/>
              <w:rPr>
                <w:noProof/>
                <w:color w:val="000000"/>
                <w:sz w:val="16"/>
                <w:szCs w:val="16"/>
                <w:lang w:eastAsia="it-IT"/>
              </w:rPr>
            </w:pPr>
            <w:r>
              <w:rPr>
                <w:noProof/>
                <w:color w:val="000000"/>
                <w:sz w:val="16"/>
                <w:szCs w:val="16"/>
                <w:lang w:eastAsia="it-IT"/>
              </w:rPr>
              <w:t>1</w:t>
            </w:r>
          </w:p>
        </w:tc>
      </w:tr>
      <w:tr w:rsidR="007D3598" w:rsidTr="007D3598">
        <w:trPr>
          <w:cnfStyle w:val="000000100000" w:firstRow="0" w:lastRow="0" w:firstColumn="0" w:lastColumn="0" w:oddVBand="0" w:evenVBand="0" w:oddHBand="1" w:evenHBand="0" w:firstRowFirstColumn="0" w:firstRowLastColumn="0" w:lastRowFirstColumn="0" w:lastRowLastColumn="0"/>
          <w:trHeight w:val="300"/>
        </w:trPr>
        <w:tc>
          <w:tcPr>
            <w:tcW w:w="2507" w:type="pct"/>
            <w:noWrap/>
            <w:hideMark/>
          </w:tcPr>
          <w:p w:rsidR="007D3598" w:rsidRDefault="00F8547B">
            <w:pPr>
              <w:keepNext/>
              <w:rPr>
                <w:b/>
                <w:noProof/>
                <w:color w:val="000000"/>
                <w:sz w:val="16"/>
                <w:szCs w:val="16"/>
                <w:lang w:eastAsia="it-IT"/>
              </w:rPr>
            </w:pPr>
            <w:r>
              <w:rPr>
                <w:b/>
                <w:noProof/>
                <w:color w:val="000000"/>
                <w:sz w:val="16"/>
                <w:szCs w:val="16"/>
                <w:lang w:eastAsia="it-IT"/>
              </w:rPr>
              <w:t>Total</w:t>
            </w:r>
          </w:p>
        </w:tc>
        <w:tc>
          <w:tcPr>
            <w:tcW w:w="644" w:type="pct"/>
            <w:noWrap/>
            <w:hideMark/>
          </w:tcPr>
          <w:p w:rsidR="007D3598" w:rsidRDefault="00F8547B">
            <w:pPr>
              <w:keepNext/>
              <w:jc w:val="right"/>
              <w:rPr>
                <w:b/>
                <w:noProof/>
                <w:color w:val="000000"/>
                <w:sz w:val="16"/>
                <w:szCs w:val="16"/>
                <w:lang w:eastAsia="it-IT"/>
              </w:rPr>
            </w:pPr>
            <w:r>
              <w:rPr>
                <w:b/>
                <w:noProof/>
                <w:color w:val="000000"/>
                <w:sz w:val="16"/>
                <w:szCs w:val="16"/>
                <w:lang w:eastAsia="it-IT"/>
              </w:rPr>
              <w:t>396</w:t>
            </w:r>
          </w:p>
        </w:tc>
        <w:tc>
          <w:tcPr>
            <w:tcW w:w="839" w:type="pct"/>
            <w:noWrap/>
            <w:hideMark/>
          </w:tcPr>
          <w:p w:rsidR="007D3598" w:rsidRDefault="00F8547B">
            <w:pPr>
              <w:keepNext/>
              <w:jc w:val="right"/>
              <w:rPr>
                <w:b/>
                <w:noProof/>
                <w:color w:val="000000"/>
                <w:sz w:val="16"/>
                <w:szCs w:val="16"/>
                <w:lang w:eastAsia="it-IT"/>
              </w:rPr>
            </w:pPr>
            <w:r>
              <w:rPr>
                <w:b/>
                <w:noProof/>
                <w:color w:val="000000"/>
                <w:sz w:val="16"/>
                <w:szCs w:val="16"/>
                <w:lang w:eastAsia="it-IT"/>
              </w:rPr>
              <w:t>33</w:t>
            </w:r>
          </w:p>
        </w:tc>
        <w:tc>
          <w:tcPr>
            <w:tcW w:w="1009" w:type="pct"/>
            <w:noWrap/>
            <w:hideMark/>
          </w:tcPr>
          <w:p w:rsidR="007D3598" w:rsidRDefault="00F8547B">
            <w:pPr>
              <w:keepNext/>
              <w:jc w:val="right"/>
              <w:rPr>
                <w:b/>
                <w:noProof/>
                <w:color w:val="000000"/>
                <w:sz w:val="16"/>
                <w:szCs w:val="16"/>
                <w:lang w:eastAsia="it-IT"/>
              </w:rPr>
            </w:pPr>
            <w:r>
              <w:rPr>
                <w:b/>
                <w:noProof/>
                <w:color w:val="000000"/>
                <w:sz w:val="16"/>
                <w:szCs w:val="16"/>
                <w:lang w:eastAsia="it-IT"/>
              </w:rPr>
              <w:t>55</w:t>
            </w:r>
          </w:p>
        </w:tc>
      </w:tr>
    </w:tbl>
    <w:p w:rsidR="007D3598" w:rsidRDefault="00F8547B">
      <w:pPr>
        <w:pStyle w:val="Caption"/>
        <w:spacing w:before="0" w:after="0"/>
        <w:jc w:val="both"/>
        <w:rPr>
          <w:b w:val="0"/>
          <w:i/>
          <w:noProof/>
          <w:sz w:val="20"/>
        </w:rPr>
      </w:pPr>
      <w:r>
        <w:rPr>
          <w:b w:val="0"/>
          <w:i/>
          <w:noProof/>
          <w:sz w:val="20"/>
        </w:rPr>
        <w:t>Source: ISF-BV Interim evaluation by EY</w:t>
      </w:r>
    </w:p>
    <w:p w:rsidR="007D3598" w:rsidRDefault="007D3598">
      <w:pPr>
        <w:rPr>
          <w:rFonts w:eastAsia="Verdana"/>
          <w:noProof/>
        </w:rPr>
      </w:pPr>
    </w:p>
    <w:p w:rsidR="007D3598" w:rsidRDefault="007D3598">
      <w:pPr>
        <w:spacing w:after="200" w:line="276" w:lineRule="auto"/>
        <w:jc w:val="both"/>
        <w:rPr>
          <w:noProof/>
          <w:szCs w:val="24"/>
        </w:rPr>
      </w:pPr>
      <w:bookmarkStart w:id="1272" w:name="_Toc504475740"/>
      <w:bookmarkStart w:id="1273" w:name="_Ref505689526"/>
      <w:bookmarkStart w:id="1274" w:name="_Toc506393783"/>
      <w:bookmarkStart w:id="1275" w:name="_Toc506475237"/>
      <w:bookmarkStart w:id="1276" w:name="_Toc506478855"/>
      <w:bookmarkStart w:id="1277" w:name="_Toc506479807"/>
      <w:bookmarkStart w:id="1278" w:name="_Toc506483945"/>
      <w:bookmarkStart w:id="1279" w:name="_Toc506529870"/>
    </w:p>
    <w:p w:rsidR="007D3598" w:rsidRDefault="00F8547B">
      <w:pPr>
        <w:spacing w:after="200" w:line="276" w:lineRule="auto"/>
        <w:jc w:val="both"/>
        <w:rPr>
          <w:noProof/>
          <w:szCs w:val="24"/>
        </w:rPr>
      </w:pPr>
      <w:r>
        <w:rPr>
          <w:noProof/>
          <w:szCs w:val="24"/>
        </w:rPr>
        <w:t xml:space="preserve">In addition to this, the evaluation reflected the results of a </w:t>
      </w:r>
      <w:r>
        <w:rPr>
          <w:b/>
          <w:noProof/>
          <w:szCs w:val="24"/>
        </w:rPr>
        <w:t>forward-looking workshop</w:t>
      </w:r>
      <w:r>
        <w:rPr>
          <w:noProof/>
          <w:szCs w:val="24"/>
        </w:rPr>
        <w:t xml:space="preserve"> with representatives of responsible authorities and the Member States evaluators. Its results are presented below:</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747"/>
      </w:tblGrid>
      <w:tr w:rsidR="007D3598">
        <w:tc>
          <w:tcPr>
            <w:tcW w:w="9747" w:type="dxa"/>
            <w:hideMark/>
          </w:tcPr>
          <w:p w:rsidR="007D3598" w:rsidRDefault="00F8547B">
            <w:pPr>
              <w:pStyle w:val="ListParagraph"/>
              <w:ind w:left="284"/>
              <w:jc w:val="both"/>
              <w:rPr>
                <w:noProof/>
              </w:rPr>
            </w:pPr>
            <w:r>
              <w:rPr>
                <w:noProof/>
              </w:rPr>
              <w:t xml:space="preserve">Participants: two representatives of the COM, three representatives of EY (EY, service provider for the Interim Evaluation of the ISF-BV </w:t>
            </w:r>
            <w:r>
              <w:rPr>
                <w:noProof/>
              </w:rPr>
              <w:t>2014-2017), representatives of nine Member States and two Schengen Associated Countries.</w:t>
            </w:r>
          </w:p>
          <w:p w:rsidR="007D3598" w:rsidRDefault="00F8547B">
            <w:pPr>
              <w:pStyle w:val="ListParagraph"/>
              <w:ind w:left="284"/>
              <w:jc w:val="both"/>
              <w:rPr>
                <w:noProof/>
              </w:rPr>
            </w:pPr>
            <w:r>
              <w:rPr>
                <w:noProof/>
              </w:rPr>
              <w:t>Date: 30th November 2017.</w:t>
            </w:r>
          </w:p>
          <w:p w:rsidR="007D3598" w:rsidRDefault="007D3598">
            <w:pPr>
              <w:pStyle w:val="ListParagraph"/>
              <w:ind w:left="284"/>
              <w:jc w:val="both"/>
              <w:rPr>
                <w:noProof/>
              </w:rPr>
            </w:pPr>
          </w:p>
          <w:p w:rsidR="007D3598" w:rsidRDefault="00F8547B">
            <w:pPr>
              <w:pStyle w:val="ListParagraph"/>
              <w:ind w:left="284"/>
              <w:jc w:val="both"/>
              <w:rPr>
                <w:b/>
                <w:noProof/>
              </w:rPr>
            </w:pPr>
            <w:r>
              <w:rPr>
                <w:b/>
                <w:noProof/>
              </w:rPr>
              <w:t>Contribution of the ISF-BV to the harmonisation of visa processing/issuing and to the effective implementation of an integrated border manag</w:t>
            </w:r>
            <w:r>
              <w:rPr>
                <w:b/>
                <w:noProof/>
              </w:rPr>
              <w:t>ement</w:t>
            </w:r>
          </w:p>
          <w:p w:rsidR="007D3598" w:rsidRDefault="00F8547B">
            <w:pPr>
              <w:pStyle w:val="ListParagraph"/>
              <w:ind w:left="284"/>
              <w:jc w:val="both"/>
              <w:rPr>
                <w:b/>
                <w:noProof/>
              </w:rPr>
            </w:pPr>
            <w:r>
              <w:rPr>
                <w:b/>
                <w:noProof/>
              </w:rPr>
              <w:t>Visa processing</w:t>
            </w:r>
          </w:p>
          <w:p w:rsidR="007D3598" w:rsidRDefault="00F8547B">
            <w:pPr>
              <w:pStyle w:val="ListParagraph"/>
              <w:numPr>
                <w:ilvl w:val="0"/>
                <w:numId w:val="63"/>
              </w:numPr>
              <w:ind w:left="284" w:hanging="218"/>
              <w:jc w:val="both"/>
              <w:rPr>
                <w:noProof/>
              </w:rPr>
            </w:pPr>
            <w:r>
              <w:rPr>
                <w:noProof/>
              </w:rPr>
              <w:t>The Fund contributes to the establishment of an information-based decision-making, to the development of instruments (an APP, in particular) that provide relevant information, and enable sharing information with other MS. Visa applica</w:t>
            </w:r>
            <w:r>
              <w:rPr>
                <w:noProof/>
              </w:rPr>
              <w:t xml:space="preserve">tion procedures have been externalised to a specific Agency, managed under the national budget. </w:t>
            </w:r>
          </w:p>
          <w:p w:rsidR="007D3598" w:rsidRDefault="00F8547B">
            <w:pPr>
              <w:pStyle w:val="ListParagraph"/>
              <w:numPr>
                <w:ilvl w:val="0"/>
                <w:numId w:val="63"/>
              </w:numPr>
              <w:ind w:left="284" w:hanging="218"/>
              <w:jc w:val="both"/>
              <w:rPr>
                <w:noProof/>
              </w:rPr>
            </w:pPr>
            <w:r>
              <w:rPr>
                <w:noProof/>
              </w:rPr>
              <w:t>The Fund contributes to the delivery of training in foreign missions. Ministries of Foreign Affairs have outsourced visa issuance service. The impact of traini</w:t>
            </w:r>
            <w:r>
              <w:rPr>
                <w:noProof/>
              </w:rPr>
              <w:t xml:space="preserve">ng is hardly quantifiable, and the available indicators are not fitting for purpose. In general, however, trainings have been positively evaluated and staff’s skills have upgraded. </w:t>
            </w:r>
          </w:p>
          <w:p w:rsidR="007D3598" w:rsidRDefault="00F8547B">
            <w:pPr>
              <w:pStyle w:val="ListParagraph"/>
              <w:numPr>
                <w:ilvl w:val="0"/>
                <w:numId w:val="63"/>
              </w:numPr>
              <w:ind w:left="284" w:hanging="218"/>
              <w:jc w:val="both"/>
              <w:rPr>
                <w:noProof/>
              </w:rPr>
            </w:pPr>
            <w:r>
              <w:rPr>
                <w:noProof/>
              </w:rPr>
              <w:t>Some MS have not implemented any projects under this objective, but they a</w:t>
            </w:r>
            <w:r>
              <w:rPr>
                <w:noProof/>
              </w:rPr>
              <w:t xml:space="preserve">re still interested in putting in place some actions. They regret the limited capacity of beneficiaries to draft projects. </w:t>
            </w:r>
          </w:p>
          <w:p w:rsidR="007D3598" w:rsidRDefault="00F8547B">
            <w:pPr>
              <w:pStyle w:val="ListParagraph"/>
              <w:numPr>
                <w:ilvl w:val="0"/>
                <w:numId w:val="63"/>
              </w:numPr>
              <w:ind w:left="284" w:hanging="218"/>
              <w:jc w:val="both"/>
              <w:rPr>
                <w:noProof/>
              </w:rPr>
            </w:pPr>
            <w:r>
              <w:rPr>
                <w:noProof/>
              </w:rPr>
              <w:t xml:space="preserve">The main contribution of the Fund is the operating support, above all for the maintenance of VIS. Despite the clear contribution of </w:t>
            </w:r>
            <w:r>
              <w:rPr>
                <w:noProof/>
              </w:rPr>
              <w:t>the Fund, there are issues concerning national capacity that affect the Fund’s success. Embassies struggle to: i) design and manage projects under the National Programme (above all on security issues); ii) manage EU funding - since they do not have the ski</w:t>
            </w:r>
            <w:r>
              <w:rPr>
                <w:noProof/>
              </w:rPr>
              <w:t xml:space="preserve">lls to manage the financial implementation. </w:t>
            </w:r>
          </w:p>
          <w:p w:rsidR="007D3598" w:rsidRDefault="00F8547B">
            <w:pPr>
              <w:pStyle w:val="ListParagraph"/>
              <w:numPr>
                <w:ilvl w:val="0"/>
                <w:numId w:val="63"/>
              </w:numPr>
              <w:ind w:left="284" w:hanging="218"/>
              <w:jc w:val="both"/>
              <w:rPr>
                <w:noProof/>
              </w:rPr>
            </w:pPr>
            <w:r>
              <w:rPr>
                <w:noProof/>
              </w:rPr>
              <w:t>The main contribution of the Fund is the possibility to finance IT projects (VIS) and projects concerning the deployment of visa experts for regional training in third countries. These are important to implement</w:t>
            </w:r>
            <w:r>
              <w:rPr>
                <w:noProof/>
              </w:rPr>
              <w:t xml:space="preserve"> Union’s standards and to keep the staff up-to-date. The visa application service has been externalised. A project for the development of consulates not approved yet, was considered too risky in terms of sustainability, due to constant changes.</w:t>
            </w:r>
          </w:p>
          <w:p w:rsidR="007D3598" w:rsidRDefault="00F8547B">
            <w:pPr>
              <w:pStyle w:val="ListParagraph"/>
              <w:numPr>
                <w:ilvl w:val="0"/>
                <w:numId w:val="63"/>
              </w:numPr>
              <w:ind w:left="284" w:hanging="218"/>
              <w:jc w:val="both"/>
              <w:rPr>
                <w:noProof/>
              </w:rPr>
            </w:pPr>
            <w:r>
              <w:rPr>
                <w:noProof/>
              </w:rPr>
              <w:t>Projects co</w:t>
            </w:r>
            <w:r>
              <w:rPr>
                <w:noProof/>
              </w:rPr>
              <w:t xml:space="preserve">ncerning: i) training on visa application for consular officials, visa specialists, internal staff and for third countries representatives (located in third countries); ii) IT projects for visa management (i.e. purchase of fingerprint scanners, renewal of </w:t>
            </w:r>
            <w:r>
              <w:rPr>
                <w:noProof/>
              </w:rPr>
              <w:t>computers to process Schengen Visas).</w:t>
            </w:r>
          </w:p>
          <w:p w:rsidR="007D3598" w:rsidRDefault="00F8547B">
            <w:pPr>
              <w:pStyle w:val="ListParagraph"/>
              <w:numPr>
                <w:ilvl w:val="0"/>
                <w:numId w:val="63"/>
              </w:numPr>
              <w:ind w:left="284" w:hanging="218"/>
              <w:jc w:val="both"/>
              <w:rPr>
                <w:noProof/>
              </w:rPr>
            </w:pPr>
            <w:r>
              <w:rPr>
                <w:noProof/>
              </w:rPr>
              <w:t>Projects with different scope (i.e training, deployment of DVO). However, some externalities are causing delays.</w:t>
            </w:r>
          </w:p>
          <w:p w:rsidR="007D3598" w:rsidRDefault="007D3598">
            <w:pPr>
              <w:pStyle w:val="ListParagraph"/>
              <w:ind w:left="284"/>
              <w:jc w:val="both"/>
              <w:rPr>
                <w:noProof/>
              </w:rPr>
            </w:pPr>
          </w:p>
          <w:p w:rsidR="007D3598" w:rsidRDefault="00F8547B">
            <w:pPr>
              <w:pStyle w:val="ListParagraph"/>
              <w:ind w:left="284"/>
              <w:jc w:val="both"/>
              <w:rPr>
                <w:b/>
                <w:noProof/>
              </w:rPr>
            </w:pPr>
            <w:r>
              <w:rPr>
                <w:b/>
                <w:noProof/>
              </w:rPr>
              <w:t>Implementation of integrated border management</w:t>
            </w:r>
          </w:p>
          <w:p w:rsidR="007D3598" w:rsidRDefault="00F8547B">
            <w:pPr>
              <w:pStyle w:val="ListParagraph"/>
              <w:numPr>
                <w:ilvl w:val="0"/>
                <w:numId w:val="63"/>
              </w:numPr>
              <w:ind w:left="284" w:hanging="218"/>
              <w:jc w:val="both"/>
              <w:rPr>
                <w:noProof/>
              </w:rPr>
            </w:pPr>
            <w:r>
              <w:rPr>
                <w:noProof/>
              </w:rPr>
              <w:t>Projects concerning the establishment of ABC gates and th</w:t>
            </w:r>
            <w:r>
              <w:rPr>
                <w:noProof/>
              </w:rPr>
              <w:t>e deployment of ILOs, considering both relevant eligible actions.</w:t>
            </w:r>
          </w:p>
          <w:p w:rsidR="007D3598" w:rsidRDefault="00F8547B">
            <w:pPr>
              <w:pStyle w:val="ListParagraph"/>
              <w:numPr>
                <w:ilvl w:val="0"/>
                <w:numId w:val="63"/>
              </w:numPr>
              <w:ind w:left="284" w:hanging="218"/>
              <w:jc w:val="both"/>
              <w:rPr>
                <w:noProof/>
              </w:rPr>
            </w:pPr>
            <w:r>
              <w:rPr>
                <w:noProof/>
              </w:rPr>
              <w:t>Projects concerning the deployment of ILOs, the purchase of equipment, and the development of smart borders. ISF-BV also supports cooperation measures with third countries.</w:t>
            </w:r>
          </w:p>
          <w:p w:rsidR="007D3598" w:rsidRDefault="00F8547B">
            <w:pPr>
              <w:pStyle w:val="ListParagraph"/>
              <w:numPr>
                <w:ilvl w:val="0"/>
                <w:numId w:val="63"/>
              </w:numPr>
              <w:ind w:left="284" w:hanging="218"/>
              <w:jc w:val="both"/>
              <w:rPr>
                <w:noProof/>
              </w:rPr>
            </w:pPr>
            <w:r>
              <w:rPr>
                <w:noProof/>
              </w:rPr>
              <w:t>Since MS are requ</w:t>
            </w:r>
            <w:r>
              <w:rPr>
                <w:noProof/>
              </w:rPr>
              <w:t>ired to comply with EU standard in the area of border management, the contribution of the Fund has been mainly in the development of IT systems (i.e. SIS, ETIAS) - for better collecting and using relevant information on border checks - smart borders mechan</w:t>
            </w:r>
            <w:r>
              <w:rPr>
                <w:noProof/>
              </w:rPr>
              <w:t>ism and training, in compliance with EU standards.</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Experience with Specific Actions on consular cooperation and the purchase of means of transport and operating equipment for the deployment during joint operations by the Frontex Agency.</w:t>
            </w:r>
          </w:p>
          <w:p w:rsidR="007D3598" w:rsidRDefault="00F8547B">
            <w:pPr>
              <w:pStyle w:val="ListParagraph"/>
              <w:numPr>
                <w:ilvl w:val="0"/>
                <w:numId w:val="63"/>
              </w:numPr>
              <w:ind w:left="284" w:hanging="218"/>
              <w:jc w:val="both"/>
              <w:rPr>
                <w:noProof/>
              </w:rPr>
            </w:pPr>
            <w:r>
              <w:rPr>
                <w:noProof/>
              </w:rPr>
              <w:t>Specific Actions on consular cooperation, both as project lead and as participant, not able to assess the current added-value of such actions. Despite the large sums of money provided, there are issues of administrative burdens raising from national laws a</w:t>
            </w:r>
            <w:r>
              <w:rPr>
                <w:noProof/>
              </w:rPr>
              <w:t xml:space="preserve">nd regulations. </w:t>
            </w:r>
          </w:p>
          <w:p w:rsidR="007D3598" w:rsidRDefault="00F8547B">
            <w:pPr>
              <w:pStyle w:val="ListParagraph"/>
              <w:numPr>
                <w:ilvl w:val="0"/>
                <w:numId w:val="63"/>
              </w:numPr>
              <w:ind w:left="284" w:hanging="218"/>
              <w:jc w:val="both"/>
              <w:rPr>
                <w:noProof/>
              </w:rPr>
            </w:pPr>
            <w:r>
              <w:rPr>
                <w:noProof/>
              </w:rPr>
              <w:t>Issue of lack of additional funding for the management of specific actions.</w:t>
            </w:r>
          </w:p>
          <w:p w:rsidR="007D3598" w:rsidRDefault="00F8547B">
            <w:pPr>
              <w:pStyle w:val="ListParagraph"/>
              <w:numPr>
                <w:ilvl w:val="0"/>
                <w:numId w:val="63"/>
              </w:numPr>
              <w:ind w:left="284" w:hanging="218"/>
              <w:jc w:val="both"/>
              <w:rPr>
                <w:noProof/>
              </w:rPr>
            </w:pPr>
            <w:r>
              <w:rPr>
                <w:noProof/>
              </w:rPr>
              <w:t>Specific Actions for the development of Schengen Houses and CCM. Difficult to be implemented, due to externalities and challenges related to the multinational mana</w:t>
            </w:r>
            <w:r>
              <w:rPr>
                <w:noProof/>
              </w:rPr>
              <w:t>gement.</w:t>
            </w:r>
          </w:p>
          <w:p w:rsidR="007D3598" w:rsidRDefault="00F8547B">
            <w:pPr>
              <w:pStyle w:val="ListParagraph"/>
              <w:numPr>
                <w:ilvl w:val="0"/>
                <w:numId w:val="63"/>
              </w:numPr>
              <w:ind w:left="284" w:hanging="218"/>
              <w:jc w:val="both"/>
              <w:rPr>
                <w:noProof/>
              </w:rPr>
            </w:pPr>
            <w:r>
              <w:rPr>
                <w:noProof/>
              </w:rPr>
              <w:t>All countries agree on the fact that: i) multinational projects are difficult to be managed due to different national eligibility and implementation rules. Suggestion that COM establishes standard eligibility and expenditure rules; ii) additional f</w:t>
            </w:r>
            <w:r>
              <w:rPr>
                <w:noProof/>
              </w:rPr>
              <w:t>unding should be provided for the management of Specific Actions; iii) Specific Actions for FRONTEX equipment are easier to be managed since they consist in procurement and purchase.</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Key advantages and issues of the ISF-BV as compared to the previous fund</w:t>
            </w:r>
            <w:r>
              <w:rPr>
                <w:noProof/>
              </w:rPr>
              <w:t>.</w:t>
            </w:r>
          </w:p>
          <w:p w:rsidR="007D3598" w:rsidRDefault="00F8547B">
            <w:pPr>
              <w:pStyle w:val="ListParagraph"/>
              <w:numPr>
                <w:ilvl w:val="0"/>
                <w:numId w:val="63"/>
              </w:numPr>
              <w:ind w:left="284" w:hanging="218"/>
              <w:jc w:val="both"/>
              <w:rPr>
                <w:noProof/>
              </w:rPr>
            </w:pPr>
            <w:r>
              <w:rPr>
                <w:noProof/>
              </w:rPr>
              <w:t xml:space="preserve">There has been huge improvement compared to the EBF. Multiannual programming allows more flexibility. However, the Fund should probably focus on fewer objectives with a broader scope, without limiting the resources to narrowly defined objectives. </w:t>
            </w:r>
          </w:p>
          <w:p w:rsidR="007D3598" w:rsidRDefault="00F8547B">
            <w:pPr>
              <w:pStyle w:val="ListParagraph"/>
              <w:numPr>
                <w:ilvl w:val="0"/>
                <w:numId w:val="63"/>
              </w:numPr>
              <w:ind w:left="284" w:hanging="218"/>
              <w:jc w:val="both"/>
              <w:rPr>
                <w:noProof/>
              </w:rPr>
            </w:pPr>
            <w:r>
              <w:rPr>
                <w:noProof/>
              </w:rPr>
              <w:t>Nation</w:t>
            </w:r>
            <w:r>
              <w:rPr>
                <w:noProof/>
              </w:rPr>
              <w:t xml:space="preserve">al objectives should be more focused.  </w:t>
            </w:r>
          </w:p>
          <w:p w:rsidR="007D3598" w:rsidRDefault="00F8547B">
            <w:pPr>
              <w:pStyle w:val="ListParagraph"/>
              <w:numPr>
                <w:ilvl w:val="0"/>
                <w:numId w:val="63"/>
              </w:numPr>
              <w:ind w:left="284" w:hanging="218"/>
              <w:jc w:val="both"/>
              <w:rPr>
                <w:noProof/>
              </w:rPr>
            </w:pPr>
            <w:r>
              <w:rPr>
                <w:noProof/>
              </w:rPr>
              <w:t xml:space="preserve">Operating support is very useful in the area of borders management. Some don’t use operating support on visa issues due to difficulties in project acquisition. </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Administrative burden, if any.</w:t>
            </w:r>
          </w:p>
          <w:p w:rsidR="007D3598" w:rsidRDefault="00F8547B">
            <w:pPr>
              <w:pStyle w:val="ListParagraph"/>
              <w:numPr>
                <w:ilvl w:val="0"/>
                <w:numId w:val="63"/>
              </w:numPr>
              <w:ind w:left="284" w:hanging="218"/>
              <w:jc w:val="both"/>
              <w:rPr>
                <w:noProof/>
              </w:rPr>
            </w:pPr>
            <w:r>
              <w:rPr>
                <w:noProof/>
              </w:rPr>
              <w:t>Need to establish simpl</w:t>
            </w:r>
            <w:r>
              <w:rPr>
                <w:noProof/>
              </w:rPr>
              <w:t>ified procedures at Union level, also across programmes.</w:t>
            </w:r>
          </w:p>
          <w:p w:rsidR="007D3598" w:rsidRDefault="00F8547B">
            <w:pPr>
              <w:pStyle w:val="ListParagraph"/>
              <w:numPr>
                <w:ilvl w:val="0"/>
                <w:numId w:val="63"/>
              </w:numPr>
              <w:ind w:left="284" w:hanging="218"/>
              <w:jc w:val="both"/>
              <w:rPr>
                <w:noProof/>
              </w:rPr>
            </w:pPr>
            <w:r>
              <w:rPr>
                <w:noProof/>
              </w:rPr>
              <w:t>All countries agree on the fact that most administrative burden derives from national rules and from heavy national procurement procedures.</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Extent to which the effects of the ISF-BV actions are achi</w:t>
            </w:r>
            <w:r>
              <w:rPr>
                <w:noProof/>
              </w:rPr>
              <w:t>eved at a reasonable cost in terms of financial and human resources deployed.</w:t>
            </w:r>
          </w:p>
          <w:p w:rsidR="007D3598" w:rsidRDefault="00F8547B">
            <w:pPr>
              <w:pStyle w:val="ListParagraph"/>
              <w:numPr>
                <w:ilvl w:val="0"/>
                <w:numId w:val="63"/>
              </w:numPr>
              <w:ind w:left="284" w:hanging="218"/>
              <w:jc w:val="both"/>
              <w:rPr>
                <w:noProof/>
              </w:rPr>
            </w:pPr>
            <w:r>
              <w:rPr>
                <w:noProof/>
              </w:rPr>
              <w:t xml:space="preserve">Current costs are not effectively monitored by Responsible Authorities and COM, mainly due to administrative burden. </w:t>
            </w:r>
          </w:p>
          <w:p w:rsidR="007D3598" w:rsidRDefault="00F8547B">
            <w:pPr>
              <w:pStyle w:val="ListParagraph"/>
              <w:numPr>
                <w:ilvl w:val="0"/>
                <w:numId w:val="63"/>
              </w:numPr>
              <w:ind w:left="284" w:hanging="218"/>
              <w:jc w:val="both"/>
              <w:rPr>
                <w:noProof/>
              </w:rPr>
            </w:pPr>
            <w:r>
              <w:rPr>
                <w:noProof/>
              </w:rPr>
              <w:t>Too early to draw conclusions on this, given the long durati</w:t>
            </w:r>
            <w:r>
              <w:rPr>
                <w:noProof/>
              </w:rPr>
              <w:t>on of the projects.</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Extent to which the Fund still covers needs and problems as evolved since its establishment in 2014.</w:t>
            </w:r>
          </w:p>
          <w:p w:rsidR="007D3598" w:rsidRDefault="00F8547B">
            <w:pPr>
              <w:pStyle w:val="ListParagraph"/>
              <w:numPr>
                <w:ilvl w:val="0"/>
                <w:numId w:val="63"/>
              </w:numPr>
              <w:ind w:left="284" w:hanging="218"/>
              <w:jc w:val="both"/>
              <w:rPr>
                <w:noProof/>
              </w:rPr>
            </w:pPr>
            <w:r>
              <w:rPr>
                <w:noProof/>
              </w:rPr>
              <w:t>According to all countries, nothing is missing in terms of priorities, since the scope of the Fund is broad and can cover the Smart Bo</w:t>
            </w:r>
            <w:r>
              <w:rPr>
                <w:noProof/>
              </w:rPr>
              <w:t>rder initiative. However, a discussion panel on border management to address mid-term review may be needed.</w:t>
            </w:r>
          </w:p>
          <w:p w:rsidR="007D3598" w:rsidRDefault="00F8547B">
            <w:pPr>
              <w:pStyle w:val="ListParagraph"/>
              <w:numPr>
                <w:ilvl w:val="0"/>
                <w:numId w:val="63"/>
              </w:numPr>
              <w:ind w:left="284" w:hanging="218"/>
              <w:jc w:val="both"/>
              <w:rPr>
                <w:noProof/>
              </w:rPr>
            </w:pPr>
            <w:r>
              <w:rPr>
                <w:noProof/>
              </w:rPr>
              <w:t xml:space="preserve">Need to develop national implementation capacity, since many challenges derive from MS’s lack of management capacity. </w:t>
            </w:r>
          </w:p>
          <w:p w:rsidR="007D3598" w:rsidRDefault="00F8547B">
            <w:pPr>
              <w:pStyle w:val="ListParagraph"/>
              <w:numPr>
                <w:ilvl w:val="0"/>
                <w:numId w:val="63"/>
              </w:numPr>
              <w:ind w:left="284" w:hanging="218"/>
              <w:jc w:val="both"/>
              <w:rPr>
                <w:noProof/>
              </w:rPr>
            </w:pPr>
            <w:r>
              <w:rPr>
                <w:noProof/>
              </w:rPr>
              <w:t>The area of competence of ben</w:t>
            </w:r>
            <w:r>
              <w:rPr>
                <w:noProof/>
              </w:rPr>
              <w:t>eficiaries is limited, and thus they may be less interested in implementing projects with a wider scope.</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Sustainability measures.</w:t>
            </w:r>
          </w:p>
          <w:p w:rsidR="007D3598" w:rsidRDefault="00F8547B">
            <w:pPr>
              <w:pStyle w:val="ListParagraph"/>
              <w:numPr>
                <w:ilvl w:val="0"/>
                <w:numId w:val="63"/>
              </w:numPr>
              <w:ind w:left="284" w:hanging="218"/>
              <w:jc w:val="both"/>
              <w:rPr>
                <w:noProof/>
              </w:rPr>
            </w:pPr>
            <w:r>
              <w:rPr>
                <w:noProof/>
              </w:rPr>
              <w:t>All countries agree that ISF-BV projects are sustainable by nature. The main issues concern:</w:t>
            </w:r>
          </w:p>
          <w:p w:rsidR="007D3598" w:rsidRDefault="00F8547B">
            <w:pPr>
              <w:pStyle w:val="ListParagraph"/>
              <w:numPr>
                <w:ilvl w:val="0"/>
                <w:numId w:val="63"/>
              </w:numPr>
              <w:ind w:left="284" w:hanging="218"/>
              <w:jc w:val="both"/>
              <w:rPr>
                <w:noProof/>
              </w:rPr>
            </w:pPr>
            <w:r>
              <w:rPr>
                <w:noProof/>
              </w:rPr>
              <w:t xml:space="preserve">- the fact that staff turnover </w:t>
            </w:r>
            <w:r>
              <w:rPr>
                <w:noProof/>
              </w:rPr>
              <w:t>is very high and this entails the need to provide continuous training schemes. Training is a sustainable action as information and material is shared.</w:t>
            </w:r>
          </w:p>
          <w:p w:rsidR="007D3598" w:rsidRDefault="00F8547B">
            <w:pPr>
              <w:pStyle w:val="ListParagraph"/>
              <w:numPr>
                <w:ilvl w:val="0"/>
                <w:numId w:val="63"/>
              </w:numPr>
              <w:ind w:left="284" w:hanging="218"/>
              <w:jc w:val="both"/>
              <w:rPr>
                <w:noProof/>
              </w:rPr>
            </w:pPr>
            <w:r>
              <w:rPr>
                <w:noProof/>
              </w:rPr>
              <w:t>- IT-related projects may be not sustainable, since technology develops fast.</w:t>
            </w:r>
          </w:p>
          <w:p w:rsidR="007D3598" w:rsidRDefault="00F8547B">
            <w:pPr>
              <w:pStyle w:val="ListParagraph"/>
              <w:numPr>
                <w:ilvl w:val="0"/>
                <w:numId w:val="63"/>
              </w:numPr>
              <w:ind w:left="284" w:hanging="218"/>
              <w:jc w:val="both"/>
              <w:rPr>
                <w:noProof/>
              </w:rPr>
            </w:pPr>
            <w:r>
              <w:rPr>
                <w:noProof/>
              </w:rPr>
              <w:t>Proposal to share a booklet</w:t>
            </w:r>
            <w:r>
              <w:rPr>
                <w:noProof/>
              </w:rPr>
              <w:t xml:space="preserve"> of good practices to improve sustainability.</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Coherence and complementarity. All countries agree on the need of mapping potential overlapping and complementarity with other funds, during the designing phase of new financial instruments. However, MS are no</w:t>
            </w:r>
            <w:r>
              <w:rPr>
                <w:noProof/>
              </w:rPr>
              <w:t>t able to do this alone and suggest that COM could start a mapping of all funding possibilities. Moreover, some countries suggest creating a network to standardise different eligible costs under different funds.</w:t>
            </w:r>
          </w:p>
          <w:p w:rsidR="007D3598" w:rsidRDefault="00F8547B">
            <w:pPr>
              <w:pStyle w:val="ListParagraph"/>
              <w:numPr>
                <w:ilvl w:val="0"/>
                <w:numId w:val="63"/>
              </w:numPr>
              <w:ind w:left="284" w:hanging="218"/>
              <w:jc w:val="both"/>
              <w:rPr>
                <w:noProof/>
              </w:rPr>
            </w:pPr>
            <w:r>
              <w:rPr>
                <w:noProof/>
              </w:rPr>
              <w:t>Added- value brought about by the EU support</w:t>
            </w:r>
            <w:r>
              <w:rPr>
                <w:noProof/>
              </w:rPr>
              <w:t>, if any.</w:t>
            </w:r>
          </w:p>
          <w:p w:rsidR="007D3598" w:rsidRDefault="00F8547B">
            <w:pPr>
              <w:pStyle w:val="ListParagraph"/>
              <w:numPr>
                <w:ilvl w:val="0"/>
                <w:numId w:val="63"/>
              </w:numPr>
              <w:ind w:left="284" w:hanging="218"/>
              <w:jc w:val="both"/>
              <w:rPr>
                <w:noProof/>
              </w:rPr>
            </w:pPr>
            <w:r>
              <w:rPr>
                <w:noProof/>
              </w:rPr>
              <w:t xml:space="preserve">According to all countries, without the support of the Fund, actions depending on year-to-year national budget would have been financed and put in place with a smaller scale and scope, and later in time. ISF-BV stimulates a better management and </w:t>
            </w:r>
            <w:r>
              <w:rPr>
                <w:noProof/>
              </w:rPr>
              <w:t>acts as a good incentive to implement relevant actions (i.e. smart borders, IT systems). In some cases, the Fund helps implementing projects that bring benefits only on the long-term and thus are not a national political priority.</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 xml:space="preserve">Main problems during or </w:t>
            </w:r>
            <w:r>
              <w:rPr>
                <w:noProof/>
              </w:rPr>
              <w:t>with the implementation, if any.</w:t>
            </w:r>
          </w:p>
          <w:p w:rsidR="007D3598" w:rsidRDefault="00F8547B">
            <w:pPr>
              <w:pStyle w:val="ListParagraph"/>
              <w:numPr>
                <w:ilvl w:val="0"/>
                <w:numId w:val="63"/>
              </w:numPr>
              <w:ind w:left="284" w:hanging="218"/>
              <w:jc w:val="both"/>
              <w:rPr>
                <w:noProof/>
              </w:rPr>
            </w:pPr>
            <w:r>
              <w:rPr>
                <w:noProof/>
              </w:rPr>
              <w:t>Regulations have been approved too late at the EU level. Implementing regulations were actually not ready when approving some National Programmes. Some countries have set up a specialized unit on EU funding to effectively m</w:t>
            </w:r>
            <w:r>
              <w:rPr>
                <w:noProof/>
              </w:rPr>
              <w:t>anage the allocated resources.</w:t>
            </w:r>
          </w:p>
          <w:p w:rsidR="007D3598" w:rsidRDefault="00F8547B">
            <w:pPr>
              <w:pStyle w:val="ListParagraph"/>
              <w:numPr>
                <w:ilvl w:val="0"/>
                <w:numId w:val="63"/>
              </w:numPr>
              <w:ind w:left="284" w:hanging="218"/>
              <w:jc w:val="both"/>
              <w:rPr>
                <w:noProof/>
              </w:rPr>
            </w:pPr>
            <w:r>
              <w:rPr>
                <w:noProof/>
              </w:rPr>
              <w:t>Some have set up a specialised bureau of border guards with expertise in EU project management. This had a very positive impact on the Fund’s implementation.</w:t>
            </w:r>
          </w:p>
          <w:p w:rsidR="007D3598" w:rsidRDefault="00F8547B">
            <w:pPr>
              <w:pStyle w:val="ListParagraph"/>
              <w:numPr>
                <w:ilvl w:val="0"/>
                <w:numId w:val="63"/>
              </w:numPr>
              <w:ind w:left="284" w:hanging="218"/>
              <w:jc w:val="both"/>
              <w:rPr>
                <w:noProof/>
              </w:rPr>
            </w:pPr>
            <w:r>
              <w:rPr>
                <w:noProof/>
              </w:rPr>
              <w:t xml:space="preserve">The same staff members and beneficiaries are often engaged in </w:t>
            </w:r>
            <w:r>
              <w:rPr>
                <w:noProof/>
              </w:rPr>
              <w:t>overlapping issues and tasks, creating implementation delays.</w:t>
            </w:r>
          </w:p>
          <w:p w:rsidR="007D3598" w:rsidRDefault="007D3598">
            <w:pPr>
              <w:pStyle w:val="ListParagraph"/>
              <w:ind w:left="284"/>
              <w:jc w:val="both"/>
              <w:rPr>
                <w:noProof/>
              </w:rPr>
            </w:pPr>
          </w:p>
          <w:p w:rsidR="007D3598" w:rsidRDefault="00F8547B">
            <w:pPr>
              <w:pStyle w:val="ListParagraph"/>
              <w:ind w:left="284"/>
              <w:jc w:val="both"/>
              <w:rPr>
                <w:noProof/>
              </w:rPr>
            </w:pPr>
            <w:r>
              <w:rPr>
                <w:noProof/>
              </w:rPr>
              <w:t>Measures put in place to prevent, detect, report and follow-up on cases of fraud and other irregularities, if any.</w:t>
            </w:r>
          </w:p>
          <w:p w:rsidR="007D3598" w:rsidRDefault="00F8547B">
            <w:pPr>
              <w:pStyle w:val="ListParagraph"/>
              <w:numPr>
                <w:ilvl w:val="0"/>
                <w:numId w:val="63"/>
              </w:numPr>
              <w:ind w:left="284" w:hanging="218"/>
              <w:jc w:val="both"/>
              <w:rPr>
                <w:noProof/>
              </w:rPr>
            </w:pPr>
            <w:r>
              <w:rPr>
                <w:noProof/>
              </w:rPr>
              <w:t>No country present at the workshop has put in place special methods and measur</w:t>
            </w:r>
            <w:r>
              <w:rPr>
                <w:noProof/>
              </w:rPr>
              <w:t>es to prevent, detect, and report frauds.</w:t>
            </w:r>
          </w:p>
        </w:tc>
      </w:tr>
    </w:tbl>
    <w:p w:rsidR="007D3598" w:rsidRDefault="00F8547B">
      <w:pPr>
        <w:rPr>
          <w:b/>
          <w:smallCaps/>
          <w:noProof/>
          <w:color w:val="00B050"/>
          <w:sz w:val="32"/>
          <w:szCs w:val="32"/>
        </w:rPr>
      </w:pPr>
      <w:r>
        <w:rPr>
          <w:noProof/>
        </w:rPr>
        <w:br w:type="page"/>
      </w:r>
    </w:p>
    <w:bookmarkEnd w:id="1272"/>
    <w:bookmarkEnd w:id="1273"/>
    <w:bookmarkEnd w:id="1274"/>
    <w:bookmarkEnd w:id="1275"/>
    <w:bookmarkEnd w:id="1276"/>
    <w:bookmarkEnd w:id="1277"/>
    <w:bookmarkEnd w:id="1278"/>
    <w:bookmarkEnd w:id="1279"/>
    <w:p w:rsidR="007D3598" w:rsidRDefault="007D3598">
      <w:pPr>
        <w:framePr w:h="785" w:hRule="exact" w:wrap="auto" w:hAnchor="text"/>
        <w:tabs>
          <w:tab w:val="center" w:pos="4309"/>
        </w:tabs>
        <w:jc w:val="both"/>
        <w:rPr>
          <w:noProof/>
        </w:rPr>
        <w:sectPr w:rsidR="007D3598">
          <w:headerReference w:type="even" r:id="rId67"/>
          <w:headerReference w:type="default" r:id="rId68"/>
          <w:footerReference w:type="even" r:id="rId69"/>
          <w:footerReference w:type="default" r:id="rId70"/>
          <w:headerReference w:type="first" r:id="rId71"/>
          <w:footerReference w:type="first" r:id="rId72"/>
          <w:pgSz w:w="11906" w:h="16838" w:code="9"/>
          <w:pgMar w:top="1417" w:right="1134" w:bottom="1134" w:left="1134" w:header="601" w:footer="737" w:gutter="0"/>
          <w:pgNumType w:start="1"/>
          <w:cols w:space="720"/>
          <w:titlePg/>
        </w:sectPr>
      </w:pPr>
    </w:p>
    <w:p w:rsidR="007D3598" w:rsidRDefault="00F8547B">
      <w:pPr>
        <w:pStyle w:val="HH1"/>
        <w:numPr>
          <w:ilvl w:val="0"/>
          <w:numId w:val="0"/>
        </w:numPr>
        <w:spacing w:before="0" w:after="0"/>
        <w:contextualSpacing w:val="0"/>
        <w:rPr>
          <w:noProof/>
        </w:rPr>
      </w:pPr>
      <w:bookmarkStart w:id="1280" w:name="_Toc515270161"/>
      <w:r>
        <w:rPr>
          <w:noProof/>
        </w:rPr>
        <w:t>Annex 3: Cost/benefit analysis</w:t>
      </w:r>
      <w:bookmarkEnd w:id="1280"/>
    </w:p>
    <w:p w:rsidR="007D3598" w:rsidRDefault="007D3598">
      <w:pPr>
        <w:rPr>
          <w:noProof/>
        </w:rPr>
      </w:pPr>
    </w:p>
    <w:p w:rsidR="007D3598" w:rsidRDefault="00F8547B">
      <w:pPr>
        <w:spacing w:after="240"/>
        <w:jc w:val="both"/>
        <w:rPr>
          <w:noProof/>
        </w:rPr>
      </w:pPr>
      <w:r>
        <w:rPr>
          <w:noProof/>
        </w:rPr>
        <w:t xml:space="preserve">The following table analyses the costs incurred by the various actors involved in implementing ISF-BV, the </w:t>
      </w:r>
      <w:r>
        <w:rPr>
          <w:noProof/>
        </w:rPr>
        <w:t xml:space="preserve">target group, the beneficiaries, the national administrations and the EU. These costs vary from the administrative/indirect or compliance costs for the beneficiaries, to the administrative costs or technical assistance for the RAs, to the actual financial </w:t>
      </w:r>
      <w:r>
        <w:rPr>
          <w:noProof/>
        </w:rPr>
        <w:t>costs for the EU and to the human resources costs for all of the above. The analyses made were both qualitative and quantitative (including monetary analyses).</w:t>
      </w:r>
    </w:p>
    <w:p w:rsidR="007D3598" w:rsidRDefault="00F8547B">
      <w:pPr>
        <w:pStyle w:val="Caption"/>
        <w:keepNext/>
        <w:spacing w:before="0" w:after="0"/>
        <w:rPr>
          <w:b w:val="0"/>
          <w:i/>
          <w:noProof/>
          <w:sz w:val="20"/>
        </w:rPr>
      </w:pPr>
      <w:r>
        <w:rPr>
          <w:b w:val="0"/>
          <w:i/>
          <w:noProof/>
          <w:sz w:val="20"/>
        </w:rPr>
        <w:t>Table 11: Overview of costs associated with the ISF-BV</w:t>
      </w:r>
    </w:p>
    <w:p w:rsidR="007D3598" w:rsidRDefault="007D3598">
      <w:pPr>
        <w:rPr>
          <w:noProof/>
        </w:rPr>
      </w:pPr>
    </w:p>
    <w:tbl>
      <w:tblPr>
        <w:tblStyle w:val="TabelaRenova1"/>
        <w:tblW w:w="10008" w:type="dxa"/>
        <w:tblLook w:val="04A0" w:firstRow="1" w:lastRow="0" w:firstColumn="1" w:lastColumn="0" w:noHBand="0" w:noVBand="1"/>
      </w:tblPr>
      <w:tblGrid>
        <w:gridCol w:w="994"/>
        <w:gridCol w:w="9014"/>
      </w:tblGrid>
      <w:tr w:rsidR="007D3598">
        <w:trPr>
          <w:trHeight w:val="281"/>
        </w:trPr>
        <w:tc>
          <w:tcPr>
            <w:tcW w:w="10008" w:type="dxa"/>
            <w:gridSpan w:val="2"/>
            <w:shd w:val="clear" w:color="auto" w:fill="EAF1DD" w:themeFill="accent3" w:themeFillTint="33"/>
            <w:vAlign w:val="center"/>
          </w:tcPr>
          <w:p w:rsidR="007D3598" w:rsidRDefault="00F8547B">
            <w:pPr>
              <w:rPr>
                <w:noProof/>
                <w:szCs w:val="24"/>
              </w:rPr>
            </w:pPr>
            <w:r>
              <w:rPr>
                <w:b/>
                <w:noProof/>
                <w:szCs w:val="24"/>
              </w:rPr>
              <w:t>Target Group</w:t>
            </w:r>
          </w:p>
        </w:tc>
      </w:tr>
      <w:tr w:rsidR="007D3598">
        <w:tc>
          <w:tcPr>
            <w:tcW w:w="953" w:type="dxa"/>
          </w:tcPr>
          <w:p w:rsidR="007D3598" w:rsidRDefault="007D3598">
            <w:pPr>
              <w:jc w:val="both"/>
              <w:rPr>
                <w:noProof/>
                <w:sz w:val="20"/>
              </w:rPr>
            </w:pPr>
          </w:p>
        </w:tc>
        <w:tc>
          <w:tcPr>
            <w:tcW w:w="9055" w:type="dxa"/>
          </w:tcPr>
          <w:p w:rsidR="007D3598" w:rsidRDefault="00F8547B">
            <w:pPr>
              <w:numPr>
                <w:ilvl w:val="4"/>
                <w:numId w:val="0"/>
              </w:numPr>
              <w:ind w:left="181" w:hanging="218"/>
              <w:jc w:val="both"/>
              <w:rPr>
                <w:noProof/>
                <w:sz w:val="20"/>
              </w:rPr>
            </w:pPr>
            <w:r>
              <w:rPr>
                <w:noProof/>
                <w:sz w:val="20"/>
              </w:rPr>
              <w:t>n/a</w:t>
            </w:r>
          </w:p>
        </w:tc>
      </w:tr>
      <w:tr w:rsidR="007D3598">
        <w:tc>
          <w:tcPr>
            <w:tcW w:w="10008" w:type="dxa"/>
            <w:gridSpan w:val="2"/>
            <w:shd w:val="clear" w:color="auto" w:fill="FDE9D9" w:themeFill="accent6" w:themeFillTint="33"/>
          </w:tcPr>
          <w:p w:rsidR="007D3598" w:rsidRDefault="00F8547B">
            <w:pPr>
              <w:rPr>
                <w:b/>
                <w:noProof/>
                <w:szCs w:val="24"/>
              </w:rPr>
            </w:pPr>
            <w:r>
              <w:rPr>
                <w:b/>
                <w:noProof/>
                <w:szCs w:val="24"/>
              </w:rPr>
              <w:t>Beneficiaries</w:t>
            </w:r>
          </w:p>
        </w:tc>
      </w:tr>
      <w:tr w:rsidR="007D3598">
        <w:tc>
          <w:tcPr>
            <w:tcW w:w="953" w:type="dxa"/>
          </w:tcPr>
          <w:p w:rsidR="007D3598" w:rsidRDefault="00F8547B">
            <w:pPr>
              <w:jc w:val="both"/>
              <w:rPr>
                <w:noProof/>
                <w:sz w:val="20"/>
              </w:rPr>
            </w:pPr>
            <w:r>
              <w:rPr>
                <w:noProof/>
                <w:sz w:val="20"/>
              </w:rPr>
              <w:t>Admin</w:t>
            </w:r>
          </w:p>
        </w:tc>
        <w:tc>
          <w:tcPr>
            <w:tcW w:w="9055" w:type="dxa"/>
          </w:tcPr>
          <w:p w:rsidR="007D3598" w:rsidRDefault="00F8547B">
            <w:pPr>
              <w:numPr>
                <w:ilvl w:val="4"/>
                <w:numId w:val="0"/>
              </w:numPr>
              <w:ind w:left="181" w:hanging="218"/>
              <w:jc w:val="both"/>
              <w:rPr>
                <w:noProof/>
                <w:sz w:val="20"/>
              </w:rPr>
            </w:pPr>
            <w:r>
              <w:rPr>
                <w:noProof/>
                <w:sz w:val="20"/>
              </w:rPr>
              <w:t>EMAS and UAs, as well as indirect management actions have been achieved at reasonable financial costs.</w:t>
            </w:r>
          </w:p>
          <w:p w:rsidR="007D3598" w:rsidRDefault="00F8547B">
            <w:pPr>
              <w:numPr>
                <w:ilvl w:val="4"/>
                <w:numId w:val="0"/>
              </w:numPr>
              <w:ind w:left="181" w:hanging="218"/>
              <w:jc w:val="both"/>
              <w:rPr>
                <w:noProof/>
                <w:sz w:val="20"/>
              </w:rPr>
            </w:pPr>
            <w:r>
              <w:rPr>
                <w:noProof/>
                <w:sz w:val="20"/>
              </w:rPr>
              <w:t xml:space="preserve">Most beneficiaries of EMAS and UAs consider the overall funding and administrative costs to be appropriate, as were the number of staff involved in the </w:t>
            </w:r>
            <w:r>
              <w:rPr>
                <w:noProof/>
                <w:sz w:val="20"/>
              </w:rPr>
              <w:t>implementation.</w:t>
            </w:r>
          </w:p>
          <w:p w:rsidR="007D3598" w:rsidRDefault="00F8547B">
            <w:pPr>
              <w:numPr>
                <w:ilvl w:val="4"/>
                <w:numId w:val="0"/>
              </w:numPr>
              <w:ind w:left="181" w:hanging="218"/>
              <w:jc w:val="both"/>
              <w:rPr>
                <w:noProof/>
                <w:sz w:val="20"/>
              </w:rPr>
            </w:pPr>
            <w:r>
              <w:rPr>
                <w:noProof/>
                <w:sz w:val="20"/>
              </w:rPr>
              <w:t>The procedures applicable to EMAS and UAs are simpler and quicker compared to shared management, and they allow for prompt and suitable interventions. This is particularly relevant in the case of EMAS, since national budgets are often shown</w:t>
            </w:r>
            <w:r>
              <w:rPr>
                <w:noProof/>
                <w:sz w:val="20"/>
              </w:rPr>
              <w:t xml:space="preserve"> not to be adequate to cope with emergencies.</w:t>
            </w:r>
          </w:p>
          <w:p w:rsidR="007D3598" w:rsidRDefault="00F8547B">
            <w:pPr>
              <w:numPr>
                <w:ilvl w:val="4"/>
                <w:numId w:val="0"/>
              </w:numPr>
              <w:ind w:left="181" w:hanging="218"/>
              <w:jc w:val="both"/>
              <w:rPr>
                <w:noProof/>
                <w:sz w:val="20"/>
              </w:rPr>
            </w:pPr>
            <w:r>
              <w:rPr>
                <w:noProof/>
                <w:sz w:val="20"/>
              </w:rPr>
              <w:t>In terms of allocations, most beneficiaries consider the overall funding to be adequate, also because it is possible to ask for amendments to the grant agreements. Moreover, procurement procedures represent one</w:t>
            </w:r>
            <w:r>
              <w:rPr>
                <w:noProof/>
                <w:sz w:val="20"/>
              </w:rPr>
              <w:t xml:space="preserve"> of the main components that ensure the efficient achievement of results, since they allow the most economical offers to be selected — complying with tender specifications, timeliness of deliveries, and other relevant factors.</w:t>
            </w:r>
          </w:p>
          <w:p w:rsidR="007D3598" w:rsidRDefault="00F8547B">
            <w:pPr>
              <w:pStyle w:val="ListParagraph"/>
              <w:numPr>
                <w:ilvl w:val="4"/>
                <w:numId w:val="0"/>
              </w:numPr>
              <w:ind w:left="181" w:hanging="218"/>
              <w:contextualSpacing w:val="0"/>
              <w:jc w:val="both"/>
              <w:rPr>
                <w:noProof/>
                <w:sz w:val="20"/>
              </w:rPr>
            </w:pPr>
            <w:r>
              <w:rPr>
                <w:noProof/>
                <w:sz w:val="20"/>
              </w:rPr>
              <w:t>Direct management: EUR 414 mi</w:t>
            </w:r>
            <w:r>
              <w:rPr>
                <w:noProof/>
                <w:sz w:val="20"/>
              </w:rPr>
              <w:t>llion (planned) — EUR 271 million (allocated) — EUR 17 million (spent).</w:t>
            </w:r>
          </w:p>
          <w:p w:rsidR="007D3598" w:rsidRDefault="00F8547B">
            <w:pPr>
              <w:numPr>
                <w:ilvl w:val="4"/>
                <w:numId w:val="0"/>
              </w:numPr>
              <w:ind w:left="181" w:hanging="218"/>
              <w:jc w:val="both"/>
              <w:rPr>
                <w:noProof/>
                <w:sz w:val="20"/>
              </w:rPr>
            </w:pPr>
            <w:r>
              <w:rPr>
                <w:noProof/>
                <w:sz w:val="20"/>
              </w:rPr>
              <w:t>Indirect management: EUR 12 million (planned) — EUR 9.5 million (allocated) — EUR 0 million (spent).</w:t>
            </w:r>
          </w:p>
        </w:tc>
      </w:tr>
      <w:tr w:rsidR="007D3598">
        <w:tc>
          <w:tcPr>
            <w:tcW w:w="10008" w:type="dxa"/>
            <w:gridSpan w:val="2"/>
            <w:shd w:val="clear" w:color="auto" w:fill="E5DFEC" w:themeFill="accent4" w:themeFillTint="33"/>
          </w:tcPr>
          <w:p w:rsidR="007D3598" w:rsidRDefault="00F8547B">
            <w:pPr>
              <w:rPr>
                <w:b/>
                <w:noProof/>
                <w:szCs w:val="24"/>
              </w:rPr>
            </w:pPr>
            <w:r>
              <w:rPr>
                <w:b/>
                <w:noProof/>
                <w:szCs w:val="24"/>
              </w:rPr>
              <w:t>National administrations</w:t>
            </w:r>
          </w:p>
        </w:tc>
      </w:tr>
      <w:tr w:rsidR="007D3598">
        <w:trPr>
          <w:trHeight w:val="309"/>
        </w:trPr>
        <w:tc>
          <w:tcPr>
            <w:tcW w:w="953" w:type="dxa"/>
          </w:tcPr>
          <w:p w:rsidR="007D3598" w:rsidRDefault="00F8547B">
            <w:pPr>
              <w:jc w:val="both"/>
              <w:rPr>
                <w:noProof/>
                <w:sz w:val="20"/>
              </w:rPr>
            </w:pPr>
            <w:r>
              <w:rPr>
                <w:noProof/>
                <w:sz w:val="20"/>
              </w:rPr>
              <w:t>TA</w:t>
            </w:r>
          </w:p>
        </w:tc>
        <w:tc>
          <w:tcPr>
            <w:tcW w:w="9055" w:type="dxa"/>
          </w:tcPr>
          <w:p w:rsidR="007D3598" w:rsidRDefault="00F8547B">
            <w:pPr>
              <w:numPr>
                <w:ilvl w:val="4"/>
                <w:numId w:val="0"/>
              </w:numPr>
              <w:ind w:left="181" w:hanging="218"/>
              <w:jc w:val="both"/>
              <w:rPr>
                <w:noProof/>
                <w:sz w:val="20"/>
              </w:rPr>
            </w:pPr>
            <w:r>
              <w:rPr>
                <w:noProof/>
                <w:sz w:val="20"/>
              </w:rPr>
              <w:t xml:space="preserve">By 31 December 2016, Member States had spent a total amount of EUR 3.7 million overall out of the total of EUR 62 million, with the payment rate at 0.13 % and an implementation rate of 6 %. </w:t>
            </w:r>
          </w:p>
          <w:p w:rsidR="007D3598" w:rsidRDefault="00F8547B">
            <w:pPr>
              <w:numPr>
                <w:ilvl w:val="4"/>
                <w:numId w:val="0"/>
              </w:numPr>
              <w:ind w:left="181" w:hanging="218"/>
              <w:jc w:val="both"/>
              <w:rPr>
                <w:noProof/>
                <w:sz w:val="20"/>
              </w:rPr>
            </w:pPr>
            <w:r>
              <w:rPr>
                <w:noProof/>
                <w:sz w:val="20"/>
              </w:rPr>
              <w:t>The complexity and recurrence of reporting requirements entail im</w:t>
            </w:r>
            <w:r>
              <w:rPr>
                <w:noProof/>
                <w:sz w:val="20"/>
              </w:rPr>
              <w:t>plementation delays and administrative burden; according to several Member States, compared to the previous programming period, reporting requirements have considerably increased.</w:t>
            </w:r>
          </w:p>
          <w:p w:rsidR="007D3598" w:rsidRDefault="00F8547B">
            <w:pPr>
              <w:numPr>
                <w:ilvl w:val="4"/>
                <w:numId w:val="0"/>
              </w:numPr>
              <w:ind w:left="181" w:hanging="218"/>
              <w:jc w:val="both"/>
              <w:rPr>
                <w:noProof/>
                <w:sz w:val="20"/>
              </w:rPr>
            </w:pPr>
            <w:r>
              <w:rPr>
                <w:noProof/>
                <w:sz w:val="20"/>
              </w:rPr>
              <w:t>TA costs and administrative costs of projects increased between 2015 and 201</w:t>
            </w:r>
            <w:r>
              <w:rPr>
                <w:noProof/>
                <w:sz w:val="20"/>
              </w:rPr>
              <w:t>6, with a low decrease in 2017. According to available data (11 out of 30 Member States): 2015 EUR 1.17 million (ratio=1.16); 2016 EUR 6.78 million (ratio= 0.7); and 2017 EUR 6.68 million (ratio= 1.48).</w:t>
            </w:r>
          </w:p>
        </w:tc>
      </w:tr>
      <w:tr w:rsidR="007D3598">
        <w:tc>
          <w:tcPr>
            <w:tcW w:w="953" w:type="dxa"/>
          </w:tcPr>
          <w:p w:rsidR="007D3598" w:rsidRDefault="00F8547B">
            <w:pPr>
              <w:jc w:val="both"/>
              <w:rPr>
                <w:noProof/>
                <w:sz w:val="20"/>
              </w:rPr>
            </w:pPr>
            <w:r>
              <w:rPr>
                <w:noProof/>
                <w:sz w:val="20"/>
              </w:rPr>
              <w:t>HR</w:t>
            </w:r>
          </w:p>
        </w:tc>
        <w:tc>
          <w:tcPr>
            <w:tcW w:w="9055" w:type="dxa"/>
          </w:tcPr>
          <w:p w:rsidR="007D3598" w:rsidRDefault="00F8547B">
            <w:pPr>
              <w:numPr>
                <w:ilvl w:val="4"/>
                <w:numId w:val="0"/>
              </w:numPr>
              <w:ind w:left="181" w:hanging="218"/>
              <w:jc w:val="both"/>
              <w:rPr>
                <w:noProof/>
                <w:sz w:val="20"/>
              </w:rPr>
            </w:pPr>
            <w:r>
              <w:rPr>
                <w:noProof/>
                <w:sz w:val="20"/>
              </w:rPr>
              <w:t xml:space="preserve">The Fund is efficient as regards the deployment </w:t>
            </w:r>
            <w:r>
              <w:rPr>
                <w:noProof/>
                <w:sz w:val="20"/>
              </w:rPr>
              <w:t>of human resources. Some concerns emerged regarding the lack of knowledge, expertise, and capacity of professionals involved at national level in managing and implementing the Fund.</w:t>
            </w:r>
          </w:p>
          <w:p w:rsidR="007D3598" w:rsidRDefault="00F8547B">
            <w:pPr>
              <w:numPr>
                <w:ilvl w:val="4"/>
                <w:numId w:val="0"/>
              </w:numPr>
              <w:ind w:left="181" w:hanging="218"/>
              <w:jc w:val="both"/>
              <w:rPr>
                <w:noProof/>
                <w:sz w:val="20"/>
              </w:rPr>
            </w:pPr>
            <w:r>
              <w:rPr>
                <w:noProof/>
                <w:sz w:val="20"/>
              </w:rPr>
              <w:t xml:space="preserve">On average, 7.08 FTEs have been involved in implementing the Fund and are </w:t>
            </w:r>
            <w:r>
              <w:rPr>
                <w:noProof/>
                <w:sz w:val="20"/>
              </w:rPr>
              <w:t>paid through TA or national budgets, with remarkable differences between the different Member States. Overall, considering the average number of projects implemented by 2017 (12.84), an average of 0.55 FTEs were engaged per project.</w:t>
            </w:r>
          </w:p>
          <w:p w:rsidR="007D3598" w:rsidRDefault="00F8547B">
            <w:pPr>
              <w:numPr>
                <w:ilvl w:val="4"/>
                <w:numId w:val="0"/>
              </w:numPr>
              <w:ind w:left="181" w:hanging="218"/>
              <w:jc w:val="both"/>
              <w:rPr>
                <w:noProof/>
                <w:sz w:val="20"/>
              </w:rPr>
            </w:pPr>
            <w:r>
              <w:rPr>
                <w:noProof/>
                <w:sz w:val="20"/>
              </w:rPr>
              <w:t>Considering the ratio F</w:t>
            </w:r>
            <w:r>
              <w:rPr>
                <w:noProof/>
                <w:sz w:val="20"/>
              </w:rPr>
              <w:t>TEs (average)/ amount of the funds claimed for the financial year (average), 0.5 FTEs have been involved per EUR 1 million for the implementing ISF-BV. In this regard, there has been a significant decrease over the years, dropping from an average of 1.35 F</w:t>
            </w:r>
            <w:r>
              <w:rPr>
                <w:noProof/>
                <w:sz w:val="20"/>
              </w:rPr>
              <w:t>TEs in 2014, to 0.72 in 2016, with a further decrease in 2017. On average, according to available data (11 out of 30 Member States) compared to 2016, the costs for FTEs have decreased by 0.2 % (EUR -222 198 per million); compared to 2015, the costs for FTE</w:t>
            </w:r>
            <w:r>
              <w:rPr>
                <w:noProof/>
                <w:sz w:val="20"/>
              </w:rPr>
              <w:t>s have decreased by 0.3 % (EUR -854 935 per million).</w:t>
            </w:r>
          </w:p>
        </w:tc>
      </w:tr>
      <w:tr w:rsidR="007D3598">
        <w:tc>
          <w:tcPr>
            <w:tcW w:w="10008" w:type="dxa"/>
            <w:gridSpan w:val="2"/>
            <w:shd w:val="clear" w:color="auto" w:fill="C6D9F1" w:themeFill="text2" w:themeFillTint="33"/>
          </w:tcPr>
          <w:p w:rsidR="007D3598" w:rsidRDefault="00F8547B">
            <w:pPr>
              <w:rPr>
                <w:b/>
                <w:noProof/>
                <w:szCs w:val="24"/>
              </w:rPr>
            </w:pPr>
            <w:r>
              <w:rPr>
                <w:b/>
                <w:noProof/>
                <w:szCs w:val="24"/>
              </w:rPr>
              <w:t>European Union</w:t>
            </w:r>
          </w:p>
        </w:tc>
      </w:tr>
      <w:tr w:rsidR="007D3598">
        <w:tc>
          <w:tcPr>
            <w:tcW w:w="953" w:type="dxa"/>
          </w:tcPr>
          <w:p w:rsidR="007D3598" w:rsidRDefault="00F8547B">
            <w:pPr>
              <w:jc w:val="both"/>
              <w:rPr>
                <w:noProof/>
                <w:sz w:val="20"/>
              </w:rPr>
            </w:pPr>
            <w:r>
              <w:rPr>
                <w:noProof/>
                <w:sz w:val="20"/>
              </w:rPr>
              <w:t>Budget</w:t>
            </w:r>
          </w:p>
          <w:p w:rsidR="007D3598" w:rsidRDefault="00F8547B">
            <w:pPr>
              <w:jc w:val="both"/>
              <w:rPr>
                <w:noProof/>
                <w:sz w:val="20"/>
              </w:rPr>
            </w:pPr>
            <w:r>
              <w:rPr>
                <w:noProof/>
                <w:sz w:val="20"/>
              </w:rPr>
              <w:t>Commit</w:t>
            </w:r>
          </w:p>
        </w:tc>
        <w:tc>
          <w:tcPr>
            <w:tcW w:w="9055" w:type="dxa"/>
          </w:tcPr>
          <w:p w:rsidR="007D3598" w:rsidRDefault="00F8547B">
            <w:pPr>
              <w:numPr>
                <w:ilvl w:val="4"/>
                <w:numId w:val="0"/>
              </w:numPr>
              <w:ind w:left="181" w:hanging="218"/>
              <w:jc w:val="both"/>
              <w:rPr>
                <w:noProof/>
                <w:sz w:val="20"/>
              </w:rPr>
            </w:pPr>
            <w:r>
              <w:rPr>
                <w:noProof/>
                <w:sz w:val="20"/>
              </w:rPr>
              <w:t xml:space="preserve">The total value of ISF-BV (EUR 2 609 million), although considerable, represents a small fraction of the total EU budget. By comparison, the total value of the AMIF is </w:t>
            </w:r>
            <w:r>
              <w:rPr>
                <w:noProof/>
                <w:sz w:val="20"/>
              </w:rPr>
              <w:t>considerably higher (EUR 6 888 million).</w:t>
            </w:r>
          </w:p>
        </w:tc>
      </w:tr>
      <w:tr w:rsidR="007D3598">
        <w:tc>
          <w:tcPr>
            <w:tcW w:w="953" w:type="dxa"/>
          </w:tcPr>
          <w:p w:rsidR="007D3598" w:rsidRDefault="00F8547B">
            <w:pPr>
              <w:jc w:val="both"/>
              <w:rPr>
                <w:noProof/>
                <w:sz w:val="20"/>
              </w:rPr>
            </w:pPr>
            <w:r>
              <w:rPr>
                <w:noProof/>
                <w:sz w:val="20"/>
              </w:rPr>
              <w:t>Payments</w:t>
            </w:r>
          </w:p>
        </w:tc>
        <w:tc>
          <w:tcPr>
            <w:tcW w:w="9055" w:type="dxa"/>
          </w:tcPr>
          <w:p w:rsidR="007D3598" w:rsidRDefault="00F8547B">
            <w:pPr>
              <w:numPr>
                <w:ilvl w:val="4"/>
                <w:numId w:val="0"/>
              </w:numPr>
              <w:ind w:left="181" w:hanging="218"/>
              <w:jc w:val="both"/>
              <w:rPr>
                <w:noProof/>
                <w:sz w:val="20"/>
              </w:rPr>
            </w:pPr>
            <w:r>
              <w:rPr>
                <w:noProof/>
                <w:sz w:val="20"/>
              </w:rPr>
              <w:t>Looking into each implementation mechanism individually: shared management shows a total payment rate of 6.38 %; direct management shows a total payment rate of 6.12 % (EMAS: 5.93 %; UAs; 0.19 %); and indi</w:t>
            </w:r>
            <w:r>
              <w:rPr>
                <w:noProof/>
                <w:sz w:val="20"/>
              </w:rPr>
              <w:t>rect management shows a total payment rate of 81 %. Therefore, both shared and direct management do not appear to be on track to being fully used. Payments made so far amount to: shared management EUR 178 million; direct management: EUR 171 million; and in</w:t>
            </w:r>
            <w:r>
              <w:rPr>
                <w:noProof/>
                <w:sz w:val="20"/>
              </w:rPr>
              <w:t>direct management: EUR 8 million.</w:t>
            </w:r>
          </w:p>
        </w:tc>
      </w:tr>
      <w:tr w:rsidR="007D3598">
        <w:tc>
          <w:tcPr>
            <w:tcW w:w="953" w:type="dxa"/>
          </w:tcPr>
          <w:p w:rsidR="007D3598" w:rsidRDefault="00F8547B">
            <w:pPr>
              <w:jc w:val="both"/>
              <w:rPr>
                <w:noProof/>
                <w:sz w:val="20"/>
              </w:rPr>
            </w:pPr>
            <w:r>
              <w:rPr>
                <w:noProof/>
                <w:sz w:val="20"/>
              </w:rPr>
              <w:t>HR</w:t>
            </w:r>
          </w:p>
        </w:tc>
        <w:tc>
          <w:tcPr>
            <w:tcW w:w="9055" w:type="dxa"/>
          </w:tcPr>
          <w:p w:rsidR="007D3598" w:rsidRDefault="00F8547B">
            <w:pPr>
              <w:numPr>
                <w:ilvl w:val="4"/>
                <w:numId w:val="0"/>
              </w:numPr>
              <w:ind w:left="181" w:hanging="218"/>
              <w:jc w:val="both"/>
              <w:rPr>
                <w:noProof/>
                <w:sz w:val="20"/>
              </w:rPr>
            </w:pPr>
            <w:r>
              <w:rPr>
                <w:noProof/>
                <w:sz w:val="20"/>
              </w:rPr>
              <w:t>The number of FTEs dedicated to implementing the ISF (both Borders and Visa and Police) has increased over the period 2014-2017 as well as the related costs. Specifically, in 2014 144 FTEs were involved (including 22 e</w:t>
            </w:r>
            <w:r>
              <w:rPr>
                <w:noProof/>
                <w:sz w:val="20"/>
              </w:rPr>
              <w:t>xternal personnel) out of a total of 322 the Commission staff. There has been a significant increase in this figure over recent years, rising from 153 FTEs (including 26 external personnel) in 2015 (out of a total of 454 the Commission staff), to 162 (incl</w:t>
            </w:r>
            <w:r>
              <w:rPr>
                <w:noProof/>
                <w:sz w:val="20"/>
              </w:rPr>
              <w:t>uding 27 external personnel) in 2016 (out of a total of 480 the Commission staff). There was a further increase in 2017, with a total number of 187 FTEs (including 32 external personnel), out of a total of 555 the Commission staff.</w:t>
            </w:r>
          </w:p>
          <w:p w:rsidR="007D3598" w:rsidRDefault="00F8547B">
            <w:pPr>
              <w:numPr>
                <w:ilvl w:val="4"/>
                <w:numId w:val="0"/>
              </w:numPr>
              <w:ind w:left="181" w:hanging="218"/>
              <w:rPr>
                <w:noProof/>
                <w:sz w:val="20"/>
              </w:rPr>
            </w:pPr>
            <w:r>
              <w:rPr>
                <w:noProof/>
                <w:sz w:val="20"/>
              </w:rPr>
              <w:t>Total costs: EUR 68 mill</w:t>
            </w:r>
            <w:r>
              <w:rPr>
                <w:noProof/>
                <w:sz w:val="20"/>
              </w:rPr>
              <w:t>ion.</w:t>
            </w:r>
          </w:p>
          <w:p w:rsidR="007D3598" w:rsidRDefault="00F8547B">
            <w:pPr>
              <w:numPr>
                <w:ilvl w:val="4"/>
                <w:numId w:val="0"/>
              </w:numPr>
              <w:ind w:left="181" w:hanging="218"/>
              <w:jc w:val="both"/>
              <w:rPr>
                <w:noProof/>
                <w:sz w:val="20"/>
              </w:rPr>
            </w:pPr>
            <w:r>
              <w:rPr>
                <w:noProof/>
                <w:sz w:val="20"/>
              </w:rPr>
              <w:t>Costs related to HR dedicated to implementing the ISF have increased. Specifically, in 2014 costs amounted to EUR 17.6 million (including EUR 1.6 million for external personnel). There has been a significant increase over recent years, rising from EUR</w:t>
            </w:r>
            <w:r>
              <w:rPr>
                <w:noProof/>
                <w:sz w:val="20"/>
              </w:rPr>
              <w:t> 18.7 million (including EUR 2 million for external personnel) in 2015, to EUR 20 million (including EUR 2 million for external personnel) in 2016. In 2017, total costs currently stand at EUR 12 million, calculated as 50 % of total annual cost as the inter</w:t>
            </w:r>
            <w:r>
              <w:rPr>
                <w:noProof/>
                <w:sz w:val="20"/>
              </w:rPr>
              <w:t>im evaluation only covers the period up to 30 June 2017.</w:t>
            </w:r>
          </w:p>
        </w:tc>
      </w:tr>
    </w:tbl>
    <w:p w:rsidR="007D3598" w:rsidRDefault="007D3598">
      <w:pPr>
        <w:spacing w:after="240"/>
        <w:jc w:val="both"/>
        <w:rPr>
          <w:noProof/>
        </w:rPr>
      </w:pPr>
    </w:p>
    <w:p w:rsidR="007D3598" w:rsidRDefault="00F8547B">
      <w:pPr>
        <w:spacing w:after="240"/>
        <w:jc w:val="both"/>
        <w:rPr>
          <w:noProof/>
        </w:rPr>
      </w:pPr>
      <w:r>
        <w:rPr>
          <w:noProof/>
        </w:rPr>
        <w:t xml:space="preserve">The following table analyses the benefits gained by the various actors involved in implementing ISF-BV, the target group, the beneficiaries, the national administrations and the EU. These benefits </w:t>
      </w:r>
      <w:r>
        <w:rPr>
          <w:noProof/>
        </w:rPr>
        <w:t>vary from intangible such as knowledge developed or capacity built to tangible such as financial support. The analyses made are both qualitative and quantitative (including monetary).</w:t>
      </w:r>
    </w:p>
    <w:p w:rsidR="007D3598" w:rsidRDefault="00F8547B">
      <w:pPr>
        <w:pStyle w:val="Caption"/>
        <w:keepNext/>
        <w:spacing w:before="0" w:after="0"/>
        <w:rPr>
          <w:b w:val="0"/>
          <w:i/>
          <w:noProof/>
          <w:sz w:val="20"/>
        </w:rPr>
      </w:pPr>
      <w:r>
        <w:rPr>
          <w:b w:val="0"/>
          <w:i/>
          <w:noProof/>
          <w:sz w:val="20"/>
        </w:rPr>
        <w:t>Table 12: Overview of benefits brought by ISF-BV during 2015-2017</w:t>
      </w:r>
    </w:p>
    <w:p w:rsidR="007D3598" w:rsidRDefault="007D3598">
      <w:pPr>
        <w:rPr>
          <w:rFonts w:eastAsiaTheme="majorEastAsia"/>
          <w:noProof/>
        </w:rPr>
      </w:pPr>
    </w:p>
    <w:tbl>
      <w:tblPr>
        <w:tblStyle w:val="TabelaRenova1"/>
        <w:tblW w:w="10031" w:type="dxa"/>
        <w:tblLook w:val="04A0" w:firstRow="1" w:lastRow="0" w:firstColumn="1" w:lastColumn="0" w:noHBand="0" w:noVBand="1"/>
      </w:tblPr>
      <w:tblGrid>
        <w:gridCol w:w="10031"/>
      </w:tblGrid>
      <w:tr w:rsidR="007D3598">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D3598" w:rsidRDefault="00F8547B">
            <w:pPr>
              <w:rPr>
                <w:noProof/>
                <w:szCs w:val="24"/>
              </w:rPr>
            </w:pPr>
            <w:r>
              <w:rPr>
                <w:b/>
                <w:noProof/>
              </w:rPr>
              <w:t xml:space="preserve">Visa management </w:t>
            </w:r>
            <w:r>
              <w:rPr>
                <w:noProof/>
                <w:szCs w:val="24"/>
              </w:rPr>
              <w:t xml:space="preserve">— </w:t>
            </w:r>
            <w:r>
              <w:rPr>
                <w:noProof/>
              </w:rPr>
              <w:t>supports a common visa policy to (i) facilitate legitimate travel, a high quality of service to visa applicants as well as equal treatment of third-country nationals, and (ii) tackle illegal migration. Benefits: tangible (financial) and i</w:t>
            </w:r>
            <w:r>
              <w:rPr>
                <w:noProof/>
              </w:rPr>
              <w:t>ntangible (knowledge)</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D3598" w:rsidRDefault="00F8547B">
            <w:pPr>
              <w:jc w:val="both"/>
              <w:rPr>
                <w:b/>
                <w:noProof/>
                <w:szCs w:val="24"/>
              </w:rPr>
            </w:pPr>
            <w:r>
              <w:rPr>
                <w:b/>
                <w:noProof/>
                <w:szCs w:val="24"/>
              </w:rPr>
              <w:t>Target Group</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F8547B">
            <w:pPr>
              <w:pStyle w:val="ListParagraph"/>
              <w:numPr>
                <w:ilvl w:val="4"/>
                <w:numId w:val="0"/>
              </w:numPr>
              <w:ind w:left="181" w:hanging="218"/>
              <w:contextualSpacing w:val="0"/>
              <w:jc w:val="both"/>
              <w:rPr>
                <w:noProof/>
                <w:sz w:val="20"/>
              </w:rPr>
            </w:pPr>
            <w:r>
              <w:rPr>
                <w:noProof/>
                <w:sz w:val="20"/>
              </w:rPr>
              <w:t>Number of uniform visas issued: 13 860 218</w:t>
            </w:r>
          </w:p>
          <w:p w:rsidR="007D3598" w:rsidRDefault="00F8547B">
            <w:pPr>
              <w:pStyle w:val="ListParagraph"/>
              <w:numPr>
                <w:ilvl w:val="4"/>
                <w:numId w:val="0"/>
              </w:numPr>
              <w:ind w:left="181" w:hanging="218"/>
              <w:contextualSpacing w:val="0"/>
              <w:jc w:val="both"/>
              <w:rPr>
                <w:noProof/>
                <w:sz w:val="20"/>
              </w:rPr>
            </w:pPr>
            <w:r>
              <w:rPr>
                <w:noProof/>
                <w:sz w:val="20"/>
              </w:rPr>
              <w:t>Number of uniform Schengen visas issued at BCPs: 99 473</w:t>
            </w:r>
          </w:p>
          <w:p w:rsidR="007D3598" w:rsidRDefault="00F8547B">
            <w:pPr>
              <w:pStyle w:val="ListParagraph"/>
              <w:numPr>
                <w:ilvl w:val="4"/>
                <w:numId w:val="0"/>
              </w:numPr>
              <w:ind w:left="181" w:hanging="218"/>
              <w:contextualSpacing w:val="0"/>
              <w:jc w:val="both"/>
              <w:rPr>
                <w:noProof/>
                <w:sz w:val="20"/>
              </w:rPr>
            </w:pPr>
            <w:r>
              <w:rPr>
                <w:noProof/>
                <w:sz w:val="20"/>
              </w:rPr>
              <w:t>Number of uniform visas applied for in consulates: 15 003 765</w:t>
            </w:r>
          </w:p>
          <w:p w:rsidR="007D3598" w:rsidRDefault="00F8547B">
            <w:pPr>
              <w:pStyle w:val="ListParagraph"/>
              <w:numPr>
                <w:ilvl w:val="4"/>
                <w:numId w:val="0"/>
              </w:numPr>
              <w:ind w:left="181" w:hanging="218"/>
              <w:contextualSpacing w:val="0"/>
              <w:jc w:val="both"/>
              <w:rPr>
                <w:noProof/>
                <w:sz w:val="20"/>
              </w:rPr>
            </w:pPr>
            <w:r>
              <w:rPr>
                <w:noProof/>
                <w:sz w:val="20"/>
              </w:rPr>
              <w:t xml:space="preserve">Number of uniform visas issued in consulates: 13 760 693, </w:t>
            </w:r>
            <w:r>
              <w:rPr>
                <w:noProof/>
                <w:sz w:val="20"/>
              </w:rPr>
              <w:t>which, includes the issuing of multiple entry uniform visas: 8 121 701; and of long-term visas: 95 759</w:t>
            </w:r>
          </w:p>
          <w:p w:rsidR="007D3598" w:rsidRDefault="00F8547B">
            <w:pPr>
              <w:numPr>
                <w:ilvl w:val="4"/>
                <w:numId w:val="0"/>
              </w:numPr>
              <w:ind w:left="181" w:hanging="218"/>
              <w:jc w:val="both"/>
              <w:rPr>
                <w:noProof/>
                <w:sz w:val="20"/>
              </w:rPr>
            </w:pPr>
            <w:r>
              <w:rPr>
                <w:noProof/>
                <w:sz w:val="20"/>
              </w:rPr>
              <w:t>Number of uniform visas not issued in consulates: 1 034 248</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D3598" w:rsidRDefault="00F8547B">
            <w:pPr>
              <w:jc w:val="both"/>
              <w:rPr>
                <w:b/>
                <w:noProof/>
                <w:szCs w:val="24"/>
              </w:rPr>
            </w:pPr>
            <w:r>
              <w:rPr>
                <w:b/>
                <w:noProof/>
                <w:szCs w:val="24"/>
              </w:rPr>
              <w:t>Beneficiaries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F8547B">
            <w:pPr>
              <w:numPr>
                <w:ilvl w:val="4"/>
                <w:numId w:val="0"/>
              </w:numPr>
              <w:ind w:left="181" w:hanging="218"/>
              <w:jc w:val="both"/>
              <w:rPr>
                <w:noProof/>
                <w:sz w:val="20"/>
              </w:rPr>
            </w:pPr>
            <w:r>
              <w:rPr>
                <w:noProof/>
                <w:sz w:val="20"/>
              </w:rPr>
              <w:t>The Fund contributed towards the achievement of a common visa policy. It helped to facilitate legitimate travel across Europe, by co-financing projects aimed at strengthening the national capacity, ensuring the refurbishment of premises used for visa issua</w:t>
            </w:r>
            <w:r>
              <w:rPr>
                <w:noProof/>
                <w:sz w:val="20"/>
              </w:rPr>
              <w:t xml:space="preserve">nce and the procurement of security equipment for consular representations in third countries. The Fund helped to ensure the correct and uniform application of the EU’s </w:t>
            </w:r>
            <w:r>
              <w:rPr>
                <w:i/>
                <w:noProof/>
                <w:sz w:val="20"/>
              </w:rPr>
              <w:t>acquis</w:t>
            </w:r>
            <w:r>
              <w:rPr>
                <w:noProof/>
                <w:sz w:val="20"/>
              </w:rPr>
              <w:t xml:space="preserve"> on visa, indirectly through projects pursuing other objectives. Moreover, the Fu</w:t>
            </w:r>
            <w:r>
              <w:rPr>
                <w:noProof/>
                <w:sz w:val="20"/>
              </w:rPr>
              <w:t>nd contributed to consular harmonisation through measures aimed at improving the exchange of information and practices. Specifically, the establishment and operation of IT systems, with particular regard to national Visa Information System, ensured efficie</w:t>
            </w:r>
            <w:r>
              <w:rPr>
                <w:noProof/>
                <w:sz w:val="20"/>
              </w:rPr>
              <w:t>nt and smoother visa processing and made it possible to deal with the changing technical/legal requirements of the common visa policy, including the introduction of digital passports and related compliance checks. The development of a common visa policy wa</w:t>
            </w:r>
            <w:r>
              <w:rPr>
                <w:noProof/>
                <w:sz w:val="20"/>
              </w:rPr>
              <w:t>s also supported through training for consular officials, police, Ministry of Interior officials and border guard officials.</w:t>
            </w:r>
          </w:p>
          <w:p w:rsidR="007D3598" w:rsidRDefault="00F8547B">
            <w:pPr>
              <w:pStyle w:val="ListParagraph"/>
              <w:numPr>
                <w:ilvl w:val="4"/>
                <w:numId w:val="0"/>
              </w:numPr>
              <w:ind w:left="181" w:hanging="218"/>
              <w:contextualSpacing w:val="0"/>
              <w:jc w:val="both"/>
              <w:rPr>
                <w:noProof/>
                <w:sz w:val="20"/>
              </w:rPr>
            </w:pPr>
            <w:r>
              <w:rPr>
                <w:noProof/>
                <w:sz w:val="20"/>
              </w:rPr>
              <w:t xml:space="preserve">Number of consular cooperation activities developed with the Fund’s help: 4. </w:t>
            </w:r>
          </w:p>
          <w:p w:rsidR="007D3598" w:rsidRDefault="00F8547B">
            <w:pPr>
              <w:pStyle w:val="ListParagraph"/>
              <w:numPr>
                <w:ilvl w:val="4"/>
                <w:numId w:val="0"/>
              </w:numPr>
              <w:ind w:left="181" w:hanging="218"/>
              <w:contextualSpacing w:val="0"/>
              <w:jc w:val="both"/>
              <w:rPr>
                <w:noProof/>
                <w:sz w:val="20"/>
              </w:rPr>
            </w:pPr>
            <w:r>
              <w:rPr>
                <w:noProof/>
                <w:sz w:val="20"/>
              </w:rPr>
              <w:t>number of staff trained in aspects related to the com</w:t>
            </w:r>
            <w:r>
              <w:rPr>
                <w:noProof/>
                <w:sz w:val="20"/>
              </w:rPr>
              <w:t>mon visa policy with the Fund’s help: 2 240.</w:t>
            </w:r>
          </w:p>
        </w:tc>
      </w:tr>
      <w:tr w:rsidR="007D3598">
        <w:trPr>
          <w:trHeight w:val="282"/>
        </w:trPr>
        <w:tc>
          <w:tcPr>
            <w:tcW w:w="1003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D3598" w:rsidRDefault="00F8547B">
            <w:pPr>
              <w:jc w:val="both"/>
              <w:rPr>
                <w:b/>
                <w:noProof/>
                <w:szCs w:val="24"/>
              </w:rPr>
            </w:pPr>
            <w:r>
              <w:rPr>
                <w:b/>
                <w:noProof/>
                <w:szCs w:val="24"/>
              </w:rPr>
              <w:t>National administrations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F8547B">
            <w:pPr>
              <w:numPr>
                <w:ilvl w:val="4"/>
                <w:numId w:val="0"/>
              </w:numPr>
              <w:ind w:left="181" w:hanging="218"/>
              <w:jc w:val="both"/>
              <w:rPr>
                <w:noProof/>
                <w:sz w:val="20"/>
              </w:rPr>
            </w:pPr>
            <w:r>
              <w:rPr>
                <w:noProof/>
                <w:sz w:val="20"/>
              </w:rPr>
              <w:t>Setting up of administrative structures and training for staff and relevant stakeholders</w:t>
            </w:r>
          </w:p>
          <w:p w:rsidR="007D3598" w:rsidRDefault="00F8547B">
            <w:pPr>
              <w:numPr>
                <w:ilvl w:val="4"/>
                <w:numId w:val="0"/>
              </w:numPr>
              <w:ind w:left="181" w:hanging="218"/>
              <w:jc w:val="both"/>
              <w:rPr>
                <w:noProof/>
                <w:sz w:val="20"/>
              </w:rPr>
            </w:pPr>
            <w:r>
              <w:rPr>
                <w:noProof/>
                <w:sz w:val="20"/>
              </w:rPr>
              <w:t>Number of consulates developed or upgraded with the Fund’s help: 156</w:t>
            </w:r>
          </w:p>
          <w:p w:rsidR="007D3598" w:rsidRDefault="00F8547B">
            <w:pPr>
              <w:pStyle w:val="ListParagraph"/>
              <w:numPr>
                <w:ilvl w:val="4"/>
                <w:numId w:val="0"/>
              </w:numPr>
              <w:ind w:left="181" w:hanging="218"/>
              <w:contextualSpacing w:val="0"/>
              <w:jc w:val="both"/>
              <w:rPr>
                <w:noProof/>
                <w:sz w:val="20"/>
              </w:rPr>
            </w:pPr>
            <w:r>
              <w:rPr>
                <w:noProof/>
                <w:sz w:val="20"/>
              </w:rPr>
              <w:t xml:space="preserve">Number of specialised </w:t>
            </w:r>
            <w:r>
              <w:rPr>
                <w:noProof/>
                <w:sz w:val="20"/>
              </w:rPr>
              <w:t>posts in third countries (immigration liaison officers) supported by the Fund: 105</w:t>
            </w:r>
          </w:p>
          <w:p w:rsidR="007D3598" w:rsidRDefault="00F8547B">
            <w:pPr>
              <w:pStyle w:val="ListParagraph"/>
              <w:numPr>
                <w:ilvl w:val="4"/>
                <w:numId w:val="0"/>
              </w:numPr>
              <w:ind w:left="181" w:hanging="218"/>
              <w:contextualSpacing w:val="0"/>
              <w:jc w:val="both"/>
              <w:rPr>
                <w:noProof/>
                <w:sz w:val="20"/>
              </w:rPr>
            </w:pPr>
            <w:r>
              <w:rPr>
                <w:noProof/>
                <w:sz w:val="20"/>
              </w:rPr>
              <w:t>Hours of training courses in aspects related to the common visa policy with the Fund’s help: 756</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D3598" w:rsidRDefault="00F8547B">
            <w:pPr>
              <w:jc w:val="both"/>
              <w:rPr>
                <w:b/>
                <w:noProof/>
                <w:szCs w:val="24"/>
              </w:rPr>
            </w:pPr>
            <w:r>
              <w:rPr>
                <w:b/>
                <w:noProof/>
                <w:szCs w:val="24"/>
              </w:rPr>
              <w:t>European Union</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7D3598">
            <w:pPr>
              <w:numPr>
                <w:ilvl w:val="4"/>
                <w:numId w:val="0"/>
              </w:numPr>
              <w:ind w:left="181" w:hanging="218"/>
              <w:jc w:val="both"/>
              <w:rPr>
                <w:noProof/>
                <w:sz w:val="20"/>
              </w:rPr>
            </w:pP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D3598" w:rsidRDefault="00F8547B">
            <w:pPr>
              <w:tabs>
                <w:tab w:val="num" w:pos="425"/>
              </w:tabs>
              <w:rPr>
                <w:noProof/>
              </w:rPr>
            </w:pPr>
            <w:r>
              <w:rPr>
                <w:b/>
                <w:noProof/>
              </w:rPr>
              <w:t>Support Border Management</w:t>
            </w:r>
            <w:r>
              <w:rPr>
                <w:rStyle w:val="FootnoteReference"/>
                <w:rFonts w:eastAsiaTheme="majorEastAsia"/>
                <w:noProof/>
              </w:rPr>
              <w:footnoteReference w:id="241"/>
            </w:r>
            <w:r>
              <w:rPr>
                <w:b/>
                <w:noProof/>
              </w:rPr>
              <w:t>:</w:t>
            </w:r>
            <w:r>
              <w:rPr>
                <w:b/>
                <w:noProof/>
                <w:szCs w:val="24"/>
              </w:rPr>
              <w:t xml:space="preserve"> </w:t>
            </w:r>
          </w:p>
          <w:p w:rsidR="007D3598" w:rsidRDefault="00F8547B">
            <w:pPr>
              <w:tabs>
                <w:tab w:val="num" w:pos="425"/>
              </w:tabs>
              <w:rPr>
                <w:noProof/>
              </w:rPr>
            </w:pPr>
            <w:r>
              <w:rPr>
                <w:noProof/>
              </w:rPr>
              <w:t xml:space="preserve">strengthened integrated </w:t>
            </w:r>
            <w:r>
              <w:rPr>
                <w:noProof/>
              </w:rPr>
              <w:t>border management;</w:t>
            </w:r>
          </w:p>
          <w:p w:rsidR="007D3598" w:rsidRDefault="00F8547B">
            <w:pPr>
              <w:tabs>
                <w:tab w:val="num" w:pos="425"/>
              </w:tabs>
              <w:rPr>
                <w:noProof/>
              </w:rPr>
            </w:pPr>
            <w:r>
              <w:rPr>
                <w:noProof/>
              </w:rPr>
              <w:t>uniform and high level of control and protection of external borders; and</w:t>
            </w:r>
          </w:p>
          <w:p w:rsidR="007D3598" w:rsidRDefault="00F8547B">
            <w:pPr>
              <w:tabs>
                <w:tab w:val="num" w:pos="425"/>
              </w:tabs>
              <w:rPr>
                <w:noProof/>
                <w:szCs w:val="24"/>
              </w:rPr>
            </w:pPr>
            <w:r>
              <w:rPr>
                <w:noProof/>
              </w:rPr>
              <w:t xml:space="preserve">smooth crossing of the external borders in conformity with the Schengen </w:t>
            </w:r>
            <w:r>
              <w:rPr>
                <w:i/>
                <w:noProof/>
              </w:rPr>
              <w:t>acquis</w:t>
            </w:r>
            <w:r>
              <w:rPr>
                <w:noProof/>
              </w:rPr>
              <w:t>.</w:t>
            </w:r>
            <w:r>
              <w:rPr>
                <w:noProof/>
                <w:szCs w:val="24"/>
              </w:rPr>
              <w:t xml:space="preserve"> </w:t>
            </w:r>
          </w:p>
          <w:p w:rsidR="007D3598" w:rsidRDefault="00F8547B">
            <w:pPr>
              <w:tabs>
                <w:tab w:val="num" w:pos="425"/>
              </w:tabs>
              <w:rPr>
                <w:noProof/>
                <w:szCs w:val="24"/>
              </w:rPr>
            </w:pPr>
            <w:r>
              <w:rPr>
                <w:noProof/>
                <w:szCs w:val="24"/>
              </w:rPr>
              <w:t>Benefits: tangible (financial support to Member States authorities and provision o</w:t>
            </w:r>
            <w:r>
              <w:rPr>
                <w:noProof/>
                <w:szCs w:val="24"/>
              </w:rPr>
              <w:t>f services to) and intangible (increased knowledge and awareness).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D3598" w:rsidRDefault="00F8547B">
            <w:pPr>
              <w:jc w:val="both"/>
              <w:rPr>
                <w:b/>
                <w:noProof/>
                <w:szCs w:val="24"/>
              </w:rPr>
            </w:pPr>
            <w:r>
              <w:rPr>
                <w:b/>
                <w:noProof/>
                <w:szCs w:val="24"/>
              </w:rPr>
              <w:t>Target Group</w:t>
            </w:r>
          </w:p>
        </w:tc>
      </w:tr>
      <w:tr w:rsidR="007D3598">
        <w:trPr>
          <w:trHeight w:val="168"/>
        </w:trPr>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7D3598">
            <w:pPr>
              <w:pStyle w:val="ListParagraph"/>
              <w:numPr>
                <w:ilvl w:val="4"/>
                <w:numId w:val="0"/>
              </w:numPr>
              <w:ind w:left="181" w:hanging="218"/>
              <w:contextualSpacing w:val="0"/>
              <w:jc w:val="both"/>
              <w:rPr>
                <w:noProof/>
                <w:sz w:val="20"/>
              </w:rPr>
            </w:pP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D3598" w:rsidRDefault="00F8547B">
            <w:pPr>
              <w:jc w:val="both"/>
              <w:rPr>
                <w:b/>
                <w:noProof/>
                <w:szCs w:val="24"/>
              </w:rPr>
            </w:pPr>
            <w:r>
              <w:rPr>
                <w:b/>
                <w:noProof/>
                <w:szCs w:val="24"/>
              </w:rPr>
              <w:t>Beneficiaries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F8547B">
            <w:pPr>
              <w:pStyle w:val="ListParagraph"/>
              <w:numPr>
                <w:ilvl w:val="4"/>
                <w:numId w:val="0"/>
              </w:numPr>
              <w:ind w:left="181" w:hanging="218"/>
              <w:contextualSpacing w:val="0"/>
              <w:jc w:val="both"/>
              <w:rPr>
                <w:noProof/>
                <w:sz w:val="20"/>
              </w:rPr>
            </w:pPr>
            <w:r>
              <w:rPr>
                <w:noProof/>
                <w:sz w:val="20"/>
              </w:rPr>
              <w:t xml:space="preserve">The Fund contributed towards an integrated border management. Although many Member States did not implement any actions specifically aimed at abolishing all checks on people crossing internal borders, interventions co-financed by the Fund have in any case </w:t>
            </w:r>
            <w:r>
              <w:rPr>
                <w:noProof/>
                <w:sz w:val="20"/>
              </w:rPr>
              <w:t>indirectly contributed to this objective. ISF-BV actions were aimed at boosting the border management capacity to prevent cross-border crime and irregular migration, through introducing Automated Border Control systems and the Public Key Directory, and usi</w:t>
            </w:r>
            <w:r>
              <w:rPr>
                <w:noProof/>
                <w:sz w:val="20"/>
              </w:rPr>
              <w:t xml:space="preserve">ng modern technical equipment for border surveillance such as (i) engineering appliances and the TETRA communication system; (ii) document verification devices; (iii) mobile scanning vehicles; (iv) mobile application for carrying out border checks and the </w:t>
            </w:r>
            <w:r>
              <w:rPr>
                <w:noProof/>
                <w:sz w:val="20"/>
              </w:rPr>
              <w:t>purchasing of document readers for portable border control devices; and (v)  introducing biometric data. The Fund also helped to strengthen solidarity and responsibility towards an integrated external borders management system by means of cooperation among</w:t>
            </w:r>
            <w:r>
              <w:rPr>
                <w:noProof/>
                <w:sz w:val="20"/>
              </w:rPr>
              <w:t xml:space="preserve"> Member States, including interventions under EUROSUR, and between Member States and Frontex. Moreover, the Fund supported the application of the EU’s </w:t>
            </w:r>
            <w:r>
              <w:rPr>
                <w:i/>
                <w:noProof/>
                <w:sz w:val="20"/>
              </w:rPr>
              <w:t>acquis</w:t>
            </w:r>
            <w:r>
              <w:rPr>
                <w:noProof/>
                <w:sz w:val="20"/>
              </w:rPr>
              <w:t xml:space="preserve"> by co-financing training activities and programmes, which helped to improve the technical, operati</w:t>
            </w:r>
            <w:r>
              <w:rPr>
                <w:noProof/>
                <w:sz w:val="20"/>
              </w:rPr>
              <w:t>onal, and even linguistic skills of staff responsible for border management. In addition, the Fund supported border management through adopting interoperable modern technologies in line with EU standards.</w:t>
            </w:r>
          </w:p>
          <w:p w:rsidR="007D3598" w:rsidRDefault="00F8547B">
            <w:pPr>
              <w:pStyle w:val="ListParagraph"/>
              <w:numPr>
                <w:ilvl w:val="4"/>
                <w:numId w:val="0"/>
              </w:numPr>
              <w:ind w:left="181" w:hanging="218"/>
              <w:contextualSpacing w:val="0"/>
              <w:jc w:val="both"/>
              <w:rPr>
                <w:noProof/>
                <w:sz w:val="20"/>
              </w:rPr>
            </w:pPr>
            <w:r>
              <w:rPr>
                <w:noProof/>
                <w:sz w:val="20"/>
              </w:rPr>
              <w:t xml:space="preserve">Number of border crossings of the external borders </w:t>
            </w:r>
            <w:r>
              <w:rPr>
                <w:noProof/>
                <w:sz w:val="20"/>
              </w:rPr>
              <w:t>through ABC gates supported through the Fund: 18 782 556</w:t>
            </w:r>
          </w:p>
          <w:p w:rsidR="007D3598" w:rsidRDefault="00F8547B">
            <w:pPr>
              <w:pStyle w:val="ListParagraph"/>
              <w:numPr>
                <w:ilvl w:val="4"/>
                <w:numId w:val="0"/>
              </w:numPr>
              <w:ind w:left="181" w:hanging="218"/>
              <w:contextualSpacing w:val="0"/>
              <w:jc w:val="both"/>
              <w:rPr>
                <w:noProof/>
                <w:sz w:val="20"/>
              </w:rPr>
            </w:pPr>
            <w:r>
              <w:rPr>
                <w:noProof/>
                <w:sz w:val="20"/>
              </w:rPr>
              <w:t>Number of incidents reported by Member States to the European Situational Picture: 7 104</w:t>
            </w:r>
          </w:p>
          <w:p w:rsidR="007D3598" w:rsidRDefault="00F8547B">
            <w:pPr>
              <w:pStyle w:val="ListParagraph"/>
              <w:numPr>
                <w:ilvl w:val="4"/>
                <w:numId w:val="0"/>
              </w:numPr>
              <w:ind w:left="181" w:hanging="218"/>
              <w:contextualSpacing w:val="0"/>
              <w:jc w:val="both"/>
              <w:rPr>
                <w:noProof/>
                <w:sz w:val="20"/>
              </w:rPr>
            </w:pPr>
            <w:r>
              <w:rPr>
                <w:noProof/>
                <w:sz w:val="20"/>
              </w:rPr>
              <w:t xml:space="preserve">Number of staff trained in aspects related to border management with the Fund’s help: 2 760 out of the 29 678 </w:t>
            </w:r>
            <w:r>
              <w:rPr>
                <w:noProof/>
                <w:sz w:val="20"/>
              </w:rPr>
              <w:t>expected by national programmes</w:t>
            </w:r>
          </w:p>
        </w:tc>
      </w:tr>
      <w:tr w:rsidR="007D3598">
        <w:trPr>
          <w:trHeight w:val="282"/>
        </w:trPr>
        <w:tc>
          <w:tcPr>
            <w:tcW w:w="1003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D3598" w:rsidRDefault="00F8547B">
            <w:pPr>
              <w:jc w:val="both"/>
              <w:rPr>
                <w:b/>
                <w:noProof/>
                <w:szCs w:val="24"/>
              </w:rPr>
            </w:pPr>
            <w:r>
              <w:rPr>
                <w:b/>
                <w:noProof/>
                <w:szCs w:val="24"/>
              </w:rPr>
              <w:t>National administrations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F8547B">
            <w:pPr>
              <w:pStyle w:val="ListParagraph"/>
              <w:numPr>
                <w:ilvl w:val="4"/>
                <w:numId w:val="0"/>
              </w:numPr>
              <w:ind w:left="181" w:hanging="218"/>
              <w:contextualSpacing w:val="0"/>
              <w:jc w:val="both"/>
              <w:rPr>
                <w:noProof/>
                <w:sz w:val="20"/>
              </w:rPr>
            </w:pPr>
            <w:r>
              <w:rPr>
                <w:noProof/>
                <w:sz w:val="20"/>
              </w:rPr>
              <w:t>Setting up of administrative structures and training for staff and relevant stakeholders.</w:t>
            </w:r>
          </w:p>
          <w:p w:rsidR="007D3598" w:rsidRDefault="00F8547B">
            <w:pPr>
              <w:pStyle w:val="ListParagraph"/>
              <w:numPr>
                <w:ilvl w:val="4"/>
                <w:numId w:val="0"/>
              </w:numPr>
              <w:ind w:left="181" w:hanging="218"/>
              <w:contextualSpacing w:val="0"/>
              <w:jc w:val="both"/>
              <w:rPr>
                <w:noProof/>
                <w:sz w:val="20"/>
              </w:rPr>
            </w:pPr>
            <w:r>
              <w:rPr>
                <w:noProof/>
                <w:sz w:val="20"/>
              </w:rPr>
              <w:t xml:space="preserve">Number of border control (checks and surveillance) infrastructure and tools developed or upgraded with the </w:t>
            </w:r>
            <w:r>
              <w:rPr>
                <w:noProof/>
                <w:sz w:val="20"/>
              </w:rPr>
              <w:t>Fund’s help: 1 414.</w:t>
            </w:r>
          </w:p>
          <w:p w:rsidR="007D3598" w:rsidRDefault="00F8547B">
            <w:pPr>
              <w:pStyle w:val="ListParagraph"/>
              <w:numPr>
                <w:ilvl w:val="4"/>
                <w:numId w:val="0"/>
              </w:numPr>
              <w:ind w:left="181" w:hanging="218"/>
              <w:contextualSpacing w:val="0"/>
              <w:jc w:val="both"/>
              <w:rPr>
                <w:noProof/>
                <w:sz w:val="20"/>
              </w:rPr>
            </w:pPr>
            <w:r>
              <w:rPr>
                <w:noProof/>
                <w:sz w:val="20"/>
              </w:rPr>
              <w:t>Number of national border surveillance infrastructure established/further developed under EUROSUR: 4.</w:t>
            </w:r>
          </w:p>
          <w:p w:rsidR="007D3598" w:rsidRDefault="00F8547B">
            <w:pPr>
              <w:pStyle w:val="ListParagraph"/>
              <w:numPr>
                <w:ilvl w:val="4"/>
                <w:numId w:val="0"/>
              </w:numPr>
              <w:ind w:left="181" w:hanging="218"/>
              <w:contextualSpacing w:val="0"/>
              <w:jc w:val="both"/>
              <w:rPr>
                <w:noProof/>
                <w:sz w:val="20"/>
              </w:rPr>
            </w:pPr>
            <w:r>
              <w:rPr>
                <w:noProof/>
                <w:sz w:val="20"/>
              </w:rPr>
              <w:t xml:space="preserve">Number of training courses in aspects related to border management with the help of the Fund: 105 training hours — out of the 332 772 </w:t>
            </w:r>
            <w:r>
              <w:rPr>
                <w:noProof/>
                <w:sz w:val="20"/>
              </w:rPr>
              <w:t>expected by national programmes.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D3598" w:rsidRDefault="00F8547B">
            <w:pPr>
              <w:jc w:val="both"/>
              <w:rPr>
                <w:b/>
                <w:noProof/>
                <w:szCs w:val="24"/>
              </w:rPr>
            </w:pPr>
            <w:r>
              <w:rPr>
                <w:b/>
                <w:noProof/>
                <w:szCs w:val="24"/>
              </w:rPr>
              <w:t>European Union</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7D3598">
            <w:pPr>
              <w:numPr>
                <w:ilvl w:val="4"/>
                <w:numId w:val="0"/>
              </w:numPr>
              <w:ind w:left="181" w:hanging="218"/>
              <w:jc w:val="both"/>
              <w:rPr>
                <w:noProof/>
                <w:sz w:val="20"/>
              </w:rPr>
            </w:pP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D3598" w:rsidRDefault="00F8547B">
            <w:pPr>
              <w:tabs>
                <w:tab w:val="num" w:pos="425"/>
              </w:tabs>
              <w:rPr>
                <w:noProof/>
              </w:rPr>
            </w:pPr>
            <w:r>
              <w:rPr>
                <w:b/>
                <w:noProof/>
              </w:rPr>
              <w:t>Emergency situation</w:t>
            </w:r>
            <w:r>
              <w:rPr>
                <w:rFonts w:eastAsiaTheme="majorEastAsia"/>
                <w:b/>
                <w:noProof/>
              </w:rPr>
              <w:t xml:space="preserve"> </w:t>
            </w:r>
            <w:r>
              <w:rPr>
                <w:b/>
                <w:noProof/>
                <w:szCs w:val="24"/>
              </w:rPr>
              <w:t xml:space="preserve">— </w:t>
            </w:r>
            <w:r>
              <w:rPr>
                <w:noProof/>
              </w:rPr>
              <w:t>support Member States in substantiated emergency situations requiring urgent action.</w:t>
            </w:r>
          </w:p>
          <w:p w:rsidR="007D3598" w:rsidRDefault="00F8547B">
            <w:pPr>
              <w:tabs>
                <w:tab w:val="num" w:pos="425"/>
              </w:tabs>
              <w:rPr>
                <w:noProof/>
                <w:szCs w:val="24"/>
              </w:rPr>
            </w:pPr>
            <w:r>
              <w:rPr>
                <w:noProof/>
                <w:szCs w:val="24"/>
              </w:rPr>
              <w:t xml:space="preserve">Benefits: </w:t>
            </w:r>
            <w:r>
              <w:rPr>
                <w:noProof/>
              </w:rPr>
              <w:t xml:space="preserve">improved operational capacities; means of transport, infrastructure, operating </w:t>
            </w:r>
            <w:r>
              <w:rPr>
                <w:noProof/>
              </w:rPr>
              <w:t>equipment and IT systems for better border management; support to staff, maintenance and repair costs; linguistic and intercultural mediation services.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D3598" w:rsidRDefault="00F8547B">
            <w:pPr>
              <w:jc w:val="both"/>
              <w:rPr>
                <w:b/>
                <w:noProof/>
                <w:szCs w:val="24"/>
              </w:rPr>
            </w:pPr>
            <w:r>
              <w:rPr>
                <w:b/>
                <w:noProof/>
                <w:szCs w:val="24"/>
              </w:rPr>
              <w:t>Target Group</w:t>
            </w:r>
          </w:p>
        </w:tc>
      </w:tr>
      <w:tr w:rsidR="007D3598">
        <w:trPr>
          <w:trHeight w:val="121"/>
        </w:trPr>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7D3598">
            <w:pPr>
              <w:pStyle w:val="ListParagraph"/>
              <w:numPr>
                <w:ilvl w:val="4"/>
                <w:numId w:val="0"/>
              </w:numPr>
              <w:ind w:left="181" w:hanging="218"/>
              <w:contextualSpacing w:val="0"/>
              <w:jc w:val="both"/>
              <w:rPr>
                <w:noProof/>
                <w:sz w:val="20"/>
              </w:rPr>
            </w:pP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D3598" w:rsidRDefault="00F8547B">
            <w:pPr>
              <w:jc w:val="both"/>
              <w:rPr>
                <w:b/>
                <w:noProof/>
                <w:szCs w:val="24"/>
              </w:rPr>
            </w:pPr>
            <w:r>
              <w:rPr>
                <w:b/>
                <w:noProof/>
                <w:szCs w:val="24"/>
              </w:rPr>
              <w:t>Beneficiaries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F8547B">
            <w:pPr>
              <w:pStyle w:val="ListParagraph"/>
              <w:numPr>
                <w:ilvl w:val="4"/>
                <w:numId w:val="0"/>
              </w:numPr>
              <w:ind w:left="181" w:hanging="218"/>
              <w:contextualSpacing w:val="0"/>
              <w:jc w:val="both"/>
              <w:rPr>
                <w:noProof/>
                <w:sz w:val="20"/>
              </w:rPr>
            </w:pPr>
            <w:r>
              <w:rPr>
                <w:noProof/>
                <w:sz w:val="20"/>
              </w:rPr>
              <w:t xml:space="preserve">EMAS actions are considered to be effective measures which can create </w:t>
            </w:r>
            <w:r>
              <w:rPr>
                <w:noProof/>
                <w:sz w:val="20"/>
              </w:rPr>
              <w:t>positive impacts overall and enable actions to be implemented promptly and effectively in response to emergency situations. This is due to the presence of beneficiaries with high levels of competencies and expertise.</w:t>
            </w:r>
          </w:p>
          <w:p w:rsidR="007D3598" w:rsidRDefault="00F8547B">
            <w:pPr>
              <w:pStyle w:val="ListParagraph"/>
              <w:numPr>
                <w:ilvl w:val="4"/>
                <w:numId w:val="0"/>
              </w:numPr>
              <w:ind w:left="181" w:hanging="218"/>
              <w:contextualSpacing w:val="0"/>
              <w:jc w:val="both"/>
              <w:rPr>
                <w:noProof/>
                <w:sz w:val="20"/>
              </w:rPr>
            </w:pPr>
            <w:r>
              <w:rPr>
                <w:noProof/>
                <w:sz w:val="20"/>
              </w:rPr>
              <w:t>EUR 256 million (planned resources) — E</w:t>
            </w:r>
            <w:r>
              <w:rPr>
                <w:noProof/>
                <w:sz w:val="20"/>
              </w:rPr>
              <w:t>UR 245 million (allocated) — EUR 165.6 million (spent). Payment rate: 5.93 %.</w:t>
            </w:r>
          </w:p>
          <w:p w:rsidR="007D3598" w:rsidRDefault="00F8547B">
            <w:pPr>
              <w:pStyle w:val="ListParagraph"/>
              <w:numPr>
                <w:ilvl w:val="4"/>
                <w:numId w:val="0"/>
              </w:numPr>
              <w:ind w:left="181" w:hanging="218"/>
              <w:contextualSpacing w:val="0"/>
              <w:jc w:val="both"/>
              <w:rPr>
                <w:noProof/>
                <w:sz w:val="20"/>
              </w:rPr>
            </w:pPr>
            <w:r>
              <w:rPr>
                <w:noProof/>
                <w:sz w:val="20"/>
              </w:rPr>
              <w:t>45 EMAS actions put in place including those aimed at:</w:t>
            </w:r>
          </w:p>
          <w:p w:rsidR="007D3598" w:rsidRDefault="00F8547B">
            <w:pPr>
              <w:pStyle w:val="ListBullet"/>
              <w:rPr>
                <w:noProof/>
                <w:sz w:val="20"/>
              </w:rPr>
            </w:pPr>
            <w:r>
              <w:rPr>
                <w:noProof/>
                <w:sz w:val="20"/>
              </w:rPr>
              <w:t>improving operational capacities (27);</w:t>
            </w:r>
          </w:p>
          <w:p w:rsidR="007D3598" w:rsidRDefault="00F8547B">
            <w:pPr>
              <w:pStyle w:val="ListBullet"/>
              <w:rPr>
                <w:noProof/>
                <w:sz w:val="20"/>
              </w:rPr>
            </w:pPr>
            <w:r>
              <w:rPr>
                <w:noProof/>
                <w:sz w:val="20"/>
              </w:rPr>
              <w:t xml:space="preserve">purchasing means of transport, infrastructure, operating equipment and IT systems </w:t>
            </w:r>
            <w:r>
              <w:rPr>
                <w:noProof/>
                <w:sz w:val="20"/>
              </w:rPr>
              <w:t>for a better border management (8);</w:t>
            </w:r>
          </w:p>
          <w:p w:rsidR="007D3598" w:rsidRDefault="00F8547B">
            <w:pPr>
              <w:pStyle w:val="ListBullet"/>
              <w:rPr>
                <w:noProof/>
                <w:sz w:val="20"/>
              </w:rPr>
            </w:pPr>
            <w:r>
              <w:rPr>
                <w:noProof/>
                <w:sz w:val="20"/>
              </w:rPr>
              <w:t xml:space="preserve">supporting staff, maintenance and repair costs (7); and </w:t>
            </w:r>
          </w:p>
          <w:p w:rsidR="007D3598" w:rsidRDefault="00F8547B">
            <w:pPr>
              <w:pStyle w:val="ListBullet"/>
              <w:rPr>
                <w:noProof/>
                <w:sz w:val="20"/>
              </w:rPr>
            </w:pPr>
            <w:r>
              <w:rPr>
                <w:noProof/>
                <w:sz w:val="20"/>
              </w:rPr>
              <w:t xml:space="preserve">improving linguistic and intercultural mediation services (3). </w:t>
            </w:r>
          </w:p>
        </w:tc>
      </w:tr>
      <w:tr w:rsidR="007D3598">
        <w:trPr>
          <w:trHeight w:val="282"/>
        </w:trPr>
        <w:tc>
          <w:tcPr>
            <w:tcW w:w="1003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7D3598" w:rsidRDefault="00F8547B">
            <w:pPr>
              <w:jc w:val="both"/>
              <w:rPr>
                <w:b/>
                <w:noProof/>
                <w:szCs w:val="24"/>
              </w:rPr>
            </w:pPr>
            <w:r>
              <w:rPr>
                <w:b/>
                <w:noProof/>
                <w:szCs w:val="24"/>
              </w:rPr>
              <w:t>National administrations</w:t>
            </w: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7D3598">
            <w:pPr>
              <w:numPr>
                <w:ilvl w:val="4"/>
                <w:numId w:val="0"/>
              </w:numPr>
              <w:ind w:left="181" w:hanging="218"/>
              <w:jc w:val="both"/>
              <w:rPr>
                <w:noProof/>
                <w:sz w:val="20"/>
              </w:rPr>
            </w:pPr>
          </w:p>
        </w:tc>
      </w:tr>
      <w:tr w:rsidR="007D3598">
        <w:tc>
          <w:tcPr>
            <w:tcW w:w="100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7D3598" w:rsidRDefault="00F8547B">
            <w:pPr>
              <w:jc w:val="both"/>
              <w:rPr>
                <w:b/>
                <w:noProof/>
                <w:szCs w:val="24"/>
              </w:rPr>
            </w:pPr>
            <w:r>
              <w:rPr>
                <w:b/>
                <w:noProof/>
                <w:szCs w:val="24"/>
              </w:rPr>
              <w:t>European Union</w:t>
            </w:r>
          </w:p>
        </w:tc>
      </w:tr>
      <w:tr w:rsidR="007D3598">
        <w:trPr>
          <w:trHeight w:val="132"/>
        </w:trPr>
        <w:tc>
          <w:tcPr>
            <w:tcW w:w="10031" w:type="dxa"/>
            <w:tcBorders>
              <w:top w:val="single" w:sz="4" w:space="0" w:color="auto"/>
              <w:left w:val="single" w:sz="4" w:space="0" w:color="auto"/>
              <w:bottom w:val="single" w:sz="4" w:space="0" w:color="auto"/>
              <w:right w:val="single" w:sz="4" w:space="0" w:color="auto"/>
            </w:tcBorders>
            <w:shd w:val="clear" w:color="auto" w:fill="auto"/>
          </w:tcPr>
          <w:p w:rsidR="007D3598" w:rsidRDefault="007D3598">
            <w:pPr>
              <w:numPr>
                <w:ilvl w:val="4"/>
                <w:numId w:val="0"/>
              </w:numPr>
              <w:ind w:left="181" w:hanging="218"/>
              <w:jc w:val="both"/>
              <w:rPr>
                <w:noProof/>
                <w:sz w:val="20"/>
              </w:rPr>
            </w:pPr>
          </w:p>
        </w:tc>
      </w:tr>
    </w:tbl>
    <w:p w:rsidR="007D3598" w:rsidRDefault="007D3598">
      <w:pPr>
        <w:rPr>
          <w:rFonts w:eastAsiaTheme="majorEastAsia"/>
          <w:bCs/>
          <w:noProof/>
          <w:color w:val="365F91" w:themeColor="accent1" w:themeShade="BF"/>
          <w:szCs w:val="28"/>
        </w:rPr>
      </w:pPr>
    </w:p>
    <w:p w:rsidR="007D3598" w:rsidRDefault="00F8547B">
      <w:pPr>
        <w:pStyle w:val="HH1"/>
        <w:numPr>
          <w:ilvl w:val="0"/>
          <w:numId w:val="0"/>
        </w:numPr>
        <w:spacing w:before="0" w:after="0"/>
        <w:ind w:left="360" w:hanging="360"/>
        <w:contextualSpacing w:val="0"/>
        <w:rPr>
          <w:noProof/>
        </w:rPr>
      </w:pPr>
      <w:bookmarkStart w:id="1281" w:name="_Toc515270162"/>
      <w:r>
        <w:rPr>
          <w:noProof/>
        </w:rPr>
        <w:t>Annex 4: Evaluation questions</w:t>
      </w:r>
      <w:bookmarkEnd w:id="1281"/>
    </w:p>
    <w:p w:rsidR="007D3598" w:rsidRDefault="007D3598">
      <w:pPr>
        <w:pStyle w:val="Text1"/>
        <w:ind w:left="0"/>
        <w:rPr>
          <w:noProof/>
        </w:rPr>
      </w:pPr>
    </w:p>
    <w:p w:rsidR="007D3598" w:rsidRDefault="00F8547B">
      <w:pPr>
        <w:jc w:val="both"/>
        <w:rPr>
          <w:b/>
          <w:noProof/>
          <w:szCs w:val="24"/>
          <w:lang w:eastAsia="en-GB"/>
        </w:rPr>
      </w:pPr>
      <w:r>
        <w:rPr>
          <w:b/>
          <w:noProof/>
          <w:szCs w:val="24"/>
          <w:lang w:eastAsia="en-GB"/>
        </w:rPr>
        <w:t>Effectiveness</w:t>
      </w:r>
    </w:p>
    <w:p w:rsidR="007D3598" w:rsidRDefault="00F8547B">
      <w:pPr>
        <w:jc w:val="both"/>
        <w:rPr>
          <w:i/>
          <w:noProof/>
          <w:szCs w:val="24"/>
        </w:rPr>
      </w:pPr>
      <w:r>
        <w:rPr>
          <w:i/>
          <w:noProof/>
          <w:szCs w:val="24"/>
        </w:rPr>
        <w:t xml:space="preserve">How </w:t>
      </w:r>
      <w:r>
        <w:rPr>
          <w:i/>
          <w:noProof/>
          <w:szCs w:val="24"/>
        </w:rPr>
        <w:t>did the Internal Security Fund (‘Fund’) contribute to the achievement of the general objective defined in the Regulation (EU) No 515/2014?</w:t>
      </w:r>
    </w:p>
    <w:p w:rsidR="007D3598" w:rsidRDefault="00F8547B">
      <w:pPr>
        <w:jc w:val="both"/>
        <w:rPr>
          <w:i/>
          <w:noProof/>
          <w:szCs w:val="24"/>
        </w:rPr>
      </w:pPr>
      <w:r>
        <w:rPr>
          <w:i/>
          <w:noProof/>
          <w:szCs w:val="24"/>
        </w:rPr>
        <w:t xml:space="preserve">How did the Fund contribute to the achievement of the following specific objectives: Support a common visa policy to </w:t>
      </w:r>
      <w:r>
        <w:rPr>
          <w:i/>
          <w:noProof/>
          <w:szCs w:val="24"/>
        </w:rPr>
        <w:t>facilitate legitimate travel; Provide a high quality of service to visa applicants; Ensure equal treatment of third-country nationals and Tackle illegal migration?</w:t>
      </w:r>
    </w:p>
    <w:p w:rsidR="007D3598" w:rsidRDefault="00F8547B">
      <w:pPr>
        <w:pStyle w:val="ListParagraph"/>
        <w:numPr>
          <w:ilvl w:val="0"/>
          <w:numId w:val="75"/>
        </w:numPr>
        <w:jc w:val="both"/>
        <w:rPr>
          <w:noProof/>
          <w:szCs w:val="24"/>
        </w:rPr>
      </w:pPr>
      <w:r>
        <w:rPr>
          <w:noProof/>
          <w:szCs w:val="24"/>
        </w:rPr>
        <w:t>What progress was made towards promoting the development and implementation of the common vi</w:t>
      </w:r>
      <w:r>
        <w:rPr>
          <w:noProof/>
          <w:szCs w:val="24"/>
        </w:rPr>
        <w:t>sa policy to facilitate legitimate travel, and how did the Fund contribute to achieving this progress?</w:t>
      </w:r>
    </w:p>
    <w:p w:rsidR="007D3598" w:rsidRDefault="00F8547B">
      <w:pPr>
        <w:pStyle w:val="ListParagraph"/>
        <w:numPr>
          <w:ilvl w:val="0"/>
          <w:numId w:val="75"/>
        </w:numPr>
        <w:jc w:val="both"/>
        <w:rPr>
          <w:noProof/>
          <w:szCs w:val="24"/>
        </w:rPr>
      </w:pPr>
      <w:r>
        <w:rPr>
          <w:noProof/>
          <w:szCs w:val="24"/>
        </w:rPr>
        <w:t>What progress was made towards ensuring better consular coverage and harmonised practices on visa issuance between Member States, and how did the Fund co</w:t>
      </w:r>
      <w:r>
        <w:rPr>
          <w:noProof/>
          <w:szCs w:val="24"/>
        </w:rPr>
        <w:t>ntribute to achieving this progress?</w:t>
      </w:r>
    </w:p>
    <w:p w:rsidR="007D3598" w:rsidRDefault="00F8547B">
      <w:pPr>
        <w:pStyle w:val="ListParagraph"/>
        <w:numPr>
          <w:ilvl w:val="0"/>
          <w:numId w:val="75"/>
        </w:numPr>
        <w:jc w:val="both"/>
        <w:rPr>
          <w:noProof/>
          <w:szCs w:val="24"/>
        </w:rPr>
      </w:pPr>
      <w:r>
        <w:rPr>
          <w:noProof/>
          <w:szCs w:val="24"/>
        </w:rPr>
        <w:t xml:space="preserve">What progress was made towards ensuring the application of the Union’s </w:t>
      </w:r>
      <w:r>
        <w:rPr>
          <w:i/>
          <w:noProof/>
          <w:szCs w:val="24"/>
        </w:rPr>
        <w:t>acquis</w:t>
      </w:r>
      <w:r>
        <w:rPr>
          <w:noProof/>
          <w:szCs w:val="24"/>
        </w:rPr>
        <w:t xml:space="preserve"> on visas and how did the Fund contribute to achieving this progress?</w:t>
      </w:r>
    </w:p>
    <w:p w:rsidR="007D3598" w:rsidRDefault="00F8547B">
      <w:pPr>
        <w:pStyle w:val="ListParagraph"/>
        <w:numPr>
          <w:ilvl w:val="0"/>
          <w:numId w:val="75"/>
        </w:numPr>
        <w:jc w:val="both"/>
        <w:rPr>
          <w:noProof/>
          <w:szCs w:val="24"/>
        </w:rPr>
      </w:pPr>
      <w:r>
        <w:rPr>
          <w:noProof/>
          <w:szCs w:val="24"/>
        </w:rPr>
        <w:t xml:space="preserve">What progress was made towards Member States’ contribution to </w:t>
      </w:r>
      <w:r>
        <w:rPr>
          <w:noProof/>
          <w:szCs w:val="24"/>
        </w:rPr>
        <w:t>strengthening the cooperation between Member States operating in third countries as regards the flows of third-country national into the territory of Member States, including prevention and tackling of illegal immigration, as well as the cooperation with t</w:t>
      </w:r>
      <w:r>
        <w:rPr>
          <w:noProof/>
          <w:szCs w:val="24"/>
        </w:rPr>
        <w:t>hird countries, and how did the Fund contribute to achieving this progress?</w:t>
      </w:r>
    </w:p>
    <w:p w:rsidR="007D3598" w:rsidRDefault="00F8547B">
      <w:pPr>
        <w:pStyle w:val="ListParagraph"/>
        <w:keepNext/>
        <w:numPr>
          <w:ilvl w:val="0"/>
          <w:numId w:val="75"/>
        </w:numPr>
        <w:jc w:val="both"/>
        <w:rPr>
          <w:noProof/>
          <w:szCs w:val="24"/>
        </w:rPr>
      </w:pPr>
      <w:r>
        <w:rPr>
          <w:noProof/>
          <w:szCs w:val="24"/>
        </w:rPr>
        <w:t>What progress was made towards supporting the common visa policy by setting up and running IT systems, their communication infrastructure and equipment, and how did the Fund contri</w:t>
      </w:r>
      <w:r>
        <w:rPr>
          <w:noProof/>
          <w:szCs w:val="24"/>
        </w:rPr>
        <w:t>bute to achieving this progress?</w:t>
      </w:r>
    </w:p>
    <w:p w:rsidR="007D3598" w:rsidRDefault="00F8547B">
      <w:pPr>
        <w:pStyle w:val="ListParagraph"/>
        <w:keepNext/>
        <w:numPr>
          <w:ilvl w:val="0"/>
          <w:numId w:val="75"/>
        </w:numPr>
        <w:jc w:val="both"/>
        <w:rPr>
          <w:noProof/>
          <w:szCs w:val="24"/>
        </w:rPr>
      </w:pPr>
      <w:r>
        <w:rPr>
          <w:noProof/>
          <w:szCs w:val="24"/>
        </w:rPr>
        <w:t>How did the operating support provided for in Article 10 of the Regulation (EU) No 515/2014 contribute to the achievement of the specific objective on common visa policy?</w:t>
      </w:r>
    </w:p>
    <w:p w:rsidR="007D3598" w:rsidRDefault="007D3598">
      <w:pPr>
        <w:keepNext/>
        <w:jc w:val="both"/>
        <w:rPr>
          <w:noProof/>
          <w:szCs w:val="24"/>
          <w:lang w:eastAsia="en-GB"/>
        </w:rPr>
      </w:pPr>
    </w:p>
    <w:p w:rsidR="007D3598" w:rsidRDefault="00F8547B">
      <w:pPr>
        <w:keepNext/>
        <w:jc w:val="both"/>
        <w:rPr>
          <w:i/>
          <w:noProof/>
          <w:szCs w:val="24"/>
        </w:rPr>
      </w:pPr>
      <w:r>
        <w:rPr>
          <w:i/>
          <w:noProof/>
          <w:szCs w:val="24"/>
        </w:rPr>
        <w:t>How did the Fund contribute to supporting integrate</w:t>
      </w:r>
      <w:r>
        <w:rPr>
          <w:i/>
          <w:noProof/>
          <w:szCs w:val="24"/>
        </w:rPr>
        <w:t>d border management, including promoting further harmonisation of border management-related measures in accordance with common Union standards and through the sharing of information between Member States, and between Member States and the European Agency f</w:t>
      </w:r>
      <w:r>
        <w:rPr>
          <w:i/>
          <w:noProof/>
          <w:szCs w:val="24"/>
        </w:rPr>
        <w:t>or the Management of Operational Cooperation at the External Borders of the Member States of the European Union? How did the Fund contribute to ensuring, on one hand, a uniform and high level of control and protection of external borders, including by tack</w:t>
      </w:r>
      <w:r>
        <w:rPr>
          <w:i/>
          <w:noProof/>
          <w:szCs w:val="24"/>
        </w:rPr>
        <w:t>ling illegal immigration; on the other hand, the smooth crossing of the external borders in conformity with the Schengen acquis, while guaranteeing access to international protection for those needing it, in accordance with the obligations contracted by th</w:t>
      </w:r>
      <w:r>
        <w:rPr>
          <w:i/>
          <w:noProof/>
          <w:szCs w:val="24"/>
        </w:rPr>
        <w:t>e Member States in the field of human rights, including the principle of non-refoulement?</w:t>
      </w:r>
    </w:p>
    <w:p w:rsidR="007D3598" w:rsidRDefault="00F8547B">
      <w:pPr>
        <w:pStyle w:val="ListParagraph"/>
        <w:numPr>
          <w:ilvl w:val="0"/>
          <w:numId w:val="76"/>
        </w:numPr>
        <w:jc w:val="both"/>
        <w:rPr>
          <w:noProof/>
          <w:szCs w:val="24"/>
        </w:rPr>
      </w:pPr>
      <w:r>
        <w:rPr>
          <w:noProof/>
          <w:szCs w:val="24"/>
        </w:rPr>
        <w:t>What progress was made towards promoting the development, implementation and enforcement of policies with a view to ensure the absence of any controls on persons when</w:t>
      </w:r>
      <w:r>
        <w:rPr>
          <w:noProof/>
          <w:szCs w:val="24"/>
        </w:rPr>
        <w:t xml:space="preserve"> crossing the internal borders, and how did the Fund contribute to achieving this progress?</w:t>
      </w:r>
    </w:p>
    <w:p w:rsidR="007D3598" w:rsidRDefault="00F8547B">
      <w:pPr>
        <w:pStyle w:val="ListParagraph"/>
        <w:numPr>
          <w:ilvl w:val="0"/>
          <w:numId w:val="76"/>
        </w:numPr>
        <w:jc w:val="both"/>
        <w:rPr>
          <w:noProof/>
          <w:szCs w:val="24"/>
        </w:rPr>
      </w:pPr>
      <w:r>
        <w:rPr>
          <w:noProof/>
          <w:szCs w:val="24"/>
        </w:rPr>
        <w:t>What progress was made towards carrying out checks on persons and monitoring efficiently the crossing of external borders, and how did the Fund contribute to achiev</w:t>
      </w:r>
      <w:r>
        <w:rPr>
          <w:noProof/>
          <w:szCs w:val="24"/>
        </w:rPr>
        <w:t>ing this progress?</w:t>
      </w:r>
    </w:p>
    <w:p w:rsidR="007D3598" w:rsidRDefault="00F8547B">
      <w:pPr>
        <w:pStyle w:val="ListParagraph"/>
        <w:numPr>
          <w:ilvl w:val="0"/>
          <w:numId w:val="76"/>
        </w:numPr>
        <w:jc w:val="both"/>
        <w:rPr>
          <w:noProof/>
          <w:szCs w:val="24"/>
        </w:rPr>
      </w:pPr>
      <w:r>
        <w:rPr>
          <w:noProof/>
          <w:szCs w:val="24"/>
        </w:rPr>
        <w:t>What progress was made towards gradually establishing an integrated management system for external borders, based on solidarity and responsibility, and how did the Fund contribute to achieving this progress?</w:t>
      </w:r>
    </w:p>
    <w:p w:rsidR="007D3598" w:rsidRDefault="00F8547B">
      <w:pPr>
        <w:pStyle w:val="ListParagraph"/>
        <w:numPr>
          <w:ilvl w:val="0"/>
          <w:numId w:val="76"/>
        </w:numPr>
        <w:jc w:val="both"/>
        <w:rPr>
          <w:noProof/>
          <w:szCs w:val="24"/>
        </w:rPr>
      </w:pPr>
      <w:r>
        <w:rPr>
          <w:noProof/>
          <w:szCs w:val="24"/>
        </w:rPr>
        <w:t>What progress was made toward</w:t>
      </w:r>
      <w:r>
        <w:rPr>
          <w:noProof/>
          <w:szCs w:val="24"/>
        </w:rPr>
        <w:t xml:space="preserve">s ensuring the application of the Union’s </w:t>
      </w:r>
      <w:r>
        <w:rPr>
          <w:i/>
          <w:noProof/>
          <w:szCs w:val="24"/>
        </w:rPr>
        <w:t>acquis</w:t>
      </w:r>
      <w:r>
        <w:rPr>
          <w:noProof/>
          <w:szCs w:val="24"/>
        </w:rPr>
        <w:t xml:space="preserve"> on border management, and how did the fund contribute to achieving this progress?</w:t>
      </w:r>
    </w:p>
    <w:p w:rsidR="007D3598" w:rsidRDefault="00F8547B">
      <w:pPr>
        <w:pStyle w:val="ListParagraph"/>
        <w:numPr>
          <w:ilvl w:val="0"/>
          <w:numId w:val="76"/>
        </w:numPr>
        <w:jc w:val="both"/>
        <w:rPr>
          <w:noProof/>
          <w:szCs w:val="24"/>
        </w:rPr>
      </w:pPr>
      <w:r>
        <w:rPr>
          <w:noProof/>
          <w:szCs w:val="24"/>
        </w:rPr>
        <w:t>What progress was made towards contributing to reinforcing situational awareness at the external borders and the reaction cap</w:t>
      </w:r>
      <w:r>
        <w:rPr>
          <w:noProof/>
          <w:szCs w:val="24"/>
        </w:rPr>
        <w:t>abilities of Member States, and how did the Fund contribute to achieving this progress?</w:t>
      </w:r>
    </w:p>
    <w:p w:rsidR="007D3598" w:rsidRDefault="00F8547B">
      <w:pPr>
        <w:pStyle w:val="ListParagraph"/>
        <w:numPr>
          <w:ilvl w:val="0"/>
          <w:numId w:val="76"/>
        </w:numPr>
        <w:jc w:val="both"/>
        <w:rPr>
          <w:noProof/>
          <w:szCs w:val="24"/>
        </w:rPr>
      </w:pPr>
      <w:r>
        <w:rPr>
          <w:noProof/>
          <w:szCs w:val="24"/>
        </w:rPr>
        <w:t>What progress was made towards setting up and running IT systems, their communication infrastructure and equipment that support border checks and border surveillance at</w:t>
      </w:r>
      <w:r>
        <w:rPr>
          <w:noProof/>
          <w:szCs w:val="24"/>
        </w:rPr>
        <w:t xml:space="preserve"> the external borders, and how did the Fund contribute to achieving this progress?</w:t>
      </w:r>
    </w:p>
    <w:p w:rsidR="007D3598" w:rsidRDefault="00F8547B">
      <w:pPr>
        <w:pStyle w:val="ListParagraph"/>
        <w:numPr>
          <w:ilvl w:val="0"/>
          <w:numId w:val="76"/>
        </w:numPr>
        <w:jc w:val="both"/>
        <w:rPr>
          <w:noProof/>
          <w:szCs w:val="24"/>
        </w:rPr>
      </w:pPr>
      <w:r>
        <w:rPr>
          <w:noProof/>
          <w:szCs w:val="24"/>
        </w:rPr>
        <w:t>How did the operating support provided for in Article 10 of the Regulation No 515/2014 contribute to the achievement of the specific objective on border management?</w:t>
      </w:r>
    </w:p>
    <w:p w:rsidR="007D3598" w:rsidRDefault="007D3598">
      <w:pPr>
        <w:keepNext/>
        <w:jc w:val="both"/>
        <w:rPr>
          <w:noProof/>
          <w:szCs w:val="24"/>
          <w:lang w:eastAsia="en-GB"/>
        </w:rPr>
      </w:pPr>
    </w:p>
    <w:p w:rsidR="007D3598" w:rsidRDefault="00F8547B">
      <w:pPr>
        <w:keepNext/>
        <w:jc w:val="both"/>
        <w:rPr>
          <w:b/>
          <w:noProof/>
          <w:szCs w:val="24"/>
          <w:lang w:eastAsia="en-GB"/>
        </w:rPr>
      </w:pPr>
      <w:r>
        <w:rPr>
          <w:b/>
          <w:noProof/>
          <w:szCs w:val="24"/>
          <w:lang w:eastAsia="en-GB"/>
        </w:rPr>
        <w:t>Efficie</w:t>
      </w:r>
      <w:r>
        <w:rPr>
          <w:b/>
          <w:noProof/>
          <w:szCs w:val="24"/>
          <w:lang w:eastAsia="en-GB"/>
        </w:rPr>
        <w:t>ncy</w:t>
      </w:r>
    </w:p>
    <w:p w:rsidR="007D3598" w:rsidRDefault="00F8547B">
      <w:pPr>
        <w:keepNext/>
        <w:jc w:val="both"/>
        <w:rPr>
          <w:noProof/>
          <w:szCs w:val="24"/>
          <w:lang w:eastAsia="en-GB"/>
        </w:rPr>
      </w:pPr>
      <w:r>
        <w:rPr>
          <w:i/>
          <w:noProof/>
          <w:szCs w:val="24"/>
        </w:rPr>
        <w:t>Were the results of the Fund achieved at reasonable cost?</w:t>
      </w:r>
    </w:p>
    <w:p w:rsidR="007D3598" w:rsidRDefault="00F8547B">
      <w:pPr>
        <w:pStyle w:val="ListParagraph"/>
        <w:keepNext/>
        <w:numPr>
          <w:ilvl w:val="0"/>
          <w:numId w:val="77"/>
        </w:numPr>
        <w:jc w:val="both"/>
        <w:rPr>
          <w:i/>
          <w:noProof/>
          <w:szCs w:val="24"/>
        </w:rPr>
      </w:pPr>
      <w:r>
        <w:rPr>
          <w:noProof/>
          <w:szCs w:val="24"/>
        </w:rPr>
        <w:t>To what extent were the expected results of the Fund achieved at reasonable cost in terms of deployed financial and human resources?</w:t>
      </w:r>
    </w:p>
    <w:p w:rsidR="007D3598" w:rsidRDefault="00F8547B">
      <w:pPr>
        <w:pStyle w:val="ListParagraph"/>
        <w:keepNext/>
        <w:numPr>
          <w:ilvl w:val="0"/>
          <w:numId w:val="77"/>
        </w:numPr>
        <w:jc w:val="both"/>
        <w:rPr>
          <w:noProof/>
          <w:szCs w:val="24"/>
        </w:rPr>
      </w:pPr>
      <w:r>
        <w:rPr>
          <w:noProof/>
          <w:szCs w:val="24"/>
        </w:rPr>
        <w:t>What measures were put in place to prevent, detect, report an</w:t>
      </w:r>
      <w:r>
        <w:rPr>
          <w:noProof/>
          <w:szCs w:val="24"/>
        </w:rPr>
        <w:t>d follow-up on cases of fraud and other irregularities, and how did they perform?</w:t>
      </w:r>
    </w:p>
    <w:p w:rsidR="007D3598" w:rsidRDefault="007D3598">
      <w:pPr>
        <w:keepNext/>
        <w:jc w:val="both"/>
        <w:rPr>
          <w:noProof/>
        </w:rPr>
      </w:pPr>
    </w:p>
    <w:p w:rsidR="007D3598" w:rsidRDefault="00F8547B">
      <w:pPr>
        <w:jc w:val="both"/>
        <w:rPr>
          <w:b/>
          <w:noProof/>
          <w:szCs w:val="24"/>
          <w:lang w:eastAsia="en-GB"/>
        </w:rPr>
      </w:pPr>
      <w:r>
        <w:rPr>
          <w:b/>
          <w:noProof/>
          <w:szCs w:val="24"/>
          <w:lang w:eastAsia="en-GB"/>
        </w:rPr>
        <w:t>Simplification and reduction of administrative burden</w:t>
      </w:r>
    </w:p>
    <w:p w:rsidR="007D3598" w:rsidRDefault="00F8547B">
      <w:pPr>
        <w:jc w:val="both"/>
        <w:rPr>
          <w:noProof/>
          <w:szCs w:val="24"/>
          <w:lang w:eastAsia="en-GB"/>
        </w:rPr>
      </w:pPr>
      <w:r>
        <w:rPr>
          <w:i/>
          <w:noProof/>
          <w:szCs w:val="24"/>
        </w:rPr>
        <w:t>Were the management procedures of the Fund simplified and the administrative burden reduced for its beneficiaries?</w:t>
      </w:r>
    </w:p>
    <w:p w:rsidR="007D3598" w:rsidRDefault="00F8547B">
      <w:pPr>
        <w:pStyle w:val="ListParagraph"/>
        <w:numPr>
          <w:ilvl w:val="0"/>
          <w:numId w:val="84"/>
        </w:numPr>
        <w:jc w:val="both"/>
        <w:rPr>
          <w:i/>
          <w:noProof/>
          <w:szCs w:val="24"/>
        </w:rPr>
      </w:pPr>
      <w:r>
        <w:rPr>
          <w:noProof/>
          <w:szCs w:val="24"/>
          <w:lang w:eastAsia="en-GB"/>
        </w:rPr>
        <w:t xml:space="preserve">Did </w:t>
      </w:r>
      <w:r>
        <w:rPr>
          <w:noProof/>
          <w:szCs w:val="24"/>
          <w:lang w:eastAsia="en-GB"/>
        </w:rPr>
        <w:t>the innovative procedures introduced by the Fund (simplified cost option, multiannual programming, national eligibility rules, more comprehensive national programmes allowing for flexibility, operating support and Special Transit Scheme for Lithuania) lead</w:t>
      </w:r>
      <w:r>
        <w:rPr>
          <w:noProof/>
          <w:szCs w:val="24"/>
          <w:lang w:eastAsia="en-GB"/>
        </w:rPr>
        <w:t xml:space="preserve"> to simplification for the beneficiaries of the Fund?</w:t>
      </w:r>
    </w:p>
    <w:p w:rsidR="007D3598" w:rsidRDefault="007D3598">
      <w:pPr>
        <w:jc w:val="both"/>
        <w:rPr>
          <w:b/>
          <w:noProof/>
          <w:szCs w:val="24"/>
          <w:lang w:eastAsia="en-GB"/>
        </w:rPr>
      </w:pPr>
    </w:p>
    <w:p w:rsidR="007D3598" w:rsidRDefault="00F8547B">
      <w:pPr>
        <w:jc w:val="both"/>
        <w:rPr>
          <w:b/>
          <w:noProof/>
          <w:szCs w:val="24"/>
          <w:lang w:eastAsia="en-GB"/>
        </w:rPr>
      </w:pPr>
      <w:r>
        <w:rPr>
          <w:b/>
          <w:noProof/>
          <w:szCs w:val="24"/>
          <w:lang w:eastAsia="en-GB"/>
        </w:rPr>
        <w:t>Relevance</w:t>
      </w:r>
    </w:p>
    <w:p w:rsidR="007D3598" w:rsidRDefault="00F8547B">
      <w:pPr>
        <w:jc w:val="both"/>
        <w:rPr>
          <w:noProof/>
          <w:szCs w:val="24"/>
          <w:lang w:eastAsia="en-GB"/>
        </w:rPr>
      </w:pPr>
      <w:r>
        <w:rPr>
          <w:i/>
          <w:noProof/>
          <w:szCs w:val="24"/>
        </w:rPr>
        <w:t>Did the objectives of the interventions funded by the Fund correspond to the actual needs?</w:t>
      </w:r>
    </w:p>
    <w:p w:rsidR="007D3598" w:rsidRDefault="00F8547B">
      <w:pPr>
        <w:pStyle w:val="ListParagraph"/>
        <w:keepNext/>
        <w:numPr>
          <w:ilvl w:val="0"/>
          <w:numId w:val="78"/>
        </w:numPr>
        <w:jc w:val="both"/>
        <w:rPr>
          <w:noProof/>
          <w:szCs w:val="24"/>
        </w:rPr>
      </w:pPr>
      <w:r>
        <w:rPr>
          <w:noProof/>
          <w:szCs w:val="24"/>
          <w:lang w:eastAsia="en-GB"/>
        </w:rPr>
        <w:t>Did the objectives set by Member States in their national programmes respond to identified needs?</w:t>
      </w:r>
    </w:p>
    <w:p w:rsidR="007D3598" w:rsidRDefault="00F8547B">
      <w:pPr>
        <w:pStyle w:val="ListParagraph"/>
        <w:keepNext/>
        <w:numPr>
          <w:ilvl w:val="0"/>
          <w:numId w:val="78"/>
        </w:numPr>
        <w:jc w:val="both"/>
        <w:rPr>
          <w:noProof/>
          <w:szCs w:val="24"/>
        </w:rPr>
      </w:pPr>
      <w:r>
        <w:rPr>
          <w:noProof/>
          <w:szCs w:val="24"/>
          <w:lang w:eastAsia="en-GB"/>
        </w:rPr>
        <w:t>Which measures did Member State put in place to address changing needs?</w:t>
      </w:r>
    </w:p>
    <w:p w:rsidR="007D3598" w:rsidRDefault="007D3598">
      <w:pPr>
        <w:keepNext/>
        <w:jc w:val="both"/>
        <w:rPr>
          <w:b/>
          <w:noProof/>
          <w:szCs w:val="24"/>
          <w:lang w:eastAsia="en-GB"/>
        </w:rPr>
      </w:pPr>
    </w:p>
    <w:p w:rsidR="007D3598" w:rsidRDefault="00F8547B">
      <w:pPr>
        <w:keepNext/>
        <w:jc w:val="both"/>
        <w:rPr>
          <w:b/>
          <w:noProof/>
          <w:szCs w:val="24"/>
          <w:lang w:eastAsia="en-GB"/>
        </w:rPr>
      </w:pPr>
      <w:r>
        <w:rPr>
          <w:b/>
          <w:noProof/>
          <w:szCs w:val="24"/>
          <w:lang w:eastAsia="en-GB"/>
        </w:rPr>
        <w:t>Coherence</w:t>
      </w:r>
    </w:p>
    <w:p w:rsidR="007D3598" w:rsidRDefault="00F8547B">
      <w:pPr>
        <w:keepNext/>
        <w:jc w:val="both"/>
        <w:rPr>
          <w:noProof/>
          <w:szCs w:val="24"/>
          <w:lang w:eastAsia="en-GB"/>
        </w:rPr>
      </w:pPr>
      <w:r>
        <w:rPr>
          <w:i/>
          <w:noProof/>
          <w:szCs w:val="24"/>
        </w:rPr>
        <w:t xml:space="preserve">Were the objectives set in the national programme coherent with the ones set in other programmes funded by EU resources and applying to similar areas of work? Was the </w:t>
      </w:r>
      <w:r>
        <w:rPr>
          <w:i/>
          <w:noProof/>
          <w:szCs w:val="24"/>
        </w:rPr>
        <w:t>coherence ensured also during the implementation of the Fund?</w:t>
      </w:r>
    </w:p>
    <w:p w:rsidR="007D3598" w:rsidRDefault="00F8547B">
      <w:pPr>
        <w:pStyle w:val="ListParagraph"/>
        <w:keepNext/>
        <w:numPr>
          <w:ilvl w:val="0"/>
          <w:numId w:val="79"/>
        </w:numPr>
        <w:jc w:val="both"/>
        <w:rPr>
          <w:noProof/>
          <w:szCs w:val="24"/>
        </w:rPr>
      </w:pPr>
      <w:r>
        <w:rPr>
          <w:noProof/>
          <w:szCs w:val="24"/>
          <w:lang w:eastAsia="en-GB"/>
        </w:rPr>
        <w:t>Was an assessment of other interventions with similar objectives carried out and taken into account during the programming stage?</w:t>
      </w:r>
    </w:p>
    <w:p w:rsidR="007D3598" w:rsidRDefault="00F8547B">
      <w:pPr>
        <w:pStyle w:val="ListParagraph"/>
        <w:keepNext/>
        <w:numPr>
          <w:ilvl w:val="0"/>
          <w:numId w:val="79"/>
        </w:numPr>
        <w:jc w:val="both"/>
        <w:rPr>
          <w:noProof/>
          <w:szCs w:val="24"/>
        </w:rPr>
      </w:pPr>
      <w:r>
        <w:rPr>
          <w:noProof/>
          <w:szCs w:val="24"/>
          <w:lang w:eastAsia="en-GB"/>
        </w:rPr>
        <w:t>Were coordination mechanisms between the Fund and other interven</w:t>
      </w:r>
      <w:r>
        <w:rPr>
          <w:noProof/>
          <w:szCs w:val="24"/>
          <w:lang w:eastAsia="en-GB"/>
        </w:rPr>
        <w:t>tions with similar objectives established to ensure their complementarity for the implementing period?</w:t>
      </w:r>
    </w:p>
    <w:p w:rsidR="007D3598" w:rsidRDefault="00F8547B">
      <w:pPr>
        <w:pStyle w:val="ListParagraph"/>
        <w:keepNext/>
        <w:numPr>
          <w:ilvl w:val="0"/>
          <w:numId w:val="79"/>
        </w:numPr>
        <w:jc w:val="both"/>
        <w:rPr>
          <w:noProof/>
          <w:szCs w:val="24"/>
        </w:rPr>
      </w:pPr>
      <w:r>
        <w:rPr>
          <w:noProof/>
          <w:szCs w:val="24"/>
          <w:lang w:eastAsia="en-GB"/>
        </w:rPr>
        <w:t>Were the actions implemented through the Fund coherent with and non-contradictory to other interventions with similar objectives?</w:t>
      </w:r>
    </w:p>
    <w:p w:rsidR="007D3598" w:rsidRDefault="00F8547B">
      <w:pPr>
        <w:pStyle w:val="ListParagraph"/>
        <w:keepNext/>
        <w:numPr>
          <w:ilvl w:val="0"/>
          <w:numId w:val="79"/>
        </w:numPr>
        <w:jc w:val="both"/>
        <w:rPr>
          <w:noProof/>
          <w:szCs w:val="24"/>
          <w:lang w:eastAsia="en-GB"/>
        </w:rPr>
      </w:pPr>
      <w:r>
        <w:rPr>
          <w:noProof/>
          <w:szCs w:val="24"/>
          <w:lang w:eastAsia="en-GB"/>
        </w:rPr>
        <w:t>Do the Fund’s different</w:t>
      </w:r>
      <w:r>
        <w:rPr>
          <w:noProof/>
          <w:szCs w:val="24"/>
          <w:lang w:eastAsia="en-GB"/>
        </w:rPr>
        <w:t xml:space="preserve"> instruments (national programmes, TA, UAs, EMAS) support each other?</w:t>
      </w:r>
    </w:p>
    <w:p w:rsidR="007D3598" w:rsidRDefault="007D3598">
      <w:pPr>
        <w:jc w:val="both"/>
        <w:rPr>
          <w:noProof/>
          <w:szCs w:val="24"/>
          <w:lang w:eastAsia="en-GB"/>
        </w:rPr>
      </w:pPr>
    </w:p>
    <w:p w:rsidR="007D3598" w:rsidRDefault="00F8547B">
      <w:pPr>
        <w:jc w:val="both"/>
        <w:rPr>
          <w:b/>
          <w:noProof/>
          <w:szCs w:val="24"/>
          <w:lang w:eastAsia="en-GB"/>
        </w:rPr>
      </w:pPr>
      <w:r>
        <w:rPr>
          <w:b/>
          <w:noProof/>
          <w:szCs w:val="24"/>
          <w:lang w:eastAsia="en-GB"/>
        </w:rPr>
        <w:t>Complementarity</w:t>
      </w:r>
    </w:p>
    <w:p w:rsidR="007D3598" w:rsidRDefault="00F8547B">
      <w:pPr>
        <w:jc w:val="both"/>
        <w:rPr>
          <w:noProof/>
          <w:szCs w:val="24"/>
          <w:lang w:eastAsia="en-GB"/>
        </w:rPr>
      </w:pPr>
      <w:r>
        <w:rPr>
          <w:i/>
          <w:noProof/>
          <w:szCs w:val="24"/>
        </w:rPr>
        <w:t>Were the objectives set in the national programme and the corresponding</w:t>
      </w:r>
      <w:r>
        <w:rPr>
          <w:noProof/>
          <w:szCs w:val="24"/>
          <w:lang w:eastAsia="en-GB"/>
        </w:rPr>
        <w:t xml:space="preserve"> </w:t>
      </w:r>
      <w:r>
        <w:rPr>
          <w:i/>
          <w:noProof/>
          <w:szCs w:val="24"/>
        </w:rPr>
        <w:t>implemented actions complementary to those set in the framework of other policies — in particular</w:t>
      </w:r>
      <w:r>
        <w:rPr>
          <w:i/>
          <w:noProof/>
          <w:szCs w:val="24"/>
        </w:rPr>
        <w:t xml:space="preserve"> those pursued by the Member State?</w:t>
      </w:r>
    </w:p>
    <w:p w:rsidR="007D3598" w:rsidRDefault="00F8547B">
      <w:pPr>
        <w:pStyle w:val="ListParagraph"/>
        <w:keepNext/>
        <w:numPr>
          <w:ilvl w:val="0"/>
          <w:numId w:val="80"/>
        </w:numPr>
        <w:jc w:val="both"/>
        <w:rPr>
          <w:noProof/>
          <w:szCs w:val="24"/>
        </w:rPr>
      </w:pPr>
      <w:r>
        <w:rPr>
          <w:noProof/>
          <w:szCs w:val="24"/>
          <w:lang w:eastAsia="en-GB"/>
        </w:rPr>
        <w:t>Was an assessment of other interventions with complementary objectives carried out and taken into account during the programming stage?</w:t>
      </w:r>
    </w:p>
    <w:p w:rsidR="007D3598" w:rsidRDefault="00F8547B">
      <w:pPr>
        <w:pStyle w:val="ListParagraph"/>
        <w:keepNext/>
        <w:numPr>
          <w:ilvl w:val="0"/>
          <w:numId w:val="80"/>
        </w:numPr>
        <w:jc w:val="both"/>
        <w:rPr>
          <w:noProof/>
          <w:szCs w:val="24"/>
        </w:rPr>
      </w:pPr>
      <w:r>
        <w:rPr>
          <w:noProof/>
          <w:szCs w:val="24"/>
          <w:lang w:eastAsia="en-GB"/>
        </w:rPr>
        <w:t>Were coordination mechanisms between the Fund and other interventions with similar o</w:t>
      </w:r>
      <w:r>
        <w:rPr>
          <w:noProof/>
          <w:szCs w:val="24"/>
          <w:lang w:eastAsia="en-GB"/>
        </w:rPr>
        <w:t>bjectives established to ensure their complementarity for the implementing period?</w:t>
      </w:r>
    </w:p>
    <w:p w:rsidR="007D3598" w:rsidRDefault="00F8547B">
      <w:pPr>
        <w:pStyle w:val="ListParagraph"/>
        <w:keepNext/>
        <w:numPr>
          <w:ilvl w:val="0"/>
          <w:numId w:val="80"/>
        </w:numPr>
        <w:jc w:val="both"/>
        <w:rPr>
          <w:noProof/>
          <w:szCs w:val="24"/>
        </w:rPr>
      </w:pPr>
      <w:r>
        <w:rPr>
          <w:noProof/>
          <w:szCs w:val="24"/>
        </w:rPr>
        <w:t>Were mechanisms aimed to prevent overlapping of financial instruments put in place?</w:t>
      </w:r>
    </w:p>
    <w:p w:rsidR="007D3598" w:rsidRDefault="007D3598">
      <w:pPr>
        <w:jc w:val="both"/>
        <w:rPr>
          <w:noProof/>
          <w:szCs w:val="24"/>
          <w:lang w:eastAsia="en-GB"/>
        </w:rPr>
      </w:pPr>
    </w:p>
    <w:p w:rsidR="007D3598" w:rsidRDefault="00F8547B">
      <w:pPr>
        <w:jc w:val="both"/>
        <w:rPr>
          <w:b/>
          <w:noProof/>
          <w:szCs w:val="24"/>
          <w:lang w:eastAsia="en-GB"/>
        </w:rPr>
      </w:pPr>
      <w:r>
        <w:rPr>
          <w:b/>
          <w:noProof/>
          <w:szCs w:val="24"/>
          <w:lang w:eastAsia="en-GB"/>
        </w:rPr>
        <w:t>EU Added Value</w:t>
      </w:r>
    </w:p>
    <w:p w:rsidR="007D3598" w:rsidRDefault="00F8547B">
      <w:pPr>
        <w:jc w:val="both"/>
        <w:rPr>
          <w:i/>
          <w:noProof/>
          <w:szCs w:val="24"/>
        </w:rPr>
      </w:pPr>
      <w:r>
        <w:rPr>
          <w:i/>
          <w:noProof/>
          <w:szCs w:val="24"/>
        </w:rPr>
        <w:t>Was any EU added value brought about by the EU support?</w:t>
      </w:r>
    </w:p>
    <w:p w:rsidR="007D3598" w:rsidRDefault="00F8547B">
      <w:pPr>
        <w:pStyle w:val="ListParagraph"/>
        <w:numPr>
          <w:ilvl w:val="0"/>
          <w:numId w:val="82"/>
        </w:numPr>
        <w:jc w:val="both"/>
        <w:rPr>
          <w:noProof/>
          <w:szCs w:val="24"/>
          <w:lang w:eastAsia="en-GB"/>
        </w:rPr>
      </w:pPr>
      <w:r>
        <w:rPr>
          <w:noProof/>
          <w:szCs w:val="24"/>
          <w:lang w:eastAsia="en-GB"/>
        </w:rPr>
        <w:t>What are the main</w:t>
      </w:r>
      <w:r>
        <w:rPr>
          <w:noProof/>
          <w:szCs w:val="24"/>
          <w:lang w:eastAsia="en-GB"/>
        </w:rPr>
        <w:t xml:space="preserve"> types of added value resulting from the support of the Fund (volume, scope, role, process)?</w:t>
      </w:r>
    </w:p>
    <w:p w:rsidR="007D3598" w:rsidRDefault="00F8547B">
      <w:pPr>
        <w:pStyle w:val="ListParagraph"/>
        <w:numPr>
          <w:ilvl w:val="0"/>
          <w:numId w:val="82"/>
        </w:numPr>
        <w:jc w:val="both"/>
        <w:rPr>
          <w:noProof/>
          <w:szCs w:val="24"/>
        </w:rPr>
      </w:pPr>
      <w:r>
        <w:rPr>
          <w:noProof/>
          <w:szCs w:val="24"/>
        </w:rPr>
        <w:t>Would the Member State have carried out the actions required to implement the EU policies in the areas supported by the Fund without its financial support?</w:t>
      </w:r>
    </w:p>
    <w:p w:rsidR="007D3598" w:rsidRDefault="00F8547B">
      <w:pPr>
        <w:pStyle w:val="ListParagraph"/>
        <w:keepNext/>
        <w:numPr>
          <w:ilvl w:val="0"/>
          <w:numId w:val="81"/>
        </w:numPr>
        <w:jc w:val="both"/>
        <w:rPr>
          <w:noProof/>
          <w:szCs w:val="24"/>
        </w:rPr>
      </w:pPr>
      <w:r>
        <w:rPr>
          <w:noProof/>
          <w:szCs w:val="24"/>
          <w:lang w:eastAsia="en-GB"/>
        </w:rPr>
        <w:t xml:space="preserve">What </w:t>
      </w:r>
      <w:r>
        <w:rPr>
          <w:noProof/>
          <w:szCs w:val="24"/>
          <w:lang w:eastAsia="en-GB"/>
        </w:rPr>
        <w:t>would be the most likely consequences of an interruption of the support provided by the Fund?</w:t>
      </w:r>
    </w:p>
    <w:p w:rsidR="007D3598" w:rsidRDefault="00F8547B">
      <w:pPr>
        <w:pStyle w:val="ListParagraph"/>
        <w:keepNext/>
        <w:numPr>
          <w:ilvl w:val="0"/>
          <w:numId w:val="81"/>
        </w:numPr>
        <w:jc w:val="both"/>
        <w:rPr>
          <w:noProof/>
          <w:szCs w:val="24"/>
        </w:rPr>
      </w:pPr>
      <w:r>
        <w:rPr>
          <w:noProof/>
          <w:szCs w:val="24"/>
        </w:rPr>
        <w:t>To which extent have actions supported by the Fund resulted in a benefit at the Union level?</w:t>
      </w:r>
    </w:p>
    <w:p w:rsidR="007D3598" w:rsidRDefault="00F8547B">
      <w:pPr>
        <w:pStyle w:val="ListParagraph"/>
        <w:keepNext/>
        <w:numPr>
          <w:ilvl w:val="0"/>
          <w:numId w:val="81"/>
        </w:numPr>
        <w:jc w:val="both"/>
        <w:rPr>
          <w:noProof/>
          <w:szCs w:val="24"/>
        </w:rPr>
      </w:pPr>
      <w:r>
        <w:rPr>
          <w:noProof/>
          <w:szCs w:val="24"/>
          <w:lang w:eastAsia="en-GB"/>
        </w:rPr>
        <w:t>What was the EU added value of the operating support?</w:t>
      </w:r>
    </w:p>
    <w:p w:rsidR="007D3598" w:rsidRDefault="007D3598">
      <w:pPr>
        <w:keepNext/>
        <w:tabs>
          <w:tab w:val="left" w:pos="2517"/>
        </w:tabs>
        <w:jc w:val="both"/>
        <w:rPr>
          <w:noProof/>
          <w:szCs w:val="24"/>
          <w:lang w:eastAsia="en-GB"/>
        </w:rPr>
      </w:pPr>
    </w:p>
    <w:p w:rsidR="007D3598" w:rsidRDefault="00F8547B">
      <w:pPr>
        <w:keepNext/>
        <w:tabs>
          <w:tab w:val="left" w:pos="2517"/>
        </w:tabs>
        <w:jc w:val="both"/>
        <w:rPr>
          <w:b/>
          <w:noProof/>
          <w:szCs w:val="24"/>
          <w:lang w:eastAsia="en-GB"/>
        </w:rPr>
      </w:pPr>
      <w:r>
        <w:rPr>
          <w:b/>
          <w:noProof/>
          <w:szCs w:val="24"/>
          <w:lang w:eastAsia="en-GB"/>
        </w:rPr>
        <w:t>Sustainability</w:t>
      </w:r>
      <w:r>
        <w:rPr>
          <w:b/>
          <w:noProof/>
          <w:szCs w:val="24"/>
          <w:lang w:eastAsia="en-GB"/>
        </w:rPr>
        <w:t xml:space="preserve"> </w:t>
      </w:r>
      <w:r>
        <w:rPr>
          <w:b/>
          <w:noProof/>
          <w:szCs w:val="24"/>
          <w:lang w:eastAsia="en-GB"/>
        </w:rPr>
        <w:tab/>
      </w:r>
    </w:p>
    <w:p w:rsidR="007D3598" w:rsidRDefault="00F8547B">
      <w:pPr>
        <w:jc w:val="both"/>
        <w:rPr>
          <w:noProof/>
          <w:szCs w:val="24"/>
          <w:lang w:eastAsia="en-GB"/>
        </w:rPr>
      </w:pPr>
      <w:r>
        <w:rPr>
          <w:i/>
          <w:noProof/>
          <w:szCs w:val="24"/>
        </w:rPr>
        <w:t>Are the positive effects of the projects supported by the Fund likely to last when its support will be over?</w:t>
      </w:r>
    </w:p>
    <w:p w:rsidR="007D3598" w:rsidRDefault="00F8547B">
      <w:pPr>
        <w:pStyle w:val="ListParagraph"/>
        <w:numPr>
          <w:ilvl w:val="0"/>
          <w:numId w:val="83"/>
        </w:numPr>
        <w:jc w:val="both"/>
        <w:rPr>
          <w:noProof/>
          <w:szCs w:val="24"/>
        </w:rPr>
      </w:pPr>
      <w:r>
        <w:rPr>
          <w:noProof/>
          <w:szCs w:val="24"/>
        </w:rPr>
        <w:t xml:space="preserve">What were the main measures adopted by the Member State to ensure the sustainability of the results of the projects implemented with support of </w:t>
      </w:r>
      <w:r>
        <w:rPr>
          <w:noProof/>
          <w:szCs w:val="24"/>
        </w:rPr>
        <w:t>the Fund (both at programming and implementation stage)?</w:t>
      </w:r>
    </w:p>
    <w:p w:rsidR="007D3598" w:rsidRDefault="00F8547B">
      <w:pPr>
        <w:pStyle w:val="ListParagraph"/>
        <w:keepNext/>
        <w:numPr>
          <w:ilvl w:val="0"/>
          <w:numId w:val="83"/>
        </w:numPr>
        <w:jc w:val="both"/>
        <w:rPr>
          <w:noProof/>
          <w:szCs w:val="24"/>
        </w:rPr>
      </w:pPr>
      <w:r>
        <w:rPr>
          <w:noProof/>
          <w:szCs w:val="24"/>
          <w:lang w:eastAsia="en-GB"/>
        </w:rPr>
        <w:t>Were mechanisms put in place to ensure a sustainability check at programming and implementation stage?</w:t>
      </w:r>
    </w:p>
    <w:p w:rsidR="007D3598" w:rsidRDefault="00F8547B">
      <w:pPr>
        <w:pStyle w:val="ListParagraph"/>
        <w:keepNext/>
        <w:numPr>
          <w:ilvl w:val="0"/>
          <w:numId w:val="83"/>
        </w:numPr>
        <w:jc w:val="both"/>
        <w:rPr>
          <w:noProof/>
          <w:szCs w:val="24"/>
        </w:rPr>
      </w:pPr>
      <w:r>
        <w:rPr>
          <w:noProof/>
          <w:szCs w:val="24"/>
          <w:lang w:eastAsia="en-GB"/>
        </w:rPr>
        <w:t>To what extent are the outcomes/benefits of the actions sustained by the Fund expected to contin</w:t>
      </w:r>
      <w:r>
        <w:rPr>
          <w:noProof/>
          <w:szCs w:val="24"/>
          <w:lang w:eastAsia="en-GB"/>
        </w:rPr>
        <w:t>ue thereafter?</w:t>
      </w:r>
    </w:p>
    <w:p w:rsidR="007D3598" w:rsidRDefault="00F8547B">
      <w:pPr>
        <w:rPr>
          <w:noProof/>
        </w:rPr>
      </w:pPr>
      <w:r>
        <w:rPr>
          <w:noProof/>
          <w:szCs w:val="24"/>
          <w:lang w:eastAsia="en-GB"/>
        </w:rPr>
        <w:t>What measures were adopted to ensure the continuity of the activities carried out thanks to the operating support?</w:t>
      </w:r>
    </w:p>
    <w:sectPr w:rsidR="007D3598">
      <w:headerReference w:type="even" r:id="rId73"/>
      <w:headerReference w:type="default" r:id="rId74"/>
      <w:footerReference w:type="even" r:id="rId75"/>
      <w:footerReference w:type="default" r:id="rId76"/>
      <w:headerReference w:type="first" r:id="rId77"/>
      <w:footerReference w:type="first" r:id="rId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598" w:rsidRDefault="00F8547B">
      <w:r>
        <w:separator/>
      </w:r>
    </w:p>
  </w:endnote>
  <w:endnote w:type="continuationSeparator" w:id="0">
    <w:p w:rsidR="007D3598" w:rsidRDefault="00F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sig w:usb0="A00002AF" w:usb1="5000206A" w:usb2="00000000" w:usb3="00000000" w:csb0="0000009F" w:csb1="00000000"/>
  </w:font>
  <w:font w:name="Arial">
    <w:panose1 w:val="020B0604020202020204"/>
    <w:charset w:val="00"/>
    <w:family w:val="swiss"/>
    <w:pitch w:val="variable"/>
    <w:sig w:usb0="20002A87" w:usb1="00000000" w:usb2="00000000" w:usb3="00000000" w:csb0="000001FF"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EUAlbertina">
    <w:altName w:val="Times New Roman"/>
    <w:charset w:val="01"/>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HelveticaRounded LT Std Blk">
    <w:altName w:val="HelveticaRounded LT Std Blk"/>
    <w:panose1 w:val="00000000000000000000"/>
    <w:charset w:val="00"/>
    <w:family w:val="swiss"/>
    <w:notTrueType/>
    <w:pitch w:val="default"/>
    <w:sig w:usb0="00000003" w:usb1="00000000" w:usb2="00000000" w:usb3="00000000" w:csb0="00000001" w:csb1="00000000"/>
  </w:font>
  <w:font w:name="Myriad Pro Cond">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EYInterstate">
    <w:altName w:val="Corbel"/>
    <w:charset w:val="00"/>
    <w:family w:val="auto"/>
    <w:pitch w:val="variable"/>
    <w:sig w:usb0="A00002AF" w:usb1="5000206A" w:usb2="00000000" w:usb3="00000000" w:csb0="0000009F" w:csb1="00000000"/>
  </w:font>
  <w:font w:name="EYInterstate Regular">
    <w:altName w:val="Times New Roman"/>
    <w:charset w:val="00"/>
    <w:family w:val="auto"/>
    <w:pitch w:val="variable"/>
    <w:sig w:usb0="00000001" w:usb1="5000206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Y Gothic Comp Book">
    <w:altName w:val="Times New Roman"/>
    <w:charset w:val="00"/>
    <w:family w:val="auto"/>
    <w:pitch w:val="variable"/>
    <w:sig w:usb0="800000A7" w:usb1="00000040" w:usb2="00000000" w:usb3="00000000" w:csb0="00000009" w:csb1="00000000"/>
  </w:font>
  <w:font w:name="Myriad Pro">
    <w:altName w:val="Arial"/>
    <w:panose1 w:val="00000000000000000000"/>
    <w:charset w:val="00"/>
    <w:family w:val="swiss"/>
    <w:notTrueType/>
    <w:pitch w:val="default"/>
    <w:sig w:usb0="00000003" w:usb1="00000000" w:usb2="00000000" w:usb3="00000000" w:csb0="00000001" w:csb1="00000000"/>
  </w:font>
  <w:font w:name="KievitPro-Regular">
    <w:altName w:val="KievitPro-Regular"/>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BankGothic Md BT">
    <w:altName w:val="BankGothic Md BT"/>
    <w:panose1 w:val="00000000000000000000"/>
    <w:charset w:val="00"/>
    <w:family w:val="swiss"/>
    <w:notTrueType/>
    <w:pitch w:val="default"/>
    <w:sig w:usb0="00000003" w:usb1="00000000" w:usb2="00000000" w:usb3="00000000" w:csb0="00000001" w:csb1="00000000"/>
  </w:font>
  <w:font w:name="EC Square Sans Pro">
    <w:panose1 w:val="020B0506040000020004"/>
    <w:charset w:val="00"/>
    <w:family w:val="swiss"/>
    <w:pitch w:val="variable"/>
    <w:sig w:usb0="A00002BF" w:usb1="5000E0FB"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47B" w:rsidRPr="00F8547B" w:rsidRDefault="00F8547B" w:rsidP="00F8547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47B" w:rsidRPr="00F8547B" w:rsidRDefault="00F8547B" w:rsidP="00F8547B">
    <w:pPr>
      <w:pStyle w:val="FooterCoverPage"/>
      <w:rPr>
        <w:rFonts w:ascii="Arial" w:hAnsi="Arial" w:cs="Arial"/>
        <w:b/>
        <w:sz w:val="48"/>
      </w:rPr>
    </w:pPr>
    <w:r w:rsidRPr="00F8547B">
      <w:rPr>
        <w:rFonts w:ascii="Arial" w:hAnsi="Arial" w:cs="Arial"/>
        <w:b/>
        <w:sz w:val="48"/>
      </w:rPr>
      <w:t>EN</w:t>
    </w:r>
    <w:r w:rsidRPr="00F8547B">
      <w:rPr>
        <w:rFonts w:ascii="Arial" w:hAnsi="Arial" w:cs="Arial"/>
        <w:b/>
        <w:sz w:val="48"/>
      </w:rPr>
      <w:tab/>
    </w:r>
    <w:r w:rsidRPr="00F8547B">
      <w:rPr>
        <w:rFonts w:ascii="Arial" w:hAnsi="Arial" w:cs="Arial"/>
        <w:b/>
        <w:sz w:val="48"/>
      </w:rPr>
      <w:tab/>
    </w:r>
    <w:r w:rsidRPr="00F8547B">
      <w:tab/>
    </w:r>
    <w:proofErr w:type="spellStart"/>
    <w:r w:rsidRPr="00F8547B">
      <w:rPr>
        <w:rFonts w:ascii="Arial" w:hAnsi="Arial" w:cs="Arial"/>
        <w:b/>
        <w:sz w:val="48"/>
      </w:rPr>
      <w:t>EN</w:t>
    </w:r>
    <w:proofErr w:type="spellEnd"/>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 w:rsidR="007D3598" w:rsidRDefault="00F8547B">
    <w:pPr>
      <w:pStyle w:val="Footer"/>
      <w:jc w:val="center"/>
    </w:pPr>
    <w:r>
      <w:fldChar w:fldCharType="begin"/>
    </w:r>
    <w:r>
      <w:instrText>PAGE</w:instrText>
    </w:r>
    <w:r>
      <w:fldChar w:fldCharType="separate"/>
    </w:r>
    <w:r>
      <w:rPr>
        <w:noProof/>
      </w:rPr>
      <w:t>70</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 w:rsidR="007D3598" w:rsidRDefault="00F8547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 w:rsidR="007D3598" w:rsidRDefault="00F8547B">
    <w:pPr>
      <w:pStyle w:val="Footer"/>
      <w:jc w:val="center"/>
    </w:pPr>
    <w:r>
      <w:fldChar w:fldCharType="begin"/>
    </w:r>
    <w:r>
      <w:instrText>PAGE</w:instrText>
    </w:r>
    <w:r>
      <w:fldChar w:fldCharType="separate"/>
    </w:r>
    <w:r>
      <w:rPr>
        <w:noProof/>
      </w:rPr>
      <w:t>77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47B" w:rsidRPr="00F8547B" w:rsidRDefault="00F8547B" w:rsidP="00F8547B">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 w:rsidR="007D3598" w:rsidRDefault="00F8547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F8547B">
    <w:pPr>
      <w:pStyle w:val="Footer"/>
      <w:jc w:val="center"/>
    </w:pPr>
    <w:sdt>
      <w:sdtPr>
        <w:id w:val="-939070314"/>
        <w:docPartObj>
          <w:docPartGallery w:val="Page Numbers (Bottom of Page)"/>
          <w:docPartUnique/>
        </w:docPartObj>
      </w:sdtPr>
      <w:sdtEndPr/>
      <w:sdtContent>
        <w:r>
          <w:fldChar w:fldCharType="begin"/>
        </w:r>
        <w:r>
          <w:instrText xml:space="preserve"> PAGE   \* MERGEFORMAT </w:instrText>
        </w:r>
        <w:r>
          <w:fldChar w:fldCharType="separate"/>
        </w:r>
        <w:r>
          <w:rPr>
            <w:noProof/>
          </w:rPr>
          <w:t>iv</w:t>
        </w:r>
        <w:r>
          <w:fldChar w:fldCharType="end"/>
        </w:r>
      </w:sdtContent>
    </w:sdt>
  </w:p>
  <w:p w:rsidR="007D3598" w:rsidRDefault="007D35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598" w:rsidRDefault="00F8547B">
      <w:r>
        <w:separator/>
      </w:r>
    </w:p>
  </w:footnote>
  <w:footnote w:type="continuationSeparator" w:id="0">
    <w:p w:rsidR="007D3598" w:rsidRDefault="00F8547B">
      <w:r>
        <w:continuationSeparator/>
      </w:r>
    </w:p>
  </w:footnote>
  <w:footnote w:id="1">
    <w:p w:rsidR="007D3598" w:rsidRDefault="00F8547B">
      <w:pPr>
        <w:pStyle w:val="FootnoteText"/>
      </w:pPr>
      <w:r>
        <w:rPr>
          <w:rStyle w:val="FootnoteReference"/>
          <w:szCs w:val="18"/>
        </w:rPr>
        <w:footnoteRef/>
      </w:r>
      <w:r>
        <w:t xml:space="preserve"> </w:t>
      </w:r>
      <w:r>
        <w:tab/>
        <w:t>Commission delegated Reg. (EU) 2017/207 of Oct. 3</w:t>
      </w:r>
      <w:r>
        <w:rPr>
          <w:vertAlign w:val="superscript"/>
        </w:rPr>
        <w:t>rd</w:t>
      </w:r>
      <w:r>
        <w:t xml:space="preserve"> 2016 on the Common Monitoring and Evaluation Framework (CMEF) provided for in Reg. (EU) No 514/2014 of the European Parliament and of the Council laying down general provisions on the AMIF and on the ISF.</w:t>
      </w:r>
    </w:p>
  </w:footnote>
  <w:footnote w:id="2">
    <w:p w:rsidR="007D3598" w:rsidRDefault="00F8547B">
      <w:pPr>
        <w:pStyle w:val="FootnoteText"/>
      </w:pPr>
      <w:r>
        <w:rPr>
          <w:rStyle w:val="FootnoteReference"/>
          <w:szCs w:val="18"/>
        </w:rPr>
        <w:footnoteRef/>
      </w:r>
      <w:r>
        <w:t xml:space="preserve">  </w:t>
      </w:r>
      <w:r>
        <w:tab/>
        <w:t>The Schengen acquis is derived from the 1990 S</w:t>
      </w:r>
      <w:r>
        <w:t>chengen Convention to implement the 1985 Schengen agreement, which abolished checks at the internal borders of a number of EU Member States by 1995, creating the ‘Schengen Area’.</w:t>
      </w:r>
    </w:p>
  </w:footnote>
  <w:footnote w:id="3">
    <w:p w:rsidR="007D3598" w:rsidRDefault="00F8547B">
      <w:pPr>
        <w:pStyle w:val="FootnoteText"/>
      </w:pPr>
      <w:r>
        <w:rPr>
          <w:vertAlign w:val="superscript"/>
        </w:rPr>
        <w:footnoteRef/>
      </w:r>
      <w:r>
        <w:t xml:space="preserve"> </w:t>
      </w:r>
      <w:r>
        <w:tab/>
        <w:t>https://ec.europa.eu/info/files/better-regulation-guidelines_en</w:t>
      </w:r>
    </w:p>
  </w:footnote>
  <w:footnote w:id="4">
    <w:p w:rsidR="007D3598" w:rsidRDefault="00F8547B">
      <w:pPr>
        <w:pStyle w:val="FootnoteText"/>
      </w:pPr>
      <w:r>
        <w:rPr>
          <w:rStyle w:val="FootnoteReference"/>
        </w:rPr>
        <w:footnoteRef/>
      </w:r>
      <w:r>
        <w:t xml:space="preserve"> </w:t>
      </w:r>
      <w:r>
        <w:tab/>
      </w:r>
      <w:r>
        <w:t>Throughout this document the term Member States (Member States) refers to the following group of countries: EU Members States without the UK and Ireland and also including Switzerland, Iceland, Liechtenstein and Norway.</w:t>
      </w:r>
    </w:p>
  </w:footnote>
  <w:footnote w:id="5">
    <w:p w:rsidR="007D3598" w:rsidRDefault="00F8547B">
      <w:pPr>
        <w:pStyle w:val="FootnoteText"/>
      </w:pPr>
      <w:r>
        <w:rPr>
          <w:rStyle w:val="FootnoteReference"/>
        </w:rPr>
        <w:footnoteRef/>
      </w:r>
      <w:r>
        <w:t xml:space="preserve"> </w:t>
      </w:r>
      <w:r>
        <w:tab/>
      </w:r>
      <w:proofErr w:type="gramStart"/>
      <w:r>
        <w:t>Tampere European Council 15 and 1</w:t>
      </w:r>
      <w:r>
        <w:t>6 October 1999 Presidency Conclusions.</w:t>
      </w:r>
      <w:proofErr w:type="gramEnd"/>
    </w:p>
  </w:footnote>
  <w:footnote w:id="6">
    <w:p w:rsidR="007D3598" w:rsidRDefault="00F8547B">
      <w:pPr>
        <w:pStyle w:val="FootnoteText"/>
        <w:rPr>
          <w:sz w:val="20"/>
        </w:rPr>
      </w:pPr>
      <w:r>
        <w:rPr>
          <w:rStyle w:val="FootnoteReference"/>
        </w:rPr>
        <w:footnoteRef/>
      </w:r>
      <w:r>
        <w:rPr>
          <w:sz w:val="20"/>
        </w:rPr>
        <w:t xml:space="preserve"> </w:t>
      </w:r>
      <w:r>
        <w:rPr>
          <w:sz w:val="20"/>
        </w:rPr>
        <w:tab/>
      </w:r>
      <w:r>
        <w:t>Council Conclusions, Justice and Home Affairs, 2768th Council Meeting, Brussels, 4-5 December 2006.</w:t>
      </w:r>
    </w:p>
  </w:footnote>
  <w:footnote w:id="7">
    <w:p w:rsidR="007D3598" w:rsidRDefault="00F8547B">
      <w:pPr>
        <w:pStyle w:val="FootnoteText"/>
      </w:pPr>
      <w:r>
        <w:rPr>
          <w:rStyle w:val="FootnoteReference"/>
        </w:rPr>
        <w:footnoteRef/>
      </w:r>
      <w:r>
        <w:t xml:space="preserve"> </w:t>
      </w:r>
      <w:r>
        <w:tab/>
        <w:t>The other three funds are the European Refugee Fund (ERF), the European Fund for the Integration of Third-Count</w:t>
      </w:r>
      <w:r>
        <w:t>ry Nationals (EIF), and the European Return Fund (RF).</w:t>
      </w:r>
    </w:p>
  </w:footnote>
  <w:footnote w:id="8">
    <w:p w:rsidR="007D3598" w:rsidRDefault="00F8547B">
      <w:pPr>
        <w:pStyle w:val="FootnoteText"/>
      </w:pPr>
      <w:r>
        <w:rPr>
          <w:rStyle w:val="FootnoteReference"/>
          <w:szCs w:val="18"/>
        </w:rPr>
        <w:footnoteRef/>
      </w:r>
      <w:r>
        <w:t xml:space="preserve"> </w:t>
      </w:r>
      <w:r>
        <w:tab/>
        <w:t>COM (2005) 123 final, Communication establishing a framework programme on Solidarity and the Management of Migration Flows for the period 2007-2013, European Commission, 6 April 2005.</w:t>
      </w:r>
    </w:p>
  </w:footnote>
  <w:footnote w:id="9">
    <w:p w:rsidR="007D3598" w:rsidRDefault="00F8547B">
      <w:pPr>
        <w:autoSpaceDE w:val="0"/>
        <w:autoSpaceDN w:val="0"/>
        <w:adjustRightInd w:val="0"/>
        <w:ind w:left="360" w:hanging="360"/>
        <w:jc w:val="both"/>
        <w:rPr>
          <w:b/>
          <w:sz w:val="18"/>
          <w:szCs w:val="18"/>
        </w:rPr>
      </w:pPr>
      <w:r>
        <w:rPr>
          <w:rStyle w:val="FootnoteReference"/>
        </w:rPr>
        <w:footnoteRef/>
      </w:r>
      <w:r>
        <w:rPr>
          <w:sz w:val="20"/>
        </w:rPr>
        <w:t xml:space="preserve">  </w:t>
      </w:r>
      <w:r>
        <w:rPr>
          <w:sz w:val="20"/>
        </w:rPr>
        <w:tab/>
      </w:r>
      <w:r>
        <w:rPr>
          <w:sz w:val="18"/>
          <w:szCs w:val="18"/>
        </w:rPr>
        <w:t>Council Re</w:t>
      </w:r>
      <w:r>
        <w:rPr>
          <w:sz w:val="18"/>
          <w:szCs w:val="18"/>
        </w:rPr>
        <w:t xml:space="preserve">gulation (EC) No 2007/2004 of 26 October 2004 establishing a European Agency for the Management of Operational Cooperation at the External Borders of the Member States of the European Union,  OJ L 349, 25.11.2004, p. 1. </w:t>
      </w:r>
      <w:proofErr w:type="spellStart"/>
      <w:r>
        <w:rPr>
          <w:sz w:val="18"/>
          <w:szCs w:val="18"/>
        </w:rPr>
        <w:t>Frontex</w:t>
      </w:r>
      <w:proofErr w:type="spellEnd"/>
      <w:r>
        <w:rPr>
          <w:sz w:val="18"/>
          <w:szCs w:val="18"/>
        </w:rPr>
        <w:t xml:space="preserve"> has now been replaced by the</w:t>
      </w:r>
      <w:r>
        <w:rPr>
          <w:sz w:val="18"/>
          <w:szCs w:val="18"/>
        </w:rPr>
        <w:t xml:space="preserve"> European Border and Coast Guard Agency as per Regulation (EU) 2016/1624 of 14 September 2016 on the European Border and Coast Guard (OJ L 251, 16.9.2016, p. 1).</w:t>
      </w:r>
    </w:p>
  </w:footnote>
  <w:footnote w:id="10">
    <w:p w:rsidR="007D3598" w:rsidRDefault="00F8547B">
      <w:pPr>
        <w:pStyle w:val="FootnoteText"/>
      </w:pPr>
      <w:r>
        <w:rPr>
          <w:rStyle w:val="FootnoteReference"/>
        </w:rPr>
        <w:footnoteRef/>
      </w:r>
      <w:r>
        <w:rPr>
          <w:sz w:val="20"/>
        </w:rPr>
        <w:t xml:space="preserve"> </w:t>
      </w:r>
      <w:r>
        <w:rPr>
          <w:sz w:val="20"/>
        </w:rPr>
        <w:tab/>
      </w:r>
      <w:r>
        <w:t>Regulation (EU) No 562/2006 establishing a Community Code on the rules governing the moveme</w:t>
      </w:r>
      <w:r>
        <w:t>nt of persons across borders (Schengen Borders Code), 15 March 2006.</w:t>
      </w:r>
    </w:p>
  </w:footnote>
  <w:footnote w:id="11">
    <w:p w:rsidR="007D3598" w:rsidRDefault="00F8547B">
      <w:pPr>
        <w:pStyle w:val="FootnoteText"/>
        <w:rPr>
          <w:highlight w:val="yellow"/>
        </w:rPr>
      </w:pPr>
      <w:r>
        <w:rPr>
          <w:rStyle w:val="FootnoteReference"/>
        </w:rPr>
        <w:footnoteRef/>
      </w:r>
      <w:r>
        <w:rPr>
          <w:sz w:val="20"/>
        </w:rPr>
        <w:t xml:space="preserve"> </w:t>
      </w:r>
      <w:r>
        <w:rPr>
          <w:sz w:val="20"/>
        </w:rPr>
        <w:tab/>
      </w:r>
      <w:r>
        <w:t xml:space="preserve">Council Regulation (EU) No 1053/2013 establishing an evaluation and monitoring mechanism to verify the application of the Schengen </w:t>
      </w:r>
      <w:r>
        <w:rPr>
          <w:i/>
        </w:rPr>
        <w:t>acquis</w:t>
      </w:r>
      <w:r>
        <w:t xml:space="preserve"> and repealing the Decision of the Executive Co</w:t>
      </w:r>
      <w:r>
        <w:t>mmittee of 16 September 1998 setting up a Standing Committee on the evaluation and implementation of Schengen, 7 October 2013.</w:t>
      </w:r>
    </w:p>
  </w:footnote>
  <w:footnote w:id="12">
    <w:p w:rsidR="007D3598" w:rsidRDefault="00F8547B">
      <w:pPr>
        <w:pStyle w:val="FootnoteText"/>
      </w:pPr>
      <w:r>
        <w:rPr>
          <w:rStyle w:val="FootnoteReference"/>
        </w:rPr>
        <w:footnoteRef/>
      </w:r>
      <w:r>
        <w:t xml:space="preserve"> </w:t>
      </w:r>
      <w:r>
        <w:tab/>
      </w:r>
      <w:proofErr w:type="gramStart"/>
      <w:r>
        <w:t>Commission Decision 2007/599 /EC of 27 of August 2007 Implementing Decision No 574/2007/EC of the European Parliament and of t</w:t>
      </w:r>
      <w:r>
        <w:t>he Council as regards the adoption of strategic guidelines for 2007 to 2013.</w:t>
      </w:r>
      <w:proofErr w:type="gramEnd"/>
    </w:p>
  </w:footnote>
  <w:footnote w:id="13">
    <w:p w:rsidR="007D3598" w:rsidRDefault="00F8547B">
      <w:pPr>
        <w:pStyle w:val="FootnoteText"/>
      </w:pPr>
      <w:r>
        <w:rPr>
          <w:rStyle w:val="FootnoteReference"/>
        </w:rPr>
        <w:footnoteRef/>
      </w:r>
      <w:r>
        <w:t xml:space="preserve"> </w:t>
      </w:r>
      <w:r>
        <w:tab/>
        <w:t>The EU External Borders Fund (EBF): European Court of Auditors’ Special Report No 15/2014. December 2014.</w:t>
      </w:r>
    </w:p>
  </w:footnote>
  <w:footnote w:id="14">
    <w:p w:rsidR="007D3598" w:rsidRDefault="00F8547B">
      <w:pPr>
        <w:pStyle w:val="FootnoteText"/>
      </w:pPr>
      <w:r>
        <w:rPr>
          <w:rStyle w:val="FootnoteReference"/>
        </w:rPr>
        <w:footnoteRef/>
      </w:r>
      <w:r>
        <w:t xml:space="preserve"> </w:t>
      </w:r>
      <w:r>
        <w:tab/>
        <w:t>Impact assessment accompanying the proposal for the home affairs fu</w:t>
      </w:r>
      <w:r>
        <w:t>nds in 2014-2020 (</w:t>
      </w:r>
      <w:proofErr w:type="gramStart"/>
      <w:r>
        <w:t>SEC(</w:t>
      </w:r>
      <w:proofErr w:type="gramEnd"/>
      <w:r>
        <w:t>2011)1358 of 15.11.2011).</w:t>
      </w:r>
    </w:p>
  </w:footnote>
  <w:footnote w:id="15">
    <w:p w:rsidR="007D3598" w:rsidRDefault="00F8547B">
      <w:pPr>
        <w:pStyle w:val="FootnoteText"/>
      </w:pPr>
      <w:r>
        <w:rPr>
          <w:rStyle w:val="FootnoteReference"/>
        </w:rPr>
        <w:footnoteRef/>
      </w:r>
      <w:r>
        <w:t xml:space="preserve"> </w:t>
      </w:r>
      <w:r>
        <w:tab/>
        <w:t>The Schengen Information System (SIS) is a highly efficient large-scale information system that supports external border control and law enforcement cooperation in the Schengen States.</w:t>
      </w:r>
    </w:p>
  </w:footnote>
  <w:footnote w:id="16">
    <w:p w:rsidR="007D3598" w:rsidRDefault="00F8547B">
      <w:pPr>
        <w:pStyle w:val="FootnoteText"/>
      </w:pPr>
      <w:r>
        <w:rPr>
          <w:rStyle w:val="FootnoteReference"/>
        </w:rPr>
        <w:footnoteRef/>
      </w:r>
      <w:r>
        <w:t xml:space="preserve"> </w:t>
      </w:r>
      <w:r>
        <w:tab/>
        <w:t>The Visa Informat</w:t>
      </w:r>
      <w:r>
        <w:t xml:space="preserve">ion System allows </w:t>
      </w:r>
      <w:hyperlink r:id="rId1" w:history="1">
        <w:r>
          <w:t>Schengen States</w:t>
        </w:r>
      </w:hyperlink>
      <w:r>
        <w:t xml:space="preserve"> to exchange visa data. It consists of a central IT system and a communication infrastructure that links this central system t</w:t>
      </w:r>
      <w:r>
        <w:t>o national systems.</w:t>
      </w:r>
    </w:p>
  </w:footnote>
  <w:footnote w:id="17">
    <w:p w:rsidR="007D3598" w:rsidRDefault="00F8547B">
      <w:pPr>
        <w:pStyle w:val="FootnoteText"/>
      </w:pPr>
      <w:r>
        <w:rPr>
          <w:rStyle w:val="FootnoteReference"/>
        </w:rPr>
        <w:footnoteRef/>
      </w:r>
      <w:r>
        <w:t xml:space="preserve"> </w:t>
      </w:r>
      <w:r>
        <w:tab/>
        <w:t>Impact assessment accompanying the proposal for the home affairs funds in 2014-2020 (</w:t>
      </w:r>
      <w:proofErr w:type="gramStart"/>
      <w:r>
        <w:t>SEC(</w:t>
      </w:r>
      <w:proofErr w:type="gramEnd"/>
      <w:r>
        <w:t>2011)1358 of 15.11.2011).</w:t>
      </w:r>
    </w:p>
  </w:footnote>
  <w:footnote w:id="18">
    <w:p w:rsidR="007D3598" w:rsidRDefault="00F8547B">
      <w:pPr>
        <w:pStyle w:val="FootnoteText"/>
      </w:pPr>
      <w:r>
        <w:rPr>
          <w:rStyle w:val="FootnoteReference"/>
        </w:rPr>
        <w:footnoteRef/>
      </w:r>
      <w:r>
        <w:t xml:space="preserve"> </w:t>
      </w:r>
      <w:r>
        <w:tab/>
        <w:t>Final implementation report on the ISS (</w:t>
      </w:r>
      <w:proofErr w:type="gramStart"/>
      <w:r>
        <w:t>COM(</w:t>
      </w:r>
      <w:proofErr w:type="gramEnd"/>
      <w:r>
        <w:t>2014) 365).</w:t>
      </w:r>
    </w:p>
  </w:footnote>
  <w:footnote w:id="19">
    <w:p w:rsidR="007D3598" w:rsidRDefault="00F8547B">
      <w:pPr>
        <w:pStyle w:val="FootnoteText"/>
        <w:rPr>
          <w:lang w:val="pt-PT"/>
        </w:rPr>
      </w:pPr>
      <w:r>
        <w:rPr>
          <w:rStyle w:val="FootnoteReference"/>
        </w:rPr>
        <w:footnoteRef/>
      </w:r>
      <w:r>
        <w:rPr>
          <w:lang w:val="pt-PT"/>
        </w:rPr>
        <w:t xml:space="preserve"> </w:t>
      </w:r>
      <w:r>
        <w:rPr>
          <w:lang w:val="pt-PT"/>
        </w:rPr>
        <w:tab/>
      </w:r>
      <w:proofErr w:type="spellStart"/>
      <w:r>
        <w:rPr>
          <w:lang w:val="pt-PT"/>
        </w:rPr>
        <w:t>Regulation</w:t>
      </w:r>
      <w:proofErr w:type="spellEnd"/>
      <w:r>
        <w:rPr>
          <w:lang w:val="pt-PT"/>
        </w:rPr>
        <w:t xml:space="preserve"> (EU) No 1053/2013; </w:t>
      </w:r>
      <w:proofErr w:type="spellStart"/>
      <w:r>
        <w:rPr>
          <w:lang w:val="pt-PT"/>
        </w:rPr>
        <w:t>Regulation</w:t>
      </w:r>
      <w:proofErr w:type="spellEnd"/>
      <w:r>
        <w:rPr>
          <w:lang w:val="pt-PT"/>
        </w:rPr>
        <w:t xml:space="preserve"> (EU) No </w:t>
      </w:r>
      <w:r>
        <w:rPr>
          <w:lang w:val="pt-PT"/>
        </w:rPr>
        <w:t>1051/2013.</w:t>
      </w:r>
    </w:p>
  </w:footnote>
  <w:footnote w:id="20">
    <w:p w:rsidR="007D3598" w:rsidRDefault="00F8547B">
      <w:pPr>
        <w:pStyle w:val="FootnoteText"/>
      </w:pPr>
      <w:r>
        <w:rPr>
          <w:rStyle w:val="FootnoteReference"/>
        </w:rPr>
        <w:footnoteRef/>
      </w:r>
      <w:r>
        <w:t xml:space="preserve"> </w:t>
      </w:r>
      <w:r>
        <w:tab/>
        <w:t xml:space="preserve">Those risks were defined in 2014 by the </w:t>
      </w:r>
      <w:proofErr w:type="spellStart"/>
      <w:r>
        <w:t>Frontex</w:t>
      </w:r>
      <w:proofErr w:type="spellEnd"/>
      <w:r>
        <w:t xml:space="preserve"> Risk Analysis Unit after an Annual Analytical Review with Member State analysts participating in the </w:t>
      </w:r>
      <w:proofErr w:type="spellStart"/>
      <w:r>
        <w:t>Frontex</w:t>
      </w:r>
      <w:proofErr w:type="spellEnd"/>
      <w:r>
        <w:t xml:space="preserve"> Risk Analysis Network.</w:t>
      </w:r>
    </w:p>
  </w:footnote>
  <w:footnote w:id="21">
    <w:p w:rsidR="007D3598" w:rsidRDefault="00F8547B">
      <w:pPr>
        <w:pStyle w:val="FootnoteText"/>
      </w:pPr>
      <w:r>
        <w:rPr>
          <w:rStyle w:val="FootnoteReference"/>
        </w:rPr>
        <w:footnoteRef/>
      </w:r>
      <w:r>
        <w:t xml:space="preserve"> </w:t>
      </w:r>
      <w:r>
        <w:tab/>
        <w:t xml:space="preserve">Communication from the Commission </w:t>
      </w:r>
      <w:proofErr w:type="gramStart"/>
      <w:r>
        <w:t>COM(</w:t>
      </w:r>
      <w:proofErr w:type="gramEnd"/>
      <w:r>
        <w:t xml:space="preserve">2015) 185 final. </w:t>
      </w:r>
      <w:proofErr w:type="gramStart"/>
      <w:r>
        <w:t>Stra</w:t>
      </w:r>
      <w:r>
        <w:t>sbourg, 28.4.2015.</w:t>
      </w:r>
      <w:proofErr w:type="gramEnd"/>
    </w:p>
  </w:footnote>
  <w:footnote w:id="22">
    <w:p w:rsidR="007D3598" w:rsidRDefault="00F8547B">
      <w:pPr>
        <w:pStyle w:val="FootnoteText"/>
      </w:pPr>
      <w:r>
        <w:rPr>
          <w:rStyle w:val="FootnoteReference"/>
        </w:rPr>
        <w:footnoteRef/>
      </w:r>
      <w:r>
        <w:t xml:space="preserve"> </w:t>
      </w:r>
      <w:r>
        <w:tab/>
        <w:t>A full comparative table including all previous and current home affairs funds can be found in Annex 5.</w:t>
      </w:r>
    </w:p>
  </w:footnote>
  <w:footnote w:id="23">
    <w:p w:rsidR="007D3598" w:rsidRDefault="00F8547B">
      <w:pPr>
        <w:pStyle w:val="FootnoteText"/>
        <w:rPr>
          <w:rStyle w:val="StyleFootnoteReference9ptGreen"/>
          <w:vertAlign w:val="baseline"/>
        </w:rPr>
      </w:pPr>
      <w:r>
        <w:rPr>
          <w:rStyle w:val="StyleFootnoteReference9ptGreen"/>
        </w:rPr>
        <w:footnoteRef/>
      </w:r>
      <w:r>
        <w:t xml:space="preserve"> </w:t>
      </w:r>
      <w:r>
        <w:tab/>
      </w:r>
      <w:r>
        <w:rPr>
          <w:rStyle w:val="StyleFootnoteReference9ptGreen"/>
          <w:vertAlign w:val="baseline"/>
        </w:rPr>
        <w:t>After adoption of EASO; takes account of Decision No 458/2010/EU amending the ERF basic act.</w:t>
      </w:r>
    </w:p>
  </w:footnote>
  <w:footnote w:id="24">
    <w:p w:rsidR="007D3598" w:rsidRDefault="00F8547B">
      <w:pPr>
        <w:pStyle w:val="FootnoteText"/>
      </w:pPr>
      <w:r>
        <w:rPr>
          <w:rStyle w:val="StyleFootnoteReference9ptGreen"/>
        </w:rPr>
        <w:footnoteRef/>
      </w:r>
      <w:r>
        <w:t xml:space="preserve"> </w:t>
      </w:r>
      <w:r>
        <w:tab/>
        <w:t>ECA (2012) Special report No. 2</w:t>
      </w:r>
      <w:r>
        <w:t xml:space="preserve">2, </w:t>
      </w:r>
      <w:proofErr w:type="gramStart"/>
      <w:r>
        <w:t>Do</w:t>
      </w:r>
      <w:proofErr w:type="gramEnd"/>
      <w:r>
        <w:t xml:space="preserve"> the European Integration Fund and the European Refugee Fund contribute effectively to the integration of third-country nationals? &amp; ECA (2014) Special report No.15, The External Borders Fund has fostered financial solidarity but requires better measu</w:t>
      </w:r>
      <w:r>
        <w:t>rement of results and needs to provide further EU added value.</w:t>
      </w:r>
    </w:p>
  </w:footnote>
  <w:footnote w:id="25">
    <w:p w:rsidR="007D3598" w:rsidRDefault="00F8547B">
      <w:pPr>
        <w:pStyle w:val="FootnoteText"/>
      </w:pPr>
      <w:r>
        <w:rPr>
          <w:rStyle w:val="FootnoteReference"/>
        </w:rPr>
        <w:footnoteRef/>
      </w:r>
      <w:r>
        <w:t xml:space="preserve"> </w:t>
      </w:r>
      <w:r>
        <w:tab/>
      </w:r>
      <w:proofErr w:type="gramStart"/>
      <w:r>
        <w:t>SEC(</w:t>
      </w:r>
      <w:proofErr w:type="gramEnd"/>
      <w:r>
        <w:t>2011) 1358 final of 15.11.2011.</w:t>
      </w:r>
    </w:p>
  </w:footnote>
  <w:footnote w:id="26">
    <w:p w:rsidR="007D3598" w:rsidRDefault="00F8547B">
      <w:pPr>
        <w:pStyle w:val="FootnoteText"/>
      </w:pPr>
      <w:r>
        <w:rPr>
          <w:rStyle w:val="FootnoteReference"/>
        </w:rPr>
        <w:footnoteRef/>
      </w:r>
      <w:r>
        <w:t xml:space="preserve"> </w:t>
      </w:r>
      <w:r>
        <w:tab/>
      </w:r>
      <w:proofErr w:type="gramStart"/>
      <w:r>
        <w:t>Also, as set out in Article 3 of Regulation (EU) No 515/2014.</w:t>
      </w:r>
      <w:proofErr w:type="gramEnd"/>
    </w:p>
  </w:footnote>
  <w:footnote w:id="27">
    <w:p w:rsidR="007D3598" w:rsidRDefault="00F8547B">
      <w:pPr>
        <w:pStyle w:val="FootnoteText"/>
      </w:pPr>
      <w:r>
        <w:rPr>
          <w:rStyle w:val="FootnoteReference"/>
        </w:rPr>
        <w:footnoteRef/>
      </w:r>
      <w:r>
        <w:t xml:space="preserve"> </w:t>
      </w:r>
      <w:r>
        <w:tab/>
        <w:t>Regulation (EU) No 515/2014, Chapter II, Article 11.</w:t>
      </w:r>
    </w:p>
  </w:footnote>
  <w:footnote w:id="28">
    <w:p w:rsidR="007D3598" w:rsidRDefault="00F8547B">
      <w:pPr>
        <w:pStyle w:val="FootnoteText"/>
      </w:pPr>
      <w:r>
        <w:rPr>
          <w:rStyle w:val="FootnoteReference"/>
        </w:rPr>
        <w:footnoteRef/>
      </w:r>
      <w:r>
        <w:t xml:space="preserve"> </w:t>
      </w:r>
      <w:r>
        <w:tab/>
        <w:t>These parties can be countries</w:t>
      </w:r>
      <w:r>
        <w:t xml:space="preserve"> or the bodies they have designated, international organisations and their agencies.</w:t>
      </w:r>
    </w:p>
  </w:footnote>
  <w:footnote w:id="29">
    <w:p w:rsidR="007D3598" w:rsidRDefault="00F8547B">
      <w:pPr>
        <w:pStyle w:val="FootnoteText"/>
      </w:pPr>
      <w:r>
        <w:rPr>
          <w:rStyle w:val="FootnoteReference"/>
        </w:rPr>
        <w:footnoteRef/>
      </w:r>
      <w:r>
        <w:t xml:space="preserve"> </w:t>
      </w:r>
      <w:r>
        <w:tab/>
        <w:t>As outlined in Article 10 of Regulation (EU) No 515/201424 ‘Operating support shall be concentrated on specific tasks and/or services and shall be focused on the object</w:t>
      </w:r>
      <w:r>
        <w:t>ives as laid down in Annex III. It shall entail full reimbursement of the expenditure incurred to accomplish the tasks and/or services defined in the national programme, within the financial limits set by the programme and the ceiling laid down in paragrap</w:t>
      </w:r>
      <w:r>
        <w:t>h 1.’</w:t>
      </w:r>
    </w:p>
  </w:footnote>
  <w:footnote w:id="30">
    <w:p w:rsidR="007D3598" w:rsidRDefault="00F8547B">
      <w:pPr>
        <w:pStyle w:val="FootnoteText"/>
        <w:rPr>
          <w:lang w:val="pt-PT"/>
        </w:rPr>
      </w:pPr>
      <w:r>
        <w:rPr>
          <w:rStyle w:val="FootnoteReference"/>
        </w:rPr>
        <w:footnoteRef/>
      </w:r>
      <w:r>
        <w:rPr>
          <w:lang w:val="pt-PT"/>
        </w:rPr>
        <w:t xml:space="preserve"> </w:t>
      </w:r>
      <w:r>
        <w:rPr>
          <w:lang w:val="pt-PT"/>
        </w:rPr>
        <w:tab/>
      </w:r>
      <w:proofErr w:type="spellStart"/>
      <w:r>
        <w:rPr>
          <w:lang w:val="pt-PT"/>
        </w:rPr>
        <w:t>Regulation</w:t>
      </w:r>
      <w:proofErr w:type="spellEnd"/>
      <w:r>
        <w:rPr>
          <w:lang w:val="pt-PT"/>
        </w:rPr>
        <w:t xml:space="preserve"> (EU) </w:t>
      </w:r>
      <w:proofErr w:type="gramStart"/>
      <w:r>
        <w:rPr>
          <w:lang w:val="pt-PT"/>
        </w:rPr>
        <w:t>No</w:t>
      </w:r>
      <w:proofErr w:type="gramEnd"/>
      <w:r>
        <w:rPr>
          <w:lang w:val="pt-PT"/>
        </w:rPr>
        <w:t xml:space="preserve">. 515/2014, </w:t>
      </w:r>
      <w:proofErr w:type="spellStart"/>
      <w:r>
        <w:rPr>
          <w:lang w:val="pt-PT"/>
        </w:rPr>
        <w:t>Annex</w:t>
      </w:r>
      <w:proofErr w:type="spellEnd"/>
      <w:r>
        <w:rPr>
          <w:lang w:val="pt-PT"/>
        </w:rPr>
        <w:t xml:space="preserve"> II.</w:t>
      </w:r>
    </w:p>
  </w:footnote>
  <w:footnote w:id="31">
    <w:p w:rsidR="007D3598" w:rsidRDefault="00F8547B">
      <w:pPr>
        <w:pStyle w:val="FootnoteText"/>
      </w:pPr>
      <w:r>
        <w:rPr>
          <w:rStyle w:val="FootnoteReference"/>
        </w:rPr>
        <w:footnoteRef/>
      </w:r>
      <w:r>
        <w:t xml:space="preserve"> </w:t>
      </w:r>
      <w:r>
        <w:tab/>
        <w:t>Original earmarked resources: EUR 154 million.</w:t>
      </w:r>
    </w:p>
  </w:footnote>
  <w:footnote w:id="32">
    <w:p w:rsidR="007D3598" w:rsidRDefault="00F8547B">
      <w:pPr>
        <w:pStyle w:val="FootnoteText"/>
      </w:pPr>
      <w:r>
        <w:rPr>
          <w:rStyle w:val="FootnoteReference"/>
        </w:rPr>
        <w:footnoteRef/>
      </w:r>
      <w:r>
        <w:t xml:space="preserve"> </w:t>
      </w:r>
      <w:r>
        <w:tab/>
        <w:t>Horizontal Regulation (EU) 514/2014, Section 2.</w:t>
      </w:r>
    </w:p>
  </w:footnote>
  <w:footnote w:id="33">
    <w:p w:rsidR="007D3598" w:rsidRDefault="00F8547B">
      <w:pPr>
        <w:pStyle w:val="FootnoteText"/>
      </w:pPr>
      <w:r>
        <w:rPr>
          <w:rStyle w:val="FootnoteReference"/>
        </w:rPr>
        <w:footnoteRef/>
      </w:r>
      <w:r>
        <w:tab/>
        <w:t xml:space="preserve">The annual work programme is a planning document explaining how the budget allocated for certain </w:t>
      </w:r>
      <w:r>
        <w:t>policies or funding programmes will be spent.</w:t>
      </w:r>
    </w:p>
  </w:footnote>
  <w:footnote w:id="34">
    <w:p w:rsidR="007D3598" w:rsidRDefault="00F8547B">
      <w:pPr>
        <w:pStyle w:val="FootnoteText"/>
      </w:pPr>
      <w:r>
        <w:rPr>
          <w:rStyle w:val="FootnoteReference"/>
        </w:rPr>
        <w:footnoteRef/>
      </w:r>
      <w:r>
        <w:t xml:space="preserve"> </w:t>
      </w:r>
      <w:r>
        <w:tab/>
        <w:t>Commission staff working paper –impact assessment for the 2014-2020 funds (</w:t>
      </w:r>
      <w:proofErr w:type="gramStart"/>
      <w:r>
        <w:t>SEC(</w:t>
      </w:r>
      <w:proofErr w:type="gramEnd"/>
      <w:r>
        <w:t>2011)1358).</w:t>
      </w:r>
    </w:p>
  </w:footnote>
  <w:footnote w:id="35">
    <w:p w:rsidR="007D3598" w:rsidRDefault="00F8547B">
      <w:pPr>
        <w:pStyle w:val="FootnoteText"/>
      </w:pPr>
      <w:r>
        <w:rPr>
          <w:rStyle w:val="FootnoteReference"/>
        </w:rPr>
        <w:footnoteRef/>
      </w:r>
      <w:r>
        <w:t xml:space="preserve"> </w:t>
      </w:r>
      <w:r>
        <w:tab/>
        <w:t>NO, CH, LI and IS are not approved in the period covered by the interim evaluation.</w:t>
      </w:r>
    </w:p>
  </w:footnote>
  <w:footnote w:id="36">
    <w:p w:rsidR="007D3598" w:rsidRDefault="00F8547B">
      <w:pPr>
        <w:pStyle w:val="FootnoteText"/>
      </w:pPr>
      <w:r>
        <w:rPr>
          <w:rStyle w:val="FootnoteReference"/>
        </w:rPr>
        <w:footnoteRef/>
      </w:r>
      <w:r>
        <w:t xml:space="preserve"> </w:t>
      </w:r>
      <w:r>
        <w:tab/>
        <w:t>The reference period for s</w:t>
      </w:r>
      <w:r>
        <w:t>hared management ran from January 2014 until 31 December 2016, which corresponds to the period covered by the last set of accounts submitted by Member States and cleared by the Commission.</w:t>
      </w:r>
    </w:p>
  </w:footnote>
  <w:footnote w:id="37">
    <w:p w:rsidR="007D3598" w:rsidRDefault="00F8547B">
      <w:pPr>
        <w:pStyle w:val="FootnoteText"/>
      </w:pPr>
      <w:r>
        <w:rPr>
          <w:rStyle w:val="FootnoteReference"/>
        </w:rPr>
        <w:footnoteRef/>
      </w:r>
      <w:r>
        <w:t xml:space="preserve"> </w:t>
      </w:r>
      <w:r>
        <w:tab/>
        <w:t>SFC2014 is an IT system used for electronic exchange of informat</w:t>
      </w:r>
      <w:r>
        <w:t>ion concerning shared fund management between Member States and the European Commission.</w:t>
      </w:r>
    </w:p>
  </w:footnote>
  <w:footnote w:id="38">
    <w:p w:rsidR="007D3598" w:rsidRDefault="00F8547B">
      <w:pPr>
        <w:pStyle w:val="FootnoteText"/>
      </w:pPr>
      <w:r>
        <w:rPr>
          <w:rStyle w:val="FootnoteReference"/>
        </w:rPr>
        <w:footnoteRef/>
      </w:r>
      <w:r>
        <w:tab/>
        <w:t>AT, BE, CY, EE, ES, FI, FR and SE.</w:t>
      </w:r>
    </w:p>
  </w:footnote>
  <w:footnote w:id="39">
    <w:p w:rsidR="007D3598" w:rsidRDefault="00F8547B">
      <w:pPr>
        <w:pStyle w:val="FootnoteText"/>
      </w:pPr>
      <w:r>
        <w:rPr>
          <w:rStyle w:val="FootnoteReference"/>
        </w:rPr>
        <w:footnoteRef/>
      </w:r>
      <w:r>
        <w:t xml:space="preserve"> </w:t>
      </w:r>
      <w:r>
        <w:tab/>
        <w:t>AT, BE and BG (100 %), CH (39 %), CY (9 %), CZ (8 %) and DK (1 %).</w:t>
      </w:r>
    </w:p>
  </w:footnote>
  <w:footnote w:id="40">
    <w:p w:rsidR="007D3598" w:rsidRDefault="00F8547B">
      <w:pPr>
        <w:pStyle w:val="FootnoteText"/>
      </w:pPr>
      <w:r>
        <w:rPr>
          <w:rStyle w:val="FootnoteReference"/>
        </w:rPr>
        <w:footnoteRef/>
      </w:r>
      <w:r>
        <w:t xml:space="preserve"> </w:t>
      </w:r>
      <w:r>
        <w:tab/>
        <w:t>AT, BE, DE, ES, FR, HU and NL.</w:t>
      </w:r>
    </w:p>
  </w:footnote>
  <w:footnote w:id="41">
    <w:p w:rsidR="007D3598" w:rsidRDefault="00F8547B">
      <w:pPr>
        <w:pStyle w:val="FootnoteText"/>
      </w:pPr>
      <w:r>
        <w:rPr>
          <w:rStyle w:val="FootnoteReference"/>
        </w:rPr>
        <w:footnoteRef/>
      </w:r>
      <w:r>
        <w:rPr>
          <w:lang w:val="it-IT"/>
        </w:rPr>
        <w:t xml:space="preserve"> </w:t>
      </w:r>
      <w:r>
        <w:rPr>
          <w:lang w:val="it-IT"/>
        </w:rPr>
        <w:tab/>
      </w:r>
      <w:proofErr w:type="gramStart"/>
      <w:r>
        <w:rPr>
          <w:lang w:val="it-IT"/>
        </w:rPr>
        <w:t>LI, LV, LU, MT, ML, PL,</w:t>
      </w:r>
      <w:r>
        <w:rPr>
          <w:lang w:val="it-IT"/>
        </w:rPr>
        <w:t xml:space="preserve"> PT, RO, SE, SI and SK</w:t>
      </w:r>
      <w:proofErr w:type="gramEnd"/>
      <w:r>
        <w:rPr>
          <w:lang w:val="it-IT"/>
        </w:rPr>
        <w:t xml:space="preserve">. </w:t>
      </w:r>
      <w:r>
        <w:t>It is important to highlight that LI’s national programme is in the process of being approved.</w:t>
      </w:r>
    </w:p>
  </w:footnote>
  <w:footnote w:id="42">
    <w:p w:rsidR="007D3598" w:rsidRDefault="00F8547B">
      <w:pPr>
        <w:pStyle w:val="FootnoteText"/>
      </w:pPr>
      <w:r>
        <w:rPr>
          <w:rStyle w:val="FootnoteReference"/>
        </w:rPr>
        <w:footnoteRef/>
      </w:r>
      <w:r>
        <w:t xml:space="preserve"> </w:t>
      </w:r>
      <w:r>
        <w:tab/>
        <w:t>EE (823), BG (243), DE (190), ES (129), CY (14), HU (11), BE (2) and IT (2).</w:t>
      </w:r>
    </w:p>
  </w:footnote>
  <w:footnote w:id="43">
    <w:p w:rsidR="007D3598" w:rsidRDefault="00F8547B">
      <w:pPr>
        <w:pStyle w:val="FootnoteText"/>
      </w:pPr>
      <w:r>
        <w:rPr>
          <w:rStyle w:val="FootnoteReference"/>
        </w:rPr>
        <w:footnoteRef/>
      </w:r>
      <w:r>
        <w:t xml:space="preserve"> </w:t>
      </w:r>
      <w:r>
        <w:tab/>
        <w:t xml:space="preserve">In descending rate order: SK (59.24 %), FR (57.52 %), </w:t>
      </w:r>
      <w:r>
        <w:t>EL (54.30 %), NL (53.64 %), FI (53.39 %), DE (44.47 %), LT (43.17 %), RO (40.82 %), PT (38.84 %), CZ (34.38 %), CY (27.50 %), DK (24.24 %), SI (22.25 %), SE (20.15 %), ES (18.36 %), IT (15.69 %), HR (14.16 %) and HU (13.86 %).</w:t>
      </w:r>
    </w:p>
  </w:footnote>
  <w:footnote w:id="44">
    <w:p w:rsidR="007D3598" w:rsidRDefault="00F8547B">
      <w:pPr>
        <w:pStyle w:val="FootnoteText"/>
      </w:pPr>
      <w:r>
        <w:rPr>
          <w:rStyle w:val="FootnoteReference"/>
        </w:rPr>
        <w:footnoteRef/>
      </w:r>
      <w:r>
        <w:t xml:space="preserve"> </w:t>
      </w:r>
      <w:r>
        <w:tab/>
      </w:r>
      <w:proofErr w:type="gramStart"/>
      <w:r>
        <w:t>LU and PL.</w:t>
      </w:r>
      <w:proofErr w:type="gramEnd"/>
    </w:p>
  </w:footnote>
  <w:footnote w:id="45">
    <w:p w:rsidR="007D3598" w:rsidRDefault="00F8547B">
      <w:pPr>
        <w:pStyle w:val="FootnoteText"/>
      </w:pPr>
      <w:r>
        <w:rPr>
          <w:rStyle w:val="FootnoteReference"/>
        </w:rPr>
        <w:footnoteRef/>
      </w:r>
      <w:r>
        <w:t xml:space="preserve"> </w:t>
      </w:r>
      <w:r>
        <w:tab/>
        <w:t>In descendin</w:t>
      </w:r>
      <w:r>
        <w:t>g rate order: LT (25.74 %), AT (23.15 %), BG (23.13 %), NL (22.70 %), EL (21.70 %), DE (20.21 %), FI (15.48 %), BE (14.59 %), SE (12.39 %), MT (7.64 %), ES (7.34 %), FR (6.79 %), CY (4.22 %), IT (3.77 %), SK (1.86 %) and SI (1.12 %).</w:t>
      </w:r>
    </w:p>
  </w:footnote>
  <w:footnote w:id="46">
    <w:p w:rsidR="007D3598" w:rsidRDefault="00F8547B">
      <w:pPr>
        <w:pStyle w:val="FootnoteText"/>
      </w:pPr>
      <w:r>
        <w:rPr>
          <w:rStyle w:val="FootnoteReference"/>
        </w:rPr>
        <w:footnoteRef/>
      </w:r>
      <w:r>
        <w:tab/>
        <w:t xml:space="preserve"> In descending rate </w:t>
      </w:r>
      <w:r>
        <w:t>order: LU (0.98 %), CZ (0.56 %), HU (0.53 %), LV (0.52 %), and DK (0.22 %).</w:t>
      </w:r>
    </w:p>
  </w:footnote>
  <w:footnote w:id="47">
    <w:p w:rsidR="007D3598" w:rsidRDefault="00F8547B">
      <w:pPr>
        <w:pStyle w:val="FootnoteText"/>
      </w:pPr>
      <w:r>
        <w:rPr>
          <w:rStyle w:val="FootnoteReference"/>
        </w:rPr>
        <w:footnoteRef/>
      </w:r>
      <w:r>
        <w:t xml:space="preserve"> </w:t>
      </w:r>
      <w:r>
        <w:tab/>
      </w:r>
      <w:proofErr w:type="gramStart"/>
      <w:r>
        <w:t>HR, PL, PT and RO.</w:t>
      </w:r>
      <w:proofErr w:type="gramEnd"/>
    </w:p>
  </w:footnote>
  <w:footnote w:id="48">
    <w:p w:rsidR="007D3598" w:rsidRDefault="00F8547B">
      <w:pPr>
        <w:pStyle w:val="FootnoteText"/>
      </w:pPr>
      <w:r>
        <w:rPr>
          <w:rStyle w:val="FootnoteReference"/>
        </w:rPr>
        <w:footnoteRef/>
      </w:r>
      <w:r>
        <w:t xml:space="preserve"> </w:t>
      </w:r>
      <w:r>
        <w:tab/>
      </w:r>
      <w:proofErr w:type="gramStart"/>
      <w:r>
        <w:t>Regulation (EU) N. 515/2014, Art.</w:t>
      </w:r>
      <w:proofErr w:type="gramEnd"/>
      <w:r>
        <w:t xml:space="preserve"> </w:t>
      </w:r>
      <w:proofErr w:type="gramStart"/>
      <w:r>
        <w:t>13.1; annual work programmes 2014-2017.</w:t>
      </w:r>
      <w:proofErr w:type="gramEnd"/>
    </w:p>
  </w:footnote>
  <w:footnote w:id="49">
    <w:p w:rsidR="007D3598" w:rsidRDefault="00F8547B">
      <w:pPr>
        <w:pStyle w:val="FootnoteText"/>
      </w:pPr>
      <w:r>
        <w:rPr>
          <w:rStyle w:val="FootnoteReference"/>
        </w:rPr>
        <w:footnoteRef/>
      </w:r>
      <w:r>
        <w:t xml:space="preserve"> </w:t>
      </w:r>
      <w:r>
        <w:tab/>
      </w:r>
      <w:proofErr w:type="gramStart"/>
      <w:r>
        <w:t>Regulation (EU) N. 515/2014, Art.</w:t>
      </w:r>
      <w:proofErr w:type="gramEnd"/>
      <w:r>
        <w:t xml:space="preserve"> </w:t>
      </w:r>
      <w:proofErr w:type="gramStart"/>
      <w:r>
        <w:t>14.1; annual work programmes 2014-2017.</w:t>
      </w:r>
      <w:proofErr w:type="gramEnd"/>
    </w:p>
  </w:footnote>
  <w:footnote w:id="50">
    <w:p w:rsidR="007D3598" w:rsidRDefault="00F8547B">
      <w:pPr>
        <w:pStyle w:val="FootnoteText"/>
      </w:pPr>
      <w:r>
        <w:rPr>
          <w:rStyle w:val="FootnoteReference"/>
        </w:rPr>
        <w:footnoteRef/>
      </w:r>
      <w:r>
        <w:t xml:space="preserve"> </w:t>
      </w:r>
      <w:r>
        <w:tab/>
      </w:r>
      <w:r>
        <w:t>The implementation rate for direct/indirect management is calculated by dividing the amount of payments, including pre-financing and final payments, made to a finalised project by the amount awarded in the grant agreements (commitments).</w:t>
      </w:r>
    </w:p>
  </w:footnote>
  <w:footnote w:id="51">
    <w:p w:rsidR="007D3598" w:rsidRDefault="00F8547B">
      <w:pPr>
        <w:pStyle w:val="FootnoteText"/>
      </w:pPr>
      <w:r>
        <w:rPr>
          <w:rStyle w:val="FootnoteReference"/>
        </w:rPr>
        <w:footnoteRef/>
      </w:r>
      <w:r>
        <w:t xml:space="preserve"> </w:t>
      </w:r>
      <w:r>
        <w:tab/>
      </w:r>
      <w:proofErr w:type="gramStart"/>
      <w:r>
        <w:t>BG, EL, FR, HR,</w:t>
      </w:r>
      <w:r>
        <w:t xml:space="preserve"> HU, IT and SI.</w:t>
      </w:r>
      <w:proofErr w:type="gramEnd"/>
    </w:p>
  </w:footnote>
  <w:footnote w:id="52">
    <w:p w:rsidR="007D3598" w:rsidRDefault="00F8547B">
      <w:pPr>
        <w:pStyle w:val="FootnoteText"/>
      </w:pPr>
      <w:r>
        <w:rPr>
          <w:rStyle w:val="FootnoteReference"/>
        </w:rPr>
        <w:footnoteRef/>
      </w:r>
      <w:r>
        <w:t xml:space="preserve"> </w:t>
      </w:r>
      <w:r>
        <w:tab/>
        <w:t>EASO</w:t>
      </w:r>
    </w:p>
  </w:footnote>
  <w:footnote w:id="53">
    <w:p w:rsidR="007D3598" w:rsidRDefault="00F8547B">
      <w:pPr>
        <w:pStyle w:val="FootnoteText"/>
      </w:pPr>
      <w:r>
        <w:rPr>
          <w:rStyle w:val="FootnoteReference"/>
        </w:rPr>
        <w:footnoteRef/>
      </w:r>
      <w:r>
        <w:t xml:space="preserve"> </w:t>
      </w:r>
      <w:r>
        <w:tab/>
        <w:t>UNHCR</w:t>
      </w:r>
    </w:p>
  </w:footnote>
  <w:footnote w:id="54">
    <w:p w:rsidR="007D3598" w:rsidRDefault="00F8547B">
      <w:pPr>
        <w:pStyle w:val="FootnoteText"/>
      </w:pPr>
      <w:r>
        <w:rPr>
          <w:rStyle w:val="FootnoteReference"/>
        </w:rPr>
        <w:footnoteRef/>
      </w:r>
      <w:r>
        <w:t xml:space="preserve"> </w:t>
      </w:r>
      <w:r>
        <w:tab/>
        <w:t>AWPs 2014-2017.</w:t>
      </w:r>
    </w:p>
  </w:footnote>
  <w:footnote w:id="55">
    <w:p w:rsidR="007D3598" w:rsidRDefault="00F8547B">
      <w:pPr>
        <w:pStyle w:val="FootnoteText"/>
      </w:pPr>
      <w:r>
        <w:rPr>
          <w:rStyle w:val="FootnoteReference"/>
        </w:rPr>
        <w:footnoteRef/>
      </w:r>
      <w:r>
        <w:t xml:space="preserve"> </w:t>
      </w:r>
      <w:r>
        <w:tab/>
        <w:t xml:space="preserve">The amount refers to the initial EU allocation (grant amount). This could eventually be subject to a </w:t>
      </w:r>
      <w:proofErr w:type="spellStart"/>
      <w:r>
        <w:t>decommitment</w:t>
      </w:r>
      <w:proofErr w:type="spellEnd"/>
      <w:r>
        <w:t>.</w:t>
      </w:r>
    </w:p>
  </w:footnote>
  <w:footnote w:id="56">
    <w:p w:rsidR="007D3598" w:rsidRDefault="00F8547B">
      <w:pPr>
        <w:pStyle w:val="FootnoteText"/>
      </w:pPr>
      <w:r>
        <w:rPr>
          <w:rStyle w:val="FootnoteReference"/>
        </w:rPr>
        <w:footnoteRef/>
      </w:r>
      <w:r>
        <w:t xml:space="preserve"> </w:t>
      </w:r>
      <w:r>
        <w:tab/>
        <w:t>The Hotspot approach was developed as part of the European Agenda on Migration. The</w:t>
      </w:r>
      <w:r>
        <w:t xml:space="preserve"> operational support provided to Member States is concentrated on registering, identifying, </w:t>
      </w:r>
      <w:proofErr w:type="gramStart"/>
      <w:r>
        <w:t>fingerprinting</w:t>
      </w:r>
      <w:proofErr w:type="gramEnd"/>
      <w:r>
        <w:t xml:space="preserve"> and debriefing asylum seekers. It is also concentrated on return operations. The Member States cooperate closely with the Commission and a few EU age</w:t>
      </w:r>
      <w:r>
        <w:t xml:space="preserve">ncies (EASO, Europol, </w:t>
      </w:r>
      <w:proofErr w:type="spellStart"/>
      <w:r>
        <w:t>Frontex</w:t>
      </w:r>
      <w:proofErr w:type="spellEnd"/>
      <w:r>
        <w:t xml:space="preserve"> and </w:t>
      </w:r>
      <w:proofErr w:type="spellStart"/>
      <w:r>
        <w:t>Eurojust</w:t>
      </w:r>
      <w:proofErr w:type="spellEnd"/>
      <w:r>
        <w:t>) in order to operationalise the concept. So far 10 hotspots have been created in Italy and Greece.</w:t>
      </w:r>
    </w:p>
  </w:footnote>
  <w:footnote w:id="57">
    <w:p w:rsidR="007D3598" w:rsidRDefault="00F8547B">
      <w:pPr>
        <w:pStyle w:val="FootnoteText"/>
      </w:pPr>
      <w:r>
        <w:rPr>
          <w:rStyle w:val="FootnoteReference"/>
        </w:rPr>
        <w:footnoteRef/>
      </w:r>
      <w:r>
        <w:t xml:space="preserve"> </w:t>
      </w:r>
      <w:r>
        <w:tab/>
      </w:r>
      <w:proofErr w:type="gramStart"/>
      <w:r>
        <w:t>HOME/2016/ISFB/AG/EMAS/0030, HOME/2016/ISFB/AG/EMAS/0022.</w:t>
      </w:r>
      <w:proofErr w:type="gramEnd"/>
    </w:p>
  </w:footnote>
  <w:footnote w:id="58">
    <w:p w:rsidR="007D3598" w:rsidRDefault="00F8547B">
      <w:pPr>
        <w:pStyle w:val="FootnoteText"/>
      </w:pPr>
      <w:r>
        <w:rPr>
          <w:rStyle w:val="FootnoteReference"/>
        </w:rPr>
        <w:footnoteRef/>
      </w:r>
      <w:r>
        <w:t xml:space="preserve"> </w:t>
      </w:r>
      <w:r>
        <w:tab/>
      </w:r>
      <w:proofErr w:type="gramStart"/>
      <w:r>
        <w:t>HOME/2015/ISFB/AG/EMAS/0018 (EASO).</w:t>
      </w:r>
      <w:proofErr w:type="gramEnd"/>
    </w:p>
  </w:footnote>
  <w:footnote w:id="59">
    <w:p w:rsidR="007D3598" w:rsidRDefault="00F8547B">
      <w:pPr>
        <w:pStyle w:val="FootnoteText"/>
      </w:pPr>
      <w:r>
        <w:rPr>
          <w:rStyle w:val="FootnoteReference"/>
        </w:rPr>
        <w:footnoteRef/>
      </w:r>
      <w:r>
        <w:t xml:space="preserve"> </w:t>
      </w:r>
      <w:r>
        <w:tab/>
        <w:t>BE, BG, DE,</w:t>
      </w:r>
      <w:r>
        <w:t xml:space="preserve"> EL, ES, FR, LU, NO and PT.</w:t>
      </w:r>
    </w:p>
  </w:footnote>
  <w:footnote w:id="60">
    <w:p w:rsidR="007D3598" w:rsidRDefault="00F8547B">
      <w:pPr>
        <w:pStyle w:val="FootnoteText"/>
      </w:pPr>
      <w:r>
        <w:rPr>
          <w:rStyle w:val="FootnoteReference"/>
        </w:rPr>
        <w:footnoteRef/>
      </w:r>
      <w:r>
        <w:t xml:space="preserve"> </w:t>
      </w:r>
      <w:r>
        <w:tab/>
        <w:t>Union actions annual work programme 2014-2017.</w:t>
      </w:r>
    </w:p>
  </w:footnote>
  <w:footnote w:id="61">
    <w:p w:rsidR="007D3598" w:rsidRDefault="00F8547B">
      <w:pPr>
        <w:pStyle w:val="FootnoteText"/>
      </w:pPr>
      <w:r>
        <w:rPr>
          <w:rStyle w:val="FootnoteReference"/>
        </w:rPr>
        <w:footnoteRef/>
      </w:r>
      <w:r>
        <w:t xml:space="preserve"> </w:t>
      </w:r>
      <w:r>
        <w:tab/>
        <w:t xml:space="preserve">Schengen </w:t>
      </w:r>
      <w:proofErr w:type="spellStart"/>
      <w:r>
        <w:t>Masterlists</w:t>
      </w:r>
      <w:proofErr w:type="spellEnd"/>
      <w:r>
        <w:t xml:space="preserve"> are secure container file-structures, cryptographically signed to prevent alteration, which contain Country Signing Certification Authority certificates </w:t>
      </w:r>
      <w:r>
        <w:t>validated by at least 3 Member States and by which the Commission would like to promote the use of electronic authentication of any electronic document.</w:t>
      </w:r>
    </w:p>
  </w:footnote>
  <w:footnote w:id="62">
    <w:p w:rsidR="007D3598" w:rsidRDefault="00F8547B">
      <w:pPr>
        <w:pStyle w:val="FootnoteText"/>
      </w:pPr>
      <w:r>
        <w:rPr>
          <w:rStyle w:val="FootnoteReference"/>
        </w:rPr>
        <w:footnoteRef/>
      </w:r>
      <w:r>
        <w:t xml:space="preserve"> </w:t>
      </w:r>
      <w:r>
        <w:tab/>
        <w:t>The lower number of UAs assigned to countries in 2017 may depend on the fact that data only takes in</w:t>
      </w:r>
      <w:r>
        <w:t>to account the first half of the year.</w:t>
      </w:r>
    </w:p>
  </w:footnote>
  <w:footnote w:id="63">
    <w:p w:rsidR="007D3598" w:rsidRDefault="00F8547B">
      <w:pPr>
        <w:pStyle w:val="FootnoteText"/>
      </w:pPr>
      <w:r>
        <w:rPr>
          <w:rStyle w:val="FootnoteReference"/>
        </w:rPr>
        <w:footnoteRef/>
      </w:r>
      <w:r>
        <w:t xml:space="preserve"> </w:t>
      </w:r>
      <w:r>
        <w:tab/>
        <w:t>COM(2011) 743 final, Communication from the Commission to the European Parliament, the Council, the European Economic and Social Committee and the Committee of the Regions - The Global Approach to Migration and Mob</w:t>
      </w:r>
      <w:r>
        <w:t>ility.</w:t>
      </w:r>
    </w:p>
  </w:footnote>
  <w:footnote w:id="64">
    <w:p w:rsidR="007D3598" w:rsidRDefault="00F8547B">
      <w:pPr>
        <w:pStyle w:val="FootnoteText"/>
      </w:pPr>
      <w:r>
        <w:rPr>
          <w:rStyle w:val="FootnoteReference"/>
        </w:rPr>
        <w:footnoteRef/>
      </w:r>
      <w:r>
        <w:t xml:space="preserve">  </w:t>
      </w:r>
      <w:r>
        <w:tab/>
        <w:t>31 Member States were received as LI did not submit its Member States due the fact that no actions covered by ISF-BV were implemented during the period covered by the interim evaluation.</w:t>
      </w:r>
    </w:p>
  </w:footnote>
  <w:footnote w:id="65">
    <w:p w:rsidR="007D3598" w:rsidRDefault="00F8547B">
      <w:pPr>
        <w:pStyle w:val="FootnoteText"/>
      </w:pPr>
      <w:r>
        <w:rPr>
          <w:rStyle w:val="FootnoteReference"/>
        </w:rPr>
        <w:footnoteRef/>
      </w:r>
      <w:r>
        <w:t xml:space="preserve"> </w:t>
      </w:r>
      <w:r>
        <w:tab/>
        <w:t>ABAC is the European Commission’s accounting IT system.</w:t>
      </w:r>
    </w:p>
  </w:footnote>
  <w:footnote w:id="66">
    <w:p w:rsidR="007D3598" w:rsidRDefault="00F8547B">
      <w:pPr>
        <w:pStyle w:val="FootnoteText"/>
      </w:pPr>
      <w:r>
        <w:rPr>
          <w:rStyle w:val="FootnoteReference"/>
        </w:rPr>
        <w:footnoteRef/>
      </w:r>
      <w:r>
        <w:t xml:space="preserve"> </w:t>
      </w:r>
      <w:r>
        <w:tab/>
        <w:t>Only 4 responses have been received by representatives of RAs (2 from IT, 1 from BG and 1 from EL).</w:t>
      </w:r>
    </w:p>
  </w:footnote>
  <w:footnote w:id="67">
    <w:p w:rsidR="007D3598" w:rsidRDefault="00F8547B">
      <w:pPr>
        <w:pStyle w:val="FootnoteText"/>
      </w:pPr>
      <w:r>
        <w:rPr>
          <w:rStyle w:val="FootnoteReference"/>
        </w:rPr>
        <w:footnoteRef/>
      </w:r>
      <w:r>
        <w:t xml:space="preserve"> </w:t>
      </w:r>
      <w:r>
        <w:tab/>
      </w:r>
      <w:proofErr w:type="gramStart"/>
      <w:r>
        <w:t>Regulation (EU) No. 514/2014.</w:t>
      </w:r>
      <w:proofErr w:type="gramEnd"/>
    </w:p>
  </w:footnote>
  <w:footnote w:id="68">
    <w:p w:rsidR="007D3598" w:rsidRDefault="00F8547B">
      <w:pPr>
        <w:pStyle w:val="FootnoteText"/>
      </w:pPr>
      <w:r>
        <w:rPr>
          <w:rStyle w:val="FootnoteReference"/>
        </w:rPr>
        <w:footnoteRef/>
      </w:r>
      <w:r>
        <w:t xml:space="preserve"> </w:t>
      </w:r>
      <w:r>
        <w:tab/>
      </w:r>
      <w:proofErr w:type="gramStart"/>
      <w:r>
        <w:t>All Member States.</w:t>
      </w:r>
      <w:proofErr w:type="gramEnd"/>
      <w:r>
        <w:t xml:space="preserve"> Interviews with 4 RAs (BE, BG, FR and NO).</w:t>
      </w:r>
      <w:r>
        <w:rPr>
          <w:lang w:eastAsia="nl-BE"/>
        </w:rPr>
        <w:t xml:space="preserve"> 65% (n=42) of replies to the online survey: 3 AAs (HR;</w:t>
      </w:r>
      <w:r>
        <w:rPr>
          <w:lang w:eastAsia="nl-BE"/>
        </w:rPr>
        <w:t xml:space="preserve"> CY and LV), 13 Member States (BE, CZ, EE, FI, HU, LV, PT and RO), 1 EMAS beneficiary (EL), 1 Ministry of Foreign Affairs (SK), 21 members of Monitoring Committee (AT, BG, CY, EE, LV, MT, RO, SI, ES and ,SE), 2 RAs/DAs (FR and SI), 1 expert.</w:t>
      </w:r>
    </w:p>
  </w:footnote>
  <w:footnote w:id="69">
    <w:p w:rsidR="007D3598" w:rsidRDefault="00F8547B">
      <w:pPr>
        <w:pStyle w:val="FootnoteText"/>
      </w:pPr>
      <w:r>
        <w:rPr>
          <w:rStyle w:val="FootnoteReference"/>
        </w:rPr>
        <w:footnoteRef/>
      </w:r>
      <w:r>
        <w:t xml:space="preserve"> </w:t>
      </w:r>
      <w:r>
        <w:tab/>
        <w:t>BE, EE, and</w:t>
      </w:r>
      <w:r>
        <w:t xml:space="preserve"> EL.</w:t>
      </w:r>
    </w:p>
  </w:footnote>
  <w:footnote w:id="70">
    <w:p w:rsidR="007D3598" w:rsidRDefault="00F8547B">
      <w:pPr>
        <w:pStyle w:val="FootnoteText"/>
      </w:pPr>
      <w:r>
        <w:rPr>
          <w:rStyle w:val="FootnoteReference"/>
          <w:szCs w:val="18"/>
        </w:rPr>
        <w:footnoteRef/>
      </w:r>
      <w:r>
        <w:t xml:space="preserve"> </w:t>
      </w:r>
      <w:r>
        <w:tab/>
      </w:r>
      <w:proofErr w:type="gramStart"/>
      <w:r>
        <w:t>AT, HU and LV.</w:t>
      </w:r>
      <w:proofErr w:type="gramEnd"/>
    </w:p>
  </w:footnote>
  <w:footnote w:id="71">
    <w:p w:rsidR="007D3598" w:rsidRDefault="00F8547B">
      <w:pPr>
        <w:pStyle w:val="FootnoteText"/>
      </w:pPr>
      <w:r>
        <w:rPr>
          <w:rStyle w:val="FootnoteReference"/>
          <w:szCs w:val="18"/>
        </w:rPr>
        <w:footnoteRef/>
      </w:r>
      <w:r>
        <w:t xml:space="preserve"> </w:t>
      </w:r>
      <w:r>
        <w:tab/>
      </w:r>
      <w:proofErr w:type="gramStart"/>
      <w:r>
        <w:t>7  Member</w:t>
      </w:r>
      <w:proofErr w:type="gramEnd"/>
      <w:r>
        <w:t xml:space="preserve"> States (EL, FR, HU, LU, MT, NO and PT).</w:t>
      </w:r>
    </w:p>
  </w:footnote>
  <w:footnote w:id="72">
    <w:p w:rsidR="007D3598" w:rsidRDefault="00F8547B">
      <w:pPr>
        <w:pStyle w:val="FootnoteText"/>
      </w:pPr>
      <w:r>
        <w:rPr>
          <w:rStyle w:val="FootnoteReference"/>
        </w:rPr>
        <w:footnoteRef/>
      </w:r>
      <w:r>
        <w:tab/>
        <w:t xml:space="preserve"> </w:t>
      </w:r>
      <w:proofErr w:type="gramStart"/>
      <w:r>
        <w:t>i.e</w:t>
      </w:r>
      <w:proofErr w:type="gramEnd"/>
      <w:r>
        <w:t>. As a result, up to 44.253 persons using fraudulent travel documents were detected at consulates supported by the Fund.</w:t>
      </w:r>
    </w:p>
  </w:footnote>
  <w:footnote w:id="73">
    <w:p w:rsidR="007D3598" w:rsidRDefault="00F8547B">
      <w:pPr>
        <w:pStyle w:val="FootnoteText"/>
      </w:pPr>
      <w:r>
        <w:rPr>
          <w:rStyle w:val="FootnoteReference"/>
          <w:szCs w:val="18"/>
        </w:rPr>
        <w:footnoteRef/>
      </w:r>
      <w:r>
        <w:t xml:space="preserve"> </w:t>
      </w:r>
      <w:r>
        <w:tab/>
      </w:r>
      <w:proofErr w:type="gramStart"/>
      <w:r>
        <w:t>AT, EE, IT, NL and LT.</w:t>
      </w:r>
      <w:proofErr w:type="gramEnd"/>
    </w:p>
  </w:footnote>
  <w:footnote w:id="74">
    <w:p w:rsidR="007D3598" w:rsidRDefault="00F8547B">
      <w:pPr>
        <w:ind w:left="360" w:hanging="360"/>
        <w:contextualSpacing/>
        <w:rPr>
          <w:sz w:val="18"/>
        </w:rPr>
      </w:pPr>
      <w:r>
        <w:rPr>
          <w:rStyle w:val="FootnoteReference"/>
          <w:sz w:val="18"/>
          <w:szCs w:val="18"/>
        </w:rPr>
        <w:footnoteRef/>
      </w:r>
      <w:r>
        <w:rPr>
          <w:rStyle w:val="FootnoteReference"/>
          <w:sz w:val="18"/>
          <w:szCs w:val="18"/>
        </w:rPr>
        <w:t xml:space="preserve"> </w:t>
      </w:r>
      <w:r>
        <w:rPr>
          <w:rStyle w:val="FootnoteReference"/>
          <w:sz w:val="18"/>
          <w:szCs w:val="18"/>
        </w:rPr>
        <w:tab/>
      </w:r>
      <w:proofErr w:type="gramStart"/>
      <w:r>
        <w:rPr>
          <w:sz w:val="18"/>
          <w:szCs w:val="18"/>
        </w:rPr>
        <w:t xml:space="preserve">7 </w:t>
      </w:r>
      <w:r>
        <w:rPr>
          <w:sz w:val="18"/>
        </w:rPr>
        <w:t>Member States (EL, FR,</w:t>
      </w:r>
      <w:r>
        <w:rPr>
          <w:sz w:val="18"/>
        </w:rPr>
        <w:t xml:space="preserve"> HU, LU, MT, NO and PT).</w:t>
      </w:r>
      <w:proofErr w:type="gramEnd"/>
      <w:r>
        <w:rPr>
          <w:sz w:val="18"/>
        </w:rPr>
        <w:t xml:space="preserve"> 4 interviews: RAs from LT, NO and PT and one delegated authority from EL; results from the online survey: 7 Member States (AT, BE, CZ, LU, LV, NL and RO), 2 representatives from Monitoring Committees (AT and BG).</w:t>
      </w:r>
    </w:p>
  </w:footnote>
  <w:footnote w:id="75">
    <w:p w:rsidR="007D3598" w:rsidRDefault="00F8547B">
      <w:pPr>
        <w:pStyle w:val="FootnoteText"/>
      </w:pPr>
      <w:r>
        <w:rPr>
          <w:rStyle w:val="FootnoteReference"/>
          <w:szCs w:val="18"/>
        </w:rPr>
        <w:footnoteRef/>
      </w:r>
      <w:r>
        <w:tab/>
        <w:t>2 interviews wit</w:t>
      </w:r>
      <w:r>
        <w:t xml:space="preserve">h RAs (BE and PT). </w:t>
      </w:r>
      <w:proofErr w:type="gramStart"/>
      <w:r>
        <w:t>9  participants</w:t>
      </w:r>
      <w:proofErr w:type="gramEnd"/>
      <w:r>
        <w:t xml:space="preserve"> to the Eighth Meeting of the Evaluation Network (BE, CH, EE, ES, HU, LT, NL, NO and PL).</w:t>
      </w:r>
    </w:p>
  </w:footnote>
  <w:footnote w:id="76">
    <w:p w:rsidR="007D3598" w:rsidRDefault="00F8547B">
      <w:pPr>
        <w:pStyle w:val="FootnoteText"/>
      </w:pPr>
      <w:r>
        <w:rPr>
          <w:rStyle w:val="FootnoteReference"/>
          <w:szCs w:val="18"/>
        </w:rPr>
        <w:footnoteRef/>
      </w:r>
      <w:r>
        <w:t xml:space="preserve"> </w:t>
      </w:r>
      <w:r>
        <w:tab/>
        <w:t>In some Member States only the posted officer receives financial support, in others staff members can also bring their family alo</w:t>
      </w:r>
      <w:r>
        <w:t>ng.</w:t>
      </w:r>
    </w:p>
  </w:footnote>
  <w:footnote w:id="77">
    <w:p w:rsidR="007D3598" w:rsidRDefault="00F8547B">
      <w:pPr>
        <w:pStyle w:val="FootnoteText"/>
      </w:pPr>
      <w:r>
        <w:rPr>
          <w:rStyle w:val="FootnoteReference"/>
          <w:szCs w:val="18"/>
        </w:rPr>
        <w:footnoteRef/>
      </w:r>
      <w:r>
        <w:t xml:space="preserve"> </w:t>
      </w:r>
      <w:r>
        <w:tab/>
        <w:t>2 interviews with RAs (BE and PT). 9 participants to the Eighth Meeting of the Evaluation Network (BE, CH, EE, ES, HU, LT, NL, NO and PL).</w:t>
      </w:r>
    </w:p>
  </w:footnote>
  <w:footnote w:id="78">
    <w:p w:rsidR="007D3598" w:rsidRDefault="00F8547B">
      <w:pPr>
        <w:pStyle w:val="FootnoteText"/>
      </w:pPr>
      <w:r>
        <w:rPr>
          <w:rStyle w:val="FootnoteReference"/>
          <w:szCs w:val="18"/>
        </w:rPr>
        <w:footnoteRef/>
      </w:r>
      <w:r>
        <w:t xml:space="preserve"> </w:t>
      </w:r>
      <w:r>
        <w:tab/>
        <w:t>BE, FR, HU, IT, LT, NL and PT.</w:t>
      </w:r>
    </w:p>
  </w:footnote>
  <w:footnote w:id="79">
    <w:p w:rsidR="007D3598" w:rsidRDefault="00F8547B">
      <w:pPr>
        <w:pStyle w:val="FootnoteText"/>
      </w:pPr>
      <w:r>
        <w:rPr>
          <w:rStyle w:val="FootnoteReference"/>
          <w:szCs w:val="18"/>
        </w:rPr>
        <w:footnoteRef/>
      </w:r>
      <w:r>
        <w:t xml:space="preserve"> </w:t>
      </w:r>
      <w:r>
        <w:tab/>
        <w:t>13 Member States (AT, BE, EE, EL, ES, FI, FR, HU, LT, LU, LV, SI and SK).</w:t>
      </w:r>
    </w:p>
  </w:footnote>
  <w:footnote w:id="80">
    <w:p w:rsidR="007D3598" w:rsidRDefault="00F8547B">
      <w:pPr>
        <w:pStyle w:val="FootnoteText"/>
      </w:pPr>
      <w:r>
        <w:rPr>
          <w:rStyle w:val="FootnoteReference"/>
          <w:szCs w:val="18"/>
        </w:rPr>
        <w:footnoteRef/>
      </w:r>
      <w:r>
        <w:t xml:space="preserve"> </w:t>
      </w:r>
      <w:r>
        <w:tab/>
        <w:t xml:space="preserve">AT, BE, CZ, HU and PT. 1 interview with </w:t>
      </w:r>
      <w:proofErr w:type="gramStart"/>
      <w:r>
        <w:t>an</w:t>
      </w:r>
      <w:proofErr w:type="gramEnd"/>
      <w:r>
        <w:t xml:space="preserve"> responsible authority (NO). OPC: 4 Public Authorities (BG, EL, IT and IT).</w:t>
      </w:r>
    </w:p>
  </w:footnote>
  <w:footnote w:id="81">
    <w:p w:rsidR="007D3598" w:rsidRDefault="00F8547B">
      <w:pPr>
        <w:pStyle w:val="FootnoteText"/>
      </w:pPr>
      <w:r>
        <w:rPr>
          <w:rStyle w:val="FootnoteReference"/>
        </w:rPr>
        <w:footnoteRef/>
      </w:r>
      <w:r>
        <w:t xml:space="preserve"> </w:t>
      </w:r>
      <w:r>
        <w:tab/>
        <w:t>BE, EE, EL, FR, HU and SI.</w:t>
      </w:r>
    </w:p>
  </w:footnote>
  <w:footnote w:id="82">
    <w:p w:rsidR="007D3598" w:rsidRDefault="00F8547B">
      <w:pPr>
        <w:pStyle w:val="FootnoteText"/>
        <w:rPr>
          <w:lang w:val="es-ES_tradnl"/>
        </w:rPr>
      </w:pPr>
      <w:r>
        <w:rPr>
          <w:rStyle w:val="FootnoteReference"/>
        </w:rPr>
        <w:footnoteRef/>
      </w:r>
      <w:r>
        <w:rPr>
          <w:lang w:val="es-ES_tradnl"/>
        </w:rPr>
        <w:t xml:space="preserve"> </w:t>
      </w:r>
      <w:r>
        <w:rPr>
          <w:lang w:val="es-ES_tradnl"/>
        </w:rPr>
        <w:tab/>
        <w:t>EE, HU, LV and SI.</w:t>
      </w:r>
    </w:p>
  </w:footnote>
  <w:footnote w:id="83">
    <w:p w:rsidR="007D3598" w:rsidRDefault="00F8547B">
      <w:pPr>
        <w:pStyle w:val="FootnoteText"/>
      </w:pPr>
      <w:r>
        <w:rPr>
          <w:rStyle w:val="FootnoteReference"/>
        </w:rPr>
        <w:footnoteRef/>
      </w:r>
      <w:r>
        <w:tab/>
        <w:t>13 Member States (AT, BG, BE, CH, CY, CZ, DE, EE, EL, FI, LU, MT and PL).</w:t>
      </w:r>
    </w:p>
  </w:footnote>
  <w:footnote w:id="84">
    <w:p w:rsidR="007D3598" w:rsidRDefault="00F8547B">
      <w:pPr>
        <w:pStyle w:val="FootnoteText"/>
      </w:pPr>
      <w:r>
        <w:rPr>
          <w:rStyle w:val="FootnoteReference"/>
        </w:rPr>
        <w:footnoteRef/>
      </w:r>
      <w:r>
        <w:t xml:space="preserve"> </w:t>
      </w:r>
      <w:r>
        <w:tab/>
        <w:t>Res</w:t>
      </w:r>
      <w:r>
        <w:t>ults from the online survey: beneficiaries in 7 Member States (AT, BE, CZ, LU, LV, NL and RO), 2 members of Monitoring Committees (AT and BG).</w:t>
      </w:r>
    </w:p>
  </w:footnote>
  <w:footnote w:id="85">
    <w:p w:rsidR="007D3598" w:rsidRDefault="00F8547B">
      <w:pPr>
        <w:pStyle w:val="FootnoteText"/>
        <w:rPr>
          <w:b/>
        </w:rPr>
      </w:pPr>
      <w:r>
        <w:rPr>
          <w:rStyle w:val="FootnoteReference"/>
        </w:rPr>
        <w:footnoteRef/>
      </w:r>
      <w:r>
        <w:t xml:space="preserve"> </w:t>
      </w:r>
      <w:r>
        <w:tab/>
        <w:t>3 interviews: 2 with RAs (BE and NL) and 1 with a delegated authority (EL). OPC: 3 Public Authorities (1 in BG</w:t>
      </w:r>
      <w:r>
        <w:t>, and 2 in IT).</w:t>
      </w:r>
    </w:p>
  </w:footnote>
  <w:footnote w:id="86">
    <w:p w:rsidR="007D3598" w:rsidRDefault="00F8547B">
      <w:pPr>
        <w:pStyle w:val="FootnoteText"/>
      </w:pPr>
      <w:r>
        <w:rPr>
          <w:rStyle w:val="FootnoteReference"/>
        </w:rPr>
        <w:footnoteRef/>
      </w:r>
      <w:r>
        <w:t xml:space="preserve"> </w:t>
      </w:r>
      <w:r>
        <w:tab/>
      </w:r>
      <w:proofErr w:type="gramStart"/>
      <w:r>
        <w:t>8 Member States (AT, BG, DE, ES, FR, IT, LT and RO).</w:t>
      </w:r>
      <w:proofErr w:type="gramEnd"/>
      <w:r>
        <w:t xml:space="preserve"> Interviews with 3 RAs (BG, BE and PT).</w:t>
      </w:r>
    </w:p>
  </w:footnote>
  <w:footnote w:id="87">
    <w:p w:rsidR="007D3598" w:rsidRDefault="00F8547B">
      <w:pPr>
        <w:pStyle w:val="FootnoteText"/>
      </w:pPr>
      <w:r>
        <w:rPr>
          <w:rStyle w:val="FootnoteReference"/>
        </w:rPr>
        <w:footnoteRef/>
      </w:r>
      <w:r>
        <w:t xml:space="preserve"> </w:t>
      </w:r>
      <w:r>
        <w:tab/>
        <w:t>9 Member States (AT, BE, BG, CZ, ES, FR, LT, LV and RO). Results from the online survey: 5 beneficiaries (1 in AT, 2 in BE and CZ).</w:t>
      </w:r>
    </w:p>
  </w:footnote>
  <w:footnote w:id="88">
    <w:p w:rsidR="007D3598" w:rsidRDefault="00F8547B">
      <w:pPr>
        <w:pStyle w:val="FootnoteText"/>
      </w:pPr>
      <w:r>
        <w:rPr>
          <w:rStyle w:val="FootnoteReference"/>
        </w:rPr>
        <w:footnoteRef/>
      </w:r>
      <w:r>
        <w:t xml:space="preserve"> </w:t>
      </w:r>
      <w:r>
        <w:tab/>
        <w:t>All the</w:t>
      </w:r>
      <w:r>
        <w:t xml:space="preserve"> Member States; interviews with 8 RAs (FI, PT, FR, BE, EL, NL, NO and PL); 1 delegated authority (EL); 73% of replies to the online survey (AT, BE, BG, HR, CY, CZ, EE, ES,FR, EL, HU, LV, MT, NL, PL, PT, RO, SI, and SE); 7 participants to the eighth meeting</w:t>
      </w:r>
      <w:r>
        <w:t xml:space="preserve"> of the Evaluation Network (BE, BG, EL, HR, FR, HU and MT); OPC: 4 Public Authorities (1 from BG, 1 from EL, and 2 from IT); direct management: two technical reports (HOME/2015/ISFB/AG/EMAS/0001 and HOME/2016/ISFB/AG/EMAS/0018) and an interview with the BG</w:t>
      </w:r>
      <w:r>
        <w:t xml:space="preserve"> Chief Directorate Border Police; indirect management:  three technical reports (HOME/2014/IM/LISA/0001, HOME/2014/MULT/IM/ICMP/0001 and HOME/2016/MULT/IM/UNHC/OOO1).</w:t>
      </w:r>
    </w:p>
  </w:footnote>
  <w:footnote w:id="89">
    <w:p w:rsidR="007D3598" w:rsidRDefault="00F8547B">
      <w:pPr>
        <w:pStyle w:val="FootnoteText"/>
      </w:pPr>
      <w:r>
        <w:rPr>
          <w:rStyle w:val="FootnoteReference"/>
        </w:rPr>
        <w:footnoteRef/>
      </w:r>
      <w:r>
        <w:t xml:space="preserve"> </w:t>
      </w:r>
      <w:r>
        <w:tab/>
        <w:t>Secondary movements of migrants comprise movements from the Member States they arrived</w:t>
      </w:r>
      <w:r>
        <w:t xml:space="preserve"> in to other Member States.</w:t>
      </w:r>
    </w:p>
  </w:footnote>
  <w:footnote w:id="90">
    <w:p w:rsidR="007D3598" w:rsidRDefault="00F8547B">
      <w:pPr>
        <w:pStyle w:val="FootnoteText"/>
      </w:pPr>
      <w:r>
        <w:rPr>
          <w:rStyle w:val="FootnoteReference"/>
        </w:rPr>
        <w:footnoteRef/>
      </w:r>
      <w:r>
        <w:t xml:space="preserve"> </w:t>
      </w:r>
      <w:r>
        <w:tab/>
      </w:r>
      <w:proofErr w:type="gramStart"/>
      <w:r>
        <w:t>BG, EE and FI.</w:t>
      </w:r>
      <w:proofErr w:type="gramEnd"/>
    </w:p>
  </w:footnote>
  <w:footnote w:id="91">
    <w:p w:rsidR="007D3598" w:rsidRDefault="00F8547B">
      <w:pPr>
        <w:pStyle w:val="FootnoteText"/>
      </w:pPr>
      <w:r>
        <w:rPr>
          <w:rStyle w:val="FootnoteReference"/>
        </w:rPr>
        <w:footnoteRef/>
      </w:r>
      <w:r>
        <w:t xml:space="preserve"> </w:t>
      </w:r>
      <w:r>
        <w:tab/>
        <w:t>15 Member States (BE, BG, CH, CY, DE, EE, EL, ES, FI, HU, IS, LU, LV, PL and SI).</w:t>
      </w:r>
    </w:p>
  </w:footnote>
  <w:footnote w:id="92">
    <w:p w:rsidR="007D3598" w:rsidRDefault="00F8547B">
      <w:pPr>
        <w:pStyle w:val="FootnoteText"/>
      </w:pPr>
      <w:r>
        <w:rPr>
          <w:rStyle w:val="FootnoteReference"/>
        </w:rPr>
        <w:footnoteRef/>
      </w:r>
      <w:r>
        <w:t xml:space="preserve"> </w:t>
      </w:r>
      <w:r>
        <w:tab/>
        <w:t>BE, BG, FI, MT and PL.</w:t>
      </w:r>
    </w:p>
  </w:footnote>
  <w:footnote w:id="93">
    <w:p w:rsidR="007D3598" w:rsidRDefault="00F8547B">
      <w:pPr>
        <w:pStyle w:val="FootnoteText"/>
      </w:pPr>
      <w:r>
        <w:rPr>
          <w:rStyle w:val="FootnoteReference"/>
        </w:rPr>
        <w:footnoteRef/>
      </w:r>
      <w:r>
        <w:t xml:space="preserve"> </w:t>
      </w:r>
      <w:r>
        <w:tab/>
      </w:r>
      <w:proofErr w:type="gramStart"/>
      <w:r>
        <w:t>9 Member States (BG, DE, EL, FI, FR, HR, HU, IT and LV).</w:t>
      </w:r>
      <w:proofErr w:type="gramEnd"/>
    </w:p>
  </w:footnote>
  <w:footnote w:id="94">
    <w:p w:rsidR="007D3598" w:rsidRDefault="00F8547B">
      <w:pPr>
        <w:pStyle w:val="FootnoteText"/>
      </w:pPr>
      <w:r>
        <w:rPr>
          <w:rStyle w:val="FootnoteReference"/>
        </w:rPr>
        <w:footnoteRef/>
      </w:r>
      <w:r>
        <w:t xml:space="preserve"> </w:t>
      </w:r>
      <w:r>
        <w:tab/>
        <w:t xml:space="preserve">5 Member States (AT, BE, CZ, HU and </w:t>
      </w:r>
      <w:r>
        <w:t xml:space="preserve">PT). </w:t>
      </w:r>
      <w:proofErr w:type="gramStart"/>
      <w:r>
        <w:t>1 interview with responsible authority (NO).</w:t>
      </w:r>
      <w:proofErr w:type="gramEnd"/>
      <w:r>
        <w:t xml:space="preserve"> OPC: 4 Public Authorities (BG, EL, IT and IT).</w:t>
      </w:r>
    </w:p>
  </w:footnote>
  <w:footnote w:id="95">
    <w:p w:rsidR="007D3598" w:rsidRDefault="00F8547B">
      <w:pPr>
        <w:pStyle w:val="FootnoteText"/>
      </w:pPr>
      <w:r>
        <w:rPr>
          <w:rStyle w:val="FootnoteReference"/>
        </w:rPr>
        <w:footnoteRef/>
      </w:r>
      <w:r>
        <w:t xml:space="preserve"> </w:t>
      </w:r>
      <w:r>
        <w:tab/>
      </w:r>
      <w:proofErr w:type="gramStart"/>
      <w:r>
        <w:t>4 Member States (IT, PL, PT and RO).</w:t>
      </w:r>
      <w:proofErr w:type="gramEnd"/>
    </w:p>
  </w:footnote>
  <w:footnote w:id="96">
    <w:p w:rsidR="007D3598" w:rsidRDefault="00F8547B">
      <w:pPr>
        <w:pStyle w:val="FootnoteText"/>
      </w:pPr>
      <w:r>
        <w:rPr>
          <w:rStyle w:val="FootnoteReference"/>
        </w:rPr>
        <w:footnoteRef/>
      </w:r>
      <w:r>
        <w:t xml:space="preserve"> </w:t>
      </w:r>
      <w:r>
        <w:tab/>
      </w:r>
      <w:proofErr w:type="gramStart"/>
      <w:r>
        <w:t>AT, BG, DE, ES, FI, FR, GR, IT, MT, LT, LV, PL, PT and RO.</w:t>
      </w:r>
      <w:proofErr w:type="gramEnd"/>
    </w:p>
  </w:footnote>
  <w:footnote w:id="97">
    <w:p w:rsidR="007D3598" w:rsidRDefault="00F8547B">
      <w:pPr>
        <w:pStyle w:val="FootnoteText"/>
      </w:pPr>
      <w:r>
        <w:rPr>
          <w:rStyle w:val="FootnoteReference"/>
        </w:rPr>
        <w:footnoteRef/>
      </w:r>
      <w:r>
        <w:t xml:space="preserve"> </w:t>
      </w:r>
      <w:r>
        <w:tab/>
        <w:t>Regulation (EU) No 1052/2013 of the European Parliamen</w:t>
      </w:r>
      <w:r>
        <w:t>t and of the Council of 22 October 2013 establishing the European Border Surveillance System (EUROSUR).</w:t>
      </w:r>
    </w:p>
  </w:footnote>
  <w:footnote w:id="98">
    <w:p w:rsidR="007D3598" w:rsidRDefault="00F8547B">
      <w:pPr>
        <w:pStyle w:val="FootnoteText"/>
      </w:pPr>
      <w:r>
        <w:rPr>
          <w:rStyle w:val="FootnoteReference"/>
        </w:rPr>
        <w:footnoteRef/>
      </w:r>
      <w:r>
        <w:t xml:space="preserve"> </w:t>
      </w:r>
      <w:r>
        <w:tab/>
        <w:t xml:space="preserve">Results from online survey: 58% (n=46). 2 AAs (CY, LV), 20 beneficiaries (AT, BE, CZ, EE, FI, HU, LV, LU, MT, NL, PT, RO and SE), 1 EMAS beneficiary </w:t>
      </w:r>
      <w:r>
        <w:t>(EL), one expert (UK), 20 members of monitoring committee (AT, BG, CY, EE, HU, LV, MT, RO, SI and SE), 2 RAs/DAs (FR and SI).</w:t>
      </w:r>
    </w:p>
  </w:footnote>
  <w:footnote w:id="99">
    <w:p w:rsidR="007D3598" w:rsidRDefault="00F8547B">
      <w:pPr>
        <w:pStyle w:val="FootnoteText"/>
      </w:pPr>
      <w:r>
        <w:rPr>
          <w:rStyle w:val="FootnoteReference"/>
        </w:rPr>
        <w:footnoteRef/>
      </w:r>
      <w:r>
        <w:t xml:space="preserve"> </w:t>
      </w:r>
      <w:r>
        <w:tab/>
        <w:t>11 Member States (</w:t>
      </w:r>
      <w:r>
        <w:rPr>
          <w:rFonts w:eastAsiaTheme="minorHAnsi"/>
        </w:rPr>
        <w:t xml:space="preserve">AT, BE, BG, CH, CY, DE, </w:t>
      </w:r>
      <w:r>
        <w:t>EE, EL,</w:t>
      </w:r>
      <w:r>
        <w:rPr>
          <w:rFonts w:eastAsiaTheme="minorHAnsi"/>
        </w:rPr>
        <w:t xml:space="preserve"> FI, LT and LU).</w:t>
      </w:r>
    </w:p>
  </w:footnote>
  <w:footnote w:id="100">
    <w:p w:rsidR="007D3598" w:rsidRDefault="00F8547B">
      <w:pPr>
        <w:pStyle w:val="FootnoteText"/>
      </w:pPr>
      <w:r>
        <w:rPr>
          <w:rStyle w:val="FootnoteReference"/>
        </w:rPr>
        <w:footnoteRef/>
      </w:r>
      <w:r>
        <w:t xml:space="preserve"> </w:t>
      </w:r>
      <w:r>
        <w:tab/>
      </w:r>
      <w:proofErr w:type="gramStart"/>
      <w:r>
        <w:t>BG and SK.</w:t>
      </w:r>
      <w:proofErr w:type="gramEnd"/>
    </w:p>
  </w:footnote>
  <w:footnote w:id="101">
    <w:p w:rsidR="007D3598" w:rsidRDefault="00F8547B">
      <w:pPr>
        <w:pStyle w:val="FootnoteText"/>
      </w:pPr>
      <w:r>
        <w:rPr>
          <w:rStyle w:val="FootnoteReference"/>
        </w:rPr>
        <w:footnoteRef/>
      </w:r>
      <w:r>
        <w:t xml:space="preserve"> </w:t>
      </w:r>
      <w:r>
        <w:tab/>
      </w:r>
      <w:proofErr w:type="gramStart"/>
      <w:r>
        <w:t>HU and IT.</w:t>
      </w:r>
      <w:proofErr w:type="gramEnd"/>
    </w:p>
  </w:footnote>
  <w:footnote w:id="102">
    <w:p w:rsidR="007D3598" w:rsidRDefault="00F8547B">
      <w:pPr>
        <w:pStyle w:val="FootnoteText"/>
      </w:pPr>
      <w:r>
        <w:rPr>
          <w:rStyle w:val="FootnoteReference"/>
        </w:rPr>
        <w:footnoteRef/>
      </w:r>
      <w:r>
        <w:t xml:space="preserve"> </w:t>
      </w:r>
      <w:r>
        <w:tab/>
      </w:r>
      <w:proofErr w:type="gramStart"/>
      <w:r>
        <w:t>IT.</w:t>
      </w:r>
      <w:proofErr w:type="gramEnd"/>
    </w:p>
  </w:footnote>
  <w:footnote w:id="103">
    <w:p w:rsidR="007D3598" w:rsidRDefault="00F8547B">
      <w:pPr>
        <w:pStyle w:val="FootnoteText"/>
      </w:pPr>
      <w:r>
        <w:rPr>
          <w:rStyle w:val="FootnoteReference"/>
        </w:rPr>
        <w:footnoteRef/>
      </w:r>
      <w:r>
        <w:t xml:space="preserve"> </w:t>
      </w:r>
      <w:r>
        <w:tab/>
      </w:r>
      <w:proofErr w:type="gramStart"/>
      <w:r>
        <w:t>CY.</w:t>
      </w:r>
      <w:proofErr w:type="gramEnd"/>
    </w:p>
  </w:footnote>
  <w:footnote w:id="104">
    <w:p w:rsidR="007D3598" w:rsidRDefault="00F8547B">
      <w:pPr>
        <w:pStyle w:val="FootnoteText"/>
      </w:pPr>
      <w:r>
        <w:rPr>
          <w:rStyle w:val="FootnoteReference"/>
        </w:rPr>
        <w:footnoteRef/>
      </w:r>
      <w:r>
        <w:t xml:space="preserve"> </w:t>
      </w:r>
      <w:r>
        <w:tab/>
        <w:t xml:space="preserve">As also </w:t>
      </w:r>
      <w:r>
        <w:t>confirmed by 18 Member States (AT, BG, CH, CZ, DE, ES, FR, HU, LU, MT, NL, PL, EL, HR, IS, SE, SI and SK); 10 participants to the eighth Evaluation Network Meeting (BE, BG, FI, HR, HU, NL, NO, PL, PT and RO).</w:t>
      </w:r>
    </w:p>
  </w:footnote>
  <w:footnote w:id="105">
    <w:p w:rsidR="007D3598" w:rsidRDefault="00F8547B">
      <w:pPr>
        <w:pStyle w:val="FootnoteText"/>
      </w:pPr>
      <w:r>
        <w:rPr>
          <w:rStyle w:val="FootnoteReference"/>
        </w:rPr>
        <w:footnoteRef/>
      </w:r>
      <w:r>
        <w:t xml:space="preserve"> </w:t>
      </w:r>
      <w:r>
        <w:tab/>
      </w:r>
      <w:proofErr w:type="gramStart"/>
      <w:r>
        <w:t>Conclusions of the AMIF-ISF Committee questi</w:t>
      </w:r>
      <w:r>
        <w:t>onnaire, 2016; interviews with the Commission staff.</w:t>
      </w:r>
      <w:proofErr w:type="gramEnd"/>
    </w:p>
  </w:footnote>
  <w:footnote w:id="106">
    <w:p w:rsidR="007D3598" w:rsidRDefault="00F8547B">
      <w:pPr>
        <w:pStyle w:val="FootnoteText"/>
      </w:pPr>
      <w:r>
        <w:rPr>
          <w:rStyle w:val="FootnoteReference"/>
        </w:rPr>
        <w:footnoteRef/>
      </w:r>
      <w:r>
        <w:t xml:space="preserve"> </w:t>
      </w:r>
      <w:r>
        <w:tab/>
      </w:r>
      <w:r>
        <w:rPr>
          <w:lang w:eastAsia="en-GB"/>
        </w:rPr>
        <w:t>Technical assistance should enable the Member States to support the implementation of their national programmes and assist beneficiaries in complying with their obligations and EU law.</w:t>
      </w:r>
    </w:p>
  </w:footnote>
  <w:footnote w:id="107">
    <w:p w:rsidR="007D3598" w:rsidRDefault="00F8547B">
      <w:pPr>
        <w:pStyle w:val="FootnoteText"/>
      </w:pPr>
      <w:r>
        <w:rPr>
          <w:rStyle w:val="FootnoteReference"/>
        </w:rPr>
        <w:footnoteRef/>
      </w:r>
      <w:r>
        <w:t xml:space="preserve"> </w:t>
      </w:r>
      <w:r>
        <w:tab/>
        <w:t>7 Member Sta</w:t>
      </w:r>
      <w:r>
        <w:t xml:space="preserve">tes (AT, BE, FR, HU, MT, PL and SE). </w:t>
      </w:r>
      <w:proofErr w:type="gramStart"/>
      <w:r>
        <w:t>Interviews with 7 RAs (BG, CH, EL, FI, LT, PL and PT).</w:t>
      </w:r>
      <w:proofErr w:type="gramEnd"/>
    </w:p>
  </w:footnote>
  <w:footnote w:id="108">
    <w:p w:rsidR="007D3598" w:rsidRDefault="00F8547B">
      <w:pPr>
        <w:pStyle w:val="FootnoteText"/>
      </w:pPr>
      <w:r>
        <w:rPr>
          <w:rStyle w:val="FootnoteReference"/>
        </w:rPr>
        <w:footnoteRef/>
      </w:r>
      <w:r>
        <w:t xml:space="preserve"> </w:t>
      </w:r>
      <w:r>
        <w:tab/>
        <w:t>2 Member States (BE and SI). 9 participants to the eighth Evaluation Network Meeting (BE, CH, EE, ES, HU, LT, NL, NO and PL).</w:t>
      </w:r>
    </w:p>
  </w:footnote>
  <w:footnote w:id="109">
    <w:p w:rsidR="007D3598" w:rsidRDefault="00F8547B">
      <w:pPr>
        <w:pStyle w:val="FootnoteText"/>
      </w:pPr>
      <w:r>
        <w:rPr>
          <w:rStyle w:val="FootnoteReference"/>
        </w:rPr>
        <w:footnoteRef/>
      </w:r>
      <w:r>
        <w:t xml:space="preserve"> </w:t>
      </w:r>
      <w:r>
        <w:tab/>
        <w:t>8 Member States (AT, BE, CY, CZ,</w:t>
      </w:r>
      <w:r>
        <w:t xml:space="preserve"> ES, FR, IT and LV); 5 participants to the eighth Evaluation Network Meeting (BE, BG, DE, IT and NO); interviews with 2 RAs (BG and NO).</w:t>
      </w:r>
    </w:p>
  </w:footnote>
  <w:footnote w:id="110">
    <w:p w:rsidR="007D3598" w:rsidRDefault="00F8547B">
      <w:pPr>
        <w:pStyle w:val="FootnoteText"/>
      </w:pPr>
      <w:r>
        <w:rPr>
          <w:rStyle w:val="FootnoteReference"/>
        </w:rPr>
        <w:footnoteRef/>
      </w:r>
      <w:r>
        <w:t xml:space="preserve"> </w:t>
      </w:r>
      <w:r>
        <w:tab/>
        <w:t>11 participants to the eighth Evaluation Network Meeting</w:t>
      </w:r>
      <w:r>
        <w:rPr>
          <w:rStyle w:val="BodyChar"/>
        </w:rPr>
        <w:t xml:space="preserve"> (</w:t>
      </w:r>
      <w:r>
        <w:t>BE, DE, CZ, FI, FR, HU, LU, MT, NO, PL and PT); 1 Member S</w:t>
      </w:r>
      <w:r>
        <w:t xml:space="preserve">tates (DE). </w:t>
      </w:r>
      <w:proofErr w:type="gramStart"/>
      <w:r>
        <w:t>Interview with 1 responsible authority (NO).</w:t>
      </w:r>
      <w:proofErr w:type="gramEnd"/>
    </w:p>
  </w:footnote>
  <w:footnote w:id="111">
    <w:p w:rsidR="007D3598" w:rsidRDefault="00F8547B">
      <w:pPr>
        <w:pStyle w:val="FootnoteText"/>
      </w:pPr>
      <w:r>
        <w:rPr>
          <w:rStyle w:val="FootnoteReference"/>
        </w:rPr>
        <w:footnoteRef/>
      </w:r>
      <w:r>
        <w:t xml:space="preserve"> </w:t>
      </w:r>
      <w:r>
        <w:tab/>
        <w:t>2 participants to the eighth meeting of the Evaluation Network</w:t>
      </w:r>
      <w:r>
        <w:rPr>
          <w:rStyle w:val="BodyChar"/>
        </w:rPr>
        <w:t xml:space="preserve"> (</w:t>
      </w:r>
      <w:r>
        <w:t>BE and FR).</w:t>
      </w:r>
      <w:r>
        <w:rPr>
          <w:rStyle w:val="FootnoteReference"/>
          <w:lang w:eastAsia="en-GB"/>
        </w:rPr>
        <w:t xml:space="preserve"> </w:t>
      </w:r>
      <w:r>
        <w:rPr>
          <w:lang w:eastAsia="en-GB"/>
        </w:rPr>
        <w:t xml:space="preserve">3 </w:t>
      </w:r>
      <w:r>
        <w:t>Member States (BE, CY and FI). Interviews with 2 RAs (FR and BE). Results from the online survey: 3 beneficiaries (BE,</w:t>
      </w:r>
      <w:r>
        <w:t xml:space="preserve"> CZ and LU) and 2 AAs (CY and HU).</w:t>
      </w:r>
    </w:p>
  </w:footnote>
  <w:footnote w:id="112">
    <w:p w:rsidR="007D3598" w:rsidRDefault="00F8547B">
      <w:pPr>
        <w:pStyle w:val="FootnoteText"/>
      </w:pPr>
      <w:r>
        <w:rPr>
          <w:rStyle w:val="FootnoteReference"/>
        </w:rPr>
        <w:footnoteRef/>
      </w:r>
      <w:r>
        <w:t xml:space="preserve"> </w:t>
      </w:r>
      <w:r>
        <w:tab/>
      </w:r>
      <w:proofErr w:type="spellStart"/>
      <w:proofErr w:type="gramStart"/>
      <w:r>
        <w:t>Optimity</w:t>
      </w:r>
      <w:proofErr w:type="spellEnd"/>
      <w:r>
        <w:t xml:space="preserve"> Advisers and CSD (2016).</w:t>
      </w:r>
      <w:proofErr w:type="gramEnd"/>
      <w:r>
        <w:t xml:space="preserve"> </w:t>
      </w:r>
      <w:proofErr w:type="gramStart"/>
      <w:r>
        <w:rPr>
          <w:i/>
        </w:rPr>
        <w:t>Ex post</w:t>
      </w:r>
      <w:r>
        <w:t xml:space="preserve"> evaluation of the External Borders Fund 2011-2013.</w:t>
      </w:r>
      <w:proofErr w:type="gramEnd"/>
    </w:p>
  </w:footnote>
  <w:footnote w:id="113">
    <w:p w:rsidR="007D3598" w:rsidRDefault="00F8547B">
      <w:pPr>
        <w:pStyle w:val="FootnoteText"/>
      </w:pPr>
      <w:r>
        <w:rPr>
          <w:rStyle w:val="FootnoteReference"/>
        </w:rPr>
        <w:footnoteRef/>
      </w:r>
      <w:r>
        <w:t xml:space="preserve"> </w:t>
      </w:r>
      <w:r>
        <w:tab/>
      </w:r>
      <w:proofErr w:type="gramStart"/>
      <w:r>
        <w:t>SEC(</w:t>
      </w:r>
      <w:proofErr w:type="gramEnd"/>
      <w:r>
        <w:t>2011) 1358 final.</w:t>
      </w:r>
    </w:p>
  </w:footnote>
  <w:footnote w:id="114">
    <w:p w:rsidR="007D3598" w:rsidRDefault="00F8547B">
      <w:pPr>
        <w:pStyle w:val="FootnoteText"/>
      </w:pPr>
      <w:r>
        <w:rPr>
          <w:rStyle w:val="FootnoteReference"/>
        </w:rPr>
        <w:footnoteRef/>
      </w:r>
      <w:r>
        <w:t xml:space="preserve"> </w:t>
      </w:r>
      <w:r>
        <w:tab/>
        <w:t>European Commission, ‘</w:t>
      </w:r>
      <w:proofErr w:type="gramStart"/>
      <w:r>
        <w:t>The</w:t>
      </w:r>
      <w:proofErr w:type="gramEnd"/>
      <w:r>
        <w:t xml:space="preserve"> basic acts and other regulations of the 2014-2020 Home Affairs Funds: A</w:t>
      </w:r>
      <w:r>
        <w:t>MIF and ISF’.</w:t>
      </w:r>
    </w:p>
  </w:footnote>
  <w:footnote w:id="115">
    <w:p w:rsidR="007D3598" w:rsidRDefault="00F8547B">
      <w:pPr>
        <w:pStyle w:val="FootnoteText"/>
      </w:pPr>
      <w:r>
        <w:rPr>
          <w:rStyle w:val="FootnoteReference"/>
        </w:rPr>
        <w:footnoteRef/>
      </w:r>
      <w:r>
        <w:t xml:space="preserve"> </w:t>
      </w:r>
      <w:r>
        <w:tab/>
        <w:t xml:space="preserve">Regulation (EU) 515/2014, (51) in alignment to Council Regulation (EU, </w:t>
      </w:r>
      <w:proofErr w:type="spellStart"/>
      <w:r>
        <w:t>Euratom</w:t>
      </w:r>
      <w:proofErr w:type="spellEnd"/>
      <w:r>
        <w:t>) No 1311/2013 of 2 December 2013 laying down the multiannual financial framework for the years 2014-2020.</w:t>
      </w:r>
    </w:p>
  </w:footnote>
  <w:footnote w:id="116">
    <w:p w:rsidR="007D3598" w:rsidRDefault="00F8547B">
      <w:pPr>
        <w:pStyle w:val="FootnoteText"/>
      </w:pPr>
      <w:r>
        <w:rPr>
          <w:rStyle w:val="FootnoteReference"/>
        </w:rPr>
        <w:footnoteRef/>
      </w:r>
      <w:r>
        <w:t xml:space="preserve"> </w:t>
      </w:r>
      <w:r>
        <w:tab/>
        <w:t>Answers by EU Officials interviewed during intervie</w:t>
      </w:r>
      <w:r>
        <w:t>ws and of 4 out of 30 Member States (BG, PL, MT and NL) providing an overview of ISF-BV’s positive aspects and implementation issues during the eighth Meeting of the Evaluation Network.</w:t>
      </w:r>
    </w:p>
  </w:footnote>
  <w:footnote w:id="117">
    <w:p w:rsidR="007D3598" w:rsidRDefault="00F8547B">
      <w:pPr>
        <w:pStyle w:val="FootnoteText"/>
        <w:rPr>
          <w:b/>
        </w:rPr>
      </w:pPr>
      <w:r>
        <w:rPr>
          <w:rStyle w:val="FootnoteReference"/>
        </w:rPr>
        <w:footnoteRef/>
      </w:r>
      <w:r>
        <w:t xml:space="preserve"> </w:t>
      </w:r>
      <w:r>
        <w:tab/>
      </w:r>
      <w:proofErr w:type="gramStart"/>
      <w:r>
        <w:t>All Member States.</w:t>
      </w:r>
      <w:proofErr w:type="gramEnd"/>
      <w:r>
        <w:t xml:space="preserve"> </w:t>
      </w:r>
      <w:proofErr w:type="gramStart"/>
      <w:r>
        <w:t xml:space="preserve">Interviews with 7 RAs (BG, PT, PL, FR, national </w:t>
      </w:r>
      <w:r>
        <w:t>programme, NL and LT).</w:t>
      </w:r>
      <w:proofErr w:type="gramEnd"/>
      <w:r>
        <w:t xml:space="preserve"> </w:t>
      </w:r>
      <w:proofErr w:type="gramStart"/>
      <w:r>
        <w:t>50% of the replies to the online survey.</w:t>
      </w:r>
      <w:proofErr w:type="gramEnd"/>
      <w:r>
        <w:t xml:space="preserve"> Only Switzerland (interview with the Swiss responsible authority) has provided a different opinion, reporting that the multiannual programming has actually increased overall burden in terms of</w:t>
      </w:r>
      <w:r>
        <w:t xml:space="preserve"> planning actions, since the seven-year timeframe does not enable support for actions that can effectively respond to the ever-changing context, nor does it provide support for the requirements in the fields of borders and visa management</w:t>
      </w:r>
      <w:r>
        <w:rPr>
          <w:lang w:eastAsia="en-GB"/>
        </w:rPr>
        <w:t>.</w:t>
      </w:r>
    </w:p>
  </w:footnote>
  <w:footnote w:id="118">
    <w:p w:rsidR="007D3598" w:rsidRDefault="00F8547B">
      <w:pPr>
        <w:pStyle w:val="FootnoteText"/>
      </w:pPr>
      <w:r>
        <w:rPr>
          <w:rStyle w:val="FootnoteReference"/>
        </w:rPr>
        <w:footnoteRef/>
      </w:r>
      <w:r>
        <w:t xml:space="preserve"> </w:t>
      </w:r>
      <w:r>
        <w:tab/>
        <w:t>Member States</w:t>
      </w:r>
      <w:r>
        <w:t xml:space="preserve">: AT, DE, EE, EL, HU, LT, LU, MT, PL and PT. </w:t>
      </w:r>
      <w:r>
        <w:rPr>
          <w:lang w:eastAsia="en-GB"/>
        </w:rPr>
        <w:t>On the contrary, Cyprus stressed that the introduction of national eligibility rules, as they needed to be established anew, created higher administrative burden, especially at the beginning of the new programmi</w:t>
      </w:r>
      <w:r>
        <w:rPr>
          <w:lang w:eastAsia="en-GB"/>
        </w:rPr>
        <w:t>ng period.</w:t>
      </w:r>
    </w:p>
  </w:footnote>
  <w:footnote w:id="119">
    <w:p w:rsidR="007D3598" w:rsidRDefault="00F8547B">
      <w:pPr>
        <w:pStyle w:val="FootnoteText"/>
      </w:pPr>
      <w:r>
        <w:rPr>
          <w:rStyle w:val="FootnoteReference"/>
        </w:rPr>
        <w:footnoteRef/>
      </w:r>
      <w:r>
        <w:t xml:space="preserve"> </w:t>
      </w:r>
      <w:r>
        <w:tab/>
        <w:t>Member States: CH, EL, FR, LT, LU and PL. Interviews with 4 RAs (BG, BE, NL and SI).</w:t>
      </w:r>
    </w:p>
  </w:footnote>
  <w:footnote w:id="120">
    <w:p w:rsidR="007D3598" w:rsidRDefault="00F8547B">
      <w:pPr>
        <w:pStyle w:val="FootnoteText"/>
      </w:pPr>
      <w:r>
        <w:rPr>
          <w:rStyle w:val="FootnoteReference"/>
        </w:rPr>
        <w:footnoteRef/>
      </w:r>
      <w:r>
        <w:t xml:space="preserve"> </w:t>
      </w:r>
      <w:r>
        <w:tab/>
        <w:t>Webinar held on 14 November on ISF problem definition in the context of the Interim Evaluation to support the preparation of the next generation of EU Fun</w:t>
      </w:r>
      <w:r>
        <w:t>ds in the Home Affairs area;</w:t>
      </w:r>
      <w:r>
        <w:rPr>
          <w:lang w:eastAsia="en-GB"/>
        </w:rPr>
        <w:t xml:space="preserve"> interview with the BG Responsible Authority. </w:t>
      </w:r>
      <w:proofErr w:type="gramStart"/>
      <w:r>
        <w:rPr>
          <w:lang w:eastAsia="en-GB"/>
        </w:rPr>
        <w:t>37% of replies to the online survey.</w:t>
      </w:r>
      <w:proofErr w:type="gramEnd"/>
    </w:p>
  </w:footnote>
  <w:footnote w:id="121">
    <w:p w:rsidR="007D3598" w:rsidRDefault="00F8547B">
      <w:pPr>
        <w:pStyle w:val="FootnoteText"/>
      </w:pPr>
      <w:r>
        <w:rPr>
          <w:rStyle w:val="FootnoteReference"/>
        </w:rPr>
        <w:footnoteRef/>
      </w:r>
      <w:r>
        <w:t xml:space="preserve"> </w:t>
      </w:r>
      <w:r>
        <w:tab/>
      </w:r>
      <w:proofErr w:type="gramStart"/>
      <w:r>
        <w:t>Regulation (EU) 515/2014, Art.10.</w:t>
      </w:r>
      <w:proofErr w:type="gramEnd"/>
    </w:p>
  </w:footnote>
  <w:footnote w:id="122">
    <w:p w:rsidR="007D3598" w:rsidRDefault="00F8547B">
      <w:pPr>
        <w:pStyle w:val="FootnoteText"/>
      </w:pPr>
      <w:r>
        <w:rPr>
          <w:rStyle w:val="FootnoteReference"/>
        </w:rPr>
        <w:footnoteRef/>
      </w:r>
      <w:r>
        <w:t xml:space="preserve"> </w:t>
      </w:r>
      <w:r>
        <w:tab/>
        <w:t xml:space="preserve">Member States: AT, CH, CY, </w:t>
      </w:r>
      <w:proofErr w:type="gramStart"/>
      <w:r>
        <w:t>IS,</w:t>
      </w:r>
      <w:proofErr w:type="gramEnd"/>
      <w:r>
        <w:t xml:space="preserve"> IT and PT.</w:t>
      </w:r>
    </w:p>
  </w:footnote>
  <w:footnote w:id="123">
    <w:p w:rsidR="007D3598" w:rsidRDefault="00F8547B">
      <w:pPr>
        <w:pStyle w:val="FootnoteText"/>
      </w:pPr>
      <w:r>
        <w:rPr>
          <w:rStyle w:val="FootnoteReference"/>
        </w:rPr>
        <w:footnoteRef/>
      </w:r>
      <w:r>
        <w:t xml:space="preserve"> </w:t>
      </w:r>
      <w:r>
        <w:tab/>
        <w:t>Member States: AT, BE and HR.</w:t>
      </w:r>
    </w:p>
  </w:footnote>
  <w:footnote w:id="124">
    <w:p w:rsidR="007D3598" w:rsidRDefault="00F8547B">
      <w:pPr>
        <w:pStyle w:val="FootnoteText"/>
      </w:pPr>
      <w:r>
        <w:rPr>
          <w:rStyle w:val="FootnoteReference"/>
        </w:rPr>
        <w:footnoteRef/>
      </w:r>
      <w:r>
        <w:t xml:space="preserve"> </w:t>
      </w:r>
      <w:r>
        <w:tab/>
        <w:t>Member States: FI, BE, EE a</w:t>
      </w:r>
      <w:r>
        <w:t>nd PL.</w:t>
      </w:r>
    </w:p>
  </w:footnote>
  <w:footnote w:id="125">
    <w:p w:rsidR="007D3598" w:rsidRDefault="00F8547B">
      <w:pPr>
        <w:pStyle w:val="FootnoteText"/>
      </w:pPr>
      <w:r>
        <w:rPr>
          <w:rStyle w:val="FootnoteReference"/>
        </w:rPr>
        <w:footnoteRef/>
      </w:r>
      <w:r>
        <w:t xml:space="preserve"> </w:t>
      </w:r>
      <w:r>
        <w:tab/>
      </w:r>
      <w:proofErr w:type="spellStart"/>
      <w:proofErr w:type="gramStart"/>
      <w:r>
        <w:t>Ibidem</w:t>
      </w:r>
      <w:proofErr w:type="spellEnd"/>
      <w:r>
        <w:t>.</w:t>
      </w:r>
      <w:proofErr w:type="gramEnd"/>
    </w:p>
  </w:footnote>
  <w:footnote w:id="126">
    <w:p w:rsidR="007D3598" w:rsidRDefault="00F8547B">
      <w:pPr>
        <w:pStyle w:val="FootnoteText"/>
      </w:pPr>
      <w:r>
        <w:rPr>
          <w:rStyle w:val="FootnoteReference"/>
        </w:rPr>
        <w:footnoteRef/>
      </w:r>
      <w:r>
        <w:t xml:space="preserve"> </w:t>
      </w:r>
      <w:r>
        <w:tab/>
        <w:t>Member States: LT.</w:t>
      </w:r>
    </w:p>
  </w:footnote>
  <w:footnote w:id="127">
    <w:p w:rsidR="007D3598" w:rsidRDefault="00F8547B">
      <w:pPr>
        <w:pStyle w:val="FootnoteText"/>
      </w:pPr>
      <w:r>
        <w:rPr>
          <w:rStyle w:val="FootnoteReference"/>
        </w:rPr>
        <w:footnoteRef/>
      </w:r>
      <w:r>
        <w:t xml:space="preserve"> </w:t>
      </w:r>
      <w:r>
        <w:tab/>
        <w:t>Details are provided further in this section.</w:t>
      </w:r>
    </w:p>
  </w:footnote>
  <w:footnote w:id="128">
    <w:p w:rsidR="007D3598" w:rsidRDefault="00F8547B">
      <w:pPr>
        <w:pStyle w:val="FootnoteText"/>
      </w:pPr>
      <w:r>
        <w:rPr>
          <w:rStyle w:val="FootnoteReference"/>
        </w:rPr>
        <w:footnoteRef/>
      </w:r>
      <w:r>
        <w:t xml:space="preserve"> </w:t>
      </w:r>
      <w:r>
        <w:tab/>
        <w:t xml:space="preserve">Member States: AT, </w:t>
      </w:r>
      <w:proofErr w:type="gramStart"/>
      <w:r>
        <w:t>BE,</w:t>
      </w:r>
      <w:proofErr w:type="gramEnd"/>
      <w:r>
        <w:t xml:space="preserve"> BG, CH, CY, CZ, DE, EL, EE, ES, FI, FR, HR, HU, IT, LU, LV, MT, NL, PL, PT, SE and SI. Interviews with 6 RAs (NO, NL, BE, IT, ES and BG); 1 </w:t>
      </w:r>
      <w:r>
        <w:t>delegated authority (EL).</w:t>
      </w:r>
    </w:p>
  </w:footnote>
  <w:footnote w:id="129">
    <w:p w:rsidR="007D3598" w:rsidRDefault="00F8547B">
      <w:pPr>
        <w:pStyle w:val="FootnoteText"/>
      </w:pPr>
      <w:r>
        <w:rPr>
          <w:rStyle w:val="FootnoteReference"/>
        </w:rPr>
        <w:footnoteRef/>
      </w:r>
      <w:r>
        <w:t xml:space="preserve"> </w:t>
      </w:r>
      <w:r>
        <w:tab/>
        <w:t>Interviews with BE, CH, and NO RAs and Webinar held on 14 November on ISF problem definition in the context of the Interim Evaluation to support the preparation of the next generation of EU Funds in the Home Affairs area.</w:t>
      </w:r>
    </w:p>
  </w:footnote>
  <w:footnote w:id="130">
    <w:p w:rsidR="007D3598" w:rsidRDefault="00F8547B">
      <w:pPr>
        <w:pStyle w:val="FootnoteText"/>
      </w:pPr>
      <w:r>
        <w:rPr>
          <w:rStyle w:val="FootnoteReference"/>
        </w:rPr>
        <w:footnoteRef/>
      </w:r>
      <w:r>
        <w:t xml:space="preserve"> </w:t>
      </w:r>
      <w:r>
        <w:tab/>
        <w:t>CM</w:t>
      </w:r>
      <w:r>
        <w:t>EF was approved on 3 October 2016.</w:t>
      </w:r>
    </w:p>
  </w:footnote>
  <w:footnote w:id="131">
    <w:p w:rsidR="007D3598" w:rsidRDefault="00F8547B">
      <w:pPr>
        <w:pStyle w:val="FootnoteText"/>
      </w:pPr>
      <w:r>
        <w:rPr>
          <w:rStyle w:val="FootnoteReference"/>
        </w:rPr>
        <w:footnoteRef/>
      </w:r>
      <w:r>
        <w:t xml:space="preserve"> </w:t>
      </w:r>
      <w:r>
        <w:tab/>
      </w:r>
      <w:proofErr w:type="gramStart"/>
      <w:r>
        <w:t>Interviews with CH and NO RAs.</w:t>
      </w:r>
      <w:proofErr w:type="gramEnd"/>
    </w:p>
  </w:footnote>
  <w:footnote w:id="132">
    <w:p w:rsidR="007D3598" w:rsidRDefault="00F8547B">
      <w:pPr>
        <w:pStyle w:val="FootnoteText"/>
      </w:pPr>
      <w:r>
        <w:rPr>
          <w:rStyle w:val="FootnoteReference"/>
        </w:rPr>
        <w:footnoteRef/>
      </w:r>
      <w:r>
        <w:t xml:space="preserve"> </w:t>
      </w:r>
      <w:r>
        <w:tab/>
        <w:t>Member States: FI and RO.</w:t>
      </w:r>
    </w:p>
  </w:footnote>
  <w:footnote w:id="133">
    <w:p w:rsidR="007D3598" w:rsidRDefault="00F8547B">
      <w:pPr>
        <w:pStyle w:val="FootnoteText"/>
      </w:pPr>
      <w:r>
        <w:rPr>
          <w:rStyle w:val="FootnoteReference"/>
        </w:rPr>
        <w:footnoteRef/>
      </w:r>
      <w:r>
        <w:t xml:space="preserve"> </w:t>
      </w:r>
      <w:r>
        <w:tab/>
        <w:t>Member States: HU.</w:t>
      </w:r>
    </w:p>
  </w:footnote>
  <w:footnote w:id="134">
    <w:p w:rsidR="007D3598" w:rsidRDefault="00F8547B">
      <w:pPr>
        <w:pStyle w:val="FootnoteText"/>
      </w:pPr>
      <w:r>
        <w:rPr>
          <w:rStyle w:val="FootnoteReference"/>
        </w:rPr>
        <w:footnoteRef/>
      </w:r>
      <w:r>
        <w:t xml:space="preserve"> </w:t>
      </w:r>
      <w:r>
        <w:tab/>
      </w:r>
      <w:proofErr w:type="gramStart"/>
      <w:r>
        <w:t>Analysis of EMAS and UAs technical reports.</w:t>
      </w:r>
      <w:proofErr w:type="gramEnd"/>
      <w:r>
        <w:t xml:space="preserve"> Interviews with RAs: BG and IT. </w:t>
      </w:r>
      <w:proofErr w:type="gramStart"/>
      <w:r>
        <w:t>71 % of replies to the online survey.</w:t>
      </w:r>
      <w:proofErr w:type="gramEnd"/>
    </w:p>
  </w:footnote>
  <w:footnote w:id="135">
    <w:p w:rsidR="007D3598" w:rsidRDefault="00F8547B">
      <w:pPr>
        <w:pStyle w:val="FootnoteText"/>
      </w:pPr>
      <w:r>
        <w:rPr>
          <w:rStyle w:val="FootnoteReference"/>
        </w:rPr>
        <w:footnoteRef/>
      </w:r>
      <w:r>
        <w:t xml:space="preserve"> </w:t>
      </w:r>
      <w:r>
        <w:tab/>
        <w:t>For instance, as</w:t>
      </w:r>
      <w:r>
        <w:t xml:space="preserve"> regards the implementation of EMAS in Greece (</w:t>
      </w:r>
      <w:r>
        <w:rPr>
          <w:lang w:eastAsia="nl-BE"/>
        </w:rPr>
        <w:t>HOME/2014/ISFB/AG/EMAS/0007 and HOME/2014/ISFB/AG/EMAS/0008), the austerity measures and capital control at national level created a limited vendor base and frequent requests for advance payments.</w:t>
      </w:r>
    </w:p>
  </w:footnote>
  <w:footnote w:id="136">
    <w:p w:rsidR="007D3598" w:rsidRDefault="00F8547B">
      <w:pPr>
        <w:pStyle w:val="FootnoteText"/>
      </w:pPr>
      <w:r>
        <w:rPr>
          <w:rStyle w:val="FootnoteReference"/>
        </w:rPr>
        <w:footnoteRef/>
      </w:r>
      <w:r>
        <w:t xml:space="preserve"> </w:t>
      </w:r>
      <w:r>
        <w:tab/>
      </w:r>
      <w:proofErr w:type="gramStart"/>
      <w:r>
        <w:t xml:space="preserve">Analysis </w:t>
      </w:r>
      <w:r>
        <w:t>of EMAS and UAs technical reports.</w:t>
      </w:r>
      <w:proofErr w:type="gramEnd"/>
    </w:p>
  </w:footnote>
  <w:footnote w:id="137">
    <w:p w:rsidR="007D3598" w:rsidRDefault="00F8547B">
      <w:pPr>
        <w:pStyle w:val="FootnoteText"/>
      </w:pPr>
      <w:r>
        <w:rPr>
          <w:rStyle w:val="FootnoteReference"/>
        </w:rPr>
        <w:footnoteRef/>
      </w:r>
      <w:r>
        <w:t xml:space="preserve"> </w:t>
      </w:r>
      <w:r>
        <w:tab/>
      </w:r>
      <w:proofErr w:type="spellStart"/>
      <w:r>
        <w:t>Frontex</w:t>
      </w:r>
      <w:proofErr w:type="spellEnd"/>
      <w:r>
        <w:t xml:space="preserve"> Risk Analysis Annual Report 2018.</w:t>
      </w:r>
    </w:p>
  </w:footnote>
  <w:footnote w:id="138">
    <w:p w:rsidR="007D3598" w:rsidRDefault="00F8547B">
      <w:pPr>
        <w:pStyle w:val="FootnoteText"/>
        <w:rPr>
          <w:lang w:val="sv-SE"/>
        </w:rPr>
      </w:pPr>
      <w:r>
        <w:rPr>
          <w:rStyle w:val="FootnoteReference"/>
        </w:rPr>
        <w:footnoteRef/>
      </w:r>
      <w:r>
        <w:rPr>
          <w:lang w:val="sv-SE"/>
        </w:rPr>
        <w:t xml:space="preserve"> </w:t>
      </w:r>
      <w:r>
        <w:rPr>
          <w:lang w:val="sv-SE"/>
        </w:rPr>
        <w:tab/>
        <w:t>Ibid.</w:t>
      </w:r>
    </w:p>
  </w:footnote>
  <w:footnote w:id="139">
    <w:p w:rsidR="007D3598" w:rsidRDefault="00F8547B">
      <w:pPr>
        <w:pStyle w:val="FootnoteText"/>
        <w:rPr>
          <w:lang w:val="sv-SE"/>
        </w:rPr>
      </w:pPr>
      <w:r>
        <w:rPr>
          <w:rStyle w:val="FootnoteReference"/>
        </w:rPr>
        <w:footnoteRef/>
      </w:r>
      <w:r>
        <w:rPr>
          <w:lang w:val="sv-SE"/>
        </w:rPr>
        <w:t xml:space="preserve"> </w:t>
      </w:r>
      <w:r>
        <w:rPr>
          <w:lang w:val="sv-SE"/>
        </w:rPr>
        <w:tab/>
      </w:r>
      <w:proofErr w:type="spellStart"/>
      <w:r>
        <w:rPr>
          <w:lang w:val="sv-SE"/>
        </w:rPr>
        <w:t>Frontex</w:t>
      </w:r>
      <w:proofErr w:type="spellEnd"/>
      <w:r>
        <w:rPr>
          <w:lang w:val="sv-SE"/>
        </w:rPr>
        <w:t xml:space="preserve"> Risk </w:t>
      </w:r>
      <w:proofErr w:type="spellStart"/>
      <w:r>
        <w:rPr>
          <w:lang w:val="sv-SE"/>
        </w:rPr>
        <w:t>Analysis</w:t>
      </w:r>
      <w:proofErr w:type="spellEnd"/>
      <w:r>
        <w:rPr>
          <w:lang w:val="sv-SE"/>
        </w:rPr>
        <w:t xml:space="preserve"> (FRAN) 2016, Q2.</w:t>
      </w:r>
    </w:p>
  </w:footnote>
  <w:footnote w:id="140">
    <w:p w:rsidR="007D3598" w:rsidRDefault="00F8547B">
      <w:pPr>
        <w:pStyle w:val="FootnoteText"/>
      </w:pPr>
      <w:r>
        <w:rPr>
          <w:rStyle w:val="FootnoteReference"/>
        </w:rPr>
        <w:footnoteRef/>
      </w:r>
      <w:r>
        <w:t xml:space="preserve"> </w:t>
      </w:r>
      <w:r>
        <w:tab/>
        <w:t>In the first quarter of 2017, irregular migration flows from Libya, Turkey, Algeria and Greece all increased, while the nu</w:t>
      </w:r>
      <w:r>
        <w:t>mber of arrivals from Tunisia decreased (</w:t>
      </w:r>
      <w:proofErr w:type="spellStart"/>
      <w:r>
        <w:t>Frontex</w:t>
      </w:r>
      <w:proofErr w:type="spellEnd"/>
      <w:r>
        <w:t xml:space="preserve"> Risk Analysis (FRAN) 2017, Q1).</w:t>
      </w:r>
    </w:p>
  </w:footnote>
  <w:footnote w:id="141">
    <w:p w:rsidR="007D3598" w:rsidRDefault="00F8547B">
      <w:pPr>
        <w:pStyle w:val="FootnoteText"/>
      </w:pPr>
      <w:r>
        <w:rPr>
          <w:rStyle w:val="FootnoteReference"/>
        </w:rPr>
        <w:footnoteRef/>
      </w:r>
      <w:r>
        <w:t xml:space="preserve"> </w:t>
      </w:r>
      <w:r>
        <w:tab/>
      </w:r>
      <w:proofErr w:type="gramStart"/>
      <w:r>
        <w:t>COM(</w:t>
      </w:r>
      <w:proofErr w:type="gramEnd"/>
      <w:r>
        <w:t>2015) 185 final European Agenda on Security.</w:t>
      </w:r>
    </w:p>
  </w:footnote>
  <w:footnote w:id="142">
    <w:p w:rsidR="007D3598" w:rsidRDefault="00F8547B">
      <w:pPr>
        <w:pStyle w:val="FootnoteText"/>
      </w:pPr>
      <w:r>
        <w:rPr>
          <w:rStyle w:val="FootnoteReference"/>
        </w:rPr>
        <w:footnoteRef/>
      </w:r>
      <w:r>
        <w:t xml:space="preserve"> </w:t>
      </w:r>
      <w:r>
        <w:tab/>
      </w:r>
      <w:proofErr w:type="gramStart"/>
      <w:r>
        <w:t>COM /2015) 285 final EU action plan against migrant smuggling (2015-2020).</w:t>
      </w:r>
      <w:proofErr w:type="gramEnd"/>
    </w:p>
  </w:footnote>
  <w:footnote w:id="143">
    <w:p w:rsidR="007D3598" w:rsidRDefault="00F8547B">
      <w:pPr>
        <w:pStyle w:val="FootnoteText"/>
      </w:pPr>
      <w:r>
        <w:rPr>
          <w:rStyle w:val="FootnoteReference"/>
        </w:rPr>
        <w:footnoteRef/>
      </w:r>
      <w:r>
        <w:t xml:space="preserve"> </w:t>
      </w:r>
      <w:r>
        <w:tab/>
        <w:t>This suspension mechanism ex Article 1a of</w:t>
      </w:r>
      <w:r>
        <w:t xml:space="preserve"> Regulation (EC) No 539/2001 allows the visa exemption for third-country nationals to be temporarily suspended in certain emergency situations, as a last resort. The proposed revision was meant to strengthen the suspension mechanism by making it easier for</w:t>
      </w:r>
      <w:r>
        <w:t xml:space="preserve"> Member States to notify circumstances leading to a possible suspension (COM (2016) 290 final).</w:t>
      </w:r>
    </w:p>
  </w:footnote>
  <w:footnote w:id="144">
    <w:p w:rsidR="007D3598" w:rsidRDefault="00F8547B">
      <w:pPr>
        <w:pStyle w:val="FootnoteText"/>
      </w:pPr>
      <w:r>
        <w:rPr>
          <w:rStyle w:val="FootnoteReference"/>
        </w:rPr>
        <w:footnoteRef/>
      </w:r>
      <w:r>
        <w:t xml:space="preserve"> </w:t>
      </w:r>
      <w:r>
        <w:tab/>
        <w:t>Eighth Meeting of the Evaluation Network: BE, CH, EE, ES, LT, NL, NO, PL and HU. Member States: AT, CH, CY, CZ, DE, EL, FI, HU, IT, LT, LU, LV, NL, PL, PT, R</w:t>
      </w:r>
      <w:r>
        <w:t>O, SE, SI and SK. Interviews with 10 RAs (NO, PT, PL, BG, FR, NL, LT, NL, FI and IT) and 1 delegated authority (EL).</w:t>
      </w:r>
    </w:p>
  </w:footnote>
  <w:footnote w:id="145">
    <w:p w:rsidR="007D3598" w:rsidRDefault="00F8547B">
      <w:pPr>
        <w:pStyle w:val="FootnoteText"/>
      </w:pPr>
      <w:r>
        <w:rPr>
          <w:rStyle w:val="FootnoteReference"/>
        </w:rPr>
        <w:footnoteRef/>
      </w:r>
      <w:r>
        <w:t xml:space="preserve"> </w:t>
      </w:r>
      <w:r>
        <w:tab/>
        <w:t>National programmes: BE, BG, CH and NL.</w:t>
      </w:r>
    </w:p>
  </w:footnote>
  <w:footnote w:id="146">
    <w:p w:rsidR="007D3598" w:rsidRDefault="00F8547B">
      <w:pPr>
        <w:pStyle w:val="FootnoteText"/>
      </w:pPr>
      <w:r>
        <w:rPr>
          <w:rStyle w:val="FootnoteReference"/>
        </w:rPr>
        <w:footnoteRef/>
      </w:r>
      <w:r>
        <w:t xml:space="preserve"> </w:t>
      </w:r>
      <w:r>
        <w:tab/>
        <w:t xml:space="preserve">For instance in the baseline data given in the Swiss draft national programme, in 2015, </w:t>
      </w:r>
      <w:r>
        <w:t>compared to 2014, the number of asylum applications rose by 66.3% (from 23 765 applications to 39 523). Thus, Switzerland remained one of the primary destination countries for people crossing the central Mediterranean to Europe.</w:t>
      </w:r>
    </w:p>
  </w:footnote>
  <w:footnote w:id="147">
    <w:p w:rsidR="007D3598" w:rsidRDefault="00F8547B">
      <w:pPr>
        <w:pStyle w:val="FootnoteText"/>
      </w:pPr>
      <w:r>
        <w:rPr>
          <w:rStyle w:val="FootnoteReference"/>
        </w:rPr>
        <w:footnoteRef/>
      </w:r>
      <w:r>
        <w:t xml:space="preserve"> </w:t>
      </w:r>
      <w:r>
        <w:tab/>
        <w:t>National programmes: CY,</w:t>
      </w:r>
      <w:r>
        <w:t xml:space="preserve"> CZ, FR and IT.</w:t>
      </w:r>
    </w:p>
  </w:footnote>
  <w:footnote w:id="148">
    <w:p w:rsidR="007D3598" w:rsidRDefault="00F8547B">
      <w:pPr>
        <w:pStyle w:val="FootnoteText"/>
      </w:pPr>
      <w:r>
        <w:rPr>
          <w:rStyle w:val="FootnoteReference"/>
        </w:rPr>
        <w:footnoteRef/>
      </w:r>
      <w:r>
        <w:t xml:space="preserve"> </w:t>
      </w:r>
      <w:r>
        <w:tab/>
        <w:t xml:space="preserve">A priority in the following National programmes: BG, CY, CZ, FI, FR, GR, HR, LV, LT, PL and SK. In the case of EE and FI, EUROSUR was emphasised as the most significant development in the coming years. On the contrary, EUROSUR was not a </w:t>
      </w:r>
      <w:r>
        <w:t>priority for NO and SI where all necessary infrastructure and equipment had already been purchased before the ISF was implemented.</w:t>
      </w:r>
    </w:p>
  </w:footnote>
  <w:footnote w:id="149">
    <w:p w:rsidR="007D3598" w:rsidRDefault="00F8547B">
      <w:pPr>
        <w:pStyle w:val="FootnoteText"/>
        <w:ind w:firstLine="0"/>
      </w:pPr>
      <w:r>
        <w:rPr>
          <w:rStyle w:val="FootnoteReference"/>
        </w:rPr>
        <w:footnoteRef/>
      </w:r>
      <w:r>
        <w:t xml:space="preserve">Further information on the </w:t>
      </w:r>
      <w:proofErr w:type="spellStart"/>
      <w:r>
        <w:t>Frontex</w:t>
      </w:r>
      <w:proofErr w:type="spellEnd"/>
      <w:r>
        <w:t xml:space="preserve"> Common Core Curriculum can be found at: </w:t>
      </w:r>
      <w:hyperlink r:id="rId2" w:history="1">
        <w:r>
          <w:rPr>
            <w:rStyle w:val="Hyperlink"/>
          </w:rPr>
          <w:t>http://frontex.europa.eu/training/educational-standards/</w:t>
        </w:r>
      </w:hyperlink>
    </w:p>
  </w:footnote>
  <w:footnote w:id="150">
    <w:p w:rsidR="007D3598" w:rsidRDefault="00F8547B">
      <w:pPr>
        <w:pStyle w:val="FootnoteText"/>
      </w:pPr>
      <w:r>
        <w:rPr>
          <w:rStyle w:val="FootnoteReference"/>
        </w:rPr>
        <w:footnoteRef/>
      </w:r>
      <w:r>
        <w:t xml:space="preserve"> </w:t>
      </w:r>
      <w:r>
        <w:tab/>
        <w:t>National programmes: BG, CZ, FI, FR and HU.</w:t>
      </w:r>
    </w:p>
  </w:footnote>
  <w:footnote w:id="151">
    <w:p w:rsidR="007D3598" w:rsidRDefault="00F8547B">
      <w:pPr>
        <w:pStyle w:val="FootnoteText"/>
      </w:pPr>
      <w:r>
        <w:rPr>
          <w:rStyle w:val="FootnoteReference"/>
        </w:rPr>
        <w:footnoteRef/>
      </w:r>
      <w:r>
        <w:t xml:space="preserve"> </w:t>
      </w:r>
      <w:r>
        <w:tab/>
        <w:t>National programmes: BG, CZ, EE, FR, GR, HR, HU, PT, SK and SI.</w:t>
      </w:r>
    </w:p>
  </w:footnote>
  <w:footnote w:id="152">
    <w:p w:rsidR="007D3598" w:rsidRDefault="00F8547B">
      <w:pPr>
        <w:pStyle w:val="FootnoteText"/>
      </w:pPr>
      <w:r>
        <w:rPr>
          <w:rStyle w:val="FootnoteReference"/>
        </w:rPr>
        <w:footnoteRef/>
      </w:r>
      <w:r>
        <w:t xml:space="preserve"> </w:t>
      </w:r>
      <w:r>
        <w:tab/>
      </w:r>
      <w:proofErr w:type="gramStart"/>
      <w:r>
        <w:t>e.g</w:t>
      </w:r>
      <w:proofErr w:type="gramEnd"/>
      <w:r>
        <w:t>. training on implementation of Schengen Acquis, docume</w:t>
      </w:r>
      <w:r>
        <w:t>nt forgery, methodological training, and handling apprehended vulnerable-persons.</w:t>
      </w:r>
    </w:p>
  </w:footnote>
  <w:footnote w:id="153">
    <w:p w:rsidR="007D3598" w:rsidRDefault="00F8547B">
      <w:pPr>
        <w:pStyle w:val="FootnoteText"/>
      </w:pPr>
      <w:r>
        <w:rPr>
          <w:rStyle w:val="FootnoteReference"/>
        </w:rPr>
        <w:footnoteRef/>
      </w:r>
      <w:r>
        <w:t xml:space="preserve"> </w:t>
      </w:r>
      <w:r>
        <w:tab/>
      </w:r>
      <w:proofErr w:type="gramStart"/>
      <w:r>
        <w:t>Referred to in national programmes: FI and FR.</w:t>
      </w:r>
      <w:proofErr w:type="gramEnd"/>
    </w:p>
  </w:footnote>
  <w:footnote w:id="154">
    <w:p w:rsidR="007D3598" w:rsidRDefault="00F8547B">
      <w:pPr>
        <w:pStyle w:val="FootnoteText"/>
      </w:pPr>
      <w:r>
        <w:rPr>
          <w:rStyle w:val="FootnoteReference"/>
        </w:rPr>
        <w:footnoteRef/>
      </w:r>
      <w:r>
        <w:t xml:space="preserve"> </w:t>
      </w:r>
      <w:r>
        <w:tab/>
        <w:t>National programmes: DE, DK, FI, GR, IT, PT and SK. The installation of the ABC gates was a top priority in Iceland.</w:t>
      </w:r>
    </w:p>
  </w:footnote>
  <w:footnote w:id="155">
    <w:p w:rsidR="007D3598" w:rsidRDefault="00F8547B">
      <w:pPr>
        <w:pStyle w:val="FootnoteText"/>
      </w:pPr>
      <w:r>
        <w:rPr>
          <w:rStyle w:val="FootnoteReference"/>
        </w:rPr>
        <w:footnoteRef/>
      </w:r>
      <w:r>
        <w:t xml:space="preserve"> </w:t>
      </w:r>
      <w:r>
        <w:tab/>
        <w:t>N</w:t>
      </w:r>
      <w:r>
        <w:t>ational programmes: LV, LU, PT and SI.</w:t>
      </w:r>
    </w:p>
  </w:footnote>
  <w:footnote w:id="156">
    <w:p w:rsidR="007D3598" w:rsidRDefault="00F8547B">
      <w:pPr>
        <w:pStyle w:val="FootnoteText"/>
      </w:pPr>
      <w:r>
        <w:rPr>
          <w:rStyle w:val="FootnoteReference"/>
        </w:rPr>
        <w:footnoteRef/>
      </w:r>
      <w:r>
        <w:t xml:space="preserve"> </w:t>
      </w:r>
      <w:r>
        <w:tab/>
        <w:t>National programmes: CH, CY, EE and FR.</w:t>
      </w:r>
    </w:p>
  </w:footnote>
  <w:footnote w:id="157">
    <w:p w:rsidR="007D3598" w:rsidRDefault="00F8547B">
      <w:pPr>
        <w:pStyle w:val="FootnoteText"/>
      </w:pPr>
      <w:r>
        <w:rPr>
          <w:rStyle w:val="FootnoteReference"/>
        </w:rPr>
        <w:footnoteRef/>
      </w:r>
      <w:r>
        <w:t xml:space="preserve"> </w:t>
      </w:r>
      <w:r>
        <w:tab/>
        <w:t>Source: National programmes.</w:t>
      </w:r>
    </w:p>
  </w:footnote>
  <w:footnote w:id="158">
    <w:p w:rsidR="007D3598" w:rsidRDefault="00F8547B">
      <w:pPr>
        <w:pStyle w:val="FootnoteText"/>
      </w:pPr>
      <w:r>
        <w:rPr>
          <w:rStyle w:val="FootnoteReference"/>
        </w:rPr>
        <w:footnoteRef/>
      </w:r>
      <w:r>
        <w:t xml:space="preserve"> </w:t>
      </w:r>
      <w:r>
        <w:tab/>
      </w:r>
      <w:proofErr w:type="gramStart"/>
      <w:r>
        <w:t>For instance, a single internet service provider that will create a Multi-Protocol Label Switching network.</w:t>
      </w:r>
      <w:proofErr w:type="gramEnd"/>
    </w:p>
  </w:footnote>
  <w:footnote w:id="159">
    <w:p w:rsidR="007D3598" w:rsidRDefault="00F8547B">
      <w:pPr>
        <w:pStyle w:val="FootnoteText"/>
      </w:pPr>
      <w:r>
        <w:rPr>
          <w:rStyle w:val="FootnoteReference"/>
        </w:rPr>
        <w:footnoteRef/>
      </w:r>
      <w:r>
        <w:t xml:space="preserve"> </w:t>
      </w:r>
      <w:r>
        <w:tab/>
        <w:t xml:space="preserve">As underlined by the </w:t>
      </w:r>
      <w:r>
        <w:t>Hungarian national programme, it was necessary to invest in Visa Information System and interoperability for Visa Information System with existing and new IT systems. Similarly, Denmark intended to optimise 75 % of Visa Information System with the Fund’s h</w:t>
      </w:r>
      <w:r>
        <w:t>elp. On the contrary, Switzerland covered this need through national resources.</w:t>
      </w:r>
    </w:p>
  </w:footnote>
  <w:footnote w:id="160">
    <w:p w:rsidR="007D3598" w:rsidRDefault="00F8547B">
      <w:pPr>
        <w:pStyle w:val="FootnoteText"/>
      </w:pPr>
      <w:r>
        <w:rPr>
          <w:rStyle w:val="FootnoteReference"/>
        </w:rPr>
        <w:footnoteRef/>
      </w:r>
      <w:r>
        <w:t xml:space="preserve"> </w:t>
      </w:r>
      <w:r>
        <w:tab/>
        <w:t>5 national programmes (IT, CY, ES, FI and FR).</w:t>
      </w:r>
    </w:p>
  </w:footnote>
  <w:footnote w:id="161">
    <w:p w:rsidR="007D3598" w:rsidRDefault="00F8547B">
      <w:pPr>
        <w:pStyle w:val="FootnoteText"/>
      </w:pPr>
      <w:r>
        <w:rPr>
          <w:rStyle w:val="FootnoteReference"/>
        </w:rPr>
        <w:footnoteRef/>
      </w:r>
      <w:r>
        <w:t xml:space="preserve"> </w:t>
      </w:r>
      <w:r>
        <w:tab/>
        <w:t>5 national programmes (FI, DE, HR, IS and SK).</w:t>
      </w:r>
    </w:p>
  </w:footnote>
  <w:footnote w:id="162">
    <w:p w:rsidR="007D3598" w:rsidRDefault="00F8547B">
      <w:pPr>
        <w:pStyle w:val="FootnoteText"/>
      </w:pPr>
      <w:r>
        <w:rPr>
          <w:rStyle w:val="FootnoteReference"/>
        </w:rPr>
        <w:footnoteRef/>
      </w:r>
      <w:r>
        <w:t xml:space="preserve"> </w:t>
      </w:r>
      <w:r>
        <w:tab/>
        <w:t>Interviews with 2 RAs (BE and CH).</w:t>
      </w:r>
    </w:p>
  </w:footnote>
  <w:footnote w:id="163">
    <w:p w:rsidR="007D3598" w:rsidRDefault="00F8547B">
      <w:pPr>
        <w:pStyle w:val="FootnoteText"/>
      </w:pPr>
      <w:r>
        <w:rPr>
          <w:rStyle w:val="FootnoteReference"/>
        </w:rPr>
        <w:footnoteRef/>
      </w:r>
      <w:r>
        <w:t xml:space="preserve"> </w:t>
      </w:r>
      <w:r>
        <w:tab/>
        <w:t>Member States: AT. Eighth Meeting o</w:t>
      </w:r>
      <w:r>
        <w:t>f the Evaluation Network: BE and NL.</w:t>
      </w:r>
    </w:p>
  </w:footnote>
  <w:footnote w:id="164">
    <w:p w:rsidR="007D3598" w:rsidRDefault="00F8547B">
      <w:pPr>
        <w:pStyle w:val="FootnoteText"/>
      </w:pPr>
      <w:r>
        <w:rPr>
          <w:rStyle w:val="FootnoteReference"/>
        </w:rPr>
        <w:footnoteRef/>
      </w:r>
      <w:r>
        <w:t xml:space="preserve"> </w:t>
      </w:r>
      <w:r>
        <w:tab/>
        <w:t>Member States: AT. Eighth Meeting of the Evaluation Network: BE and NL. Poland is not in line with this statement as it deems the rules governing the transfer of funds between different objectives as easing the Fund’</w:t>
      </w:r>
      <w:r>
        <w:t>s management, allowing for flexible adaptation to the current needs.</w:t>
      </w:r>
    </w:p>
  </w:footnote>
  <w:footnote w:id="165">
    <w:p w:rsidR="007D3598" w:rsidRDefault="00F8547B">
      <w:pPr>
        <w:pStyle w:val="FootnoteText"/>
      </w:pPr>
      <w:r>
        <w:rPr>
          <w:rStyle w:val="FootnoteReference"/>
        </w:rPr>
        <w:footnoteRef/>
      </w:r>
      <w:r>
        <w:t xml:space="preserve"> </w:t>
      </w:r>
      <w:r>
        <w:tab/>
        <w:t>Interviews with 6 RAs (BE, BG, FR, PT, PL and LT).</w:t>
      </w:r>
    </w:p>
  </w:footnote>
  <w:footnote w:id="166">
    <w:p w:rsidR="007D3598" w:rsidRDefault="00F8547B">
      <w:pPr>
        <w:pStyle w:val="FootnoteText"/>
      </w:pPr>
      <w:r>
        <w:rPr>
          <w:rStyle w:val="FootnoteReference"/>
        </w:rPr>
        <w:footnoteRef/>
      </w:r>
      <w:r>
        <w:t xml:space="preserve"> </w:t>
      </w:r>
      <w:r>
        <w:tab/>
      </w:r>
      <w:proofErr w:type="gramStart"/>
      <w:r>
        <w:t>Regulation (EU) 515/2014.</w:t>
      </w:r>
      <w:proofErr w:type="gramEnd"/>
    </w:p>
  </w:footnote>
  <w:footnote w:id="167">
    <w:p w:rsidR="007D3598" w:rsidRDefault="00F8547B">
      <w:pPr>
        <w:pStyle w:val="FootnoteText"/>
      </w:pPr>
      <w:r>
        <w:rPr>
          <w:rStyle w:val="FootnoteReference"/>
        </w:rPr>
        <w:footnoteRef/>
      </w:r>
      <w:r>
        <w:t xml:space="preserve"> </w:t>
      </w:r>
      <w:r>
        <w:tab/>
      </w:r>
      <w:proofErr w:type="gramStart"/>
      <w:r>
        <w:t>Regulation (EU) 515/2014.</w:t>
      </w:r>
      <w:proofErr w:type="gramEnd"/>
    </w:p>
  </w:footnote>
  <w:footnote w:id="168">
    <w:p w:rsidR="007D3598" w:rsidRDefault="00F8547B">
      <w:pPr>
        <w:pStyle w:val="FootnoteText"/>
      </w:pPr>
      <w:r>
        <w:rPr>
          <w:rStyle w:val="FootnoteReference"/>
        </w:rPr>
        <w:footnoteRef/>
      </w:r>
      <w:r>
        <w:t xml:space="preserve"> </w:t>
      </w:r>
      <w:r>
        <w:tab/>
      </w:r>
      <w:proofErr w:type="gramStart"/>
      <w:r>
        <w:t>Interview with 1 Union action beneficiary (PT).</w:t>
      </w:r>
      <w:proofErr w:type="gramEnd"/>
    </w:p>
  </w:footnote>
  <w:footnote w:id="169">
    <w:p w:rsidR="007D3598" w:rsidRDefault="00F8547B">
      <w:pPr>
        <w:pStyle w:val="FootnoteText"/>
      </w:pPr>
      <w:r>
        <w:rPr>
          <w:rStyle w:val="FootnoteReference"/>
        </w:rPr>
        <w:footnoteRef/>
      </w:r>
      <w:r>
        <w:t xml:space="preserve"> </w:t>
      </w:r>
      <w:r>
        <w:tab/>
      </w:r>
      <w:proofErr w:type="gramStart"/>
      <w:r>
        <w:t>Interview with 1 Unio</w:t>
      </w:r>
      <w:r>
        <w:t>n action beneficiary (ES).</w:t>
      </w:r>
      <w:proofErr w:type="gramEnd"/>
    </w:p>
  </w:footnote>
  <w:footnote w:id="170">
    <w:p w:rsidR="007D3598" w:rsidRDefault="00F8547B">
      <w:pPr>
        <w:pStyle w:val="FootnoteText"/>
      </w:pPr>
      <w:r>
        <w:rPr>
          <w:rStyle w:val="FootnoteReference"/>
        </w:rPr>
        <w:footnoteRef/>
      </w:r>
      <w:r>
        <w:t xml:space="preserve"> </w:t>
      </w:r>
      <w:r>
        <w:tab/>
        <w:t>Regulation (EU) 515/2014, Article 2 f) and Article 14.</w:t>
      </w:r>
    </w:p>
  </w:footnote>
  <w:footnote w:id="171">
    <w:p w:rsidR="007D3598" w:rsidRDefault="00F8547B">
      <w:pPr>
        <w:pStyle w:val="FootnoteText"/>
      </w:pPr>
      <w:r>
        <w:rPr>
          <w:rStyle w:val="FootnoteReference"/>
        </w:rPr>
        <w:footnoteRef/>
      </w:r>
      <w:r>
        <w:t xml:space="preserve"> </w:t>
      </w:r>
      <w:r>
        <w:tab/>
        <w:t>Interviews with 7 RAs (BE, BG, EL, FR, LT, PL and PT).</w:t>
      </w:r>
    </w:p>
  </w:footnote>
  <w:footnote w:id="172">
    <w:p w:rsidR="007D3598" w:rsidRDefault="00F8547B">
      <w:pPr>
        <w:pStyle w:val="FootnoteText"/>
      </w:pPr>
      <w:r>
        <w:rPr>
          <w:rStyle w:val="FootnoteReference"/>
        </w:rPr>
        <w:footnoteRef/>
      </w:r>
      <w:r>
        <w:t xml:space="preserve"> </w:t>
      </w:r>
      <w:r>
        <w:tab/>
        <w:t>The Hotspot approach was developed as part of the European Agenda on Migration. The operational support provid</w:t>
      </w:r>
      <w:r>
        <w:t xml:space="preserve">ed to Member States is concentrated on registering, identifying, </w:t>
      </w:r>
      <w:proofErr w:type="gramStart"/>
      <w:r>
        <w:t>fingerprinting</w:t>
      </w:r>
      <w:proofErr w:type="gramEnd"/>
      <w:r>
        <w:t xml:space="preserve"> and debriefing asylum seekers. It is also concentrated on return operations. The Member States cooperate closely with the Commission and a few EU agencies (EASO, Europol, </w:t>
      </w:r>
      <w:proofErr w:type="spellStart"/>
      <w:r>
        <w:t>Front</w:t>
      </w:r>
      <w:r>
        <w:t>ex</w:t>
      </w:r>
      <w:proofErr w:type="spellEnd"/>
      <w:r>
        <w:t xml:space="preserve"> and </w:t>
      </w:r>
      <w:proofErr w:type="spellStart"/>
      <w:r>
        <w:t>Eurojust</w:t>
      </w:r>
      <w:proofErr w:type="spellEnd"/>
      <w:r>
        <w:t>) in order to operationalise the concept. So far 10 hotspots have been created in Italy and Greece.</w:t>
      </w:r>
    </w:p>
  </w:footnote>
  <w:footnote w:id="173">
    <w:p w:rsidR="007D3598" w:rsidRDefault="00F8547B">
      <w:pPr>
        <w:pStyle w:val="FootnoteText"/>
      </w:pPr>
      <w:r>
        <w:rPr>
          <w:rStyle w:val="FootnoteReference"/>
        </w:rPr>
        <w:footnoteRef/>
      </w:r>
      <w:r>
        <w:t xml:space="preserve"> </w:t>
      </w:r>
      <w:r>
        <w:tab/>
        <w:t>Member States: CZ, DE, LT, PT and SK. Interviews with 4 RAs (NL, BG, PL and NO) and 1 delegated authority (EL).</w:t>
      </w:r>
    </w:p>
  </w:footnote>
  <w:footnote w:id="174">
    <w:p w:rsidR="007D3598" w:rsidRDefault="00F8547B">
      <w:pPr>
        <w:pStyle w:val="FootnoteText"/>
      </w:pPr>
      <w:r>
        <w:rPr>
          <w:rStyle w:val="FootnoteReference"/>
        </w:rPr>
        <w:footnoteRef/>
      </w:r>
      <w:r>
        <w:t xml:space="preserve"> </w:t>
      </w:r>
      <w:r>
        <w:tab/>
        <w:t xml:space="preserve">Interviews with 6 RAs </w:t>
      </w:r>
      <w:r>
        <w:t>(BE, BG, FR, PT, PL and LT).</w:t>
      </w:r>
    </w:p>
  </w:footnote>
  <w:footnote w:id="175">
    <w:p w:rsidR="007D3598" w:rsidRDefault="00F8547B">
      <w:pPr>
        <w:pStyle w:val="FootnoteText"/>
      </w:pPr>
      <w:r>
        <w:rPr>
          <w:rStyle w:val="FootnoteReference"/>
        </w:rPr>
        <w:footnoteRef/>
      </w:r>
      <w:r>
        <w:t xml:space="preserve"> </w:t>
      </w:r>
      <w:r>
        <w:tab/>
        <w:t>Member States: AT, BE, CH, CZ, MT and NL.</w:t>
      </w:r>
    </w:p>
  </w:footnote>
  <w:footnote w:id="176">
    <w:p w:rsidR="007D3598" w:rsidRDefault="00F8547B">
      <w:pPr>
        <w:pStyle w:val="FootnoteText"/>
      </w:pPr>
      <w:r>
        <w:rPr>
          <w:rStyle w:val="FootnoteReference"/>
        </w:rPr>
        <w:footnoteRef/>
      </w:r>
      <w:r>
        <w:t xml:space="preserve"> </w:t>
      </w:r>
      <w:r>
        <w:tab/>
        <w:t xml:space="preserve">Member States: AT, </w:t>
      </w:r>
      <w:proofErr w:type="gramStart"/>
      <w:r>
        <w:t>BE,</w:t>
      </w:r>
      <w:proofErr w:type="gramEnd"/>
      <w:r>
        <w:t xml:space="preserve"> BG, CH, CY, CZ, EE, FR, HR, HU, IT, LU, MT, NL, RO, SE and SI.</w:t>
      </w:r>
    </w:p>
  </w:footnote>
  <w:footnote w:id="177">
    <w:p w:rsidR="007D3598" w:rsidRDefault="00F8547B">
      <w:pPr>
        <w:pStyle w:val="FootnoteText"/>
      </w:pPr>
      <w:r>
        <w:rPr>
          <w:rStyle w:val="FootnoteReference"/>
        </w:rPr>
        <w:footnoteRef/>
      </w:r>
      <w:r>
        <w:t xml:space="preserve"> </w:t>
      </w:r>
      <w:r>
        <w:tab/>
        <w:t>Member States: AT and PL.</w:t>
      </w:r>
    </w:p>
  </w:footnote>
  <w:footnote w:id="178">
    <w:p w:rsidR="007D3598" w:rsidRDefault="00F8547B">
      <w:pPr>
        <w:pStyle w:val="FootnoteText"/>
      </w:pPr>
      <w:r>
        <w:rPr>
          <w:rStyle w:val="FootnoteReference"/>
        </w:rPr>
        <w:footnoteRef/>
      </w:r>
      <w:r>
        <w:t xml:space="preserve"> </w:t>
      </w:r>
      <w:r>
        <w:tab/>
        <w:t>Member States: CH, FI, FR, HU, LU, MT, NL, PL, RO and SK.</w:t>
      </w:r>
    </w:p>
  </w:footnote>
  <w:footnote w:id="179">
    <w:p w:rsidR="007D3598" w:rsidRDefault="00F8547B">
      <w:pPr>
        <w:pStyle w:val="FootnoteText"/>
      </w:pPr>
      <w:r>
        <w:rPr>
          <w:rStyle w:val="FootnoteReference"/>
        </w:rPr>
        <w:footnoteRef/>
      </w:r>
      <w:r>
        <w:t xml:space="preserve"> </w:t>
      </w:r>
      <w:r>
        <w:tab/>
      </w:r>
      <w:r>
        <w:t xml:space="preserve">Art. 12 of Regulation (EU) No. 515/2014 in accordance with Council Regulation (EU) No 1053/2013  of 7 October 2013 establishing an evaluation and monitoring mechanism to verify the application of the Schengen </w:t>
      </w:r>
      <w:r>
        <w:rPr>
          <w:i/>
        </w:rPr>
        <w:t xml:space="preserve">acquis </w:t>
      </w:r>
      <w:r>
        <w:t>and repealing the Decision of the Execut</w:t>
      </w:r>
      <w:r>
        <w:t>ive Committee of 16 September 1998 setting up a Standing Committee on the evaluation and implementation of Schengen.</w:t>
      </w:r>
    </w:p>
  </w:footnote>
  <w:footnote w:id="180">
    <w:p w:rsidR="007D3598" w:rsidRDefault="00F8547B">
      <w:pPr>
        <w:pStyle w:val="FootnoteText"/>
      </w:pPr>
      <w:r>
        <w:rPr>
          <w:rStyle w:val="FootnoteReference"/>
        </w:rPr>
        <w:footnoteRef/>
      </w:r>
      <w:r>
        <w:t xml:space="preserve"> </w:t>
      </w:r>
      <w:r>
        <w:tab/>
        <w:t>Member States: FR, HR, PL and RO.</w:t>
      </w:r>
    </w:p>
  </w:footnote>
  <w:footnote w:id="181">
    <w:p w:rsidR="007D3598" w:rsidRDefault="00F8547B">
      <w:pPr>
        <w:pStyle w:val="FootnoteText"/>
      </w:pPr>
      <w:r>
        <w:rPr>
          <w:rStyle w:val="FootnoteReference"/>
        </w:rPr>
        <w:footnoteRef/>
      </w:r>
      <w:r>
        <w:t xml:space="preserve"> </w:t>
      </w:r>
      <w:r>
        <w:tab/>
        <w:t>Member States: CZ, DE and LV.</w:t>
      </w:r>
    </w:p>
  </w:footnote>
  <w:footnote w:id="182">
    <w:p w:rsidR="007D3598" w:rsidRDefault="00F8547B">
      <w:pPr>
        <w:pStyle w:val="FootnoteText"/>
      </w:pPr>
      <w:r>
        <w:rPr>
          <w:rStyle w:val="FootnoteReference"/>
        </w:rPr>
        <w:footnoteRef/>
      </w:r>
      <w:r>
        <w:t xml:space="preserve"> </w:t>
      </w:r>
      <w:r>
        <w:tab/>
        <w:t>All national programmes; Member States: BE, DE, EE, FI, FR, HU, LT</w:t>
      </w:r>
      <w:r>
        <w:t>, LV, MT, NL and PL; interviews with 4 RAs (CH, BG, FI and BE).</w:t>
      </w:r>
    </w:p>
  </w:footnote>
  <w:footnote w:id="183">
    <w:p w:rsidR="007D3598" w:rsidRDefault="00F8547B">
      <w:pPr>
        <w:pStyle w:val="FootnoteText"/>
      </w:pPr>
      <w:r>
        <w:rPr>
          <w:rStyle w:val="FootnoteReference"/>
        </w:rPr>
        <w:footnoteRef/>
      </w:r>
      <w:r>
        <w:t xml:space="preserve"> </w:t>
      </w:r>
      <w:r>
        <w:tab/>
      </w:r>
      <w:proofErr w:type="gramStart"/>
      <w:r>
        <w:t>European Regional Development Fund, European Social Fund, Cohesion Fund, European Agricultural Fund for Rural Development, and European Maritime and Fisheries Fund.</w:t>
      </w:r>
      <w:proofErr w:type="gramEnd"/>
    </w:p>
  </w:footnote>
  <w:footnote w:id="184">
    <w:p w:rsidR="007D3598" w:rsidRDefault="00F8547B">
      <w:pPr>
        <w:pStyle w:val="FootnoteText"/>
      </w:pPr>
      <w:r>
        <w:rPr>
          <w:rStyle w:val="FootnoteReference"/>
        </w:rPr>
        <w:footnoteRef/>
      </w:r>
      <w:r>
        <w:t xml:space="preserve"> </w:t>
      </w:r>
      <w:r>
        <w:tab/>
      </w:r>
      <w:proofErr w:type="gramStart"/>
      <w:r>
        <w:t>e.g</w:t>
      </w:r>
      <w:proofErr w:type="gramEnd"/>
      <w:r>
        <w:t>. Instrument for P</w:t>
      </w:r>
      <w:r>
        <w:t>re-Accession Assistance, European Neighbourhood and Partnership Instrument, and Instrument contributing to Stability and Peace.</w:t>
      </w:r>
    </w:p>
  </w:footnote>
  <w:footnote w:id="185">
    <w:p w:rsidR="007D3598" w:rsidRDefault="00F8547B">
      <w:pPr>
        <w:pStyle w:val="FootnoteText"/>
      </w:pPr>
      <w:r>
        <w:rPr>
          <w:rStyle w:val="FootnoteReference"/>
        </w:rPr>
        <w:footnoteRef/>
      </w:r>
      <w:r>
        <w:t xml:space="preserve"> </w:t>
      </w:r>
      <w:r>
        <w:tab/>
      </w:r>
      <w:proofErr w:type="gramStart"/>
      <w:r>
        <w:t>e.g</w:t>
      </w:r>
      <w:proofErr w:type="gramEnd"/>
      <w:r>
        <w:t>. Lifelong Learning programme, Cultural programme, and Youth in Action programme.</w:t>
      </w:r>
    </w:p>
  </w:footnote>
  <w:footnote w:id="186">
    <w:p w:rsidR="007D3598" w:rsidRDefault="00F8547B">
      <w:pPr>
        <w:pStyle w:val="FootnoteText"/>
      </w:pPr>
      <w:r>
        <w:rPr>
          <w:rStyle w:val="FootnoteReference"/>
        </w:rPr>
        <w:footnoteRef/>
      </w:r>
      <w:r>
        <w:t xml:space="preserve"> </w:t>
      </w:r>
      <w:r>
        <w:tab/>
        <w:t>Member States: CZ, EE and IT.</w:t>
      </w:r>
    </w:p>
  </w:footnote>
  <w:footnote w:id="187">
    <w:p w:rsidR="007D3598" w:rsidRDefault="00F8547B">
      <w:pPr>
        <w:pStyle w:val="FootnoteText"/>
      </w:pPr>
      <w:r>
        <w:rPr>
          <w:rStyle w:val="FootnoteReference"/>
        </w:rPr>
        <w:footnoteRef/>
      </w:r>
      <w:r>
        <w:t xml:space="preserve"> </w:t>
      </w:r>
      <w:r>
        <w:tab/>
      </w:r>
      <w:proofErr w:type="gramStart"/>
      <w:r>
        <w:t>AIRs: BG, IT and SI.</w:t>
      </w:r>
      <w:proofErr w:type="gramEnd"/>
    </w:p>
  </w:footnote>
  <w:footnote w:id="188">
    <w:p w:rsidR="007D3598" w:rsidRDefault="00F8547B">
      <w:pPr>
        <w:pStyle w:val="FootnoteText"/>
      </w:pPr>
      <w:r>
        <w:rPr>
          <w:rStyle w:val="FootnoteReference"/>
        </w:rPr>
        <w:footnoteRef/>
      </w:r>
      <w:r>
        <w:t xml:space="preserve"> </w:t>
      </w:r>
      <w:r>
        <w:tab/>
      </w:r>
      <w:proofErr w:type="gramStart"/>
      <w:r>
        <w:t>AIRs: AT, BG, CY, CZ, HR, MT and SE.</w:t>
      </w:r>
      <w:proofErr w:type="gramEnd"/>
    </w:p>
  </w:footnote>
  <w:footnote w:id="189">
    <w:p w:rsidR="007D3598" w:rsidRDefault="00F8547B">
      <w:pPr>
        <w:pStyle w:val="FootnoteText"/>
      </w:pPr>
      <w:r>
        <w:rPr>
          <w:rStyle w:val="FootnoteReference"/>
        </w:rPr>
        <w:footnoteRef/>
      </w:r>
      <w:r>
        <w:t xml:space="preserve"> </w:t>
      </w:r>
      <w:r>
        <w:tab/>
        <w:t>Member States: BE, CZ, CY, DE, EE, FI, HR, LV, LT, NO, PL, RO, SE, SI and SK.</w:t>
      </w:r>
    </w:p>
  </w:footnote>
  <w:footnote w:id="190">
    <w:p w:rsidR="007D3598" w:rsidRDefault="00F8547B">
      <w:pPr>
        <w:pStyle w:val="FootnoteText"/>
      </w:pPr>
      <w:r>
        <w:rPr>
          <w:rStyle w:val="FootnoteReference"/>
        </w:rPr>
        <w:footnoteRef/>
      </w:r>
      <w:r>
        <w:t xml:space="preserve"> </w:t>
      </w:r>
      <w:r>
        <w:tab/>
        <w:t>However, according to a representative of DG TAXUD, synergies among different EU policies and instruments conce</w:t>
      </w:r>
      <w:r>
        <w:t xml:space="preserve">rned with borders might by increased. </w:t>
      </w:r>
      <w:proofErr w:type="gramStart"/>
      <w:r>
        <w:t>Interview with DG TAXUD.</w:t>
      </w:r>
      <w:proofErr w:type="gramEnd"/>
    </w:p>
  </w:footnote>
  <w:footnote w:id="191">
    <w:p w:rsidR="007D3598" w:rsidRDefault="00F8547B">
      <w:pPr>
        <w:pStyle w:val="FootnoteText"/>
      </w:pPr>
      <w:r>
        <w:rPr>
          <w:rStyle w:val="FootnoteReference"/>
        </w:rPr>
        <w:footnoteRef/>
      </w:r>
      <w:r>
        <w:t xml:space="preserve"> </w:t>
      </w:r>
      <w:r>
        <w:tab/>
        <w:t>COMMISSION STAFF WORKING DOCUMENT Customs 2020 programme Progress Report for 2015.</w:t>
      </w:r>
    </w:p>
  </w:footnote>
  <w:footnote w:id="192">
    <w:p w:rsidR="007D3598" w:rsidRDefault="00F8547B">
      <w:pPr>
        <w:pStyle w:val="FootnoteText"/>
      </w:pPr>
      <w:r>
        <w:rPr>
          <w:rStyle w:val="FootnoteReference"/>
        </w:rPr>
        <w:footnoteRef/>
      </w:r>
      <w:r>
        <w:t xml:space="preserve"> </w:t>
      </w:r>
      <w:r>
        <w:tab/>
      </w:r>
      <w:proofErr w:type="gramStart"/>
      <w:r>
        <w:t>Interview with DG TAXUD.</w:t>
      </w:r>
      <w:proofErr w:type="gramEnd"/>
    </w:p>
  </w:footnote>
  <w:footnote w:id="193">
    <w:p w:rsidR="007D3598" w:rsidRDefault="00F8547B">
      <w:pPr>
        <w:pStyle w:val="FootnoteText"/>
      </w:pPr>
      <w:r>
        <w:rPr>
          <w:rStyle w:val="FootnoteReference"/>
        </w:rPr>
        <w:footnoteRef/>
      </w:r>
      <w:r>
        <w:t xml:space="preserve"> </w:t>
      </w:r>
      <w:r>
        <w:tab/>
        <w:t xml:space="preserve">Conclusions of the </w:t>
      </w:r>
      <w:r>
        <w:rPr>
          <w:i/>
        </w:rPr>
        <w:t xml:space="preserve">ex post </w:t>
      </w:r>
      <w:r>
        <w:t>evaluation of the External Border Fund (EBF) 2007</w:t>
      </w:r>
      <w:r>
        <w:t xml:space="preserve">-2013; </w:t>
      </w:r>
      <w:proofErr w:type="gramStart"/>
      <w:r>
        <w:t>SEC(</w:t>
      </w:r>
      <w:proofErr w:type="gramEnd"/>
      <w:r>
        <w:t>2011) 1358 final: COMMISSION STAFF WORKING PAPER IMPACT ASSESSMENT.</w:t>
      </w:r>
    </w:p>
  </w:footnote>
  <w:footnote w:id="194">
    <w:p w:rsidR="007D3598" w:rsidRDefault="00F8547B">
      <w:pPr>
        <w:pStyle w:val="FootnoteText"/>
      </w:pPr>
      <w:r>
        <w:rPr>
          <w:rStyle w:val="FootnoteReference"/>
        </w:rPr>
        <w:footnoteRef/>
      </w:r>
      <w:r>
        <w:t xml:space="preserve"> </w:t>
      </w:r>
      <w:r>
        <w:tab/>
      </w:r>
      <w:proofErr w:type="gramStart"/>
      <w:r>
        <w:t>Federal Ministry for Europe, Integration and Foreign Affairs.</w:t>
      </w:r>
      <w:proofErr w:type="gramEnd"/>
    </w:p>
  </w:footnote>
  <w:footnote w:id="195">
    <w:p w:rsidR="007D3598" w:rsidRDefault="00F8547B">
      <w:pPr>
        <w:pStyle w:val="FootnoteText"/>
      </w:pPr>
      <w:r>
        <w:rPr>
          <w:rStyle w:val="FootnoteReference"/>
        </w:rPr>
        <w:footnoteRef/>
      </w:r>
      <w:r>
        <w:t xml:space="preserve"> </w:t>
      </w:r>
      <w:r>
        <w:tab/>
      </w:r>
      <w:proofErr w:type="gramStart"/>
      <w:r>
        <w:t>The European Investment Fund, the European Investment Bank and the European Bank for Reconstruction and Devel</w:t>
      </w:r>
      <w:r>
        <w:t>opment.</w:t>
      </w:r>
      <w:proofErr w:type="gramEnd"/>
    </w:p>
  </w:footnote>
  <w:footnote w:id="196">
    <w:p w:rsidR="007D3598" w:rsidRDefault="00F8547B">
      <w:pPr>
        <w:pStyle w:val="FootnoteText"/>
      </w:pPr>
      <w:r>
        <w:rPr>
          <w:rStyle w:val="FootnoteReference"/>
        </w:rPr>
        <w:footnoteRef/>
      </w:r>
      <w:r>
        <w:rPr>
          <w:bdr w:val="nil"/>
        </w:rPr>
        <w:t xml:space="preserve"> </w:t>
      </w:r>
      <w:r>
        <w:rPr>
          <w:bdr w:val="nil"/>
        </w:rPr>
        <w:tab/>
        <w:t>The members of the KV are the deputies of the Minister of the Interior, the police president and the director of the fire rescue service.</w:t>
      </w:r>
    </w:p>
  </w:footnote>
  <w:footnote w:id="197">
    <w:p w:rsidR="007D3598" w:rsidRDefault="00F8547B">
      <w:pPr>
        <w:pStyle w:val="FootnoteText"/>
        <w:rPr>
          <w:lang w:val="es-ES"/>
        </w:rPr>
      </w:pPr>
      <w:r>
        <w:rPr>
          <w:rStyle w:val="FootnoteReference"/>
        </w:rPr>
        <w:footnoteRef/>
      </w:r>
      <w:r>
        <w:rPr>
          <w:lang w:val="es-ES"/>
        </w:rPr>
        <w:t xml:space="preserve"> </w:t>
      </w:r>
      <w:r>
        <w:rPr>
          <w:lang w:val="es-ES"/>
        </w:rPr>
        <w:tab/>
      </w:r>
      <w:proofErr w:type="spellStart"/>
      <w:r>
        <w:rPr>
          <w:lang w:val="es-ES"/>
        </w:rPr>
        <w:t>Member</w:t>
      </w:r>
      <w:proofErr w:type="spellEnd"/>
      <w:r>
        <w:rPr>
          <w:lang w:val="es-ES"/>
        </w:rPr>
        <w:t xml:space="preserve"> </w:t>
      </w:r>
      <w:proofErr w:type="spellStart"/>
      <w:r>
        <w:rPr>
          <w:lang w:val="es-ES"/>
        </w:rPr>
        <w:t>States</w:t>
      </w:r>
      <w:proofErr w:type="spellEnd"/>
      <w:r>
        <w:rPr>
          <w:lang w:val="es-ES"/>
        </w:rPr>
        <w:t>: CH, CZ, EE, EL, ES, LT, LU, PL and SE.</w:t>
      </w:r>
    </w:p>
  </w:footnote>
  <w:footnote w:id="198">
    <w:p w:rsidR="007D3598" w:rsidRDefault="00F8547B">
      <w:pPr>
        <w:pStyle w:val="FootnoteText"/>
        <w:rPr>
          <w:lang w:val="es-ES"/>
        </w:rPr>
      </w:pPr>
      <w:r>
        <w:rPr>
          <w:rStyle w:val="FootnoteReference"/>
        </w:rPr>
        <w:footnoteRef/>
      </w:r>
      <w:r>
        <w:rPr>
          <w:lang w:val="es-ES"/>
        </w:rPr>
        <w:t xml:space="preserve"> </w:t>
      </w:r>
      <w:r>
        <w:rPr>
          <w:lang w:val="es-ES"/>
        </w:rPr>
        <w:tab/>
      </w:r>
      <w:proofErr w:type="spellStart"/>
      <w:r>
        <w:rPr>
          <w:lang w:val="es-ES"/>
        </w:rPr>
        <w:t>Member</w:t>
      </w:r>
      <w:proofErr w:type="spellEnd"/>
      <w:r>
        <w:rPr>
          <w:lang w:val="es-ES"/>
        </w:rPr>
        <w:t xml:space="preserve"> </w:t>
      </w:r>
      <w:proofErr w:type="spellStart"/>
      <w:r>
        <w:rPr>
          <w:lang w:val="es-ES"/>
        </w:rPr>
        <w:t>States</w:t>
      </w:r>
      <w:proofErr w:type="spellEnd"/>
      <w:r>
        <w:rPr>
          <w:lang w:val="es-ES"/>
        </w:rPr>
        <w:t xml:space="preserve">: AT, BG, CZ, DE, EE, ES, FI, FR, </w:t>
      </w:r>
      <w:r>
        <w:rPr>
          <w:lang w:val="es-ES"/>
        </w:rPr>
        <w:t>HU and PL.</w:t>
      </w:r>
    </w:p>
  </w:footnote>
  <w:footnote w:id="199">
    <w:p w:rsidR="007D3598" w:rsidRDefault="00F8547B">
      <w:pPr>
        <w:pStyle w:val="FootnoteText"/>
        <w:rPr>
          <w:lang w:val="es-ES"/>
        </w:rPr>
      </w:pPr>
      <w:r>
        <w:rPr>
          <w:rStyle w:val="FootnoteReference"/>
        </w:rPr>
        <w:footnoteRef/>
      </w:r>
      <w:r>
        <w:rPr>
          <w:lang w:val="es-ES"/>
        </w:rPr>
        <w:t xml:space="preserve"> </w:t>
      </w:r>
      <w:r>
        <w:rPr>
          <w:lang w:val="es-ES"/>
        </w:rPr>
        <w:tab/>
      </w:r>
      <w:proofErr w:type="spellStart"/>
      <w:r>
        <w:rPr>
          <w:lang w:val="es-ES"/>
        </w:rPr>
        <w:t>Member</w:t>
      </w:r>
      <w:proofErr w:type="spellEnd"/>
      <w:r>
        <w:rPr>
          <w:lang w:val="es-ES"/>
        </w:rPr>
        <w:t xml:space="preserve"> </w:t>
      </w:r>
      <w:proofErr w:type="spellStart"/>
      <w:r>
        <w:rPr>
          <w:lang w:val="es-ES"/>
        </w:rPr>
        <w:t>States</w:t>
      </w:r>
      <w:proofErr w:type="spellEnd"/>
      <w:r>
        <w:rPr>
          <w:lang w:val="es-ES"/>
        </w:rPr>
        <w:t>: BE, DE, ES, FR, HU and SI.</w:t>
      </w:r>
    </w:p>
  </w:footnote>
  <w:footnote w:id="200">
    <w:p w:rsidR="007D3598" w:rsidRDefault="00F8547B">
      <w:pPr>
        <w:pStyle w:val="FootnoteText"/>
      </w:pPr>
      <w:r>
        <w:rPr>
          <w:rStyle w:val="FootnoteReference"/>
        </w:rPr>
        <w:footnoteRef/>
      </w:r>
      <w:r>
        <w:t xml:space="preserve"> </w:t>
      </w:r>
      <w:r>
        <w:tab/>
        <w:t>Member States: AT, DE, EE, FI, HR, LT, LV, NL, PL, SI and SK.</w:t>
      </w:r>
    </w:p>
  </w:footnote>
  <w:footnote w:id="201">
    <w:p w:rsidR="007D3598" w:rsidRDefault="00F8547B">
      <w:pPr>
        <w:pStyle w:val="FootnoteText"/>
      </w:pPr>
      <w:r>
        <w:rPr>
          <w:rStyle w:val="FootnoteReference"/>
        </w:rPr>
        <w:footnoteRef/>
      </w:r>
      <w:r>
        <w:t xml:space="preserve"> </w:t>
      </w:r>
      <w:r>
        <w:tab/>
        <w:t>Member States: BE, CH, DE, EL, HR, IT, LU, MT, PT and SI. Interviews with BE, BG, NO and PT RAs.</w:t>
      </w:r>
    </w:p>
  </w:footnote>
  <w:footnote w:id="202">
    <w:p w:rsidR="007D3598" w:rsidRDefault="00F8547B">
      <w:pPr>
        <w:pStyle w:val="FootnoteText"/>
      </w:pPr>
      <w:r>
        <w:rPr>
          <w:rStyle w:val="FootnoteReference"/>
        </w:rPr>
        <w:footnoteRef/>
      </w:r>
      <w:r>
        <w:t xml:space="preserve"> </w:t>
      </w:r>
      <w:r>
        <w:tab/>
        <w:t>Eighth Meeting of the Evaluation</w:t>
      </w:r>
      <w:r>
        <w:t xml:space="preserve"> Network: BE, BG, EL, HR, FR, HU, MT, NL and NO.</w:t>
      </w:r>
    </w:p>
  </w:footnote>
  <w:footnote w:id="203">
    <w:p w:rsidR="007D3598" w:rsidRDefault="00F8547B">
      <w:pPr>
        <w:pStyle w:val="FootnoteText"/>
      </w:pPr>
      <w:r>
        <w:rPr>
          <w:rStyle w:val="FootnoteReference"/>
        </w:rPr>
        <w:footnoteRef/>
      </w:r>
      <w:r>
        <w:t xml:space="preserve"> </w:t>
      </w:r>
      <w:r>
        <w:tab/>
        <w:t xml:space="preserve">Interviews with the Commission officials, BG Chief Directorate Police, IT Navy and CIES </w:t>
      </w:r>
      <w:proofErr w:type="spellStart"/>
      <w:r>
        <w:t>Onlus</w:t>
      </w:r>
      <w:proofErr w:type="spellEnd"/>
      <w:r>
        <w:t xml:space="preserve"> (beneficiary of Italian EMAS), EL delegated authority.</w:t>
      </w:r>
    </w:p>
  </w:footnote>
  <w:footnote w:id="204">
    <w:p w:rsidR="007D3598" w:rsidRDefault="00F8547B">
      <w:pPr>
        <w:pStyle w:val="FootnoteText"/>
      </w:pPr>
      <w:r>
        <w:rPr>
          <w:rStyle w:val="FootnoteReference"/>
        </w:rPr>
        <w:footnoteRef/>
      </w:r>
      <w:r>
        <w:t xml:space="preserve"> </w:t>
      </w:r>
      <w:r>
        <w:tab/>
      </w:r>
      <w:proofErr w:type="spellStart"/>
      <w:proofErr w:type="gramStart"/>
      <w:r>
        <w:t>Ibidem</w:t>
      </w:r>
      <w:proofErr w:type="spellEnd"/>
      <w:r>
        <w:t>.</w:t>
      </w:r>
      <w:proofErr w:type="gramEnd"/>
    </w:p>
  </w:footnote>
  <w:footnote w:id="205">
    <w:p w:rsidR="007D3598" w:rsidRDefault="00F8547B">
      <w:pPr>
        <w:pStyle w:val="FootnoteText"/>
      </w:pPr>
      <w:r>
        <w:rPr>
          <w:rStyle w:val="FootnoteReference"/>
        </w:rPr>
        <w:footnoteRef/>
      </w:r>
      <w:r>
        <w:tab/>
      </w:r>
      <w:proofErr w:type="gramStart"/>
      <w:r>
        <w:t>Interview with the Commission officials.</w:t>
      </w:r>
      <w:proofErr w:type="gramEnd"/>
    </w:p>
  </w:footnote>
  <w:footnote w:id="206">
    <w:p w:rsidR="007D3598" w:rsidRDefault="00F8547B">
      <w:pPr>
        <w:pStyle w:val="FootnoteText"/>
      </w:pPr>
      <w:r>
        <w:rPr>
          <w:rStyle w:val="FootnoteReference"/>
        </w:rPr>
        <w:footnoteRef/>
      </w:r>
      <w:r>
        <w:t xml:space="preserve"> </w:t>
      </w:r>
      <w:r>
        <w:tab/>
      </w:r>
      <w:proofErr w:type="gramStart"/>
      <w:r>
        <w:t>Directorate-General for European Programmes, Coordination and Development.</w:t>
      </w:r>
      <w:proofErr w:type="gramEnd"/>
    </w:p>
  </w:footnote>
  <w:footnote w:id="207">
    <w:p w:rsidR="007D3598" w:rsidRDefault="00F8547B">
      <w:pPr>
        <w:pStyle w:val="FootnoteText"/>
      </w:pPr>
      <w:r>
        <w:rPr>
          <w:rStyle w:val="FootnoteReference"/>
        </w:rPr>
        <w:footnoteRef/>
      </w:r>
      <w:r>
        <w:t xml:space="preserve"> </w:t>
      </w:r>
      <w:r>
        <w:tab/>
        <w:t>Interviews with Member States RAs (BE, BG, EL, FR, NL, NO, PL and SI). Information was also gathered through questionnaires on the funding priorities in the Commission policy a</w:t>
      </w:r>
      <w:r>
        <w:t>reas for the MFF post-2020 circulated by the Commission to the responsible authority for preparing the AMIF and ISF Committee on 13 March 2017.</w:t>
      </w:r>
    </w:p>
  </w:footnote>
  <w:footnote w:id="208">
    <w:p w:rsidR="007D3598" w:rsidRDefault="00F8547B">
      <w:pPr>
        <w:pStyle w:val="FootnoteText"/>
      </w:pPr>
      <w:r>
        <w:rPr>
          <w:rStyle w:val="FootnoteReference"/>
        </w:rPr>
        <w:footnoteRef/>
      </w:r>
      <w:r>
        <w:t xml:space="preserve"> </w:t>
      </w:r>
      <w:r>
        <w:tab/>
      </w:r>
      <w:proofErr w:type="gramStart"/>
      <w:r>
        <w:t>responsible</w:t>
      </w:r>
      <w:proofErr w:type="gramEnd"/>
      <w:r>
        <w:t xml:space="preserve"> authority responding to the questionnaires for the MFF post-2020: BE, BG, FR, IT, NL and PL; Inte</w:t>
      </w:r>
      <w:r>
        <w:t xml:space="preserve">rview with CIES </w:t>
      </w:r>
      <w:proofErr w:type="spellStart"/>
      <w:r>
        <w:t>Onlus</w:t>
      </w:r>
      <w:proofErr w:type="spellEnd"/>
      <w:r>
        <w:t xml:space="preserve"> (Italian EMAS beneficiary). </w:t>
      </w:r>
      <w:proofErr w:type="gramStart"/>
      <w:r>
        <w:t>45% of replies to the online survey.</w:t>
      </w:r>
      <w:proofErr w:type="gramEnd"/>
    </w:p>
  </w:footnote>
  <w:footnote w:id="209">
    <w:p w:rsidR="007D3598" w:rsidRDefault="00F8547B">
      <w:pPr>
        <w:pStyle w:val="FootnoteText"/>
      </w:pPr>
      <w:r>
        <w:rPr>
          <w:rStyle w:val="FootnoteReference"/>
        </w:rPr>
        <w:footnoteRef/>
      </w:r>
      <w:r>
        <w:t xml:space="preserve"> </w:t>
      </w:r>
      <w:r>
        <w:tab/>
      </w:r>
      <w:proofErr w:type="gramStart"/>
      <w:r>
        <w:t>responsible</w:t>
      </w:r>
      <w:proofErr w:type="gramEnd"/>
      <w:r>
        <w:t xml:space="preserve"> authority responding to the questionnaires for the MFF post-2020: AT, CH, CY, EE, ES, FI, HU, IT, LU, PL, SE, SI and SK.</w:t>
      </w:r>
    </w:p>
  </w:footnote>
  <w:footnote w:id="210">
    <w:p w:rsidR="007D3598" w:rsidRDefault="00F8547B">
      <w:pPr>
        <w:pStyle w:val="FootnoteText"/>
      </w:pPr>
      <w:r>
        <w:rPr>
          <w:rStyle w:val="FootnoteReference"/>
        </w:rPr>
        <w:footnoteRef/>
      </w:r>
      <w:r>
        <w:t xml:space="preserve"> </w:t>
      </w:r>
      <w:r>
        <w:tab/>
        <w:t xml:space="preserve">20 Member States (AT, BE, BG, </w:t>
      </w:r>
      <w:r>
        <w:t>CY, CZ, DE, DK, EE, FI, FR, EL, HU, IT, LV, LT, PT, RO, SE, SI and SK). 5 interviews: 4 RAs (EL, NO, BE and FR) and one delegated authority (EL). OPC: 3 Public Authorities (BG, EL and IT).</w:t>
      </w:r>
    </w:p>
  </w:footnote>
  <w:footnote w:id="211">
    <w:p w:rsidR="007D3598" w:rsidRDefault="00F8547B">
      <w:pPr>
        <w:pStyle w:val="FootnoteText"/>
      </w:pPr>
      <w:r>
        <w:rPr>
          <w:rStyle w:val="FootnoteReference"/>
        </w:rPr>
        <w:footnoteRef/>
      </w:r>
      <w:r>
        <w:t xml:space="preserve"> </w:t>
      </w:r>
      <w:r>
        <w:tab/>
      </w:r>
      <w:proofErr w:type="gramStart"/>
      <w:r>
        <w:t>6 Member States (AT, CZ, DE, EE, FR and LV).</w:t>
      </w:r>
      <w:proofErr w:type="gramEnd"/>
      <w:r>
        <w:t xml:space="preserve"> </w:t>
      </w:r>
      <w:proofErr w:type="gramStart"/>
      <w:r>
        <w:t>Interview with FR r</w:t>
      </w:r>
      <w:r>
        <w:t>esponsible authority.</w:t>
      </w:r>
      <w:proofErr w:type="gramEnd"/>
    </w:p>
  </w:footnote>
  <w:footnote w:id="212">
    <w:p w:rsidR="007D3598" w:rsidRDefault="00F8547B">
      <w:pPr>
        <w:pStyle w:val="FootnoteText"/>
      </w:pPr>
      <w:r>
        <w:rPr>
          <w:rStyle w:val="FootnoteReference"/>
        </w:rPr>
        <w:footnoteRef/>
      </w:r>
      <w:r>
        <w:t xml:space="preserve"> </w:t>
      </w:r>
      <w:r>
        <w:tab/>
      </w:r>
      <w:proofErr w:type="gramStart"/>
      <w:r>
        <w:t>ES and SI.</w:t>
      </w:r>
      <w:proofErr w:type="gramEnd"/>
    </w:p>
  </w:footnote>
  <w:footnote w:id="213">
    <w:p w:rsidR="007D3598" w:rsidRDefault="00F8547B">
      <w:pPr>
        <w:pStyle w:val="FootnoteText"/>
      </w:pPr>
      <w:r>
        <w:rPr>
          <w:rStyle w:val="FootnoteReference"/>
        </w:rPr>
        <w:footnoteRef/>
      </w:r>
      <w:r>
        <w:t xml:space="preserve"> </w:t>
      </w:r>
      <w:r>
        <w:tab/>
        <w:t>RAs that responded to the questionnaires for the MFF post-2020: CH, ES, FI, IT and SI.</w:t>
      </w:r>
    </w:p>
  </w:footnote>
  <w:footnote w:id="214">
    <w:p w:rsidR="007D3598" w:rsidRDefault="00F8547B">
      <w:pPr>
        <w:pStyle w:val="FootnoteText"/>
      </w:pPr>
      <w:r>
        <w:rPr>
          <w:rStyle w:val="FootnoteReference"/>
        </w:rPr>
        <w:footnoteRef/>
      </w:r>
      <w:r>
        <w:t xml:space="preserve"> </w:t>
      </w:r>
      <w:r>
        <w:tab/>
        <w:t>Member States: BE, DE, EE, EL, ES, HR, HU, LU, LV, NL, PL and PT. 45% of replies to the online survey.</w:t>
      </w:r>
    </w:p>
  </w:footnote>
  <w:footnote w:id="215">
    <w:p w:rsidR="007D3598" w:rsidRDefault="00F8547B">
      <w:pPr>
        <w:pStyle w:val="FootnoteText"/>
      </w:pPr>
      <w:r>
        <w:rPr>
          <w:rStyle w:val="FootnoteReference"/>
        </w:rPr>
        <w:footnoteRef/>
      </w:r>
      <w:r>
        <w:t xml:space="preserve"> </w:t>
      </w:r>
      <w:r>
        <w:tab/>
      </w:r>
      <w:proofErr w:type="gramStart"/>
      <w:r>
        <w:t>responsible</w:t>
      </w:r>
      <w:proofErr w:type="gramEnd"/>
      <w:r>
        <w:t xml:space="preserve"> authority</w:t>
      </w:r>
      <w:r>
        <w:t xml:space="preserve"> responding to the questionnaires for the MFF post-2020: HU, LT, RO and SK.</w:t>
      </w:r>
    </w:p>
  </w:footnote>
  <w:footnote w:id="216">
    <w:p w:rsidR="007D3598" w:rsidRDefault="00F8547B">
      <w:pPr>
        <w:pStyle w:val="FootnoteText"/>
      </w:pPr>
      <w:r>
        <w:rPr>
          <w:rStyle w:val="FootnoteReference"/>
        </w:rPr>
        <w:footnoteRef/>
      </w:r>
      <w:r>
        <w:t xml:space="preserve"> </w:t>
      </w:r>
      <w:r>
        <w:tab/>
        <w:t>Member States: BE, CY, DE, EL, ES, FI, HR, LU, LV, NL, PL, RO and SK.</w:t>
      </w:r>
    </w:p>
  </w:footnote>
  <w:footnote w:id="217">
    <w:p w:rsidR="007D3598" w:rsidRDefault="00F8547B">
      <w:pPr>
        <w:pStyle w:val="FootnoteText"/>
      </w:pPr>
      <w:r>
        <w:rPr>
          <w:rStyle w:val="FootnoteReference"/>
        </w:rPr>
        <w:footnoteRef/>
      </w:r>
      <w:r>
        <w:t xml:space="preserve"> </w:t>
      </w:r>
      <w:r>
        <w:tab/>
        <w:t>4 Member States (AT, BE, CZ and PL).</w:t>
      </w:r>
    </w:p>
  </w:footnote>
  <w:footnote w:id="218">
    <w:p w:rsidR="007D3598" w:rsidRDefault="00F8547B">
      <w:pPr>
        <w:pStyle w:val="FootnoteText"/>
      </w:pPr>
      <w:r>
        <w:rPr>
          <w:rStyle w:val="FootnoteReference"/>
        </w:rPr>
        <w:footnoteRef/>
      </w:r>
      <w:r>
        <w:t xml:space="preserve"> </w:t>
      </w:r>
      <w:r>
        <w:tab/>
        <w:t xml:space="preserve">Member States: AT, BE, BG, CY, CZ, DE, EE, EL, ES, FI, FR, HR, </w:t>
      </w:r>
      <w:r>
        <w:t>HU, IT, LT, LU, LV, MT, NL, PL, PT, RO, SI and SK.</w:t>
      </w:r>
    </w:p>
  </w:footnote>
  <w:footnote w:id="219">
    <w:p w:rsidR="007D3598" w:rsidRDefault="00F8547B">
      <w:pPr>
        <w:pStyle w:val="FootnoteText"/>
      </w:pPr>
      <w:r>
        <w:rPr>
          <w:rStyle w:val="FootnoteReference"/>
        </w:rPr>
        <w:footnoteRef/>
      </w:r>
      <w:r>
        <w:t xml:space="preserve"> </w:t>
      </w:r>
      <w:r>
        <w:tab/>
      </w:r>
      <w:proofErr w:type="gramStart"/>
      <w:r>
        <w:t>responsible</w:t>
      </w:r>
      <w:proofErr w:type="gramEnd"/>
      <w:r>
        <w:t xml:space="preserve"> authority responding to the questionnaires for the MFF post-2020: AT, CY, EE, HU, LT, SI and SK.</w:t>
      </w:r>
    </w:p>
  </w:footnote>
  <w:footnote w:id="220">
    <w:p w:rsidR="007D3598" w:rsidRDefault="00F8547B">
      <w:pPr>
        <w:pStyle w:val="FootnoteText"/>
      </w:pPr>
      <w:r>
        <w:rPr>
          <w:rStyle w:val="FootnoteReference"/>
        </w:rPr>
        <w:footnoteRef/>
      </w:r>
      <w:r>
        <w:t xml:space="preserve"> </w:t>
      </w:r>
      <w:r>
        <w:tab/>
      </w:r>
      <w:proofErr w:type="gramStart"/>
      <w:r>
        <w:t>responsible</w:t>
      </w:r>
      <w:proofErr w:type="gramEnd"/>
      <w:r>
        <w:t xml:space="preserve"> authority responding to the questionnaires for the MFF post-2020: CY, LT and S</w:t>
      </w:r>
      <w:r>
        <w:t>K.</w:t>
      </w:r>
    </w:p>
  </w:footnote>
  <w:footnote w:id="221">
    <w:p w:rsidR="007D3598" w:rsidRDefault="00F8547B">
      <w:pPr>
        <w:pStyle w:val="FootnoteText"/>
      </w:pPr>
      <w:r>
        <w:rPr>
          <w:rStyle w:val="FootnoteReference"/>
        </w:rPr>
        <w:footnoteRef/>
      </w:r>
      <w:r>
        <w:t xml:space="preserve"> </w:t>
      </w:r>
      <w:r>
        <w:tab/>
        <w:t>4 Member States (AT, ES, IS and LT) declared to have implemented projects, without providing any detail/further information.</w:t>
      </w:r>
    </w:p>
  </w:footnote>
  <w:footnote w:id="222">
    <w:p w:rsidR="007D3598" w:rsidRDefault="00F8547B">
      <w:pPr>
        <w:pStyle w:val="FootnoteText"/>
      </w:pPr>
      <w:r>
        <w:rPr>
          <w:rStyle w:val="FootnoteReference"/>
        </w:rPr>
        <w:footnoteRef/>
      </w:r>
      <w:r>
        <w:t xml:space="preserve"> </w:t>
      </w:r>
      <w:r>
        <w:tab/>
        <w:t xml:space="preserve">Ref. </w:t>
      </w:r>
      <w:proofErr w:type="gramStart"/>
      <w:r>
        <w:t>Ares(</w:t>
      </w:r>
      <w:proofErr w:type="gramEnd"/>
      <w:r>
        <w:t>2017)2412067, ‘High-level expert group on information systems and interoperability - Final report’ (May 2017. 13</w:t>
      </w:r>
      <w:r>
        <w:t xml:space="preserve"> Member States (AT, CH, CY, ES, FI, HU, IT, LT, LU, PL, RO, SE and SK).</w:t>
      </w:r>
    </w:p>
  </w:footnote>
  <w:footnote w:id="223">
    <w:p w:rsidR="007D3598" w:rsidRDefault="00F8547B">
      <w:pPr>
        <w:pStyle w:val="FootnoteText"/>
      </w:pPr>
      <w:r>
        <w:rPr>
          <w:rStyle w:val="FootnoteReference"/>
        </w:rPr>
        <w:footnoteRef/>
      </w:r>
      <w:r>
        <w:t xml:space="preserve"> </w:t>
      </w:r>
      <w:r>
        <w:tab/>
        <w:t>As also supported by the online survey: 71% (n=22) of respondents chose the options ‘3 – moderate extent’ and ‘4 – high extent’ to the survey question ‘To what extent do you think t</w:t>
      </w:r>
      <w:r>
        <w:t>hat Union Actions allowed for innovative solutions?</w:t>
      </w:r>
      <w:proofErr w:type="gramStart"/>
      <w:r>
        <w:t>’.</w:t>
      </w:r>
      <w:proofErr w:type="gramEnd"/>
    </w:p>
  </w:footnote>
  <w:footnote w:id="224">
    <w:p w:rsidR="007D3598" w:rsidRDefault="00F8547B">
      <w:pPr>
        <w:pStyle w:val="FootnoteText"/>
      </w:pPr>
      <w:r>
        <w:rPr>
          <w:rStyle w:val="FootnoteReference"/>
        </w:rPr>
        <w:footnoteRef/>
      </w:r>
      <w:r>
        <w:t xml:space="preserve"> </w:t>
      </w:r>
      <w:r>
        <w:tab/>
      </w:r>
      <w:proofErr w:type="spellStart"/>
      <w:proofErr w:type="gramStart"/>
      <w:r>
        <w:t>Optimity</w:t>
      </w:r>
      <w:proofErr w:type="spellEnd"/>
      <w:r>
        <w:t xml:space="preserve"> Advisors and CSD (2016).</w:t>
      </w:r>
      <w:proofErr w:type="gramEnd"/>
      <w:r>
        <w:t xml:space="preserve"> </w:t>
      </w:r>
      <w:proofErr w:type="gramStart"/>
      <w:r>
        <w:rPr>
          <w:i/>
        </w:rPr>
        <w:t>Ex post</w:t>
      </w:r>
      <w:r>
        <w:t xml:space="preserve"> evaluation of the External Borders Fund 2011-2013.</w:t>
      </w:r>
      <w:proofErr w:type="gramEnd"/>
    </w:p>
  </w:footnote>
  <w:footnote w:id="225">
    <w:p w:rsidR="007D3598" w:rsidRDefault="00F8547B">
      <w:pPr>
        <w:pStyle w:val="FootnoteText"/>
      </w:pPr>
      <w:r>
        <w:rPr>
          <w:rStyle w:val="FootnoteReference"/>
        </w:rPr>
        <w:footnoteRef/>
      </w:r>
      <w:r>
        <w:t xml:space="preserve"> </w:t>
      </w:r>
      <w:r>
        <w:tab/>
        <w:t>National programmes: AT, BE, BG, CH, CY, CZ, DE, DK, EE, EL, ES, FI, FR, HR, HU, IT, LT, LU, LV, MT, NL</w:t>
      </w:r>
      <w:r>
        <w:t>, PL, PT, RO, SE, SI and SK.</w:t>
      </w:r>
    </w:p>
  </w:footnote>
  <w:footnote w:id="226">
    <w:p w:rsidR="007D3598" w:rsidRDefault="00F8547B">
      <w:pPr>
        <w:pStyle w:val="FootnoteText"/>
      </w:pPr>
      <w:r>
        <w:rPr>
          <w:rStyle w:val="FootnoteReference"/>
        </w:rPr>
        <w:footnoteRef/>
      </w:r>
      <w:r>
        <w:t xml:space="preserve"> </w:t>
      </w:r>
      <w:r>
        <w:tab/>
        <w:t>National programmes are not available for IS, LI and NO.</w:t>
      </w:r>
    </w:p>
  </w:footnote>
  <w:footnote w:id="227">
    <w:p w:rsidR="007D3598" w:rsidRDefault="00F8547B">
      <w:pPr>
        <w:pStyle w:val="FootnoteText"/>
      </w:pPr>
      <w:r>
        <w:rPr>
          <w:rStyle w:val="FootnoteReference"/>
        </w:rPr>
        <w:footnoteRef/>
      </w:r>
      <w:r>
        <w:t xml:space="preserve"> </w:t>
      </w:r>
      <w:r>
        <w:tab/>
        <w:t>Example of sustainability indicator: number of equipment in use 2 years after their acquisition/number of equipment acquired under the Fund (&gt; than EUR 10 000).</w:t>
      </w:r>
    </w:p>
  </w:footnote>
  <w:footnote w:id="228">
    <w:p w:rsidR="007D3598" w:rsidRDefault="00F8547B">
      <w:pPr>
        <w:pStyle w:val="FootnoteText"/>
      </w:pPr>
      <w:r>
        <w:rPr>
          <w:rStyle w:val="FootnoteReference"/>
        </w:rPr>
        <w:footnoteRef/>
      </w:r>
      <w:r>
        <w:t xml:space="preserve"> </w:t>
      </w:r>
      <w:r>
        <w:tab/>
      </w:r>
      <w:r>
        <w:t>National programmes: EE, LT, LV, MT and SK.</w:t>
      </w:r>
    </w:p>
  </w:footnote>
  <w:footnote w:id="229">
    <w:p w:rsidR="007D3598" w:rsidRDefault="00F8547B">
      <w:pPr>
        <w:pStyle w:val="FootnoteText"/>
      </w:pPr>
      <w:r>
        <w:rPr>
          <w:rStyle w:val="FootnoteReference"/>
        </w:rPr>
        <w:footnoteRef/>
      </w:r>
      <w:r>
        <w:t xml:space="preserve"> </w:t>
      </w:r>
      <w:r>
        <w:tab/>
        <w:t>National programmes: all countries except Switzerland and the Netherlands. Interviews: 5 RAs (BE, BG, CH, LT and PL).</w:t>
      </w:r>
    </w:p>
  </w:footnote>
  <w:footnote w:id="230">
    <w:p w:rsidR="007D3598" w:rsidRDefault="00F8547B">
      <w:pPr>
        <w:pStyle w:val="FootnoteText"/>
      </w:pPr>
      <w:r>
        <w:rPr>
          <w:rStyle w:val="FootnoteReference"/>
        </w:rPr>
        <w:footnoteRef/>
      </w:r>
      <w:r>
        <w:t xml:space="preserve"> </w:t>
      </w:r>
      <w:r>
        <w:tab/>
        <w:t>Member States: BE, CY, CZ, DE, EE, EL, ES, FI, FR, HR, HU, IT, LU, MT and RO. Interviews</w:t>
      </w:r>
      <w:r>
        <w:t xml:space="preserve">: 3 RAs (BE, El and LT) and I delegated authority (EL). </w:t>
      </w:r>
      <w:proofErr w:type="gramStart"/>
      <w:r>
        <w:t>1 beneficiary responding to the online survey.</w:t>
      </w:r>
      <w:proofErr w:type="gramEnd"/>
    </w:p>
  </w:footnote>
  <w:footnote w:id="231">
    <w:p w:rsidR="007D3598" w:rsidRDefault="00F8547B">
      <w:pPr>
        <w:pStyle w:val="FootnoteText"/>
      </w:pPr>
      <w:r>
        <w:rPr>
          <w:rStyle w:val="FootnoteReference"/>
        </w:rPr>
        <w:footnoteRef/>
      </w:r>
      <w:r>
        <w:t xml:space="preserve"> </w:t>
      </w:r>
      <w:r>
        <w:tab/>
        <w:t>Member States: BE, CY, CZ, DE, EE, EL, ES, FI, FR, HR, HU, IT, LU, MT and RO.</w:t>
      </w:r>
    </w:p>
  </w:footnote>
  <w:footnote w:id="232">
    <w:p w:rsidR="007D3598" w:rsidRDefault="00F8547B">
      <w:pPr>
        <w:pStyle w:val="FootnoteText"/>
      </w:pPr>
      <w:r>
        <w:rPr>
          <w:rStyle w:val="FootnoteReference"/>
        </w:rPr>
        <w:footnoteRef/>
      </w:r>
      <w:r>
        <w:t xml:space="preserve"> </w:t>
      </w:r>
      <w:r>
        <w:tab/>
      </w:r>
      <w:proofErr w:type="gramStart"/>
      <w:r>
        <w:t xml:space="preserve">Measures that ensure the continuity of the project in case of </w:t>
      </w:r>
      <w:r>
        <w:t>unexpected events.</w:t>
      </w:r>
      <w:proofErr w:type="gramEnd"/>
    </w:p>
  </w:footnote>
  <w:footnote w:id="233">
    <w:p w:rsidR="007D3598" w:rsidRDefault="00F8547B">
      <w:pPr>
        <w:pStyle w:val="FootnoteText"/>
      </w:pPr>
      <w:r>
        <w:rPr>
          <w:rStyle w:val="FootnoteReference"/>
        </w:rPr>
        <w:footnoteRef/>
      </w:r>
      <w:r>
        <w:t xml:space="preserve"> </w:t>
      </w:r>
      <w:r>
        <w:tab/>
      </w:r>
      <w:proofErr w:type="gramStart"/>
      <w:r>
        <w:t>Ministry for European Affairs and Implementation of the Electoral Manifesto (2015).</w:t>
      </w:r>
      <w:proofErr w:type="gramEnd"/>
      <w:r>
        <w:t xml:space="preserve"> Asylum, Migration and Integration Fund and Internal Security Fund 2014–2020: manual of procedures.</w:t>
      </w:r>
    </w:p>
  </w:footnote>
  <w:footnote w:id="234">
    <w:p w:rsidR="007D3598" w:rsidRDefault="00F8547B">
      <w:pPr>
        <w:pStyle w:val="FootnoteText"/>
      </w:pPr>
      <w:r>
        <w:rPr>
          <w:rStyle w:val="FootnoteReference"/>
        </w:rPr>
        <w:footnoteRef/>
      </w:r>
      <w:r>
        <w:t xml:space="preserve"> </w:t>
      </w:r>
      <w:r>
        <w:tab/>
        <w:t>Member States: AT, BE and CY.</w:t>
      </w:r>
    </w:p>
  </w:footnote>
  <w:footnote w:id="235">
    <w:p w:rsidR="007D3598" w:rsidRDefault="00F8547B">
      <w:pPr>
        <w:pStyle w:val="FootnoteText"/>
      </w:pPr>
      <w:r>
        <w:rPr>
          <w:rStyle w:val="FootnoteReference"/>
        </w:rPr>
        <w:footnoteRef/>
      </w:r>
      <w:r>
        <w:t xml:space="preserve"> </w:t>
      </w:r>
      <w:r>
        <w:tab/>
      </w:r>
      <w:proofErr w:type="gramStart"/>
      <w:r>
        <w:t xml:space="preserve">Interview with </w:t>
      </w:r>
      <w:r>
        <w:t>Bulgarian responsible authority.</w:t>
      </w:r>
      <w:proofErr w:type="gramEnd"/>
    </w:p>
  </w:footnote>
  <w:footnote w:id="236">
    <w:p w:rsidR="007D3598" w:rsidRDefault="00F8547B">
      <w:pPr>
        <w:pStyle w:val="FootnoteText"/>
      </w:pPr>
      <w:r>
        <w:rPr>
          <w:rStyle w:val="FootnoteReference"/>
        </w:rPr>
        <w:footnoteRef/>
      </w:r>
      <w:r>
        <w:t xml:space="preserve"> </w:t>
      </w:r>
      <w:r>
        <w:tab/>
        <w:t>Member States: MT.</w:t>
      </w:r>
    </w:p>
  </w:footnote>
  <w:footnote w:id="237">
    <w:p w:rsidR="007D3598" w:rsidRDefault="00F8547B">
      <w:pPr>
        <w:pStyle w:val="FootnoteText"/>
      </w:pPr>
      <w:r>
        <w:rPr>
          <w:rStyle w:val="FootnoteReference"/>
        </w:rPr>
        <w:footnoteRef/>
      </w:r>
      <w:r>
        <w:t xml:space="preserve"> </w:t>
      </w:r>
      <w:r>
        <w:tab/>
      </w:r>
      <w:proofErr w:type="gramStart"/>
      <w:r>
        <w:t>Interview with PL responsible authority.</w:t>
      </w:r>
      <w:proofErr w:type="gramEnd"/>
    </w:p>
  </w:footnote>
  <w:footnote w:id="238">
    <w:p w:rsidR="007D3598" w:rsidRDefault="00F8547B">
      <w:pPr>
        <w:pStyle w:val="FootnoteText"/>
      </w:pPr>
      <w:r>
        <w:rPr>
          <w:rStyle w:val="FootnoteReference"/>
        </w:rPr>
        <w:footnoteRef/>
      </w:r>
      <w:r>
        <w:t xml:space="preserve"> </w:t>
      </w:r>
      <w:r>
        <w:tab/>
      </w:r>
      <w:proofErr w:type="gramStart"/>
      <w:r>
        <w:t>Interview with CH responsible authority.</w:t>
      </w:r>
      <w:proofErr w:type="gramEnd"/>
    </w:p>
  </w:footnote>
  <w:footnote w:id="239">
    <w:p w:rsidR="007D3598" w:rsidRDefault="00F8547B">
      <w:pPr>
        <w:pStyle w:val="FootnoteText"/>
      </w:pPr>
      <w:r>
        <w:rPr>
          <w:rStyle w:val="FootnoteReference"/>
        </w:rPr>
        <w:footnoteRef/>
      </w:r>
      <w:r>
        <w:t xml:space="preserve"> </w:t>
      </w:r>
      <w:r>
        <w:tab/>
        <w:t>Regulation (EU) No 1052/2013 of the European Parliament and of the Council of 22 October 2013 establishing the</w:t>
      </w:r>
      <w:r>
        <w:t xml:space="preserve"> European Border Surveillance System (EUROSUR).</w:t>
      </w:r>
    </w:p>
  </w:footnote>
  <w:footnote w:id="240">
    <w:p w:rsidR="007D3598" w:rsidRDefault="00F8547B">
      <w:pPr>
        <w:pStyle w:val="FootnoteText"/>
      </w:pPr>
      <w:r>
        <w:rPr>
          <w:rStyle w:val="FootnoteReference"/>
        </w:rPr>
        <w:footnoteRef/>
      </w:r>
      <w:r>
        <w:t xml:space="preserve"> </w:t>
      </w:r>
      <w:r>
        <w:tab/>
        <w:t>http://ec.europa.eu/info/consultations_en</w:t>
      </w:r>
    </w:p>
  </w:footnote>
  <w:footnote w:id="241">
    <w:p w:rsidR="007D3598" w:rsidRDefault="00F8547B">
      <w:pPr>
        <w:pStyle w:val="FootnoteText"/>
      </w:pPr>
      <w:r>
        <w:rPr>
          <w:rStyle w:val="FootnoteReference"/>
          <w:rFonts w:eastAsiaTheme="majorEastAsia"/>
        </w:rPr>
        <w:footnoteRef/>
      </w:r>
      <w:r>
        <w:t xml:space="preserve"> </w:t>
      </w:r>
      <w:r>
        <w:tab/>
      </w:r>
      <w:proofErr w:type="gramStart"/>
      <w:r>
        <w:t>Section 6.3 (Section answering evaluation questions).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47B" w:rsidRPr="00F8547B" w:rsidRDefault="00F8547B" w:rsidP="00F8547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47B" w:rsidRPr="00F8547B" w:rsidRDefault="00F8547B" w:rsidP="00F8547B">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47B" w:rsidRPr="00F8547B" w:rsidRDefault="00F8547B" w:rsidP="00F8547B">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598" w:rsidRDefault="007D35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6FB60660"/>
    <w:lvl w:ilvl="0">
      <w:start w:val="1"/>
      <w:numFmt w:val="bullet"/>
      <w:pStyle w:val="Heading2HOME"/>
      <w:lvlText w:val=""/>
      <w:lvlJc w:val="left"/>
      <w:pPr>
        <w:tabs>
          <w:tab w:val="num" w:pos="1209"/>
        </w:tabs>
        <w:ind w:left="1209" w:hanging="360"/>
      </w:pPr>
      <w:rPr>
        <w:rFonts w:ascii="Symbol" w:hAnsi="Symbol" w:hint="default"/>
      </w:rPr>
    </w:lvl>
  </w:abstractNum>
  <w:abstractNum w:abstractNumId="3">
    <w:nsid w:val="006A0B76"/>
    <w:multiLevelType w:val="hybridMultilevel"/>
    <w:tmpl w:val="B4AE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1C1FFD"/>
    <w:multiLevelType w:val="hybridMultilevel"/>
    <w:tmpl w:val="B966032A"/>
    <w:name w:val="Heading 1N2222222"/>
    <w:lvl w:ilvl="0" w:tplc="C2BC3F54">
      <w:start w:val="1"/>
      <w:numFmt w:val="bullet"/>
      <w:pStyle w:val="Bullet3n"/>
      <w:lvlText w:val="o"/>
      <w:lvlJc w:val="left"/>
      <w:pPr>
        <w:ind w:left="1800" w:hanging="360"/>
      </w:pPr>
      <w:rPr>
        <w:rFonts w:ascii="Courier New" w:hAnsi="Courier New"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nsid w:val="05426C38"/>
    <w:multiLevelType w:val="hybridMultilevel"/>
    <w:tmpl w:val="FCDA041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nsid w:val="08500F50"/>
    <w:multiLevelType w:val="hybridMultilevel"/>
    <w:tmpl w:val="40A453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8B65635"/>
    <w:multiLevelType w:val="multilevel"/>
    <w:tmpl w:val="E348DE7C"/>
    <w:lvl w:ilvl="0">
      <w:start w:val="1"/>
      <w:numFmt w:val="bullet"/>
      <w:lvlText w:val=""/>
      <w:lvlJc w:val="left"/>
      <w:pPr>
        <w:tabs>
          <w:tab w:val="num" w:pos="720"/>
        </w:tabs>
        <w:ind w:left="720" w:hanging="360"/>
      </w:pPr>
      <w:rPr>
        <w:rFonts w:ascii="Symbol" w:hAnsi="Symbol" w:hint="default"/>
        <w:sz w:val="20"/>
      </w:rPr>
    </w:lvl>
    <w:lvl w:ilvl="1">
      <w:start w:val="1"/>
      <w:numFmt w:val="bullet"/>
      <w:pStyle w:val="Style7"/>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551062"/>
    <w:multiLevelType w:val="hybridMultilevel"/>
    <w:tmpl w:val="4EFC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3725F3"/>
    <w:multiLevelType w:val="hybridMultilevel"/>
    <w:tmpl w:val="2A6A8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5E79EB"/>
    <w:multiLevelType w:val="hybridMultilevel"/>
    <w:tmpl w:val="F1CA8CC0"/>
    <w:lvl w:ilvl="0" w:tplc="3100354C">
      <w:start w:val="1"/>
      <w:numFmt w:val="bullet"/>
      <w:pStyle w:val="TableListBullet2"/>
      <w:lvlText w:val=""/>
      <w:lvlJc w:val="left"/>
      <w:pPr>
        <w:tabs>
          <w:tab w:val="num" w:pos="357"/>
        </w:tabs>
        <w:ind w:left="357" w:hanging="176"/>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EYInterstate Ligh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EYInterstate Ligh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EYInterstate Ligh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1732346"/>
    <w:multiLevelType w:val="hybridMultilevel"/>
    <w:tmpl w:val="EAE607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20D26A5"/>
    <w:multiLevelType w:val="hybridMultilevel"/>
    <w:tmpl w:val="83945042"/>
    <w:lvl w:ilvl="0" w:tplc="08090003">
      <w:start w:val="1"/>
      <w:numFmt w:val="bullet"/>
      <w:lvlText w:val="o"/>
      <w:lvlJc w:val="left"/>
      <w:pPr>
        <w:ind w:left="1565" w:hanging="360"/>
      </w:pPr>
      <w:rPr>
        <w:rFonts w:ascii="Courier New" w:hAnsi="Courier New" w:cs="Courier New" w:hint="default"/>
      </w:rPr>
    </w:lvl>
    <w:lvl w:ilvl="1" w:tplc="08090003" w:tentative="1">
      <w:start w:val="1"/>
      <w:numFmt w:val="bullet"/>
      <w:lvlText w:val="o"/>
      <w:lvlJc w:val="left"/>
      <w:pPr>
        <w:ind w:left="2285" w:hanging="360"/>
      </w:pPr>
      <w:rPr>
        <w:rFonts w:ascii="Courier New" w:hAnsi="Courier New" w:cs="Courier New" w:hint="default"/>
      </w:rPr>
    </w:lvl>
    <w:lvl w:ilvl="2" w:tplc="08090005" w:tentative="1">
      <w:start w:val="1"/>
      <w:numFmt w:val="bullet"/>
      <w:lvlText w:val=""/>
      <w:lvlJc w:val="left"/>
      <w:pPr>
        <w:ind w:left="3005" w:hanging="360"/>
      </w:pPr>
      <w:rPr>
        <w:rFonts w:ascii="Wingdings" w:hAnsi="Wingdings" w:hint="default"/>
      </w:rPr>
    </w:lvl>
    <w:lvl w:ilvl="3" w:tplc="08090001" w:tentative="1">
      <w:start w:val="1"/>
      <w:numFmt w:val="bullet"/>
      <w:lvlText w:val=""/>
      <w:lvlJc w:val="left"/>
      <w:pPr>
        <w:ind w:left="3725" w:hanging="360"/>
      </w:pPr>
      <w:rPr>
        <w:rFonts w:ascii="Symbol" w:hAnsi="Symbol" w:hint="default"/>
      </w:rPr>
    </w:lvl>
    <w:lvl w:ilvl="4" w:tplc="08090003" w:tentative="1">
      <w:start w:val="1"/>
      <w:numFmt w:val="bullet"/>
      <w:lvlText w:val="o"/>
      <w:lvlJc w:val="left"/>
      <w:pPr>
        <w:ind w:left="4445" w:hanging="360"/>
      </w:pPr>
      <w:rPr>
        <w:rFonts w:ascii="Courier New" w:hAnsi="Courier New" w:cs="Courier New" w:hint="default"/>
      </w:rPr>
    </w:lvl>
    <w:lvl w:ilvl="5" w:tplc="08090005" w:tentative="1">
      <w:start w:val="1"/>
      <w:numFmt w:val="bullet"/>
      <w:lvlText w:val=""/>
      <w:lvlJc w:val="left"/>
      <w:pPr>
        <w:ind w:left="5165" w:hanging="360"/>
      </w:pPr>
      <w:rPr>
        <w:rFonts w:ascii="Wingdings" w:hAnsi="Wingdings" w:hint="default"/>
      </w:rPr>
    </w:lvl>
    <w:lvl w:ilvl="6" w:tplc="08090001" w:tentative="1">
      <w:start w:val="1"/>
      <w:numFmt w:val="bullet"/>
      <w:lvlText w:val=""/>
      <w:lvlJc w:val="left"/>
      <w:pPr>
        <w:ind w:left="5885" w:hanging="360"/>
      </w:pPr>
      <w:rPr>
        <w:rFonts w:ascii="Symbol" w:hAnsi="Symbol" w:hint="default"/>
      </w:rPr>
    </w:lvl>
    <w:lvl w:ilvl="7" w:tplc="08090003" w:tentative="1">
      <w:start w:val="1"/>
      <w:numFmt w:val="bullet"/>
      <w:lvlText w:val="o"/>
      <w:lvlJc w:val="left"/>
      <w:pPr>
        <w:ind w:left="6605" w:hanging="360"/>
      </w:pPr>
      <w:rPr>
        <w:rFonts w:ascii="Courier New" w:hAnsi="Courier New" w:cs="Courier New" w:hint="default"/>
      </w:rPr>
    </w:lvl>
    <w:lvl w:ilvl="8" w:tplc="08090005" w:tentative="1">
      <w:start w:val="1"/>
      <w:numFmt w:val="bullet"/>
      <w:lvlText w:val=""/>
      <w:lvlJc w:val="left"/>
      <w:pPr>
        <w:ind w:left="7325" w:hanging="360"/>
      </w:pPr>
      <w:rPr>
        <w:rFonts w:ascii="Wingdings" w:hAnsi="Wingdings" w:hint="default"/>
      </w:rPr>
    </w:lvl>
  </w:abstractNum>
  <w:abstractNum w:abstractNumId="13">
    <w:nsid w:val="172B7976"/>
    <w:multiLevelType w:val="hybridMultilevel"/>
    <w:tmpl w:val="DD825C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3F0B3D"/>
    <w:multiLevelType w:val="hybridMultilevel"/>
    <w:tmpl w:val="DF94E59C"/>
    <w:lvl w:ilvl="0" w:tplc="14C41824">
      <w:start w:val="1"/>
      <w:numFmt w:val="bullet"/>
      <w:lvlText w:val=""/>
      <w:lvlJc w:val="left"/>
      <w:pPr>
        <w:ind w:left="502" w:hanging="360"/>
      </w:pPr>
      <w:rPr>
        <w:rFonts w:ascii="Symbol" w:hAnsi="Symbol" w:hint="default"/>
        <w:color w:val="4F81BD" w:themeColor="accent1"/>
      </w:rPr>
    </w:lvl>
    <w:lvl w:ilvl="1" w:tplc="04100003">
      <w:start w:val="1"/>
      <w:numFmt w:val="bullet"/>
      <w:lvlText w:val="o"/>
      <w:lvlJc w:val="left"/>
      <w:pPr>
        <w:ind w:left="505" w:hanging="360"/>
      </w:pPr>
      <w:rPr>
        <w:rFonts w:ascii="Courier New" w:hAnsi="Courier New" w:cs="Courier New" w:hint="default"/>
      </w:rPr>
    </w:lvl>
    <w:lvl w:ilvl="2" w:tplc="D714A8C6">
      <w:start w:val="1"/>
      <w:numFmt w:val="bullet"/>
      <w:lvlText w:val=""/>
      <w:lvlJc w:val="left"/>
      <w:pPr>
        <w:ind w:left="1211" w:hanging="360"/>
      </w:pPr>
      <w:rPr>
        <w:rFonts w:ascii="Wingdings" w:hAnsi="Wingdings" w:hint="default"/>
        <w:color w:val="4F81BD" w:themeColor="accent1"/>
      </w:rPr>
    </w:lvl>
    <w:lvl w:ilvl="3" w:tplc="04100001" w:tentative="1">
      <w:start w:val="1"/>
      <w:numFmt w:val="bullet"/>
      <w:lvlText w:val=""/>
      <w:lvlJc w:val="left"/>
      <w:pPr>
        <w:ind w:left="1945" w:hanging="360"/>
      </w:pPr>
      <w:rPr>
        <w:rFonts w:ascii="Symbol" w:hAnsi="Symbol" w:hint="default"/>
      </w:rPr>
    </w:lvl>
    <w:lvl w:ilvl="4" w:tplc="04100003" w:tentative="1">
      <w:start w:val="1"/>
      <w:numFmt w:val="bullet"/>
      <w:lvlText w:val="o"/>
      <w:lvlJc w:val="left"/>
      <w:pPr>
        <w:ind w:left="2665" w:hanging="360"/>
      </w:pPr>
      <w:rPr>
        <w:rFonts w:ascii="Courier New" w:hAnsi="Courier New" w:cs="Courier New" w:hint="default"/>
      </w:rPr>
    </w:lvl>
    <w:lvl w:ilvl="5" w:tplc="04100005" w:tentative="1">
      <w:start w:val="1"/>
      <w:numFmt w:val="bullet"/>
      <w:lvlText w:val=""/>
      <w:lvlJc w:val="left"/>
      <w:pPr>
        <w:ind w:left="3385" w:hanging="360"/>
      </w:pPr>
      <w:rPr>
        <w:rFonts w:ascii="Wingdings" w:hAnsi="Wingdings" w:hint="default"/>
      </w:rPr>
    </w:lvl>
    <w:lvl w:ilvl="6" w:tplc="04100001" w:tentative="1">
      <w:start w:val="1"/>
      <w:numFmt w:val="bullet"/>
      <w:lvlText w:val=""/>
      <w:lvlJc w:val="left"/>
      <w:pPr>
        <w:ind w:left="4105" w:hanging="360"/>
      </w:pPr>
      <w:rPr>
        <w:rFonts w:ascii="Symbol" w:hAnsi="Symbol" w:hint="default"/>
      </w:rPr>
    </w:lvl>
    <w:lvl w:ilvl="7" w:tplc="04100003" w:tentative="1">
      <w:start w:val="1"/>
      <w:numFmt w:val="bullet"/>
      <w:lvlText w:val="o"/>
      <w:lvlJc w:val="left"/>
      <w:pPr>
        <w:ind w:left="4825" w:hanging="360"/>
      </w:pPr>
      <w:rPr>
        <w:rFonts w:ascii="Courier New" w:hAnsi="Courier New" w:cs="Courier New" w:hint="default"/>
      </w:rPr>
    </w:lvl>
    <w:lvl w:ilvl="8" w:tplc="04100005" w:tentative="1">
      <w:start w:val="1"/>
      <w:numFmt w:val="bullet"/>
      <w:lvlText w:val=""/>
      <w:lvlJc w:val="left"/>
      <w:pPr>
        <w:ind w:left="5545" w:hanging="360"/>
      </w:pPr>
      <w:rPr>
        <w:rFonts w:ascii="Wingdings" w:hAnsi="Wingdings" w:hint="default"/>
      </w:rPr>
    </w:lvl>
  </w:abstractNum>
  <w:abstractNum w:abstractNumId="15">
    <w:nsid w:val="19563686"/>
    <w:multiLevelType w:val="hybridMultilevel"/>
    <w:tmpl w:val="DA78BF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1A894033"/>
    <w:multiLevelType w:val="hybridMultilevel"/>
    <w:tmpl w:val="A03CA684"/>
    <w:lvl w:ilvl="0" w:tplc="AEBE5174">
      <w:start w:val="1"/>
      <w:numFmt w:val="bullet"/>
      <w:pStyle w:val="Listepuces1"/>
      <w:lvlText w:val="►"/>
      <w:lvlJc w:val="left"/>
      <w:pPr>
        <w:tabs>
          <w:tab w:val="num" w:pos="284"/>
        </w:tabs>
        <w:ind w:left="284" w:hanging="284"/>
      </w:pPr>
      <w:rPr>
        <w:rFonts w:ascii="Arial" w:hAnsi="Arial" w:hint="default"/>
        <w:b w:val="0"/>
        <w:i w:val="0"/>
        <w:color w:val="FFC000"/>
        <w:sz w:val="16"/>
        <w:szCs w:val="16"/>
      </w:rPr>
    </w:lvl>
    <w:lvl w:ilvl="1" w:tplc="FFFFFFFF">
      <w:start w:val="8"/>
      <w:numFmt w:val="bullet"/>
      <w:lvlText w:val="-"/>
      <w:lvlJc w:val="left"/>
      <w:pPr>
        <w:tabs>
          <w:tab w:val="num" w:pos="1440"/>
        </w:tabs>
        <w:ind w:left="1440" w:hanging="360"/>
      </w:pPr>
      <w:rPr>
        <w:rFonts w:ascii="Times New Roman" w:eastAsia="Times New Roman" w:hAnsi="Times New Roman" w:cs="Times New Roman" w:hint="default"/>
        <w:b w:val="0"/>
        <w:i w:val="0"/>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EYInterstate Ligh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EYInterstate Ligh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635979"/>
    <w:multiLevelType w:val="hybridMultilevel"/>
    <w:tmpl w:val="646C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C406D7A"/>
    <w:multiLevelType w:val="hybridMultilevel"/>
    <w:tmpl w:val="9B744508"/>
    <w:lvl w:ilvl="0" w:tplc="AA5E894C">
      <w:start w:val="1"/>
      <w:numFmt w:val="bullet"/>
      <w:pStyle w:val="Bulletcoretext"/>
      <w:lvlText w:val="►"/>
      <w:lvlJc w:val="left"/>
      <w:pPr>
        <w:ind w:left="720" w:hanging="360"/>
      </w:pPr>
      <w:rPr>
        <w:rFonts w:ascii="Arial" w:hAnsi="Arial" w:cs="Times New Roman" w:hint="default"/>
        <w:b w:val="0"/>
        <w:i w:val="0"/>
        <w:color w:val="FFC000"/>
        <w:sz w:val="16"/>
        <w:szCs w:val="16"/>
      </w:rPr>
    </w:lvl>
    <w:lvl w:ilvl="1" w:tplc="B0EAAE50">
      <w:start w:val="1"/>
      <w:numFmt w:val="bullet"/>
      <w:lvlText w:val="-"/>
      <w:lvlJc w:val="left"/>
      <w:pPr>
        <w:ind w:left="1440" w:hanging="360"/>
      </w:pPr>
      <w:rPr>
        <w:rFonts w:ascii="EYInterstate Light" w:hAnsi="EYInterstate Light" w:cs="Aharoni" w:hint="default"/>
        <w:b w:val="0"/>
        <w:bCs w:val="0"/>
        <w:i w:val="0"/>
        <w:iCs w:val="0"/>
        <w:caps w:val="0"/>
        <w:strike w:val="0"/>
        <w:dstrike w:val="0"/>
        <w:vanish w:val="0"/>
        <w:color w:val="FFC000"/>
        <w:spacing w:val="0"/>
        <w:kern w:val="0"/>
        <w:position w:val="0"/>
        <w:sz w:val="24"/>
        <w:u w:val="none"/>
        <w:vertAlign w:val="baseline"/>
        <w:em w:val="none"/>
        <w:lang w:val="en-GB"/>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CD95490"/>
    <w:multiLevelType w:val="multilevel"/>
    <w:tmpl w:val="AF361D8E"/>
    <w:lvl w:ilvl="0">
      <w:start w:val="1"/>
      <w:numFmt w:val="decimal"/>
      <w:pStyle w:val="Style8"/>
      <w:lvlText w:val="%1."/>
      <w:lvlJc w:val="left"/>
      <w:pPr>
        <w:ind w:left="360" w:hanging="360"/>
      </w:pPr>
    </w:lvl>
    <w:lvl w:ilvl="1">
      <w:start w:val="1"/>
      <w:numFmt w:val="decimal"/>
      <w:pStyle w:val="subtitle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pStyle w:val="Style8"/>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E474D03"/>
    <w:multiLevelType w:val="hybridMultilevel"/>
    <w:tmpl w:val="6B808544"/>
    <w:lvl w:ilvl="0" w:tplc="D714A8C6">
      <w:start w:val="1"/>
      <w:numFmt w:val="bullet"/>
      <w:lvlText w:val=""/>
      <w:lvlJc w:val="left"/>
      <w:pPr>
        <w:ind w:left="720" w:hanging="360"/>
      </w:pPr>
      <w:rPr>
        <w:rFonts w:ascii="Wingdings" w:hAnsi="Wingdings"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26E1178"/>
    <w:multiLevelType w:val="hybridMultilevel"/>
    <w:tmpl w:val="0A3C061A"/>
    <w:lvl w:ilvl="0" w:tplc="6D2A8754">
      <w:start w:val="1"/>
      <w:numFmt w:val="decimal"/>
      <w:pStyle w:val="AnnexHeading1"/>
      <w:lvlText w:val="Annex %1."/>
      <w:lvlJc w:val="left"/>
      <w:pPr>
        <w:ind w:left="1212"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nsid w:val="22AD723B"/>
    <w:multiLevelType w:val="hybridMultilevel"/>
    <w:tmpl w:val="04DCE6CA"/>
    <w:lvl w:ilvl="0" w:tplc="E38AC0B8">
      <w:start w:val="1"/>
      <w:numFmt w:val="bullet"/>
      <w:lvlText w:val=""/>
      <w:lvlJc w:val="left"/>
      <w:pPr>
        <w:ind w:left="720" w:hanging="360"/>
      </w:pPr>
      <w:rPr>
        <w:rFonts w:ascii="Wingdings" w:eastAsiaTheme="minorHAnsi"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2E84FB7"/>
    <w:multiLevelType w:val="multilevel"/>
    <w:tmpl w:val="DA104EE4"/>
    <w:lvl w:ilvl="0">
      <w:start w:val="1"/>
      <w:numFmt w:val="bullet"/>
      <w:pStyle w:val="TableText"/>
      <w:lvlText w:val="►"/>
      <w:lvlJc w:val="left"/>
      <w:pPr>
        <w:tabs>
          <w:tab w:val="num" w:pos="360"/>
        </w:tabs>
        <w:ind w:left="360" w:hanging="360"/>
      </w:pPr>
      <w:rPr>
        <w:rFonts w:ascii="Arial" w:hAnsi="Arial" w:hint="default"/>
        <w:color w:val="FFD200"/>
        <w:sz w:val="18"/>
      </w:rPr>
    </w:lvl>
    <w:lvl w:ilvl="1">
      <w:start w:val="1"/>
      <w:numFmt w:val="bullet"/>
      <w:lvlText w:val="►"/>
      <w:lvlJc w:val="left"/>
      <w:pPr>
        <w:tabs>
          <w:tab w:val="num" w:pos="720"/>
        </w:tabs>
        <w:ind w:left="720" w:hanging="360"/>
      </w:pPr>
      <w:rPr>
        <w:rFonts w:ascii="Arial" w:hAnsi="Arial" w:hint="default"/>
        <w:color w:val="FFD200"/>
        <w:sz w:val="18"/>
      </w:rPr>
    </w:lvl>
    <w:lvl w:ilvl="2">
      <w:start w:val="1"/>
      <w:numFmt w:val="bullet"/>
      <w:lvlText w:val="►"/>
      <w:lvlJc w:val="left"/>
      <w:pPr>
        <w:tabs>
          <w:tab w:val="num" w:pos="1080"/>
        </w:tabs>
        <w:ind w:left="1080" w:hanging="360"/>
      </w:pPr>
      <w:rPr>
        <w:rFonts w:ascii="Arial" w:hAnsi="Arial" w:hint="default"/>
        <w:color w:val="FFD200"/>
        <w:sz w:val="18"/>
      </w:rPr>
    </w:lvl>
    <w:lvl w:ilvl="3">
      <w:start w:val="1"/>
      <w:numFmt w:val="bullet"/>
      <w:lvlText w:val="►"/>
      <w:lvlJc w:val="left"/>
      <w:pPr>
        <w:tabs>
          <w:tab w:val="num" w:pos="1440"/>
        </w:tabs>
        <w:ind w:left="1440" w:hanging="360"/>
      </w:pPr>
      <w:rPr>
        <w:rFonts w:ascii="Arial" w:hAnsi="Arial" w:hint="default"/>
        <w:color w:val="FFD200"/>
        <w:sz w:val="18"/>
      </w:rPr>
    </w:lvl>
    <w:lvl w:ilvl="4">
      <w:start w:val="1"/>
      <w:numFmt w:val="bullet"/>
      <w:lvlText w:val="►"/>
      <w:lvlJc w:val="left"/>
      <w:pPr>
        <w:tabs>
          <w:tab w:val="num" w:pos="1800"/>
        </w:tabs>
        <w:ind w:left="1800" w:hanging="360"/>
      </w:pPr>
      <w:rPr>
        <w:rFonts w:ascii="Arial" w:hAnsi="Arial" w:hint="default"/>
        <w:color w:val="FFD200"/>
        <w:sz w:val="18"/>
      </w:rPr>
    </w:lvl>
    <w:lvl w:ilvl="5">
      <w:start w:val="1"/>
      <w:numFmt w:val="bullet"/>
      <w:lvlText w:val="►"/>
      <w:lvlJc w:val="left"/>
      <w:pPr>
        <w:tabs>
          <w:tab w:val="num" w:pos="2160"/>
        </w:tabs>
        <w:ind w:left="2160" w:hanging="360"/>
      </w:pPr>
      <w:rPr>
        <w:rFonts w:ascii="Arial" w:hAnsi="Arial" w:hint="default"/>
        <w:color w:val="FFD200"/>
        <w:sz w:val="18"/>
      </w:rPr>
    </w:lvl>
    <w:lvl w:ilvl="6">
      <w:start w:val="1"/>
      <w:numFmt w:val="bullet"/>
      <w:lvlText w:val="►"/>
      <w:lvlJc w:val="left"/>
      <w:pPr>
        <w:tabs>
          <w:tab w:val="num" w:pos="2520"/>
        </w:tabs>
        <w:ind w:left="2520" w:hanging="360"/>
      </w:pPr>
      <w:rPr>
        <w:rFonts w:ascii="Arial" w:hAnsi="Arial" w:hint="default"/>
        <w:color w:val="FFD200"/>
        <w:sz w:val="18"/>
      </w:rPr>
    </w:lvl>
    <w:lvl w:ilvl="7">
      <w:start w:val="1"/>
      <w:numFmt w:val="bullet"/>
      <w:lvlText w:val="►"/>
      <w:lvlJc w:val="left"/>
      <w:pPr>
        <w:tabs>
          <w:tab w:val="num" w:pos="2880"/>
        </w:tabs>
        <w:ind w:left="2880" w:hanging="360"/>
      </w:pPr>
      <w:rPr>
        <w:rFonts w:ascii="Arial" w:hAnsi="Arial" w:hint="default"/>
        <w:color w:val="FFD200"/>
        <w:sz w:val="18"/>
      </w:rPr>
    </w:lvl>
    <w:lvl w:ilvl="8">
      <w:start w:val="1"/>
      <w:numFmt w:val="bullet"/>
      <w:lvlText w:val="►"/>
      <w:lvlJc w:val="left"/>
      <w:pPr>
        <w:tabs>
          <w:tab w:val="num" w:pos="3240"/>
        </w:tabs>
        <w:ind w:left="3240" w:hanging="360"/>
      </w:pPr>
      <w:rPr>
        <w:rFonts w:ascii="Arial" w:hAnsi="Arial" w:hint="default"/>
        <w:b w:val="0"/>
        <w:i w:val="0"/>
        <w:color w:val="FFD200"/>
        <w:sz w:val="18"/>
      </w:rPr>
    </w:lvl>
  </w:abstractNum>
  <w:abstractNum w:abstractNumId="26">
    <w:nsid w:val="22F96866"/>
    <w:multiLevelType w:val="hybridMultilevel"/>
    <w:tmpl w:val="1E5E73D8"/>
    <w:lvl w:ilvl="0" w:tplc="80C2F444">
      <w:start w:val="1"/>
      <w:numFmt w:val="decimal"/>
      <w:pStyle w:val="Title1"/>
      <w:lvlText w:val="%1."/>
      <w:lvlJc w:val="left"/>
      <w:pPr>
        <w:ind w:left="720" w:hanging="360"/>
      </w:pPr>
      <w:rPr>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32B4EB5"/>
    <w:multiLevelType w:val="hybridMultilevel"/>
    <w:tmpl w:val="6F80E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3E2463"/>
    <w:multiLevelType w:val="hybridMultilevel"/>
    <w:tmpl w:val="5EC64ED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nsid w:val="26332AE3"/>
    <w:multiLevelType w:val="hybridMultilevel"/>
    <w:tmpl w:val="E4BC9C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8D106F3"/>
    <w:multiLevelType w:val="hybridMultilevel"/>
    <w:tmpl w:val="9D74F3C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1">
    <w:nsid w:val="29304C91"/>
    <w:multiLevelType w:val="hybridMultilevel"/>
    <w:tmpl w:val="1B4CB5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2A466D62"/>
    <w:multiLevelType w:val="hybridMultilevel"/>
    <w:tmpl w:val="1646CDEA"/>
    <w:lvl w:ilvl="0" w:tplc="08090003">
      <w:start w:val="1"/>
      <w:numFmt w:val="bullet"/>
      <w:lvlText w:val="o"/>
      <w:lvlJc w:val="left"/>
      <w:pPr>
        <w:ind w:left="1509" w:hanging="360"/>
      </w:pPr>
      <w:rPr>
        <w:rFonts w:ascii="Courier New" w:hAnsi="Courier New" w:cs="Courier New"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3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4">
    <w:nsid w:val="2B8B243E"/>
    <w:multiLevelType w:val="hybridMultilevel"/>
    <w:tmpl w:val="3246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2FE801AC"/>
    <w:multiLevelType w:val="hybridMultilevel"/>
    <w:tmpl w:val="B45A77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00F668E"/>
    <w:multiLevelType w:val="hybridMultilevel"/>
    <w:tmpl w:val="5A444C06"/>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39">
    <w:nsid w:val="30D05854"/>
    <w:multiLevelType w:val="hybridMultilevel"/>
    <w:tmpl w:val="BF8C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1B9361C"/>
    <w:multiLevelType w:val="hybridMultilevel"/>
    <w:tmpl w:val="328C6C58"/>
    <w:lvl w:ilvl="0" w:tplc="0C0A000F">
      <w:start w:val="1"/>
      <w:numFmt w:val="bullet"/>
      <w:pStyle w:val="ListepuceCV"/>
      <w:lvlText w:val=""/>
      <w:lvlJc w:val="left"/>
      <w:pPr>
        <w:ind w:left="823" w:hanging="360"/>
      </w:pPr>
      <w:rPr>
        <w:rFonts w:ascii="Arial" w:hAnsi="Arial" w:hint="default"/>
        <w:b w:val="0"/>
        <w:i w:val="0"/>
        <w:color w:val="646666"/>
        <w:sz w:val="16"/>
        <w:szCs w:val="14"/>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nsid w:val="323B36E5"/>
    <w:multiLevelType w:val="singleLevel"/>
    <w:tmpl w:val="90905282"/>
    <w:lvl w:ilvl="0">
      <w:numFmt w:val="decimal"/>
      <w:pStyle w:val="Lettrepuce1"/>
      <w:lvlText w:val="*"/>
      <w:lvlJc w:val="left"/>
    </w:lvl>
  </w:abstractNum>
  <w:abstractNum w:abstractNumId="42">
    <w:nsid w:val="32D2514D"/>
    <w:multiLevelType w:val="hybridMultilevel"/>
    <w:tmpl w:val="687E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C0110E"/>
    <w:multiLevelType w:val="multilevel"/>
    <w:tmpl w:val="E7C4EE3C"/>
    <w:lvl w:ilvl="0">
      <w:start w:val="1"/>
      <w:numFmt w:val="upperLetter"/>
      <w:pStyle w:val="AppendixHeading1"/>
      <w:suff w:val="space"/>
      <w:lvlText w:val="Appendix %1"/>
      <w:lvlJc w:val="left"/>
      <w:pPr>
        <w:ind w:left="0" w:firstLine="0"/>
      </w:pPr>
      <w:rPr>
        <w:rFonts w:hint="default"/>
      </w:rPr>
    </w:lvl>
    <w:lvl w:ilvl="1">
      <w:start w:val="1"/>
      <w:numFmt w:val="decimal"/>
      <w:pStyle w:val="AppendixHeading2"/>
      <w:suff w:val="space"/>
      <w:lvlText w:val="%1.%2  "/>
      <w:lvlJc w:val="left"/>
      <w:pPr>
        <w:ind w:left="5954" w:firstLine="0"/>
      </w:pPr>
      <w:rPr>
        <w:rFonts w:hint="default"/>
      </w:rPr>
    </w:lvl>
    <w:lvl w:ilvl="2">
      <w:start w:val="1"/>
      <w:numFmt w:val="decimal"/>
      <w:pStyle w:val="AppendixHeading3"/>
      <w:suff w:val="space"/>
      <w:lvlText w:val="%1.%2.%3  "/>
      <w:lvlJc w:val="left"/>
      <w:pPr>
        <w:ind w:left="0" w:firstLine="0"/>
      </w:pPr>
      <w:rPr>
        <w:rFonts w:hint="default"/>
        <w:color w:val="333333"/>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45">
    <w:nsid w:val="34BE1683"/>
    <w:multiLevelType w:val="hybridMultilevel"/>
    <w:tmpl w:val="88B85E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34DF022D"/>
    <w:multiLevelType w:val="hybridMultilevel"/>
    <w:tmpl w:val="3DE4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520488C"/>
    <w:multiLevelType w:val="hybridMultilevel"/>
    <w:tmpl w:val="D7D0F3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36144BD4"/>
    <w:multiLevelType w:val="hybridMultilevel"/>
    <w:tmpl w:val="D09C82B0"/>
    <w:lvl w:ilvl="0" w:tplc="10E2FCB0">
      <w:start w:val="1"/>
      <w:numFmt w:val="bullet"/>
      <w:pStyle w:val="bullet"/>
      <w:lvlText w:val=""/>
      <w:lvlJc w:val="left"/>
      <w:pPr>
        <w:ind w:left="720" w:hanging="360"/>
      </w:pPr>
      <w:rPr>
        <w:rFonts w:ascii="Symbol" w:hAnsi="Symbol" w:cs="Symbol" w:hint="default"/>
        <w:color w:val="002395"/>
      </w:rPr>
    </w:lvl>
    <w:lvl w:ilvl="1" w:tplc="E5CA32CC">
      <w:start w:val="1"/>
      <w:numFmt w:val="bullet"/>
      <w:lvlText w:val="-"/>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0">
    <w:nsid w:val="36F63162"/>
    <w:multiLevelType w:val="multilevel"/>
    <w:tmpl w:val="770A4130"/>
    <w:lvl w:ilvl="0">
      <w:start w:val="1"/>
      <w:numFmt w:val="decimal"/>
      <w:lvlText w:val="%1"/>
      <w:lvlJc w:val="left"/>
      <w:pPr>
        <w:ind w:left="360" w:hanging="360"/>
      </w:pPr>
      <w:rPr>
        <w:rFonts w:hint="default"/>
      </w:rPr>
    </w:lvl>
    <w:lvl w:ilvl="1">
      <w:start w:val="1"/>
      <w:numFmt w:val="decimal"/>
      <w:pStyle w:val="Heading2N"/>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N"/>
      <w:lvlText w:val="%1.%2.%3."/>
      <w:lvlJc w:val="left"/>
      <w:pPr>
        <w:ind w:left="929" w:hanging="504"/>
      </w:pPr>
    </w:lvl>
    <w:lvl w:ilvl="3">
      <w:start w:val="1"/>
      <w:numFmt w:val="decimal"/>
      <w:pStyle w:val="Heading4N"/>
      <w:lvlText w:val="%1.%2.%3.%4."/>
      <w:lvlJc w:val="left"/>
      <w:pPr>
        <w:ind w:left="1728" w:hanging="648"/>
      </w:pPr>
      <w:rPr>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37EE6C7A"/>
    <w:multiLevelType w:val="hybridMultilevel"/>
    <w:tmpl w:val="9F5644E0"/>
    <w:lvl w:ilvl="0" w:tplc="08090003">
      <w:start w:val="1"/>
      <w:numFmt w:val="bullet"/>
      <w:lvlText w:val="o"/>
      <w:lvlJc w:val="left"/>
      <w:pPr>
        <w:ind w:left="1446" w:hanging="360"/>
      </w:pPr>
      <w:rPr>
        <w:rFonts w:ascii="Courier New" w:hAnsi="Courier New" w:cs="Courier New"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2">
    <w:nsid w:val="392C0A1A"/>
    <w:multiLevelType w:val="hybridMultilevel"/>
    <w:tmpl w:val="59CEA2A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3">
    <w:nsid w:val="399F4D6C"/>
    <w:multiLevelType w:val="hybridMultilevel"/>
    <w:tmpl w:val="FE5011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55">
    <w:nsid w:val="3B9A3A06"/>
    <w:multiLevelType w:val="multilevel"/>
    <w:tmpl w:val="F3A6C464"/>
    <w:lvl w:ilvl="0">
      <w:start w:val="1"/>
      <w:numFmt w:val="decimal"/>
      <w:pStyle w:val="Annex1"/>
      <w:lvlText w:val="Annex %1"/>
      <w:lvlJc w:val="left"/>
      <w:pPr>
        <w:ind w:left="432" w:hanging="432"/>
      </w:pPr>
      <w:rPr>
        <w:rFonts w:hint="default"/>
        <w:spacing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nsid w:val="3BAD198B"/>
    <w:multiLevelType w:val="hybridMultilevel"/>
    <w:tmpl w:val="4E64E498"/>
    <w:lvl w:ilvl="0" w:tplc="28DE4ECC">
      <w:start w:val="1"/>
      <w:numFmt w:val="bullet"/>
      <w:lvlText w:val=""/>
      <w:lvlJc w:val="left"/>
      <w:pPr>
        <w:ind w:left="720" w:hanging="360"/>
      </w:pPr>
      <w:rPr>
        <w:rFonts w:ascii="Symbol" w:hAnsi="Symbol" w:hint="default"/>
        <w:color w:val="4F81BD" w:themeColor="accen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58">
    <w:nsid w:val="3D3F47B5"/>
    <w:multiLevelType w:val="hybridMultilevel"/>
    <w:tmpl w:val="19B0F334"/>
    <w:lvl w:ilvl="0" w:tplc="CF6C223C">
      <w:start w:val="1"/>
      <w:numFmt w:val="decimal"/>
      <w:lvlText w:val="%1."/>
      <w:lvlJc w:val="left"/>
      <w:pPr>
        <w:ind w:left="502" w:hanging="360"/>
      </w:pPr>
      <w:rPr>
        <w:rFonts w:hint="default"/>
        <w:color w:val="auto"/>
      </w:rPr>
    </w:lvl>
    <w:lvl w:ilvl="1" w:tplc="04100003">
      <w:start w:val="1"/>
      <w:numFmt w:val="bullet"/>
      <w:lvlText w:val="o"/>
      <w:lvlJc w:val="left"/>
      <w:pPr>
        <w:ind w:left="505" w:hanging="360"/>
      </w:pPr>
      <w:rPr>
        <w:rFonts w:ascii="Courier New" w:hAnsi="Courier New" w:cs="Courier New" w:hint="default"/>
      </w:rPr>
    </w:lvl>
    <w:lvl w:ilvl="2" w:tplc="D714A8C6">
      <w:start w:val="1"/>
      <w:numFmt w:val="bullet"/>
      <w:lvlText w:val=""/>
      <w:lvlJc w:val="left"/>
      <w:pPr>
        <w:ind w:left="1225" w:hanging="360"/>
      </w:pPr>
      <w:rPr>
        <w:rFonts w:ascii="Wingdings" w:hAnsi="Wingdings" w:hint="default"/>
        <w:color w:val="4F81BD" w:themeColor="accent1"/>
      </w:rPr>
    </w:lvl>
    <w:lvl w:ilvl="3" w:tplc="04100001" w:tentative="1">
      <w:start w:val="1"/>
      <w:numFmt w:val="bullet"/>
      <w:lvlText w:val=""/>
      <w:lvlJc w:val="left"/>
      <w:pPr>
        <w:ind w:left="1945" w:hanging="360"/>
      </w:pPr>
      <w:rPr>
        <w:rFonts w:ascii="Symbol" w:hAnsi="Symbol" w:hint="default"/>
      </w:rPr>
    </w:lvl>
    <w:lvl w:ilvl="4" w:tplc="04100003" w:tentative="1">
      <w:start w:val="1"/>
      <w:numFmt w:val="bullet"/>
      <w:lvlText w:val="o"/>
      <w:lvlJc w:val="left"/>
      <w:pPr>
        <w:ind w:left="2665" w:hanging="360"/>
      </w:pPr>
      <w:rPr>
        <w:rFonts w:ascii="Courier New" w:hAnsi="Courier New" w:cs="Courier New" w:hint="default"/>
      </w:rPr>
    </w:lvl>
    <w:lvl w:ilvl="5" w:tplc="04100005" w:tentative="1">
      <w:start w:val="1"/>
      <w:numFmt w:val="bullet"/>
      <w:lvlText w:val=""/>
      <w:lvlJc w:val="left"/>
      <w:pPr>
        <w:ind w:left="3385" w:hanging="360"/>
      </w:pPr>
      <w:rPr>
        <w:rFonts w:ascii="Wingdings" w:hAnsi="Wingdings" w:hint="default"/>
      </w:rPr>
    </w:lvl>
    <w:lvl w:ilvl="6" w:tplc="04100001" w:tentative="1">
      <w:start w:val="1"/>
      <w:numFmt w:val="bullet"/>
      <w:lvlText w:val=""/>
      <w:lvlJc w:val="left"/>
      <w:pPr>
        <w:ind w:left="4105" w:hanging="360"/>
      </w:pPr>
      <w:rPr>
        <w:rFonts w:ascii="Symbol" w:hAnsi="Symbol" w:hint="default"/>
      </w:rPr>
    </w:lvl>
    <w:lvl w:ilvl="7" w:tplc="04100003" w:tentative="1">
      <w:start w:val="1"/>
      <w:numFmt w:val="bullet"/>
      <w:lvlText w:val="o"/>
      <w:lvlJc w:val="left"/>
      <w:pPr>
        <w:ind w:left="4825" w:hanging="360"/>
      </w:pPr>
      <w:rPr>
        <w:rFonts w:ascii="Courier New" w:hAnsi="Courier New" w:cs="Courier New" w:hint="default"/>
      </w:rPr>
    </w:lvl>
    <w:lvl w:ilvl="8" w:tplc="04100005" w:tentative="1">
      <w:start w:val="1"/>
      <w:numFmt w:val="bullet"/>
      <w:lvlText w:val=""/>
      <w:lvlJc w:val="left"/>
      <w:pPr>
        <w:ind w:left="5545" w:hanging="360"/>
      </w:pPr>
      <w:rPr>
        <w:rFonts w:ascii="Wingdings" w:hAnsi="Wingdings" w:hint="default"/>
      </w:rPr>
    </w:lvl>
  </w:abstractNum>
  <w:abstractNum w:abstractNumId="59">
    <w:nsid w:val="3D702960"/>
    <w:multiLevelType w:val="hybridMultilevel"/>
    <w:tmpl w:val="1B6C4AAC"/>
    <w:lvl w:ilvl="0" w:tplc="B8E48C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EB84C2A"/>
    <w:multiLevelType w:val="hybridMultilevel"/>
    <w:tmpl w:val="41CEDC36"/>
    <w:lvl w:ilvl="0" w:tplc="9CD668A2">
      <w:start w:val="1"/>
      <w:numFmt w:val="bullet"/>
      <w:pStyle w:val="Bullet2"/>
      <w:lvlText w:val="►"/>
      <w:lvlJc w:val="left"/>
      <w:pPr>
        <w:ind w:left="928" w:hanging="360"/>
      </w:pPr>
      <w:rPr>
        <w:rFonts w:ascii="Arial" w:hAnsi="Arial" w:cs="Times New Roman" w:hint="default"/>
        <w:b/>
        <w:color w:val="FFD200"/>
        <w:sz w:val="16"/>
        <w:szCs w:val="18"/>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nsid w:val="42044C01"/>
    <w:multiLevelType w:val="hybridMultilevel"/>
    <w:tmpl w:val="FDDC753E"/>
    <w:lvl w:ilvl="0" w:tplc="FFFFFFFF">
      <w:start w:val="1"/>
      <w:numFmt w:val="bullet"/>
      <w:pStyle w:val="Lettrepuce2"/>
      <w:lvlText w:val="–"/>
      <w:lvlJc w:val="left"/>
      <w:pPr>
        <w:tabs>
          <w:tab w:val="num" w:pos="1364"/>
        </w:tabs>
        <w:ind w:left="1364" w:hanging="284"/>
      </w:pPr>
      <w:rPr>
        <w:rFonts w:ascii="Franklin Gothic Medium" w:hAnsi="Franklin Gothic Medium" w:cs="Franklin Gothic Medium" w:hint="default"/>
        <w:b w:val="0"/>
        <w:i w:val="0"/>
        <w:color w:val="auto"/>
        <w:sz w:val="12"/>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42A03C63"/>
    <w:multiLevelType w:val="hybridMultilevel"/>
    <w:tmpl w:val="28522D8E"/>
    <w:lvl w:ilvl="0" w:tplc="02805714">
      <w:start w:val="1"/>
      <w:numFmt w:val="bullet"/>
      <w:pStyle w:val="bullet1"/>
      <w:lvlText w:val="►"/>
      <w:lvlJc w:val="left"/>
      <w:pPr>
        <w:ind w:left="360" w:hanging="360"/>
      </w:pPr>
      <w:rPr>
        <w:rFonts w:ascii="Arial" w:hAnsi="Arial" w:hint="default"/>
        <w:b w:val="0"/>
        <w:i w:val="0"/>
        <w:color w:val="FFCC00"/>
        <w:sz w:val="16"/>
        <w:szCs w:val="16"/>
        <w:u w:color="FFC000"/>
        <w:lang w:val="en-US"/>
      </w:rPr>
    </w:lvl>
    <w:lvl w:ilvl="1" w:tplc="096CC5E4">
      <w:start w:val="1"/>
      <w:numFmt w:val="bullet"/>
      <w:lvlText w:val="o"/>
      <w:lvlJc w:val="left"/>
      <w:pPr>
        <w:ind w:left="1080" w:hanging="360"/>
      </w:pPr>
      <w:rPr>
        <w:rFonts w:ascii="Courier New" w:hAnsi="Courier New" w:cs="Courier New" w:hint="default"/>
      </w:rPr>
    </w:lvl>
    <w:lvl w:ilvl="2" w:tplc="3C46B2BA" w:tentative="1">
      <w:start w:val="1"/>
      <w:numFmt w:val="bullet"/>
      <w:lvlText w:val=""/>
      <w:lvlJc w:val="left"/>
      <w:pPr>
        <w:ind w:left="1800" w:hanging="360"/>
      </w:pPr>
      <w:rPr>
        <w:rFonts w:ascii="Wingdings" w:hAnsi="Wingdings" w:hint="default"/>
      </w:rPr>
    </w:lvl>
    <w:lvl w:ilvl="3" w:tplc="38A8E6C6" w:tentative="1">
      <w:start w:val="1"/>
      <w:numFmt w:val="bullet"/>
      <w:lvlText w:val=""/>
      <w:lvlJc w:val="left"/>
      <w:pPr>
        <w:ind w:left="2520" w:hanging="360"/>
      </w:pPr>
      <w:rPr>
        <w:rFonts w:ascii="Symbol" w:hAnsi="Symbol" w:hint="default"/>
      </w:rPr>
    </w:lvl>
    <w:lvl w:ilvl="4" w:tplc="C5C47E7A" w:tentative="1">
      <w:start w:val="1"/>
      <w:numFmt w:val="bullet"/>
      <w:lvlText w:val="o"/>
      <w:lvlJc w:val="left"/>
      <w:pPr>
        <w:ind w:left="3240" w:hanging="360"/>
      </w:pPr>
      <w:rPr>
        <w:rFonts w:ascii="Courier New" w:hAnsi="Courier New" w:cs="Courier New" w:hint="default"/>
      </w:rPr>
    </w:lvl>
    <w:lvl w:ilvl="5" w:tplc="6F28B33A" w:tentative="1">
      <w:start w:val="1"/>
      <w:numFmt w:val="bullet"/>
      <w:lvlText w:val=""/>
      <w:lvlJc w:val="left"/>
      <w:pPr>
        <w:ind w:left="3960" w:hanging="360"/>
      </w:pPr>
      <w:rPr>
        <w:rFonts w:ascii="Wingdings" w:hAnsi="Wingdings" w:hint="default"/>
      </w:rPr>
    </w:lvl>
    <w:lvl w:ilvl="6" w:tplc="660EB280" w:tentative="1">
      <w:start w:val="1"/>
      <w:numFmt w:val="bullet"/>
      <w:lvlText w:val=""/>
      <w:lvlJc w:val="left"/>
      <w:pPr>
        <w:ind w:left="4680" w:hanging="360"/>
      </w:pPr>
      <w:rPr>
        <w:rFonts w:ascii="Symbol" w:hAnsi="Symbol" w:hint="default"/>
      </w:rPr>
    </w:lvl>
    <w:lvl w:ilvl="7" w:tplc="68667EB0" w:tentative="1">
      <w:start w:val="1"/>
      <w:numFmt w:val="bullet"/>
      <w:lvlText w:val="o"/>
      <w:lvlJc w:val="left"/>
      <w:pPr>
        <w:ind w:left="5400" w:hanging="360"/>
      </w:pPr>
      <w:rPr>
        <w:rFonts w:ascii="Courier New" w:hAnsi="Courier New" w:cs="Courier New" w:hint="default"/>
      </w:rPr>
    </w:lvl>
    <w:lvl w:ilvl="8" w:tplc="C750F6FA" w:tentative="1">
      <w:start w:val="1"/>
      <w:numFmt w:val="bullet"/>
      <w:lvlText w:val=""/>
      <w:lvlJc w:val="left"/>
      <w:pPr>
        <w:ind w:left="6120" w:hanging="360"/>
      </w:pPr>
      <w:rPr>
        <w:rFonts w:ascii="Wingdings" w:hAnsi="Wingdings" w:hint="default"/>
      </w:rPr>
    </w:lvl>
  </w:abstractNum>
  <w:abstractNum w:abstractNumId="63">
    <w:nsid w:val="42D35077"/>
    <w:multiLevelType w:val="hybridMultilevel"/>
    <w:tmpl w:val="603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45CC5750"/>
    <w:multiLevelType w:val="hybridMultilevel"/>
    <w:tmpl w:val="80C21054"/>
    <w:lvl w:ilvl="0" w:tplc="1A36050E">
      <w:start w:val="1"/>
      <w:numFmt w:val="lowerRoman"/>
      <w:pStyle w:val="TableListNumber2"/>
      <w:lvlText w:val="%1)"/>
      <w:lvlJc w:val="left"/>
      <w:pPr>
        <w:tabs>
          <w:tab w:val="num" w:pos="357"/>
        </w:tabs>
        <w:ind w:left="357" w:hanging="176"/>
      </w:pPr>
      <w:rPr>
        <w:rFonts w:hint="default"/>
      </w:rPr>
    </w:lvl>
    <w:lvl w:ilvl="1" w:tplc="44C21606" w:tentative="1">
      <w:start w:val="1"/>
      <w:numFmt w:val="lowerLetter"/>
      <w:lvlText w:val="%2."/>
      <w:lvlJc w:val="left"/>
      <w:pPr>
        <w:tabs>
          <w:tab w:val="num" w:pos="1440"/>
        </w:tabs>
        <w:ind w:left="1440" w:hanging="360"/>
      </w:pPr>
    </w:lvl>
    <w:lvl w:ilvl="2" w:tplc="6966E5D4" w:tentative="1">
      <w:start w:val="1"/>
      <w:numFmt w:val="lowerRoman"/>
      <w:lvlText w:val="%3."/>
      <w:lvlJc w:val="right"/>
      <w:pPr>
        <w:tabs>
          <w:tab w:val="num" w:pos="2160"/>
        </w:tabs>
        <w:ind w:left="2160" w:hanging="180"/>
      </w:pPr>
    </w:lvl>
    <w:lvl w:ilvl="3" w:tplc="B0E6002C" w:tentative="1">
      <w:start w:val="1"/>
      <w:numFmt w:val="decimal"/>
      <w:lvlText w:val="%4."/>
      <w:lvlJc w:val="left"/>
      <w:pPr>
        <w:tabs>
          <w:tab w:val="num" w:pos="2880"/>
        </w:tabs>
        <w:ind w:left="2880" w:hanging="360"/>
      </w:pPr>
    </w:lvl>
    <w:lvl w:ilvl="4" w:tplc="11A40D1A" w:tentative="1">
      <w:start w:val="1"/>
      <w:numFmt w:val="lowerLetter"/>
      <w:lvlText w:val="%5."/>
      <w:lvlJc w:val="left"/>
      <w:pPr>
        <w:tabs>
          <w:tab w:val="num" w:pos="3600"/>
        </w:tabs>
        <w:ind w:left="3600" w:hanging="360"/>
      </w:pPr>
    </w:lvl>
    <w:lvl w:ilvl="5" w:tplc="D88646BE" w:tentative="1">
      <w:start w:val="1"/>
      <w:numFmt w:val="lowerRoman"/>
      <w:lvlText w:val="%6."/>
      <w:lvlJc w:val="right"/>
      <w:pPr>
        <w:tabs>
          <w:tab w:val="num" w:pos="4320"/>
        </w:tabs>
        <w:ind w:left="4320" w:hanging="180"/>
      </w:pPr>
    </w:lvl>
    <w:lvl w:ilvl="6" w:tplc="40240BAE" w:tentative="1">
      <w:start w:val="1"/>
      <w:numFmt w:val="decimal"/>
      <w:lvlText w:val="%7."/>
      <w:lvlJc w:val="left"/>
      <w:pPr>
        <w:tabs>
          <w:tab w:val="num" w:pos="5040"/>
        </w:tabs>
        <w:ind w:left="5040" w:hanging="360"/>
      </w:pPr>
    </w:lvl>
    <w:lvl w:ilvl="7" w:tplc="772A18CC" w:tentative="1">
      <w:start w:val="1"/>
      <w:numFmt w:val="lowerLetter"/>
      <w:lvlText w:val="%8."/>
      <w:lvlJc w:val="left"/>
      <w:pPr>
        <w:tabs>
          <w:tab w:val="num" w:pos="5760"/>
        </w:tabs>
        <w:ind w:left="5760" w:hanging="360"/>
      </w:pPr>
    </w:lvl>
    <w:lvl w:ilvl="8" w:tplc="A5C29312" w:tentative="1">
      <w:start w:val="1"/>
      <w:numFmt w:val="lowerRoman"/>
      <w:lvlText w:val="%9."/>
      <w:lvlJc w:val="right"/>
      <w:pPr>
        <w:tabs>
          <w:tab w:val="num" w:pos="6480"/>
        </w:tabs>
        <w:ind w:left="6480" w:hanging="180"/>
      </w:pPr>
    </w:lvl>
  </w:abstractNum>
  <w:abstractNum w:abstractNumId="6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66">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67">
    <w:nsid w:val="48162CAC"/>
    <w:multiLevelType w:val="hybridMultilevel"/>
    <w:tmpl w:val="9B9E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8F10B71"/>
    <w:multiLevelType w:val="hybridMultilevel"/>
    <w:tmpl w:val="495E0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93B1577"/>
    <w:multiLevelType w:val="hybridMultilevel"/>
    <w:tmpl w:val="768679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24064944">
      <w:start w:val="1"/>
      <w:numFmt w:val="bullet"/>
      <w:lvlText w:val=""/>
      <w:lvlJc w:val="left"/>
      <w:pPr>
        <w:ind w:left="3600" w:hanging="360"/>
      </w:pPr>
      <w:rPr>
        <w:rFonts w:ascii="Wingdings" w:hAnsi="Wingdings"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B483D5E"/>
    <w:multiLevelType w:val="hybridMultilevel"/>
    <w:tmpl w:val="55C27790"/>
    <w:lvl w:ilvl="0" w:tplc="FFD8C7CC">
      <w:start w:val="1"/>
      <w:numFmt w:val="decimal"/>
      <w:pStyle w:val="IAToolChapterHeading"/>
      <w:lvlText w:val="Tool #%1."/>
      <w:lvlJc w:val="left"/>
      <w:pPr>
        <w:ind w:left="717" w:hanging="360"/>
      </w:pPr>
      <w:rPr>
        <w:rFonts w:hint="default"/>
        <w:b/>
        <w:i w:val="0"/>
        <w:cap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4B4A1CE1"/>
    <w:multiLevelType w:val="hybridMultilevel"/>
    <w:tmpl w:val="CDD4BF82"/>
    <w:lvl w:ilvl="0" w:tplc="54A6BBDC">
      <w:start w:val="1"/>
      <w:numFmt w:val="bullet"/>
      <w:pStyle w:val="BulletPoint2"/>
      <w:lvlText w:val=""/>
      <w:lvlJc w:val="left"/>
      <w:pPr>
        <w:ind w:left="1264" w:hanging="360"/>
      </w:pPr>
      <w:rPr>
        <w:rFonts w:ascii="Symbol" w:hAnsi="Symbol" w:hint="default"/>
        <w:color w:val="7F7F7F"/>
      </w:rPr>
    </w:lvl>
    <w:lvl w:ilvl="1" w:tplc="E5A44948">
      <w:numFmt w:val="bullet"/>
      <w:lvlText w:val="-"/>
      <w:lvlJc w:val="left"/>
      <w:pPr>
        <w:ind w:left="1984" w:hanging="360"/>
      </w:pPr>
      <w:rPr>
        <w:rFonts w:ascii="Times New Roman" w:eastAsia="Times New Roman" w:hAnsi="Times New Roman" w:cs="Times New Roman"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72">
    <w:nsid w:val="4B6C2D5B"/>
    <w:multiLevelType w:val="multilevel"/>
    <w:tmpl w:val="3836C5BA"/>
    <w:lvl w:ilvl="0">
      <w:start w:val="1"/>
      <w:numFmt w:val="decimal"/>
      <w:pStyle w:val="HH1"/>
      <w:lvlText w:val="%1."/>
      <w:lvlJc w:val="left"/>
      <w:pPr>
        <w:ind w:left="737" w:hanging="737"/>
      </w:pPr>
      <w:rPr>
        <w:rFonts w:hint="default"/>
      </w:rPr>
    </w:lvl>
    <w:lvl w:ilvl="1">
      <w:start w:val="1"/>
      <w:numFmt w:val="decimal"/>
      <w:pStyle w:val="HH2"/>
      <w:lvlText w:val="%1.%2"/>
      <w:lvlJc w:val="left"/>
      <w:pPr>
        <w:ind w:left="1162" w:hanging="737"/>
      </w:pPr>
      <w:rPr>
        <w:rFonts w:hint="default"/>
      </w:rPr>
    </w:lvl>
    <w:lvl w:ilvl="2">
      <w:start w:val="1"/>
      <w:numFmt w:val="decimal"/>
      <w:pStyle w:val="HH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73">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74">
    <w:nsid w:val="529203E6"/>
    <w:multiLevelType w:val="hybridMultilevel"/>
    <w:tmpl w:val="73646194"/>
    <w:lvl w:ilvl="0" w:tplc="CFAA64A0">
      <w:start w:val="1"/>
      <w:numFmt w:val="decimal"/>
      <w:pStyle w:val="numbering"/>
      <w:lvlText w:val="%1."/>
      <w:lvlJc w:val="left"/>
      <w:pPr>
        <w:ind w:left="1069" w:hanging="360"/>
      </w:pPr>
      <w:rPr>
        <w:rFonts w:hint="default"/>
        <w:b w:val="0"/>
        <w:i w:val="0"/>
        <w:color w:val="FFC000"/>
        <w:sz w:val="18"/>
        <w:szCs w:val="16"/>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76">
    <w:nsid w:val="54FA52C4"/>
    <w:multiLevelType w:val="hybridMultilevel"/>
    <w:tmpl w:val="F682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56820B42"/>
    <w:multiLevelType w:val="hybridMultilevel"/>
    <w:tmpl w:val="F448F16A"/>
    <w:lvl w:ilvl="0" w:tplc="01FC8516">
      <w:start w:val="1"/>
      <w:numFmt w:val="decimal"/>
      <w:pStyle w:val="1tabletbullet"/>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56DD1C1D"/>
    <w:multiLevelType w:val="hybridMultilevel"/>
    <w:tmpl w:val="309E939A"/>
    <w:lvl w:ilvl="0" w:tplc="E73223D6">
      <w:start w:val="1"/>
      <w:numFmt w:val="bullet"/>
      <w:pStyle w:val="Bullet3"/>
      <w:lvlText w:val=""/>
      <w:lvlJc w:val="left"/>
      <w:pPr>
        <w:ind w:left="720" w:hanging="360"/>
      </w:pPr>
      <w:rPr>
        <w:rFonts w:ascii="Symbol" w:hAnsi="Symbol" w:hint="default"/>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nsid w:val="5A646790"/>
    <w:multiLevelType w:val="hybridMultilevel"/>
    <w:tmpl w:val="786C46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5CDF1310"/>
    <w:multiLevelType w:val="hybridMultilevel"/>
    <w:tmpl w:val="6BAE5A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1">
    <w:nsid w:val="5D3A437B"/>
    <w:multiLevelType w:val="hybridMultilevel"/>
    <w:tmpl w:val="D1A8A2B6"/>
    <w:lvl w:ilvl="0" w:tplc="CF50E716">
      <w:start w:val="1"/>
      <w:numFmt w:val="bullet"/>
      <w:pStyle w:val="Style6"/>
      <w:lvlText w:val="►"/>
      <w:lvlJc w:val="left"/>
      <w:pPr>
        <w:ind w:left="360" w:hanging="360"/>
      </w:pPr>
      <w:rPr>
        <w:rFonts w:ascii="Arial" w:hAnsi="Arial" w:hint="default"/>
        <w:b w:val="0"/>
        <w:bCs w:val="0"/>
        <w:i w:val="0"/>
        <w:iCs w:val="0"/>
        <w:caps w:val="0"/>
        <w:strike w:val="0"/>
        <w:dstrike w:val="0"/>
        <w:vanish w:val="0"/>
        <w:color w:val="FFD400"/>
        <w:spacing w:val="0"/>
        <w:kern w:val="0"/>
        <w:position w:val="0"/>
        <w:sz w:val="20"/>
        <w:u w:val="none"/>
        <w:vertAlign w:val="baseline"/>
        <w:em w:val="none"/>
        <w:lang w:val="en-US"/>
      </w:rPr>
    </w:lvl>
    <w:lvl w:ilvl="1" w:tplc="C504E796">
      <w:start w:val="1"/>
      <w:numFmt w:val="bullet"/>
      <w:lvlText w:val="o"/>
      <w:lvlJc w:val="left"/>
      <w:pPr>
        <w:ind w:left="1440" w:hanging="360"/>
      </w:pPr>
      <w:rPr>
        <w:rFonts w:ascii="Courier New" w:hAnsi="Courier New" w:cs="EYInterstate Light" w:hint="default"/>
      </w:rPr>
    </w:lvl>
    <w:lvl w:ilvl="2" w:tplc="03202698">
      <w:start w:val="1"/>
      <w:numFmt w:val="bullet"/>
      <w:lvlText w:val=""/>
      <w:lvlJc w:val="left"/>
      <w:pPr>
        <w:ind w:left="2160" w:hanging="360"/>
      </w:pPr>
      <w:rPr>
        <w:rFonts w:ascii="Wingdings" w:hAnsi="Wingdings" w:hint="default"/>
      </w:rPr>
    </w:lvl>
    <w:lvl w:ilvl="3" w:tplc="1AD6EE30" w:tentative="1">
      <w:start w:val="1"/>
      <w:numFmt w:val="bullet"/>
      <w:lvlText w:val=""/>
      <w:lvlJc w:val="left"/>
      <w:pPr>
        <w:ind w:left="2880" w:hanging="360"/>
      </w:pPr>
      <w:rPr>
        <w:rFonts w:ascii="Symbol" w:hAnsi="Symbol" w:hint="default"/>
      </w:rPr>
    </w:lvl>
    <w:lvl w:ilvl="4" w:tplc="4ADAED4E" w:tentative="1">
      <w:start w:val="1"/>
      <w:numFmt w:val="bullet"/>
      <w:lvlText w:val="o"/>
      <w:lvlJc w:val="left"/>
      <w:pPr>
        <w:ind w:left="3600" w:hanging="360"/>
      </w:pPr>
      <w:rPr>
        <w:rFonts w:ascii="Courier New" w:hAnsi="Courier New" w:cs="EYInterstate Light" w:hint="default"/>
      </w:rPr>
    </w:lvl>
    <w:lvl w:ilvl="5" w:tplc="70E68E44" w:tentative="1">
      <w:start w:val="1"/>
      <w:numFmt w:val="bullet"/>
      <w:lvlText w:val=""/>
      <w:lvlJc w:val="left"/>
      <w:pPr>
        <w:ind w:left="4320" w:hanging="360"/>
      </w:pPr>
      <w:rPr>
        <w:rFonts w:ascii="Wingdings" w:hAnsi="Wingdings" w:hint="default"/>
      </w:rPr>
    </w:lvl>
    <w:lvl w:ilvl="6" w:tplc="37705216" w:tentative="1">
      <w:start w:val="1"/>
      <w:numFmt w:val="bullet"/>
      <w:lvlText w:val=""/>
      <w:lvlJc w:val="left"/>
      <w:pPr>
        <w:ind w:left="5040" w:hanging="360"/>
      </w:pPr>
      <w:rPr>
        <w:rFonts w:ascii="Symbol" w:hAnsi="Symbol" w:hint="default"/>
      </w:rPr>
    </w:lvl>
    <w:lvl w:ilvl="7" w:tplc="7E7846C0" w:tentative="1">
      <w:start w:val="1"/>
      <w:numFmt w:val="bullet"/>
      <w:lvlText w:val="o"/>
      <w:lvlJc w:val="left"/>
      <w:pPr>
        <w:ind w:left="5760" w:hanging="360"/>
      </w:pPr>
      <w:rPr>
        <w:rFonts w:ascii="Courier New" w:hAnsi="Courier New" w:cs="EYInterstate Light" w:hint="default"/>
      </w:rPr>
    </w:lvl>
    <w:lvl w:ilvl="8" w:tplc="B5ECA5C4" w:tentative="1">
      <w:start w:val="1"/>
      <w:numFmt w:val="bullet"/>
      <w:lvlText w:val=""/>
      <w:lvlJc w:val="left"/>
      <w:pPr>
        <w:ind w:left="6480" w:hanging="360"/>
      </w:pPr>
      <w:rPr>
        <w:rFonts w:ascii="Wingdings" w:hAnsi="Wingdings" w:hint="default"/>
      </w:rPr>
    </w:lvl>
  </w:abstractNum>
  <w:abstractNum w:abstractNumId="8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83">
    <w:nsid w:val="5F877660"/>
    <w:multiLevelType w:val="hybridMultilevel"/>
    <w:tmpl w:val="958814A2"/>
    <w:lvl w:ilvl="0" w:tplc="0409000F">
      <w:start w:val="1"/>
      <w:numFmt w:val="bullet"/>
      <w:pStyle w:val="SecondBullet"/>
      <w:lvlText w:val="-"/>
      <w:lvlJc w:val="left"/>
      <w:pPr>
        <w:tabs>
          <w:tab w:val="num" w:pos="720"/>
        </w:tabs>
        <w:ind w:left="720" w:hanging="360"/>
      </w:pPr>
      <w:rPr>
        <w:rFonts w:ascii="Georgia" w:hAnsi="Georgia" w:hint="default"/>
        <w:b w:val="0"/>
        <w:i w:val="0"/>
        <w:color w:val="4EAAE7"/>
        <w:sz w:val="20"/>
      </w:rPr>
    </w:lvl>
    <w:lvl w:ilvl="1" w:tplc="04090019" w:tentative="1">
      <w:start w:val="1"/>
      <w:numFmt w:val="bullet"/>
      <w:lvlText w:val="o"/>
      <w:lvlJc w:val="left"/>
      <w:pPr>
        <w:tabs>
          <w:tab w:val="num" w:pos="1440"/>
        </w:tabs>
        <w:ind w:left="1440" w:hanging="360"/>
      </w:pPr>
      <w:rPr>
        <w:rFonts w:ascii="Courier New" w:hAnsi="Courier New" w:cs="EYInterstate Ligh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EYInterstate Light"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EYInterstate Light"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85">
    <w:nsid w:val="60C23BD7"/>
    <w:multiLevelType w:val="hybridMultilevel"/>
    <w:tmpl w:val="22487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618E54C0"/>
    <w:multiLevelType w:val="hybridMultilevel"/>
    <w:tmpl w:val="0674D0A4"/>
    <w:lvl w:ilvl="0" w:tplc="08090003">
      <w:start w:val="1"/>
      <w:numFmt w:val="bullet"/>
      <w:lvlText w:val="o"/>
      <w:lvlJc w:val="left"/>
      <w:pPr>
        <w:ind w:left="1565" w:hanging="360"/>
      </w:pPr>
      <w:rPr>
        <w:rFonts w:ascii="Courier New" w:hAnsi="Courier New" w:cs="Courier New" w:hint="default"/>
      </w:rPr>
    </w:lvl>
    <w:lvl w:ilvl="1" w:tplc="08090003" w:tentative="1">
      <w:start w:val="1"/>
      <w:numFmt w:val="bullet"/>
      <w:lvlText w:val="o"/>
      <w:lvlJc w:val="left"/>
      <w:pPr>
        <w:ind w:left="2285" w:hanging="360"/>
      </w:pPr>
      <w:rPr>
        <w:rFonts w:ascii="Courier New" w:hAnsi="Courier New" w:cs="Courier New" w:hint="default"/>
      </w:rPr>
    </w:lvl>
    <w:lvl w:ilvl="2" w:tplc="08090005" w:tentative="1">
      <w:start w:val="1"/>
      <w:numFmt w:val="bullet"/>
      <w:lvlText w:val=""/>
      <w:lvlJc w:val="left"/>
      <w:pPr>
        <w:ind w:left="3005" w:hanging="360"/>
      </w:pPr>
      <w:rPr>
        <w:rFonts w:ascii="Wingdings" w:hAnsi="Wingdings" w:hint="default"/>
      </w:rPr>
    </w:lvl>
    <w:lvl w:ilvl="3" w:tplc="08090001" w:tentative="1">
      <w:start w:val="1"/>
      <w:numFmt w:val="bullet"/>
      <w:lvlText w:val=""/>
      <w:lvlJc w:val="left"/>
      <w:pPr>
        <w:ind w:left="3725" w:hanging="360"/>
      </w:pPr>
      <w:rPr>
        <w:rFonts w:ascii="Symbol" w:hAnsi="Symbol" w:hint="default"/>
      </w:rPr>
    </w:lvl>
    <w:lvl w:ilvl="4" w:tplc="08090003" w:tentative="1">
      <w:start w:val="1"/>
      <w:numFmt w:val="bullet"/>
      <w:lvlText w:val="o"/>
      <w:lvlJc w:val="left"/>
      <w:pPr>
        <w:ind w:left="4445" w:hanging="360"/>
      </w:pPr>
      <w:rPr>
        <w:rFonts w:ascii="Courier New" w:hAnsi="Courier New" w:cs="Courier New" w:hint="default"/>
      </w:rPr>
    </w:lvl>
    <w:lvl w:ilvl="5" w:tplc="08090005" w:tentative="1">
      <w:start w:val="1"/>
      <w:numFmt w:val="bullet"/>
      <w:lvlText w:val=""/>
      <w:lvlJc w:val="left"/>
      <w:pPr>
        <w:ind w:left="5165" w:hanging="360"/>
      </w:pPr>
      <w:rPr>
        <w:rFonts w:ascii="Wingdings" w:hAnsi="Wingdings" w:hint="default"/>
      </w:rPr>
    </w:lvl>
    <w:lvl w:ilvl="6" w:tplc="08090001" w:tentative="1">
      <w:start w:val="1"/>
      <w:numFmt w:val="bullet"/>
      <w:lvlText w:val=""/>
      <w:lvlJc w:val="left"/>
      <w:pPr>
        <w:ind w:left="5885" w:hanging="360"/>
      </w:pPr>
      <w:rPr>
        <w:rFonts w:ascii="Symbol" w:hAnsi="Symbol" w:hint="default"/>
      </w:rPr>
    </w:lvl>
    <w:lvl w:ilvl="7" w:tplc="08090003" w:tentative="1">
      <w:start w:val="1"/>
      <w:numFmt w:val="bullet"/>
      <w:lvlText w:val="o"/>
      <w:lvlJc w:val="left"/>
      <w:pPr>
        <w:ind w:left="6605" w:hanging="360"/>
      </w:pPr>
      <w:rPr>
        <w:rFonts w:ascii="Courier New" w:hAnsi="Courier New" w:cs="Courier New" w:hint="default"/>
      </w:rPr>
    </w:lvl>
    <w:lvl w:ilvl="8" w:tplc="08090005" w:tentative="1">
      <w:start w:val="1"/>
      <w:numFmt w:val="bullet"/>
      <w:lvlText w:val=""/>
      <w:lvlJc w:val="left"/>
      <w:pPr>
        <w:ind w:left="7325" w:hanging="360"/>
      </w:pPr>
      <w:rPr>
        <w:rFonts w:ascii="Wingdings" w:hAnsi="Wingdings" w:hint="default"/>
      </w:rPr>
    </w:lvl>
  </w:abstractNum>
  <w:abstractNum w:abstractNumId="8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88">
    <w:nsid w:val="63783FF0"/>
    <w:multiLevelType w:val="hybridMultilevel"/>
    <w:tmpl w:val="1BDAF3AC"/>
    <w:lvl w:ilvl="0" w:tplc="E53A6522">
      <w:start w:val="1"/>
      <w:numFmt w:val="bullet"/>
      <w:pStyle w:val="boxbullet"/>
      <w:lvlText w:val=""/>
      <w:lvlJc w:val="left"/>
      <w:pPr>
        <w:ind w:left="1118" w:hanging="360"/>
      </w:pPr>
      <w:rPr>
        <w:rFonts w:ascii="Symbol" w:hAnsi="Symbol" w:hint="default"/>
      </w:rPr>
    </w:lvl>
    <w:lvl w:ilvl="1" w:tplc="08130019" w:tentative="1">
      <w:start w:val="1"/>
      <w:numFmt w:val="bullet"/>
      <w:lvlText w:val="o"/>
      <w:lvlJc w:val="left"/>
      <w:pPr>
        <w:ind w:left="1838" w:hanging="360"/>
      </w:pPr>
      <w:rPr>
        <w:rFonts w:ascii="Courier New" w:hAnsi="Courier New" w:cs="Courier New" w:hint="default"/>
      </w:rPr>
    </w:lvl>
    <w:lvl w:ilvl="2" w:tplc="0813001B" w:tentative="1">
      <w:start w:val="1"/>
      <w:numFmt w:val="bullet"/>
      <w:lvlText w:val=""/>
      <w:lvlJc w:val="left"/>
      <w:pPr>
        <w:ind w:left="2558" w:hanging="360"/>
      </w:pPr>
      <w:rPr>
        <w:rFonts w:ascii="Wingdings" w:hAnsi="Wingdings" w:hint="default"/>
      </w:rPr>
    </w:lvl>
    <w:lvl w:ilvl="3" w:tplc="0813000F" w:tentative="1">
      <w:start w:val="1"/>
      <w:numFmt w:val="bullet"/>
      <w:lvlText w:val=""/>
      <w:lvlJc w:val="left"/>
      <w:pPr>
        <w:ind w:left="3278" w:hanging="360"/>
      </w:pPr>
      <w:rPr>
        <w:rFonts w:ascii="Symbol" w:hAnsi="Symbol" w:hint="default"/>
      </w:rPr>
    </w:lvl>
    <w:lvl w:ilvl="4" w:tplc="08130019" w:tentative="1">
      <w:start w:val="1"/>
      <w:numFmt w:val="bullet"/>
      <w:lvlText w:val="o"/>
      <w:lvlJc w:val="left"/>
      <w:pPr>
        <w:ind w:left="3998" w:hanging="360"/>
      </w:pPr>
      <w:rPr>
        <w:rFonts w:ascii="Courier New" w:hAnsi="Courier New" w:cs="Courier New" w:hint="default"/>
      </w:rPr>
    </w:lvl>
    <w:lvl w:ilvl="5" w:tplc="0813001B" w:tentative="1">
      <w:start w:val="1"/>
      <w:numFmt w:val="bullet"/>
      <w:lvlText w:val=""/>
      <w:lvlJc w:val="left"/>
      <w:pPr>
        <w:ind w:left="4718" w:hanging="360"/>
      </w:pPr>
      <w:rPr>
        <w:rFonts w:ascii="Wingdings" w:hAnsi="Wingdings" w:hint="default"/>
      </w:rPr>
    </w:lvl>
    <w:lvl w:ilvl="6" w:tplc="0813000F" w:tentative="1">
      <w:start w:val="1"/>
      <w:numFmt w:val="bullet"/>
      <w:lvlText w:val=""/>
      <w:lvlJc w:val="left"/>
      <w:pPr>
        <w:ind w:left="5438" w:hanging="360"/>
      </w:pPr>
      <w:rPr>
        <w:rFonts w:ascii="Symbol" w:hAnsi="Symbol" w:hint="default"/>
      </w:rPr>
    </w:lvl>
    <w:lvl w:ilvl="7" w:tplc="08130019" w:tentative="1">
      <w:start w:val="1"/>
      <w:numFmt w:val="bullet"/>
      <w:lvlText w:val="o"/>
      <w:lvlJc w:val="left"/>
      <w:pPr>
        <w:ind w:left="6158" w:hanging="360"/>
      </w:pPr>
      <w:rPr>
        <w:rFonts w:ascii="Courier New" w:hAnsi="Courier New" w:cs="Courier New" w:hint="default"/>
      </w:rPr>
    </w:lvl>
    <w:lvl w:ilvl="8" w:tplc="0813001B" w:tentative="1">
      <w:start w:val="1"/>
      <w:numFmt w:val="bullet"/>
      <w:lvlText w:val=""/>
      <w:lvlJc w:val="left"/>
      <w:pPr>
        <w:ind w:left="6878" w:hanging="360"/>
      </w:pPr>
      <w:rPr>
        <w:rFonts w:ascii="Wingdings" w:hAnsi="Wingdings" w:hint="default"/>
      </w:rPr>
    </w:lvl>
  </w:abstractNum>
  <w:abstractNum w:abstractNumId="89">
    <w:nsid w:val="64153658"/>
    <w:multiLevelType w:val="hybridMultilevel"/>
    <w:tmpl w:val="3950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644C724C"/>
    <w:multiLevelType w:val="hybridMultilevel"/>
    <w:tmpl w:val="2FB49AB0"/>
    <w:lvl w:ilvl="0" w:tplc="D29E9C56">
      <w:start w:val="1"/>
      <w:numFmt w:val="decimal"/>
      <w:pStyle w:val="finding"/>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nsid w:val="65C92E94"/>
    <w:multiLevelType w:val="hybridMultilevel"/>
    <w:tmpl w:val="50FA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67A57F18"/>
    <w:multiLevelType w:val="hybridMultilevel"/>
    <w:tmpl w:val="B5506A94"/>
    <w:lvl w:ilvl="0" w:tplc="3C38CA4C">
      <w:start w:val="1"/>
      <w:numFmt w:val="decimal"/>
      <w:pStyle w:val="TableListNumber"/>
      <w:lvlText w:val="%1."/>
      <w:lvlJc w:val="left"/>
      <w:pPr>
        <w:tabs>
          <w:tab w:val="num" w:pos="181"/>
        </w:tabs>
        <w:ind w:left="181" w:hanging="181"/>
      </w:pPr>
      <w:rPr>
        <w:rFonts w:hint="default"/>
      </w:rPr>
    </w:lvl>
    <w:lvl w:ilvl="1" w:tplc="C1A46540" w:tentative="1">
      <w:start w:val="1"/>
      <w:numFmt w:val="lowerLetter"/>
      <w:lvlText w:val="%2."/>
      <w:lvlJc w:val="left"/>
      <w:pPr>
        <w:tabs>
          <w:tab w:val="num" w:pos="1440"/>
        </w:tabs>
        <w:ind w:left="1440" w:hanging="360"/>
      </w:pPr>
    </w:lvl>
    <w:lvl w:ilvl="2" w:tplc="B2D03FDE" w:tentative="1">
      <w:start w:val="1"/>
      <w:numFmt w:val="lowerRoman"/>
      <w:lvlText w:val="%3."/>
      <w:lvlJc w:val="right"/>
      <w:pPr>
        <w:tabs>
          <w:tab w:val="num" w:pos="2160"/>
        </w:tabs>
        <w:ind w:left="2160" w:hanging="180"/>
      </w:pPr>
    </w:lvl>
    <w:lvl w:ilvl="3" w:tplc="13B24DC6" w:tentative="1">
      <w:start w:val="1"/>
      <w:numFmt w:val="decimal"/>
      <w:lvlText w:val="%4."/>
      <w:lvlJc w:val="left"/>
      <w:pPr>
        <w:tabs>
          <w:tab w:val="num" w:pos="2880"/>
        </w:tabs>
        <w:ind w:left="2880" w:hanging="360"/>
      </w:pPr>
    </w:lvl>
    <w:lvl w:ilvl="4" w:tplc="30880A44" w:tentative="1">
      <w:start w:val="1"/>
      <w:numFmt w:val="lowerLetter"/>
      <w:lvlText w:val="%5."/>
      <w:lvlJc w:val="left"/>
      <w:pPr>
        <w:tabs>
          <w:tab w:val="num" w:pos="3600"/>
        </w:tabs>
        <w:ind w:left="3600" w:hanging="360"/>
      </w:pPr>
    </w:lvl>
    <w:lvl w:ilvl="5" w:tplc="E1B62FEC" w:tentative="1">
      <w:start w:val="1"/>
      <w:numFmt w:val="lowerRoman"/>
      <w:lvlText w:val="%6."/>
      <w:lvlJc w:val="right"/>
      <w:pPr>
        <w:tabs>
          <w:tab w:val="num" w:pos="4320"/>
        </w:tabs>
        <w:ind w:left="4320" w:hanging="180"/>
      </w:pPr>
    </w:lvl>
    <w:lvl w:ilvl="6" w:tplc="47C48CCE" w:tentative="1">
      <w:start w:val="1"/>
      <w:numFmt w:val="decimal"/>
      <w:lvlText w:val="%7."/>
      <w:lvlJc w:val="left"/>
      <w:pPr>
        <w:tabs>
          <w:tab w:val="num" w:pos="5040"/>
        </w:tabs>
        <w:ind w:left="5040" w:hanging="360"/>
      </w:pPr>
    </w:lvl>
    <w:lvl w:ilvl="7" w:tplc="3D8E7C04" w:tentative="1">
      <w:start w:val="1"/>
      <w:numFmt w:val="lowerLetter"/>
      <w:lvlText w:val="%8."/>
      <w:lvlJc w:val="left"/>
      <w:pPr>
        <w:tabs>
          <w:tab w:val="num" w:pos="5760"/>
        </w:tabs>
        <w:ind w:left="5760" w:hanging="360"/>
      </w:pPr>
    </w:lvl>
    <w:lvl w:ilvl="8" w:tplc="D6FAEDDC" w:tentative="1">
      <w:start w:val="1"/>
      <w:numFmt w:val="lowerRoman"/>
      <w:lvlText w:val="%9."/>
      <w:lvlJc w:val="right"/>
      <w:pPr>
        <w:tabs>
          <w:tab w:val="num" w:pos="6480"/>
        </w:tabs>
        <w:ind w:left="6480" w:hanging="180"/>
      </w:pPr>
    </w:lvl>
  </w:abstractNum>
  <w:abstractNum w:abstractNumId="9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94">
    <w:nsid w:val="6F1138AE"/>
    <w:multiLevelType w:val="hybridMultilevel"/>
    <w:tmpl w:val="0DCA5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nsid w:val="723C48AA"/>
    <w:multiLevelType w:val="multilevel"/>
    <w:tmpl w:val="123E3678"/>
    <w:lvl w:ilvl="0">
      <w:start w:val="1"/>
      <w:numFmt w:val="decimal"/>
      <w:lvlRestart w:val="0"/>
      <w:pStyle w:val="EYHeading1"/>
      <w:lvlText w:val="%1."/>
      <w:lvlJc w:val="left"/>
      <w:pPr>
        <w:tabs>
          <w:tab w:val="num" w:pos="0"/>
        </w:tabs>
        <w:ind w:left="0" w:hanging="850"/>
      </w:pPr>
      <w:rPr>
        <w:rFonts w:hint="default"/>
        <w:b/>
        <w:color w:val="7F7E82"/>
        <w:sz w:val="32"/>
      </w:rPr>
    </w:lvl>
    <w:lvl w:ilvl="1">
      <w:start w:val="1"/>
      <w:numFmt w:val="decimal"/>
      <w:pStyle w:val="EYHeading2"/>
      <w:lvlText w:val="%1.%2"/>
      <w:lvlJc w:val="left"/>
      <w:pPr>
        <w:tabs>
          <w:tab w:val="num" w:pos="0"/>
        </w:tabs>
        <w:ind w:left="0" w:hanging="850"/>
      </w:pPr>
      <w:rPr>
        <w:rFonts w:hint="default"/>
        <w:b/>
        <w:i w:val="0"/>
        <w:color w:val="000000"/>
        <w:sz w:val="28"/>
      </w:rPr>
    </w:lvl>
    <w:lvl w:ilvl="2">
      <w:start w:val="1"/>
      <w:numFmt w:val="decimal"/>
      <w:pStyle w:val="EYHeading3"/>
      <w:lvlText w:val="%1.%2.%3"/>
      <w:lvlJc w:val="left"/>
      <w:pPr>
        <w:tabs>
          <w:tab w:val="num" w:pos="0"/>
        </w:tabs>
        <w:ind w:left="0" w:hanging="850"/>
      </w:pPr>
      <w:rPr>
        <w:rFonts w:hint="default"/>
        <w:b/>
        <w:i w:val="0"/>
        <w:color w:val="000000"/>
        <w:sz w:val="24"/>
      </w:rPr>
    </w:lvl>
    <w:lvl w:ilvl="3">
      <w:start w:val="1"/>
      <w:numFmt w:val="decimal"/>
      <w:pStyle w:val="EYHeading4"/>
      <w:lvlText w:val="%1.%2.%3.%4"/>
      <w:lvlJc w:val="left"/>
      <w:pPr>
        <w:tabs>
          <w:tab w:val="num" w:pos="0"/>
        </w:tabs>
        <w:ind w:left="0" w:hanging="850"/>
      </w:pPr>
      <w:rPr>
        <w:rFonts w:hint="default"/>
        <w:b w:val="0"/>
        <w:i w:val="0"/>
        <w:color w:val="000000"/>
        <w:sz w:val="2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7">
    <w:nsid w:val="73026B36"/>
    <w:multiLevelType w:val="hybridMultilevel"/>
    <w:tmpl w:val="827EAFBE"/>
    <w:lvl w:ilvl="0" w:tplc="08090003">
      <w:start w:val="1"/>
      <w:numFmt w:val="bullet"/>
      <w:lvlText w:val="o"/>
      <w:lvlJc w:val="left"/>
      <w:pPr>
        <w:ind w:left="1565" w:hanging="360"/>
      </w:pPr>
      <w:rPr>
        <w:rFonts w:ascii="Courier New" w:hAnsi="Courier New" w:cs="Courier New" w:hint="default"/>
      </w:rPr>
    </w:lvl>
    <w:lvl w:ilvl="1" w:tplc="08090003" w:tentative="1">
      <w:start w:val="1"/>
      <w:numFmt w:val="bullet"/>
      <w:lvlText w:val="o"/>
      <w:lvlJc w:val="left"/>
      <w:pPr>
        <w:ind w:left="2285" w:hanging="360"/>
      </w:pPr>
      <w:rPr>
        <w:rFonts w:ascii="Courier New" w:hAnsi="Courier New" w:cs="Courier New" w:hint="default"/>
      </w:rPr>
    </w:lvl>
    <w:lvl w:ilvl="2" w:tplc="08090005" w:tentative="1">
      <w:start w:val="1"/>
      <w:numFmt w:val="bullet"/>
      <w:lvlText w:val=""/>
      <w:lvlJc w:val="left"/>
      <w:pPr>
        <w:ind w:left="3005" w:hanging="360"/>
      </w:pPr>
      <w:rPr>
        <w:rFonts w:ascii="Wingdings" w:hAnsi="Wingdings" w:hint="default"/>
      </w:rPr>
    </w:lvl>
    <w:lvl w:ilvl="3" w:tplc="08090001" w:tentative="1">
      <w:start w:val="1"/>
      <w:numFmt w:val="bullet"/>
      <w:lvlText w:val=""/>
      <w:lvlJc w:val="left"/>
      <w:pPr>
        <w:ind w:left="3725" w:hanging="360"/>
      </w:pPr>
      <w:rPr>
        <w:rFonts w:ascii="Symbol" w:hAnsi="Symbol" w:hint="default"/>
      </w:rPr>
    </w:lvl>
    <w:lvl w:ilvl="4" w:tplc="08090003" w:tentative="1">
      <w:start w:val="1"/>
      <w:numFmt w:val="bullet"/>
      <w:lvlText w:val="o"/>
      <w:lvlJc w:val="left"/>
      <w:pPr>
        <w:ind w:left="4445" w:hanging="360"/>
      </w:pPr>
      <w:rPr>
        <w:rFonts w:ascii="Courier New" w:hAnsi="Courier New" w:cs="Courier New" w:hint="default"/>
      </w:rPr>
    </w:lvl>
    <w:lvl w:ilvl="5" w:tplc="08090005" w:tentative="1">
      <w:start w:val="1"/>
      <w:numFmt w:val="bullet"/>
      <w:lvlText w:val=""/>
      <w:lvlJc w:val="left"/>
      <w:pPr>
        <w:ind w:left="5165" w:hanging="360"/>
      </w:pPr>
      <w:rPr>
        <w:rFonts w:ascii="Wingdings" w:hAnsi="Wingdings" w:hint="default"/>
      </w:rPr>
    </w:lvl>
    <w:lvl w:ilvl="6" w:tplc="08090001" w:tentative="1">
      <w:start w:val="1"/>
      <w:numFmt w:val="bullet"/>
      <w:lvlText w:val=""/>
      <w:lvlJc w:val="left"/>
      <w:pPr>
        <w:ind w:left="5885" w:hanging="360"/>
      </w:pPr>
      <w:rPr>
        <w:rFonts w:ascii="Symbol" w:hAnsi="Symbol" w:hint="default"/>
      </w:rPr>
    </w:lvl>
    <w:lvl w:ilvl="7" w:tplc="08090003" w:tentative="1">
      <w:start w:val="1"/>
      <w:numFmt w:val="bullet"/>
      <w:lvlText w:val="o"/>
      <w:lvlJc w:val="left"/>
      <w:pPr>
        <w:ind w:left="6605" w:hanging="360"/>
      </w:pPr>
      <w:rPr>
        <w:rFonts w:ascii="Courier New" w:hAnsi="Courier New" w:cs="Courier New" w:hint="default"/>
      </w:rPr>
    </w:lvl>
    <w:lvl w:ilvl="8" w:tplc="08090005" w:tentative="1">
      <w:start w:val="1"/>
      <w:numFmt w:val="bullet"/>
      <w:lvlText w:val=""/>
      <w:lvlJc w:val="left"/>
      <w:pPr>
        <w:ind w:left="7325" w:hanging="360"/>
      </w:pPr>
      <w:rPr>
        <w:rFonts w:ascii="Wingdings" w:hAnsi="Wingdings" w:hint="default"/>
      </w:rPr>
    </w:lvl>
  </w:abstractNum>
  <w:abstractNum w:abstractNumId="98">
    <w:nsid w:val="79D82B4F"/>
    <w:multiLevelType w:val="hybridMultilevel"/>
    <w:tmpl w:val="4670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A7706EA"/>
    <w:multiLevelType w:val="hybridMultilevel"/>
    <w:tmpl w:val="F91C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AB24E67"/>
    <w:multiLevelType w:val="hybridMultilevel"/>
    <w:tmpl w:val="F71EF012"/>
    <w:lvl w:ilvl="0" w:tplc="89F4C172">
      <w:start w:val="1"/>
      <w:numFmt w:val="bullet"/>
      <w:pStyle w:val="TableListBullet"/>
      <w:lvlText w:val=""/>
      <w:lvlJc w:val="left"/>
      <w:pPr>
        <w:tabs>
          <w:tab w:val="num" w:pos="181"/>
        </w:tabs>
        <w:ind w:left="181" w:hanging="181"/>
      </w:pPr>
      <w:rPr>
        <w:rFonts w:ascii="Symbol" w:hAnsi="Symbol" w:hint="default"/>
        <w:color w:val="FF0000"/>
      </w:rPr>
    </w:lvl>
    <w:lvl w:ilvl="1" w:tplc="B268EF60" w:tentative="1">
      <w:start w:val="1"/>
      <w:numFmt w:val="bullet"/>
      <w:lvlText w:val="o"/>
      <w:lvlJc w:val="left"/>
      <w:pPr>
        <w:tabs>
          <w:tab w:val="num" w:pos="1440"/>
        </w:tabs>
        <w:ind w:left="1440" w:hanging="360"/>
      </w:pPr>
      <w:rPr>
        <w:rFonts w:ascii="Courier New" w:hAnsi="Courier New" w:cs="EYInterstate Light" w:hint="default"/>
      </w:rPr>
    </w:lvl>
    <w:lvl w:ilvl="2" w:tplc="EBC80D14" w:tentative="1">
      <w:start w:val="1"/>
      <w:numFmt w:val="bullet"/>
      <w:lvlText w:val=""/>
      <w:lvlJc w:val="left"/>
      <w:pPr>
        <w:tabs>
          <w:tab w:val="num" w:pos="2160"/>
        </w:tabs>
        <w:ind w:left="2160" w:hanging="360"/>
      </w:pPr>
      <w:rPr>
        <w:rFonts w:ascii="Wingdings" w:hAnsi="Wingdings" w:hint="default"/>
      </w:rPr>
    </w:lvl>
    <w:lvl w:ilvl="3" w:tplc="FD10E3CA" w:tentative="1">
      <w:start w:val="1"/>
      <w:numFmt w:val="bullet"/>
      <w:lvlText w:val=""/>
      <w:lvlJc w:val="left"/>
      <w:pPr>
        <w:tabs>
          <w:tab w:val="num" w:pos="2880"/>
        </w:tabs>
        <w:ind w:left="2880" w:hanging="360"/>
      </w:pPr>
      <w:rPr>
        <w:rFonts w:ascii="Symbol" w:hAnsi="Symbol" w:hint="default"/>
      </w:rPr>
    </w:lvl>
    <w:lvl w:ilvl="4" w:tplc="82CEC25E" w:tentative="1">
      <w:start w:val="1"/>
      <w:numFmt w:val="bullet"/>
      <w:lvlText w:val="o"/>
      <w:lvlJc w:val="left"/>
      <w:pPr>
        <w:tabs>
          <w:tab w:val="num" w:pos="3600"/>
        </w:tabs>
        <w:ind w:left="3600" w:hanging="360"/>
      </w:pPr>
      <w:rPr>
        <w:rFonts w:ascii="Courier New" w:hAnsi="Courier New" w:cs="EYInterstate Light" w:hint="default"/>
      </w:rPr>
    </w:lvl>
    <w:lvl w:ilvl="5" w:tplc="22B0391E" w:tentative="1">
      <w:start w:val="1"/>
      <w:numFmt w:val="bullet"/>
      <w:lvlText w:val=""/>
      <w:lvlJc w:val="left"/>
      <w:pPr>
        <w:tabs>
          <w:tab w:val="num" w:pos="4320"/>
        </w:tabs>
        <w:ind w:left="4320" w:hanging="360"/>
      </w:pPr>
      <w:rPr>
        <w:rFonts w:ascii="Wingdings" w:hAnsi="Wingdings" w:hint="default"/>
      </w:rPr>
    </w:lvl>
    <w:lvl w:ilvl="6" w:tplc="995AAE64" w:tentative="1">
      <w:start w:val="1"/>
      <w:numFmt w:val="bullet"/>
      <w:lvlText w:val=""/>
      <w:lvlJc w:val="left"/>
      <w:pPr>
        <w:tabs>
          <w:tab w:val="num" w:pos="5040"/>
        </w:tabs>
        <w:ind w:left="5040" w:hanging="360"/>
      </w:pPr>
      <w:rPr>
        <w:rFonts w:ascii="Symbol" w:hAnsi="Symbol" w:hint="default"/>
      </w:rPr>
    </w:lvl>
    <w:lvl w:ilvl="7" w:tplc="D58A8958" w:tentative="1">
      <w:start w:val="1"/>
      <w:numFmt w:val="bullet"/>
      <w:lvlText w:val="o"/>
      <w:lvlJc w:val="left"/>
      <w:pPr>
        <w:tabs>
          <w:tab w:val="num" w:pos="5760"/>
        </w:tabs>
        <w:ind w:left="5760" w:hanging="360"/>
      </w:pPr>
      <w:rPr>
        <w:rFonts w:ascii="Courier New" w:hAnsi="Courier New" w:cs="EYInterstate Light" w:hint="default"/>
      </w:rPr>
    </w:lvl>
    <w:lvl w:ilvl="8" w:tplc="7456891E" w:tentative="1">
      <w:start w:val="1"/>
      <w:numFmt w:val="bullet"/>
      <w:lvlText w:val=""/>
      <w:lvlJc w:val="left"/>
      <w:pPr>
        <w:tabs>
          <w:tab w:val="num" w:pos="6480"/>
        </w:tabs>
        <w:ind w:left="6480" w:hanging="360"/>
      </w:pPr>
      <w:rPr>
        <w:rFonts w:ascii="Wingdings" w:hAnsi="Wingdings" w:hint="default"/>
      </w:rPr>
    </w:lvl>
  </w:abstractNum>
  <w:abstractNum w:abstractNumId="101">
    <w:nsid w:val="7AB42F2F"/>
    <w:multiLevelType w:val="hybridMultilevel"/>
    <w:tmpl w:val="964ED30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2">
    <w:nsid w:val="7B93782F"/>
    <w:multiLevelType w:val="hybridMultilevel"/>
    <w:tmpl w:val="87D2EC32"/>
    <w:lvl w:ilvl="0" w:tplc="A8A8D7A4">
      <w:start w:val="1"/>
      <w:numFmt w:val="bullet"/>
      <w:pStyle w:val="Bulletpoint1"/>
      <w:lvlText w:val=""/>
      <w:lvlJc w:val="left"/>
      <w:pPr>
        <w:ind w:left="502" w:hanging="360"/>
      </w:pPr>
      <w:rPr>
        <w:rFonts w:ascii="Symbol" w:hAnsi="Symbol" w:hint="default"/>
        <w:color w:val="4F81BD" w:themeColor="accent1"/>
      </w:rPr>
    </w:lvl>
    <w:lvl w:ilvl="1" w:tplc="04100003">
      <w:start w:val="1"/>
      <w:numFmt w:val="bullet"/>
      <w:lvlText w:val="o"/>
      <w:lvlJc w:val="left"/>
      <w:pPr>
        <w:ind w:left="505" w:hanging="360"/>
      </w:pPr>
      <w:rPr>
        <w:rFonts w:ascii="Courier New" w:hAnsi="Courier New" w:cs="Courier New" w:hint="default"/>
      </w:rPr>
    </w:lvl>
    <w:lvl w:ilvl="2" w:tplc="D714A8C6">
      <w:start w:val="1"/>
      <w:numFmt w:val="bullet"/>
      <w:lvlText w:val=""/>
      <w:lvlJc w:val="left"/>
      <w:pPr>
        <w:ind w:left="1225" w:hanging="360"/>
      </w:pPr>
      <w:rPr>
        <w:rFonts w:ascii="Wingdings" w:hAnsi="Wingdings" w:hint="default"/>
        <w:color w:val="4F81BD" w:themeColor="accent1"/>
      </w:rPr>
    </w:lvl>
    <w:lvl w:ilvl="3" w:tplc="04100001">
      <w:start w:val="1"/>
      <w:numFmt w:val="bullet"/>
      <w:lvlText w:val=""/>
      <w:lvlJc w:val="left"/>
      <w:pPr>
        <w:ind w:left="1945" w:hanging="360"/>
      </w:pPr>
      <w:rPr>
        <w:rFonts w:ascii="Symbol" w:hAnsi="Symbol" w:hint="default"/>
      </w:rPr>
    </w:lvl>
    <w:lvl w:ilvl="4" w:tplc="04100003">
      <w:start w:val="1"/>
      <w:numFmt w:val="bullet"/>
      <w:lvlText w:val="o"/>
      <w:lvlJc w:val="left"/>
      <w:pPr>
        <w:ind w:left="2665" w:hanging="360"/>
      </w:pPr>
      <w:rPr>
        <w:rFonts w:ascii="Courier New" w:hAnsi="Courier New" w:cs="Courier New" w:hint="default"/>
      </w:rPr>
    </w:lvl>
    <w:lvl w:ilvl="5" w:tplc="04100005">
      <w:start w:val="1"/>
      <w:numFmt w:val="bullet"/>
      <w:lvlText w:val=""/>
      <w:lvlJc w:val="left"/>
      <w:pPr>
        <w:ind w:left="3385" w:hanging="360"/>
      </w:pPr>
      <w:rPr>
        <w:rFonts w:ascii="Wingdings" w:hAnsi="Wingdings" w:hint="default"/>
      </w:rPr>
    </w:lvl>
    <w:lvl w:ilvl="6" w:tplc="04100001">
      <w:start w:val="1"/>
      <w:numFmt w:val="bullet"/>
      <w:lvlText w:val=""/>
      <w:lvlJc w:val="left"/>
      <w:pPr>
        <w:ind w:left="4105" w:hanging="360"/>
      </w:pPr>
      <w:rPr>
        <w:rFonts w:ascii="Symbol" w:hAnsi="Symbol" w:hint="default"/>
      </w:rPr>
    </w:lvl>
    <w:lvl w:ilvl="7" w:tplc="04100003">
      <w:start w:val="1"/>
      <w:numFmt w:val="bullet"/>
      <w:lvlText w:val="o"/>
      <w:lvlJc w:val="left"/>
      <w:pPr>
        <w:ind w:left="4825" w:hanging="360"/>
      </w:pPr>
      <w:rPr>
        <w:rFonts w:ascii="Courier New" w:hAnsi="Courier New" w:cs="Courier New" w:hint="default"/>
      </w:rPr>
    </w:lvl>
    <w:lvl w:ilvl="8" w:tplc="04100005">
      <w:start w:val="1"/>
      <w:numFmt w:val="bullet"/>
      <w:lvlText w:val=""/>
      <w:lvlJc w:val="left"/>
      <w:pPr>
        <w:ind w:left="5545" w:hanging="360"/>
      </w:pPr>
      <w:rPr>
        <w:rFonts w:ascii="Wingdings" w:hAnsi="Wingdings" w:hint="default"/>
      </w:rPr>
    </w:lvl>
  </w:abstractNum>
  <w:abstractNum w:abstractNumId="103">
    <w:nsid w:val="7D1B4C3C"/>
    <w:multiLevelType w:val="hybridMultilevel"/>
    <w:tmpl w:val="9AF2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7D94642D"/>
    <w:multiLevelType w:val="hybridMultilevel"/>
    <w:tmpl w:val="A8F66DC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1"/>
  </w:num>
  <w:num w:numId="2">
    <w:abstractNumId w:val="0"/>
  </w:num>
  <w:num w:numId="3">
    <w:abstractNumId w:val="57"/>
  </w:num>
  <w:num w:numId="4">
    <w:abstractNumId w:val="33"/>
  </w:num>
  <w:num w:numId="5">
    <w:abstractNumId w:val="54"/>
  </w:num>
  <w:num w:numId="6">
    <w:abstractNumId w:val="87"/>
  </w:num>
  <w:num w:numId="7">
    <w:abstractNumId w:val="93"/>
  </w:num>
  <w:num w:numId="8">
    <w:abstractNumId w:val="44"/>
  </w:num>
  <w:num w:numId="9">
    <w:abstractNumId w:val="84"/>
  </w:num>
  <w:num w:numId="10">
    <w:abstractNumId w:val="82"/>
  </w:num>
  <w:num w:numId="11">
    <w:abstractNumId w:val="65"/>
  </w:num>
  <w:num w:numId="12">
    <w:abstractNumId w:val="75"/>
  </w:num>
  <w:num w:numId="13">
    <w:abstractNumId w:val="24"/>
  </w:num>
  <w:num w:numId="14">
    <w:abstractNumId w:val="48"/>
  </w:num>
  <w:num w:numId="15">
    <w:abstractNumId w:val="17"/>
  </w:num>
  <w:num w:numId="16">
    <w:abstractNumId w:val="35"/>
  </w:num>
  <w:num w:numId="17">
    <w:abstractNumId w:val="95"/>
  </w:num>
  <w:num w:numId="18">
    <w:abstractNumId w:val="36"/>
  </w:num>
  <w:num w:numId="19">
    <w:abstractNumId w:val="70"/>
  </w:num>
  <w:num w:numId="20">
    <w:abstractNumId w:val="102"/>
  </w:num>
  <w:num w:numId="21">
    <w:abstractNumId w:val="59"/>
  </w:num>
  <w:num w:numId="22">
    <w:abstractNumId w:val="22"/>
  </w:num>
  <w:num w:numId="23">
    <w:abstractNumId w:val="71"/>
  </w:num>
  <w:num w:numId="24">
    <w:abstractNumId w:val="73"/>
  </w:num>
  <w:num w:numId="25">
    <w:abstractNumId w:val="78"/>
  </w:num>
  <w:num w:numId="26">
    <w:abstractNumId w:val="90"/>
  </w:num>
  <w:num w:numId="27">
    <w:abstractNumId w:val="26"/>
  </w:num>
  <w:num w:numId="28">
    <w:abstractNumId w:val="43"/>
  </w:num>
  <w:num w:numId="29">
    <w:abstractNumId w:val="100"/>
  </w:num>
  <w:num w:numId="30">
    <w:abstractNumId w:val="10"/>
  </w:num>
  <w:num w:numId="31">
    <w:abstractNumId w:val="92"/>
  </w:num>
  <w:num w:numId="32">
    <w:abstractNumId w:val="64"/>
  </w:num>
  <w:num w:numId="33">
    <w:abstractNumId w:val="83"/>
  </w:num>
  <w:num w:numId="34">
    <w:abstractNumId w:val="16"/>
  </w:num>
  <w:num w:numId="35">
    <w:abstractNumId w:val="81"/>
  </w:num>
  <w:num w:numId="36">
    <w:abstractNumId w:val="77"/>
  </w:num>
  <w:num w:numId="37">
    <w:abstractNumId w:val="2"/>
  </w:num>
  <w:num w:numId="38">
    <w:abstractNumId w:val="4"/>
  </w:num>
  <w:num w:numId="39">
    <w:abstractNumId w:val="20"/>
  </w:num>
  <w:num w:numId="40">
    <w:abstractNumId w:val="19"/>
  </w:num>
  <w:num w:numId="41">
    <w:abstractNumId w:val="25"/>
  </w:num>
  <w:num w:numId="42">
    <w:abstractNumId w:val="66"/>
  </w:num>
  <w:num w:numId="43">
    <w:abstractNumId w:val="60"/>
  </w:num>
  <w:num w:numId="44">
    <w:abstractNumId w:val="62"/>
  </w:num>
  <w:num w:numId="45">
    <w:abstractNumId w:val="96"/>
  </w:num>
  <w:num w:numId="46">
    <w:abstractNumId w:val="40"/>
  </w:num>
  <w:num w:numId="47">
    <w:abstractNumId w:val="61"/>
  </w:num>
  <w:num w:numId="48">
    <w:abstractNumId w:val="41"/>
    <w:lvlOverride w:ilvl="0">
      <w:lvl w:ilvl="0">
        <w:start w:val="1"/>
        <w:numFmt w:val="bullet"/>
        <w:pStyle w:val="Lettrepuce1"/>
        <w:lvlText w:val=""/>
        <w:lvlJc w:val="left"/>
        <w:pPr>
          <w:tabs>
            <w:tab w:val="num" w:pos="0"/>
          </w:tabs>
          <w:ind w:left="283" w:hanging="283"/>
        </w:pPr>
        <w:rPr>
          <w:rFonts w:ascii="Symbol" w:hAnsi="Symbol" w:hint="default"/>
          <w:b w:val="0"/>
          <w:i w:val="0"/>
          <w:color w:val="auto"/>
          <w:sz w:val="18"/>
          <w:szCs w:val="18"/>
        </w:rPr>
      </w:lvl>
    </w:lvlOverride>
  </w:num>
  <w:num w:numId="49">
    <w:abstractNumId w:val="88"/>
  </w:num>
  <w:num w:numId="50">
    <w:abstractNumId w:val="7"/>
  </w:num>
  <w:num w:numId="51">
    <w:abstractNumId w:val="74"/>
  </w:num>
  <w:num w:numId="52">
    <w:abstractNumId w:val="50"/>
  </w:num>
  <w:num w:numId="53">
    <w:abstractNumId w:val="55"/>
  </w:num>
  <w:num w:numId="54">
    <w:abstractNumId w:val="14"/>
  </w:num>
  <w:num w:numId="55">
    <w:abstractNumId w:val="58"/>
  </w:num>
  <w:num w:numId="56">
    <w:abstractNumId w:val="56"/>
  </w:num>
  <w:num w:numId="57">
    <w:abstractNumId w:val="49"/>
  </w:num>
  <w:num w:numId="58">
    <w:abstractNumId w:val="13"/>
  </w:num>
  <w:num w:numId="59">
    <w:abstractNumId w:val="47"/>
  </w:num>
  <w:num w:numId="60">
    <w:abstractNumId w:val="69"/>
  </w:num>
  <w:num w:numId="61">
    <w:abstractNumId w:val="72"/>
    <w:lvlOverride w:ilvl="0">
      <w:lvl w:ilvl="0">
        <w:start w:val="1"/>
        <w:numFmt w:val="decimal"/>
        <w:pStyle w:val="HH1"/>
        <w:lvlText w:val="%1."/>
        <w:lvlJc w:val="left"/>
        <w:pPr>
          <w:ind w:left="360" w:hanging="360"/>
        </w:pPr>
        <w:rPr>
          <w:rFonts w:hint="default"/>
        </w:rPr>
      </w:lvl>
    </w:lvlOverride>
    <w:lvlOverride w:ilvl="1">
      <w:lvl w:ilvl="1">
        <w:start w:val="1"/>
        <w:numFmt w:val="decimal"/>
        <w:pStyle w:val="HH2"/>
        <w:lvlText w:val="%1.%2"/>
        <w:lvlJc w:val="left"/>
        <w:pPr>
          <w:ind w:left="0" w:firstLine="0"/>
        </w:pPr>
        <w:rPr>
          <w:rFonts w:hint="default"/>
        </w:rPr>
      </w:lvl>
    </w:lvlOverride>
    <w:lvlOverride w:ilvl="2">
      <w:lvl w:ilvl="2">
        <w:start w:val="1"/>
        <w:numFmt w:val="decimal"/>
        <w:pStyle w:val="HH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67"/>
  </w:num>
  <w:num w:numId="63">
    <w:abstractNumId w:val="21"/>
  </w:num>
  <w:num w:numId="64">
    <w:abstractNumId w:val="94"/>
  </w:num>
  <w:num w:numId="65">
    <w:abstractNumId w:val="103"/>
  </w:num>
  <w:num w:numId="66">
    <w:abstractNumId w:val="6"/>
  </w:num>
  <w:num w:numId="67">
    <w:abstractNumId w:val="85"/>
  </w:num>
  <w:num w:numId="68">
    <w:abstractNumId w:val="37"/>
  </w:num>
  <w:num w:numId="69">
    <w:abstractNumId w:val="53"/>
  </w:num>
  <w:num w:numId="70">
    <w:abstractNumId w:val="23"/>
  </w:num>
  <w:num w:numId="71">
    <w:abstractNumId w:val="15"/>
  </w:num>
  <w:num w:numId="72">
    <w:abstractNumId w:val="79"/>
  </w:num>
  <w:num w:numId="73">
    <w:abstractNumId w:val="45"/>
  </w:num>
  <w:num w:numId="74">
    <w:abstractNumId w:val="68"/>
  </w:num>
  <w:num w:numId="75">
    <w:abstractNumId w:val="3"/>
  </w:num>
  <w:num w:numId="76">
    <w:abstractNumId w:val="98"/>
  </w:num>
  <w:num w:numId="77">
    <w:abstractNumId w:val="89"/>
  </w:num>
  <w:num w:numId="78">
    <w:abstractNumId w:val="34"/>
  </w:num>
  <w:num w:numId="79">
    <w:abstractNumId w:val="91"/>
  </w:num>
  <w:num w:numId="80">
    <w:abstractNumId w:val="63"/>
  </w:num>
  <w:num w:numId="81">
    <w:abstractNumId w:val="27"/>
  </w:num>
  <w:num w:numId="82">
    <w:abstractNumId w:val="99"/>
  </w:num>
  <w:num w:numId="83">
    <w:abstractNumId w:val="46"/>
  </w:num>
  <w:num w:numId="84">
    <w:abstractNumId w:val="9"/>
  </w:num>
  <w:num w:numId="85">
    <w:abstractNumId w:val="42"/>
  </w:num>
  <w:num w:numId="86">
    <w:abstractNumId w:val="29"/>
  </w:num>
  <w:num w:numId="87">
    <w:abstractNumId w:val="80"/>
  </w:num>
  <w:num w:numId="88">
    <w:abstractNumId w:val="104"/>
  </w:num>
  <w:num w:numId="89">
    <w:abstractNumId w:val="39"/>
  </w:num>
  <w:num w:numId="90">
    <w:abstractNumId w:val="8"/>
  </w:num>
  <w:num w:numId="91">
    <w:abstractNumId w:val="101"/>
  </w:num>
  <w:num w:numId="92">
    <w:abstractNumId w:val="18"/>
  </w:num>
  <w:num w:numId="93">
    <w:abstractNumId w:val="51"/>
  </w:num>
  <w:num w:numId="94">
    <w:abstractNumId w:val="31"/>
  </w:num>
  <w:num w:numId="95">
    <w:abstractNumId w:val="32"/>
  </w:num>
  <w:num w:numId="96">
    <w:abstractNumId w:val="11"/>
  </w:num>
  <w:num w:numId="97">
    <w:abstractNumId w:val="76"/>
  </w:num>
  <w:num w:numId="98">
    <w:abstractNumId w:val="38"/>
  </w:num>
  <w:num w:numId="99">
    <w:abstractNumId w:val="86"/>
  </w:num>
  <w:num w:numId="100">
    <w:abstractNumId w:val="97"/>
  </w:num>
  <w:num w:numId="101">
    <w:abstractNumId w:val="12"/>
  </w:num>
  <w:num w:numId="102">
    <w:abstractNumId w:val="5"/>
  </w:num>
  <w:num w:numId="103">
    <w:abstractNumId w:val="28"/>
  </w:num>
  <w:num w:numId="104">
    <w:abstractNumId w:val="30"/>
  </w:num>
  <w:num w:numId="105">
    <w:abstractNumId w:val="5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4069AB0C-D08C-42BC-B96C-64FFDD7E572E"/>
    <w:docVar w:name="LW_COVERPAGE_TYPE" w:val="1"/>
    <w:docVar w:name="LW_CROSSREFERENCE" w:val="{COM(2018) 464 final}_x000a_{SWD(2018) 339 final}_x000a_{SWD(2018) 341 final}"/>
    <w:docVar w:name="LW_DocType" w:val="NORMAL"/>
    <w:docVar w:name="LW_EMISSION" w:val="12.6.2018"/>
    <w:docVar w:name="LW_EMISSION_ISODATE" w:val="2018-06-12"/>
    <w:docVar w:name="LW_EMISSION_LOCATION" w:val="BRX"/>
    <w:docVar w:name="LW_EMISSION_PREFIX" w:val="Brussels,"/>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on interim evaluation of the Asylum, Migration and Integration Fund and the Internal Security Fund_x000b_"/>
    <w:docVar w:name="LW_PART_NBR" w:val="1"/>
    <w:docVar w:name="LW_PART_NBR_TOTAL" w:val="1"/>
    <w:docVar w:name="LW_REF.INST.NEW" w:val="SWD"/>
    <w:docVar w:name="LW_REF.INST.NEW_ADOPTED" w:val="final"/>
    <w:docVar w:name="LW_REF.INST.NEW_TEXT" w:val="(2018) 3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Interim Evaluation of the Internal Security Fund - Borders and Visa 2014-2017"/>
    <w:docVar w:name="LW_TYPE.DOC.CP" w:val="COMMISSION STAFF WORKING DOCUMENT"/>
    <w:docVar w:name="LW_TYPEACTEPRINCIPAL.CP" w:val="Report from the Commission to the European Parliament, the Council, the European Economic and Social Committee and the Committee of the Regions "/>
  </w:docVars>
  <w:rsids>
    <w:rsidRoot w:val="007D3598"/>
    <w:rsid w:val="007D3598"/>
    <w:rsid w:val="00F85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
    <w:lsdException w:name="index heading" w:uiPriority="0"/>
    <w:lsdException w:name="caption" w:uiPriority="35" w:qFormat="1"/>
    <w:lsdException w:name="envelope address" w:uiPriority="0"/>
    <w:lsdException w:name="envelope return" w:uiPriority="0"/>
    <w:lsdException w:name="footnote reference" w:qFormat="1"/>
    <w:lsdException w:name="annotation reference" w:uiPriority="9"/>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HTML Address" w:uiPriority="0"/>
    <w:lsdException w:name="Table Elegan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paragraph" w:styleId="Heading1">
    <w:name w:val="heading 1"/>
    <w:aliases w:val="(Section),cover1,intoduction,head1,h1,Heading 1a,H1,1,Header 1,Heading 1 CFMU,Para 1,OS1,Numbered 1 (SBC),Arial 14 Fett,Arial 14 Fett1,Arial 14 Fett2,Heading 1- SBC,l1,Head1,Heading apps,Opening,BMS Heading 1,Heading 0,VIS"/>
    <w:basedOn w:val="Normal"/>
    <w:next w:val="Text1"/>
    <w:link w:val="Heading1Char"/>
    <w:autoRedefine/>
    <w:uiPriority w:val="9"/>
    <w:qFormat/>
    <w:pPr>
      <w:keepNext/>
      <w:pageBreakBefore/>
      <w:spacing w:before="240"/>
      <w:outlineLvl w:val="0"/>
    </w:pPr>
    <w:rPr>
      <w:b/>
      <w:smallCaps/>
      <w:szCs w:val="24"/>
    </w:rPr>
  </w:style>
  <w:style w:type="paragraph" w:styleId="Heading2">
    <w:name w:val="heading 2"/>
    <w:aliases w:val="Contrat 2,Sub Topic,Body text 2,Chapter Number/Appendix Letter,chn,h2,2,Header 2,l2,H2,Punt 2,Normal 2,Subheading,2 headline,Heading 2 CFMU,Para 2,head 2,header2,h21,head 21,header21,h22,head 22,header22,h23,head 23,header23,h211,H21"/>
    <w:basedOn w:val="Normal"/>
    <w:next w:val="Text2"/>
    <w:link w:val="Heading2Char"/>
    <w:uiPriority w:val="9"/>
    <w:qFormat/>
    <w:pPr>
      <w:keepNext/>
      <w:outlineLvl w:val="1"/>
    </w:pPr>
    <w:rPr>
      <w:b/>
    </w:rPr>
  </w:style>
  <w:style w:type="paragraph" w:styleId="Heading3">
    <w:name w:val="heading 3"/>
    <w:aliases w:val="h3,Punt 3,H3,Heading 3 CFMU,Para 3,Punt 3 Char,Arial 12 Fett,1.1.1 Heading 3,Numbered 3 (SBC),Sub-Title,Heading 3 - SBC,V_Head3,Podkapitola2,h3 sub heading,(Alt+3),Table Attribute Heading,Heading C,sub Italic,proj3,proj31,H31,l3"/>
    <w:basedOn w:val="Normal"/>
    <w:next w:val="Text3"/>
    <w:link w:val="Heading3Char"/>
    <w:uiPriority w:val="9"/>
    <w:qFormat/>
    <w:pPr>
      <w:keepNext/>
      <w:outlineLvl w:val="2"/>
    </w:pPr>
    <w:rPr>
      <w:i/>
    </w:rPr>
  </w:style>
  <w:style w:type="paragraph" w:styleId="Heading4">
    <w:name w:val="heading 4"/>
    <w:aliases w:val="Figures Only,Heading 4 CFMU,h4,Header 4,Numbered 4 (SBC),Heading 4 - SBC,dash,Map Title,H4,Topic Major,RFQ3,l4,4,4heading,heading4,heading,Subhead C,FigureHead,Level 2 - a,Sub Sub Paragraph,Titre 4-esis,mh,subhead 3,subhead 31,h41,subhead 32"/>
    <w:basedOn w:val="Normal"/>
    <w:next w:val="Text4"/>
    <w:link w:val="Heading4Char"/>
    <w:uiPriority w:val="9"/>
    <w:qFormat/>
    <w:pPr>
      <w:keepNext/>
      <w:outlineLvl w:val="3"/>
    </w:pPr>
  </w:style>
  <w:style w:type="paragraph" w:styleId="Heading5">
    <w:name w:val="heading 5"/>
    <w:aliases w:val="sub1,Roman list,5,H5,Heading 5 CFMU,Para 5,h5,Header 5,Numbered 5 (SBC),UEH5,Subhead 1"/>
    <w:basedOn w:val="Normal"/>
    <w:next w:val="Normal"/>
    <w:link w:val="Heading5Char"/>
    <w:uiPriority w:val="9"/>
    <w:qFormat/>
    <w:pPr>
      <w:spacing w:before="240" w:after="60"/>
      <w:outlineLvl w:val="4"/>
    </w:pPr>
    <w:rPr>
      <w:rFonts w:ascii="Arial" w:hAnsi="Arial"/>
      <w:sz w:val="22"/>
    </w:rPr>
  </w:style>
  <w:style w:type="paragraph" w:styleId="Heading6">
    <w:name w:val="heading 6"/>
    <w:aliases w:val="sub2,b,Heading 6 CFMU,h6,Header 6,UEH6,Heading 6 CFMU1,Heading 6 CFMU2,Heading 6 CFMU3,Heading 6 CFMU4,Heading 6 CFMU5,Para 6,H6,Legal Level 1.,Heading 6  Appendix Y &amp; Z"/>
    <w:basedOn w:val="Normal"/>
    <w:next w:val="Normal"/>
    <w:link w:val="Heading6Char"/>
    <w:uiPriority w:val="9"/>
    <w:qFormat/>
    <w:pPr>
      <w:spacing w:before="240" w:after="60"/>
      <w:outlineLvl w:val="5"/>
    </w:pPr>
    <w:rPr>
      <w:rFonts w:ascii="Arial" w:hAnsi="Arial"/>
      <w:i/>
      <w:sz w:val="22"/>
    </w:rPr>
  </w:style>
  <w:style w:type="paragraph" w:styleId="Heading7">
    <w:name w:val="heading 7"/>
    <w:aliases w:val="letter list,lettered list,Heading 7 CFMU,h7,Header 7,Legal Level 1.1.,sub3,Heading 7 (do not use),Para 7,H7,TITRE PARTIE"/>
    <w:basedOn w:val="Normal"/>
    <w:next w:val="Normal"/>
    <w:link w:val="Heading7Char"/>
    <w:uiPriority w:val="9"/>
    <w:qFormat/>
    <w:pPr>
      <w:spacing w:before="240" w:after="60"/>
      <w:outlineLvl w:val="6"/>
    </w:pPr>
    <w:rPr>
      <w:rFonts w:ascii="Arial" w:hAnsi="Arial"/>
      <w:sz w:val="20"/>
    </w:rPr>
  </w:style>
  <w:style w:type="paragraph" w:styleId="Heading8">
    <w:name w:val="heading 8"/>
    <w:aliases w:val="sub4,Heading 8 (do not use),Heading 8 CFMU,h8,Header 8,ASAPHeading 8,8,Titolo8,action,action1,action2,action11,action3,action4,action5,action6,action7,action12,action21,action111,action31,action8,action13,action22,action112,action32"/>
    <w:basedOn w:val="Normal"/>
    <w:next w:val="Normal"/>
    <w:link w:val="Heading8Char"/>
    <w:uiPriority w:val="9"/>
    <w:qFormat/>
    <w:pPr>
      <w:spacing w:before="240" w:after="60"/>
      <w:outlineLvl w:val="7"/>
    </w:pPr>
    <w:rPr>
      <w:rFonts w:ascii="Arial" w:hAnsi="Arial"/>
      <w:i/>
      <w:sz w:val="20"/>
    </w:rPr>
  </w:style>
  <w:style w:type="paragraph" w:styleId="Heading9">
    <w:name w:val="heading 9"/>
    <w:aliases w:val="sub5,Heading 9 (do not use),App Heading,Heading 9 CFMU,h9,Header 9,ASAPHeading 9,Appendix,9,Titolo9,progress,progress1,progress2,progress11,progress3,progress4,progress5,progress6,progress7,progress12,progress21,progress111,progress31,App1"/>
    <w:basedOn w:val="Normal"/>
    <w:next w:val="Normal"/>
    <w:link w:val="Heading9Char"/>
    <w:uiPriority w:val="9"/>
    <w:qFormat/>
    <w:p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cover1 Char,intoduction Char,head1 Char,h1 Char,Heading 1a Char,H1 Char,1 Char,Header 1 Char,Heading 1 CFMU Char,Para 1 Char,OS1 Char,Numbered 1 (SBC) Char,Arial 14 Fett Char,Arial 14 Fett1 Char,Arial 14 Fett2 Char,l1 Char"/>
    <w:basedOn w:val="DefaultParagraphFont"/>
    <w:link w:val="Heading1"/>
    <w:uiPriority w:val="9"/>
    <w:rPr>
      <w:rFonts w:ascii="Times New Roman" w:eastAsia="Times New Roman" w:hAnsi="Times New Roman" w:cs="Times New Roman"/>
      <w:b/>
      <w:smallCaps/>
      <w:sz w:val="24"/>
      <w:szCs w:val="24"/>
    </w:rPr>
  </w:style>
  <w:style w:type="character" w:customStyle="1" w:styleId="Heading2Char">
    <w:name w:val="Heading 2 Char"/>
    <w:aliases w:val="Contrat 2 Char,Sub Topic Char,Body text 2 Char,Chapter Number/Appendix Letter Char,chn Char,h2 Char,2 Char,Header 2 Char,l2 Char,H2 Char,Punt 2 Char,Normal 2 Char,Subheading Char,2 headline Char,Heading 2 CFMU Char,Para 2 Char,head 2 Char"/>
    <w:basedOn w:val="DefaultParagraphFont"/>
    <w:link w:val="Heading2"/>
    <w:uiPriority w:val="9"/>
    <w:rPr>
      <w:rFonts w:ascii="Times New Roman" w:eastAsia="Times New Roman" w:hAnsi="Times New Roman" w:cs="Times New Roman"/>
      <w:b/>
      <w:sz w:val="24"/>
      <w:szCs w:val="20"/>
    </w:rPr>
  </w:style>
  <w:style w:type="character" w:customStyle="1" w:styleId="Heading3Char">
    <w:name w:val="Heading 3 Char"/>
    <w:aliases w:val="h3 Char,Punt 3 Char1,H3 Char,Heading 3 CFMU Char,Para 3 Char,Punt 3 Char Char,Arial 12 Fett Char,1.1.1 Heading 3 Char,Numbered 3 (SBC) Char,Sub-Title Char,Heading 3 - SBC Char,V_Head3 Char,Podkapitola2 Char,h3 sub heading Char,proj3 Char"/>
    <w:basedOn w:val="DefaultParagraphFont"/>
    <w:link w:val="Heading3"/>
    <w:uiPriority w:val="9"/>
    <w:rPr>
      <w:rFonts w:ascii="Times New Roman" w:eastAsia="Times New Roman" w:hAnsi="Times New Roman" w:cs="Times New Roman"/>
      <w:i/>
      <w:sz w:val="24"/>
      <w:szCs w:val="20"/>
    </w:rPr>
  </w:style>
  <w:style w:type="character" w:customStyle="1" w:styleId="Heading4Char">
    <w:name w:val="Heading 4 Char"/>
    <w:aliases w:val="Figures Only Char,Heading 4 CFMU Char,h4 Char,Header 4 Char,Numbered 4 (SBC) Char,Heading 4 - SBC Char,dash Char,Map Title Char,H4 Char,Topic Major Char,RFQ3 Char,l4 Char,4 Char,4heading Char,heading4 Char,heading Char,Subhead C Char"/>
    <w:basedOn w:val="DefaultParagraphFont"/>
    <w:link w:val="Heading4"/>
    <w:uiPriority w:val="9"/>
    <w:rPr>
      <w:rFonts w:ascii="Times New Roman" w:eastAsia="Times New Roman" w:hAnsi="Times New Roman" w:cs="Times New Roman"/>
      <w:sz w:val="24"/>
      <w:szCs w:val="20"/>
    </w:rPr>
  </w:style>
  <w:style w:type="character" w:customStyle="1" w:styleId="Heading5Char">
    <w:name w:val="Heading 5 Char"/>
    <w:aliases w:val="sub1 Char,Roman list Char,5 Char,H5 Char,Heading 5 CFMU Char,Para 5 Char,h5 Char,Header 5 Char,Numbered 5 (SBC) Char,UEH5 Char,Subhead 1 Char"/>
    <w:basedOn w:val="DefaultParagraphFont"/>
    <w:link w:val="Heading5"/>
    <w:uiPriority w:val="9"/>
    <w:rPr>
      <w:rFonts w:ascii="Arial" w:eastAsia="Times New Roman" w:hAnsi="Arial" w:cs="Times New Roman"/>
      <w:szCs w:val="20"/>
    </w:rPr>
  </w:style>
  <w:style w:type="character" w:customStyle="1" w:styleId="Heading6Char">
    <w:name w:val="Heading 6 Char"/>
    <w:aliases w:val="sub2 Char,b Char,Heading 6 CFMU Char,h6 Char,Header 6 Char,UEH6 Char,Heading 6 CFMU1 Char,Heading 6 CFMU2 Char,Heading 6 CFMU3 Char,Heading 6 CFMU4 Char,Heading 6 CFMU5 Char,Para 6 Char,H6 Char,Legal Level 1. Char"/>
    <w:basedOn w:val="DefaultParagraphFont"/>
    <w:link w:val="Heading6"/>
    <w:uiPriority w:val="9"/>
    <w:rPr>
      <w:rFonts w:ascii="Arial" w:eastAsia="Times New Roman" w:hAnsi="Arial" w:cs="Times New Roman"/>
      <w:i/>
      <w:szCs w:val="20"/>
    </w:rPr>
  </w:style>
  <w:style w:type="character" w:customStyle="1" w:styleId="Heading7Char">
    <w:name w:val="Heading 7 Char"/>
    <w:aliases w:val="letter list Char,lettered list Char,Heading 7 CFMU Char,h7 Char,Header 7 Char,Legal Level 1.1. Char,sub3 Char,Heading 7 (do not use) Char,Para 7 Char,H7 Char,TITRE PARTIE Char"/>
    <w:basedOn w:val="DefaultParagraphFont"/>
    <w:link w:val="Heading7"/>
    <w:uiPriority w:val="9"/>
    <w:rPr>
      <w:rFonts w:ascii="Arial" w:eastAsia="Times New Roman" w:hAnsi="Arial" w:cs="Times New Roman"/>
      <w:sz w:val="20"/>
      <w:szCs w:val="20"/>
    </w:rPr>
  </w:style>
  <w:style w:type="character" w:customStyle="1" w:styleId="Heading8Char">
    <w:name w:val="Heading 8 Char"/>
    <w:aliases w:val="sub4 Char,Heading 8 (do not use) Char,Heading 8 CFMU Char,h8 Char,Header 8 Char,ASAPHeading 8 Char,8 Char,Titolo8 Char,action Char,action1 Char,action2 Char,action11 Char,action3 Char,action4 Char,action5 Char,action6 Char,action7 Char"/>
    <w:basedOn w:val="DefaultParagraphFont"/>
    <w:link w:val="Heading8"/>
    <w:uiPriority w:val="9"/>
    <w:rPr>
      <w:rFonts w:ascii="Arial" w:eastAsia="Times New Roman" w:hAnsi="Arial" w:cs="Times New Roman"/>
      <w:i/>
      <w:sz w:val="20"/>
      <w:szCs w:val="20"/>
    </w:rPr>
  </w:style>
  <w:style w:type="character" w:customStyle="1" w:styleId="Heading9Char">
    <w:name w:val="Heading 9 Char"/>
    <w:aliases w:val="sub5 Char,Heading 9 (do not use) Char,App Heading Char,Heading 9 CFMU Char,h9 Char,Header 9 Char,ASAPHeading 9 Char,Appendix Char,9 Char,Titolo9 Char,progress Char,progress1 Char,progress2 Char,progress11 Char,progress3 Char,App1 Char"/>
    <w:basedOn w:val="DefaultParagraphFont"/>
    <w:link w:val="Heading9"/>
    <w:uiPriority w:val="9"/>
    <w:rPr>
      <w:rFonts w:ascii="Arial" w:eastAsia="Times New Roman" w:hAnsi="Arial" w:cs="Times New Roman"/>
      <w:i/>
      <w:sz w:val="18"/>
      <w:szCs w:val="20"/>
    </w:rPr>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t??? ?e??t??"/>
    <w:basedOn w:val="Normal"/>
    <w:link w:val="BodyTextChar"/>
    <w:uiPriority w:val="99"/>
    <w:pPr>
      <w:spacing w:after="120"/>
    </w:p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uiPriority w:val="99"/>
    <w:rPr>
      <w:rFonts w:ascii="Times New Roman" w:eastAsia="Times New Roman" w:hAnsi="Times New Roman" w:cs="Times New Roman"/>
      <w:sz w:val="24"/>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rPr>
  </w:style>
  <w:style w:type="paragraph" w:styleId="Caption">
    <w:name w:val="caption"/>
    <w:aliases w:val="Char Char Char,Caption1 Char Char Char Char Char Char Char Char Tegn Tegn Tegn Tegn Tegn,Caption1 Char Char Char Char Char Char Char Char Tegn Tegn Tegn,Caption1 Char Char Char Char Char Char Char Char Tegn Tegn,Ch,Inscription,C,Cha,c"/>
    <w:basedOn w:val="Normal"/>
    <w:next w:val="Normal"/>
    <w:link w:val="CaptionChar"/>
    <w:uiPriority w:val="35"/>
    <w:qFormat/>
    <w:pPr>
      <w:spacing w:before="120" w:after="120"/>
    </w:pPr>
    <w:rPr>
      <w:b/>
    </w:rPr>
  </w:style>
  <w:style w:type="paragraph" w:customStyle="1" w:styleId="ChapterTitle">
    <w:name w:val="ChapterTitle"/>
    <w:basedOn w:val="Normal"/>
    <w:next w:val="SectionTitle"/>
    <w:link w:val="ChapterTitleChar"/>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CommentText">
    <w:name w:val="annotation text"/>
    <w:basedOn w:val="Normal"/>
    <w:link w:val="CommentTextChar"/>
    <w:uiPriority w:val="9"/>
    <w:rPr>
      <w:sz w:val="20"/>
    </w:rPr>
  </w:style>
  <w:style w:type="character" w:customStyle="1" w:styleId="CommentTextChar">
    <w:name w:val="Comment Text Char"/>
    <w:basedOn w:val="DefaultParagraphFont"/>
    <w:link w:val="CommentText"/>
    <w:uiPriority w:val="9"/>
    <w:rPr>
      <w:rFonts w:ascii="Times New Roman" w:eastAsia="Times New Roman" w:hAnsi="Times New Roman" w:cs="Times New Roman"/>
      <w:sz w:val="20"/>
      <w:szCs w:val="20"/>
    </w:rPr>
  </w:style>
  <w:style w:type="paragraph" w:styleId="Date">
    <w:name w:val="Date"/>
    <w:basedOn w:val="Normal"/>
    <w:next w:val="References"/>
    <w:link w:val="DateChar"/>
    <w:pPr>
      <w:ind w:left="5103" w:right="-567"/>
    </w:p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customStyle="1" w:styleId="References">
    <w:name w:val="References"/>
    <w:basedOn w:val="Normal"/>
    <w:next w:val="AddressTR"/>
    <w:pPr>
      <w:ind w:left="5103"/>
    </w:pPr>
    <w:rPr>
      <w:sz w:val="20"/>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0"/>
      <w:shd w:val="clear" w:color="auto" w:fill="000080"/>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rPr>
      <w:sz w:val="20"/>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rPr>
      <w:rFonts w:ascii="Arial" w:eastAsia="Times New Roman" w:hAnsi="Arial" w:cs="Times New Roman"/>
      <w:sz w:val="16"/>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iPriority w:val="99"/>
    <w:qFormat/>
    <w:pPr>
      <w:ind w:left="357" w:hanging="357"/>
    </w:pPr>
    <w:rPr>
      <w:sz w:val="18"/>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18"/>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aliases w:val="First Tier Bullet,résumé,UL,List Bullet2,List Bullet Char1 Char,List Bullet Char Char Char,List Bullet Char1 Char Char Char,List Bullet Char Char Char Char Char,List Bullet Char Char1"/>
    <w:basedOn w:val="Normal"/>
    <w:link w:val="ListBulletChar"/>
    <w:pPr>
      <w:numPr>
        <w:numId w:val="3"/>
      </w:numPr>
    </w:pPr>
  </w:style>
  <w:style w:type="paragraph" w:styleId="ListBullet2">
    <w:name w:val="List Bullet 2"/>
    <w:basedOn w:val="Text2"/>
    <w:uiPriority w:val="99"/>
    <w:pPr>
      <w:numPr>
        <w:numId w:val="5"/>
      </w:numPr>
      <w:tabs>
        <w:tab w:val="clear" w:pos="2302"/>
      </w:tabs>
    </w:pPr>
  </w:style>
  <w:style w:type="paragraph" w:styleId="ListBullet3">
    <w:name w:val="List Bullet 3"/>
    <w:basedOn w:val="Text3"/>
    <w:uiPriority w:val="99"/>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rPr>
  </w:style>
  <w:style w:type="paragraph" w:styleId="NormalIndent">
    <w:name w:val="Normal Indent"/>
    <w:basedOn w:val="Normal"/>
    <w:link w:val="NormalIndentChar"/>
    <w:uiPriority w:val="99"/>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paragraph" w:styleId="Signature">
    <w:name w:val="Signature"/>
    <w:basedOn w:val="Normal"/>
    <w:next w:val="Enclosures"/>
    <w:link w:val="SignatureChar"/>
    <w:pPr>
      <w:tabs>
        <w:tab w:val="left" w:pos="5103"/>
      </w:tabs>
      <w:spacing w:before="1200"/>
      <w:ind w:left="5103"/>
      <w:jc w:val="center"/>
    </w:pPr>
  </w:style>
  <w:style w:type="character" w:customStyle="1" w:styleId="SignatureChar">
    <w:name w:val="Signature Char"/>
    <w:basedOn w:val="DefaultParagraphFont"/>
    <w:link w:val="Signature"/>
    <w:rPr>
      <w:rFonts w:ascii="Times New Roman" w:eastAsia="Times New Roman" w:hAnsi="Times New Roman" w:cs="Times New Roman"/>
      <w:sz w:val="24"/>
      <w:szCs w:val="20"/>
    </w:r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Arial" w:eastAsia="Times New Roman" w:hAnsi="Arial" w:cs="Times New Roman"/>
      <w:sz w:val="24"/>
      <w:szCs w:val="20"/>
    </w:rPr>
  </w:style>
  <w:style w:type="paragraph" w:customStyle="1" w:styleId="SubTitle1">
    <w:name w:val="SubTitle 1"/>
    <w:basedOn w:val="Normal"/>
    <w:next w:val="SubTitle20"/>
    <w:pPr>
      <w:jc w:val="center"/>
    </w:pPr>
    <w:rPr>
      <w:b/>
      <w:sz w:val="40"/>
    </w:rPr>
  </w:style>
  <w:style w:type="paragraph" w:customStyle="1" w:styleId="SubTitle20">
    <w:name w:val="SubTitle 2"/>
    <w:basedOn w:val="Normal"/>
    <w:pPr>
      <w:jc w:val="center"/>
    </w:pPr>
    <w:rPr>
      <w:b/>
      <w:sz w:val="32"/>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next w:val="SubTitle1"/>
    <w:link w:val="TitleChar"/>
    <w:uiPriority w:val="10"/>
    <w:qFormat/>
    <w:pPr>
      <w:spacing w:after="480"/>
      <w:jc w:val="center"/>
    </w:pPr>
    <w:rPr>
      <w:b/>
      <w:kern w:val="28"/>
      <w:sz w:val="48"/>
    </w:rPr>
  </w:style>
  <w:style w:type="character" w:customStyle="1" w:styleId="TitleChar">
    <w:name w:val="Title Char"/>
    <w:basedOn w:val="DefaultParagraphFont"/>
    <w:link w:val="Title"/>
    <w:uiPriority w:val="10"/>
    <w:rPr>
      <w:rFonts w:ascii="Times New Roman" w:eastAsia="Times New Roman" w:hAnsi="Times New Roman" w:cs="Times New Roman"/>
      <w:b/>
      <w:kern w:val="28"/>
      <w:sz w:val="48"/>
      <w:szCs w:val="20"/>
    </w:rPr>
  </w:style>
  <w:style w:type="paragraph" w:styleId="TOAHeading">
    <w:name w:val="toa heading"/>
    <w:basedOn w:val="Normal"/>
    <w:next w:val="Normal"/>
    <w:pPr>
      <w:spacing w:before="120"/>
    </w:pPr>
    <w:rPr>
      <w:rFonts w:ascii="Arial" w:hAnsi="Arial"/>
      <w:b/>
    </w:rPr>
  </w:style>
  <w:style w:type="paragraph" w:styleId="TOC1">
    <w:name w:val="toc 1"/>
    <w:basedOn w:val="Normal"/>
    <w:next w:val="Normal"/>
    <w:link w:val="TOC1Char"/>
    <w:uiPriority w:val="39"/>
    <w:qFormat/>
    <w:rPr>
      <w:bCs/>
      <w:smallCaps/>
      <w:color w:val="365F91" w:themeColor="accent1" w:themeShade="BF"/>
      <w:sz w:val="20"/>
    </w:rPr>
  </w:style>
  <w:style w:type="paragraph" w:styleId="TOC2">
    <w:name w:val="toc 2"/>
    <w:basedOn w:val="Normal"/>
    <w:next w:val="Normal"/>
    <w:uiPriority w:val="39"/>
    <w:qFormat/>
    <w:pPr>
      <w:ind w:left="238"/>
    </w:pPr>
    <w:rPr>
      <w:iCs/>
      <w:sz w:val="20"/>
    </w:rPr>
  </w:style>
  <w:style w:type="paragraph" w:styleId="TOC3">
    <w:name w:val="toc 3"/>
    <w:basedOn w:val="HH3"/>
    <w:next w:val="Normal"/>
    <w:uiPriority w:val="39"/>
    <w:qFormat/>
    <w:pPr>
      <w:keepNext w:val="0"/>
      <w:numPr>
        <w:ilvl w:val="0"/>
        <w:numId w:val="0"/>
      </w:numPr>
      <w:spacing w:before="0" w:after="0"/>
      <w:ind w:left="480"/>
      <w:contextualSpacing w:val="0"/>
      <w:jc w:val="left"/>
      <w:outlineLvl w:val="9"/>
    </w:pPr>
    <w:rPr>
      <w:rFonts w:asciiTheme="minorHAnsi" w:eastAsia="Times New Roman" w:hAnsiTheme="minorHAnsi"/>
      <w:b w:val="0"/>
      <w:i w:val="0"/>
      <w:sz w:val="20"/>
    </w:rPr>
  </w:style>
  <w:style w:type="paragraph" w:styleId="TOC4">
    <w:name w:val="toc 4"/>
    <w:basedOn w:val="Normal"/>
    <w:next w:val="Normal"/>
    <w:uiPriority w:val="39"/>
    <w:pPr>
      <w:ind w:left="720"/>
    </w:pPr>
    <w:rPr>
      <w:rFonts w:asciiTheme="minorHAnsi" w:hAnsiTheme="minorHAnsi"/>
      <w:sz w:val="20"/>
    </w:rPr>
  </w:style>
  <w:style w:type="paragraph" w:styleId="TOC5">
    <w:name w:val="toc 5"/>
    <w:basedOn w:val="Normal"/>
    <w:next w:val="Normal"/>
    <w:uiPriority w:val="39"/>
    <w:pPr>
      <w:ind w:left="960"/>
    </w:pPr>
    <w:rPr>
      <w:rFonts w:asciiTheme="minorHAnsi" w:hAnsiTheme="minorHAnsi"/>
      <w:sz w:val="20"/>
    </w:rPr>
  </w:style>
  <w:style w:type="paragraph" w:styleId="TOC6">
    <w:name w:val="toc 6"/>
    <w:basedOn w:val="Normal"/>
    <w:next w:val="Normal"/>
    <w:autoRedefine/>
    <w:uiPriority w:val="39"/>
    <w:pPr>
      <w:ind w:left="1200"/>
    </w:pPr>
    <w:rPr>
      <w:rFonts w:asciiTheme="minorHAnsi" w:hAnsiTheme="minorHAnsi"/>
      <w:sz w:val="20"/>
    </w:rPr>
  </w:style>
  <w:style w:type="paragraph" w:styleId="TOC7">
    <w:name w:val="toc 7"/>
    <w:basedOn w:val="Normal"/>
    <w:next w:val="Normal"/>
    <w:autoRedefine/>
    <w:uiPriority w:val="39"/>
    <w:pPr>
      <w:ind w:left="1440"/>
    </w:pPr>
    <w:rPr>
      <w:rFonts w:asciiTheme="minorHAnsi" w:hAnsiTheme="minorHAnsi"/>
      <w:sz w:val="20"/>
    </w:rPr>
  </w:style>
  <w:style w:type="paragraph" w:styleId="TOC8">
    <w:name w:val="toc 8"/>
    <w:basedOn w:val="Normal"/>
    <w:next w:val="Normal"/>
    <w:autoRedefine/>
    <w:uiPriority w:val="39"/>
    <w:pPr>
      <w:ind w:left="1680"/>
    </w:pPr>
    <w:rPr>
      <w:rFonts w:asciiTheme="minorHAnsi" w:hAnsiTheme="minorHAnsi"/>
      <w:sz w:val="20"/>
    </w:rPr>
  </w:style>
  <w:style w:type="paragraph" w:styleId="TOC9">
    <w:name w:val="toc 9"/>
    <w:basedOn w:val="Normal"/>
    <w:next w:val="Normal"/>
    <w:autoRedefine/>
    <w:uiPriority w:val="39"/>
    <w:pPr>
      <w:ind w:left="1920"/>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jc w:val="center"/>
    </w:pPr>
    <w:rPr>
      <w:b/>
      <w:caps/>
      <w:sz w:val="32"/>
    </w:rPr>
  </w:style>
  <w:style w:type="paragraph" w:customStyle="1" w:styleId="Releasable">
    <w:name w:val="Releasable"/>
    <w:basedOn w:val="Normal"/>
    <w:qFormat/>
    <w:pPr>
      <w:jc w:val="center"/>
    </w:pPr>
    <w:rPr>
      <w:b/>
      <w:caps/>
      <w:sz w:val="32"/>
      <w:lang w:val="de-DE"/>
    </w:rPr>
  </w:style>
  <w:style w:type="paragraph" w:customStyle="1" w:styleId="RUE">
    <w:name w:val="RUE"/>
    <w:basedOn w:val="Normal"/>
    <w:pPr>
      <w:jc w:val="center"/>
    </w:pPr>
    <w:rPr>
      <w:b/>
      <w:caps/>
      <w:sz w:val="32"/>
      <w:bdr w:val="single" w:sz="18" w:space="0" w:color="auto"/>
      <w:lang w:val="de-DE"/>
    </w:rPr>
  </w:style>
  <w:style w:type="paragraph" w:customStyle="1" w:styleId="ConfidentialUE">
    <w:name w:val="Confidential UE"/>
    <w:basedOn w:val="Normal"/>
    <w:pPr>
      <w:jc w:val="center"/>
    </w:pPr>
    <w:rPr>
      <w:b/>
      <w:caps/>
      <w:sz w:val="32"/>
      <w:bdr w:val="single" w:sz="18" w:space="0" w:color="auto"/>
    </w:rPr>
  </w:style>
  <w:style w:type="paragraph" w:customStyle="1" w:styleId="SecretUE">
    <w:name w:val="Secret UE"/>
    <w:basedOn w:val="Normal"/>
    <w:pPr>
      <w:jc w:val="center"/>
    </w:pPr>
    <w:rPr>
      <w:b/>
      <w:caps/>
      <w:color w:val="FF0000"/>
      <w:sz w:val="32"/>
      <w:bdr w:val="single" w:sz="18" w:space="0" w:color="FF0000"/>
    </w:rPr>
  </w:style>
  <w:style w:type="paragraph" w:customStyle="1" w:styleId="TrsSecretUE">
    <w:name w:val="Très Secret UE"/>
    <w:basedOn w:val="Normal"/>
    <w:pPr>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pPr>
    <w:rPr>
      <w:rFonts w:eastAsiaTheme="minorHAnsi"/>
      <w:szCs w:val="22"/>
    </w:rPr>
  </w:style>
  <w:style w:type="paragraph" w:customStyle="1" w:styleId="LegalNumPar2">
    <w:name w:val="LegalNumPar2"/>
    <w:basedOn w:val="Normal"/>
    <w:pPr>
      <w:numPr>
        <w:ilvl w:val="1"/>
        <w:numId w:val="18"/>
      </w:numPr>
      <w:spacing w:line="360" w:lineRule="auto"/>
      <w:ind w:left="952" w:hanging="476"/>
    </w:pPr>
    <w:rPr>
      <w:rFonts w:eastAsiaTheme="minorHAnsi"/>
      <w:szCs w:val="22"/>
    </w:rPr>
  </w:style>
  <w:style w:type="paragraph" w:customStyle="1" w:styleId="LegalNumPar3">
    <w:name w:val="LegalNumPar3"/>
    <w:basedOn w:val="Normal"/>
    <w:pPr>
      <w:numPr>
        <w:ilvl w:val="2"/>
        <w:numId w:val="18"/>
      </w:numPr>
      <w:spacing w:line="360" w:lineRule="auto"/>
    </w:pPr>
    <w:rPr>
      <w:rFonts w:eastAsiaTheme="minorHAnsi"/>
      <w:szCs w:val="22"/>
    </w:rPr>
  </w:style>
  <w:style w:type="paragraph" w:customStyle="1" w:styleId="IAToolChapterHeading">
    <w:name w:val="IA Tool Chapter Heading"/>
    <w:basedOn w:val="Normal"/>
    <w:next w:val="Normal"/>
    <w:qFormat/>
    <w:pPr>
      <w:numPr>
        <w:numId w:val="19"/>
      </w:numPr>
      <w:tabs>
        <w:tab w:val="left" w:pos="391"/>
      </w:tabs>
    </w:pPr>
    <w:rPr>
      <w:rFonts w:ascii="Times New Roman Bold" w:hAnsi="Times New Roman Bold"/>
      <w:b/>
      <w:smallCaps/>
      <w:color w:val="548DD4"/>
      <w:sz w:val="28"/>
      <w:szCs w:val="28"/>
    </w:rPr>
  </w:style>
  <w:style w:type="table" w:styleId="TableGrid">
    <w:name w:val="Table Grid"/>
    <w:aliases w:val="Document Table,CV1,HTG,Table Format 1,TabelEcorys,CV table,Deloitte,Table Grid IDEA,Table EY,none,Tabela Renova"/>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ChapterTitle"/>
    <w:next w:val="Normal"/>
    <w:link w:val="AnnexTitleChar"/>
    <w:qFormat/>
  </w:style>
  <w:style w:type="character" w:styleId="Hyperlink">
    <w:name w:val="Hyperlink"/>
    <w:basedOn w:val="DefaultParagraphFont"/>
    <w:uiPriority w:val="99"/>
    <w:unhideWhenUsed/>
    <w:rPr>
      <w:color w:val="0000FF" w:themeColor="hyperlink"/>
      <w:u w:val="single"/>
    </w:rPr>
  </w:style>
  <w:style w:type="character" w:customStyle="1" w:styleId="ChapterTitleChar">
    <w:name w:val="ChapterTitle Char"/>
    <w:basedOn w:val="DefaultParagraphFont"/>
    <w:link w:val="ChapterTitle"/>
    <w:rPr>
      <w:rFonts w:ascii="Times New Roman" w:eastAsia="Times New Roman" w:hAnsi="Times New Roman" w:cs="Times New Roman"/>
      <w:b/>
      <w:sz w:val="32"/>
      <w:szCs w:val="20"/>
    </w:rPr>
  </w:style>
  <w:style w:type="character" w:customStyle="1" w:styleId="AnnexTitleChar">
    <w:name w:val="Annex Title Char"/>
    <w:basedOn w:val="ChapterTitleChar"/>
    <w:link w:val="AnnexTitle"/>
    <w:rPr>
      <w:rFonts w:ascii="Times New Roman" w:eastAsia="Times New Roman" w:hAnsi="Times New Roman" w:cs="Times New Roman"/>
      <w:b/>
      <w:sz w:val="32"/>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Pr>
      <w:sz w:val="20"/>
      <w:vertAlign w:val="superscript"/>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CommentReference">
    <w:name w:val="annotation reference"/>
    <w:basedOn w:val="DefaultParagraphFont"/>
    <w:uiPriority w:val="9"/>
    <w:unhideWhenUsed/>
    <w:rPr>
      <w:sz w:val="16"/>
      <w:szCs w:val="16"/>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ListParagraph">
    <w:name w:val="List Paragraph"/>
    <w:aliases w:val="List Paragraph2,Numbered List,1st level - Bullet List Paragraph,Lettre d'introduction,Paragraph,Bullet EY,Bullet point 1,Bullets,Paragrafo elenco,Medium Grid 1 - Accent 21"/>
    <w:basedOn w:val="Normal"/>
    <w:uiPriority w:val="34"/>
    <w:qFormat/>
    <w:pPr>
      <w:ind w:left="720"/>
      <w:contextualSpacing/>
    </w:p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Revision">
    <w:name w:val="Revision"/>
    <w:hidden/>
    <w:uiPriority w:val="99"/>
    <w:pPr>
      <w:spacing w:after="0" w:line="240" w:lineRule="auto"/>
    </w:pPr>
    <w:rPr>
      <w:rFonts w:ascii="Times New Roman" w:eastAsia="Times New Roman" w:hAnsi="Times New Roman" w:cs="Times New Roman"/>
      <w:sz w:val="24"/>
      <w:szCs w:val="20"/>
    </w:rPr>
  </w:style>
  <w:style w:type="character" w:customStyle="1" w:styleId="Bulletpoint1Char">
    <w:name w:val="Bullet point1 Char"/>
    <w:basedOn w:val="DefaultParagraphFont"/>
    <w:link w:val="Bulletpoint1"/>
    <w:locked/>
    <w:rPr>
      <w:rFonts w:ascii="Verdana" w:hAnsi="Verdana"/>
    </w:rPr>
  </w:style>
  <w:style w:type="paragraph" w:customStyle="1" w:styleId="Bulletpoint1">
    <w:name w:val="Bullet point1"/>
    <w:basedOn w:val="NormalIndent"/>
    <w:link w:val="Bulletpoint1Char"/>
    <w:qFormat/>
    <w:pPr>
      <w:numPr>
        <w:numId w:val="20"/>
      </w:numPr>
      <w:spacing w:before="60" w:after="120" w:line="276" w:lineRule="auto"/>
    </w:pPr>
    <w:rPr>
      <w:rFonts w:ascii="Verdana" w:eastAsiaTheme="minorHAnsi" w:hAnsi="Verdana" w:cstheme="minorBidi"/>
      <w:sz w:val="22"/>
      <w:szCs w:val="22"/>
    </w:rPr>
  </w:style>
  <w:style w:type="character" w:customStyle="1" w:styleId="BodyChar">
    <w:name w:val="Body Char"/>
    <w:link w:val="Body"/>
    <w:locked/>
    <w:rPr>
      <w:rFonts w:ascii="Verdana" w:hAnsi="Verdana"/>
    </w:rPr>
  </w:style>
  <w:style w:type="paragraph" w:customStyle="1" w:styleId="Body">
    <w:name w:val="Body"/>
    <w:basedOn w:val="Normal"/>
    <w:link w:val="BodyChar"/>
    <w:qFormat/>
    <w:pPr>
      <w:spacing w:before="120" w:after="120" w:line="276" w:lineRule="auto"/>
    </w:pPr>
    <w:rPr>
      <w:rFonts w:ascii="Verdana" w:eastAsiaTheme="minorHAnsi" w:hAnsi="Verdana" w:cstheme="minorBidi"/>
      <w:sz w:val="22"/>
      <w:szCs w:val="22"/>
    </w:rPr>
  </w:style>
  <w:style w:type="paragraph" w:customStyle="1" w:styleId="Bullet10">
    <w:name w:val="Bullet 1"/>
    <w:basedOn w:val="Bulletpoint1"/>
    <w:next w:val="ListBullet2"/>
    <w:qFormat/>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pPr>
    <w:rPr>
      <w:rFonts w:asciiTheme="minorHAnsi" w:eastAsiaTheme="minorHAnsi" w:hAnsiTheme="minorHAnsi" w:cstheme="minorBidi"/>
      <w:sz w:val="20"/>
      <w:szCs w:val="22"/>
      <w:vertAlign w:val="superscript"/>
    </w:rPr>
  </w:style>
  <w:style w:type="paragraph" w:styleId="NormalWeb">
    <w:name w:val="Normal (Web)"/>
    <w:aliases w:val="Normal (Web) Char,Normal (Web) Char1 Char,Normal (Web) Char Char Char,Normal (Web) Char1 Char Char Char,Normal (Web) Char Char1 Char Char Char Char Char,Normal (Web) Char Char Char Char Char Char Char Char Char Char"/>
    <w:basedOn w:val="Normal"/>
    <w:uiPriority w:val="99"/>
    <w:unhideWhenUsed/>
    <w:pPr>
      <w:spacing w:before="100" w:beforeAutospacing="1" w:after="100" w:afterAutospacing="1"/>
    </w:pPr>
    <w:rPr>
      <w:szCs w:val="24"/>
      <w:lang w:eastAsia="en-GB"/>
    </w:rPr>
  </w:style>
  <w:style w:type="character" w:customStyle="1" w:styleId="NormalIndentChar">
    <w:name w:val="Normal Indent Char"/>
    <w:link w:val="NormalIndent"/>
    <w:uiPriority w:val="99"/>
    <w:rPr>
      <w:rFonts w:ascii="Times New Roman" w:eastAsia="Times New Roman" w:hAnsi="Times New Roman" w:cs="Times New Roman"/>
      <w:sz w:val="24"/>
      <w:szCs w:val="20"/>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pPr>
      <w:spacing w:after="160" w:line="240" w:lineRule="exact"/>
      <w:ind w:right="140"/>
    </w:pPr>
    <w:rPr>
      <w:rFonts w:asciiTheme="minorHAnsi" w:eastAsiaTheme="minorHAnsi" w:hAnsiTheme="minorHAnsi" w:cstheme="minorBidi"/>
      <w:sz w:val="22"/>
      <w:szCs w:val="22"/>
      <w:vertAlign w:val="superscript"/>
    </w:rPr>
  </w:style>
  <w:style w:type="paragraph" w:customStyle="1" w:styleId="AnnexHeading1">
    <w:name w:val="Annex Heading 1"/>
    <w:basedOn w:val="Heading1"/>
    <w:next w:val="Normal"/>
    <w:link w:val="AnnexHeading1Char"/>
    <w:qFormat/>
    <w:pPr>
      <w:keepLines/>
      <w:numPr>
        <w:numId w:val="22"/>
      </w:numPr>
      <w:spacing w:before="120"/>
    </w:pPr>
    <w:rPr>
      <w:rFonts w:ascii="Verdana" w:hAnsi="Verdana"/>
      <w:bCs/>
      <w:smallCaps w:val="0"/>
      <w:szCs w:val="28"/>
      <w:lang w:eastAsia="nl-BE"/>
    </w:rPr>
  </w:style>
  <w:style w:type="table" w:customStyle="1" w:styleId="DocumentTable11">
    <w:name w:val="Document Table11"/>
    <w:basedOn w:val="TableNormal"/>
    <w:next w:val="TableGrid"/>
    <w:uiPriority w:val="3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Georgia" w:hAnsi="Georgia"/>
        <w:b/>
        <w:color w:val="FFFFFF"/>
        <w:sz w:val="18"/>
      </w:rPr>
      <w:tblPr/>
      <w:tcPr>
        <w:shd w:val="clear" w:color="auto" w:fill="00AEF0"/>
      </w:tcPr>
    </w:tblStylePr>
    <w:tblStylePr w:type="band1Horz">
      <w:rPr>
        <w:sz w:val="18"/>
      </w:rPr>
    </w:tblStylePr>
  </w:style>
  <w:style w:type="character" w:customStyle="1" w:styleId="CaptionChar">
    <w:name w:val="Caption Char"/>
    <w:aliases w:val="Char Char Char Char,Caption1 Char Char Char Char Char Char Char Char Tegn Tegn Tegn Tegn Tegn Char,Caption1 Char Char Char Char Char Char Char Char Tegn Tegn Tegn Char,Caption1 Char Char Char Char Char Char Char Char Tegn Tegn Char,Ch Char"/>
    <w:basedOn w:val="DefaultParagraphFont"/>
    <w:link w:val="Caption"/>
    <w:uiPriority w:val="35"/>
    <w:rPr>
      <w:rFonts w:ascii="Times New Roman" w:eastAsia="Times New Roman" w:hAnsi="Times New Roman" w:cs="Times New Roman"/>
      <w:b/>
      <w:sz w:val="24"/>
      <w:szCs w:val="20"/>
    </w:rPr>
  </w:style>
  <w:style w:type="character" w:customStyle="1" w:styleId="ListBulletChar">
    <w:name w:val="List Bullet Char"/>
    <w:aliases w:val="First Tier Bullet Char,résumé Char,UL Char,List Bullet2 Char,List Bullet Char1 Char Char,List Bullet Char Char Char Char,List Bullet Char1 Char Char Char Char,List Bullet Char Char Char Char Char Char,List Bullet Char Char1 Char"/>
    <w:basedOn w:val="BodyTextChar"/>
    <w:link w:val="ListBullet"/>
    <w:rPr>
      <w:rFonts w:ascii="Times New Roman" w:eastAsia="Times New Roman" w:hAnsi="Times New Roman" w:cs="Times New Roman"/>
      <w:sz w:val="24"/>
      <w:szCs w:val="20"/>
    </w:rPr>
  </w:style>
  <w:style w:type="paragraph" w:customStyle="1" w:styleId="TOCHeading1">
    <w:name w:val="TOC Heading1"/>
    <w:basedOn w:val="Normal"/>
    <w:next w:val="Normal"/>
    <w:pPr>
      <w:keepNext/>
      <w:spacing w:before="240"/>
      <w:jc w:val="center"/>
    </w:pPr>
    <w:rPr>
      <w:b/>
    </w:rPr>
  </w:style>
  <w:style w:type="paragraph" w:customStyle="1" w:styleId="ZCom">
    <w:name w:val="Z_Com"/>
    <w:basedOn w:val="Normal"/>
    <w:next w:val="ZDGName"/>
    <w:uiPriority w:val="99"/>
    <w:pPr>
      <w:widowControl w:val="0"/>
      <w:autoSpaceDE w:val="0"/>
      <w:autoSpaceDN w:val="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table" w:styleId="ColorfulGrid-Accent3">
    <w:name w:val="Colorful Grid Accent 3"/>
    <w:basedOn w:val="TableNormal"/>
    <w:uiPriority w:val="69"/>
    <w:pPr>
      <w:spacing w:after="0" w:line="240" w:lineRule="auto"/>
    </w:pPr>
    <w:rPr>
      <w:rFonts w:ascii="Verdana" w:eastAsia="Times New Roman" w:hAnsi="Verdana" w:cs="Times New Roman"/>
      <w:sz w:val="18"/>
      <w:szCs w:val="20"/>
      <w:lang w:val="nl-BE" w:eastAsia="nl-B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BalloonTextChar1">
    <w:name w:val="Balloon Text Char1"/>
    <w:basedOn w:val="DefaultParagraphFont"/>
    <w:uiPriority w:val="99"/>
    <w:rPr>
      <w:rFonts w:ascii="Tahoma" w:hAnsi="Tahoma" w:cs="Tahoma"/>
      <w:sz w:val="16"/>
      <w:szCs w:val="16"/>
      <w:lang w:val="fr-FR" w:eastAsia="en-US"/>
    </w:rPr>
  </w:style>
  <w:style w:type="paragraph" w:customStyle="1" w:styleId="DocumentTitle">
    <w:name w:val="Document Title"/>
    <w:basedOn w:val="Normal"/>
    <w:link w:val="DocumentTitleChar"/>
    <w:qFormat/>
    <w:pPr>
      <w:jc w:val="center"/>
    </w:pPr>
    <w:rPr>
      <w:rFonts w:ascii="Verdana" w:hAnsi="Verdana"/>
      <w:b/>
      <w:sz w:val="52"/>
    </w:rPr>
  </w:style>
  <w:style w:type="character" w:customStyle="1" w:styleId="DocumentTitleChar">
    <w:name w:val="Document Title Char"/>
    <w:link w:val="DocumentTitle"/>
    <w:rPr>
      <w:rFonts w:ascii="Verdana" w:eastAsia="Times New Roman" w:hAnsi="Verdana" w:cs="Times New Roman"/>
      <w:b/>
      <w:sz w:val="52"/>
      <w:szCs w:val="20"/>
    </w:rPr>
  </w:style>
  <w:style w:type="paragraph" w:customStyle="1" w:styleId="Footerapproval">
    <w:name w:val="Footer approval"/>
    <w:basedOn w:val="Footer"/>
    <w:link w:val="ApprovalfooterChar"/>
    <w:pPr>
      <w:tabs>
        <w:tab w:val="left" w:pos="6804"/>
      </w:tabs>
    </w:pPr>
    <w:rPr>
      <w:rFonts w:ascii="Verdana" w:hAnsi="Verdana"/>
      <w:sz w:val="13"/>
      <w:lang w:val="fr-BE"/>
    </w:rPr>
  </w:style>
  <w:style w:type="character" w:customStyle="1" w:styleId="ApprovalfooterChar">
    <w:name w:val="Approval_footer Char"/>
    <w:basedOn w:val="FooterChar"/>
    <w:link w:val="Footerapproval"/>
    <w:rPr>
      <w:rFonts w:ascii="Verdana" w:eastAsia="Times New Roman" w:hAnsi="Verdana" w:cs="Times New Roman"/>
      <w:sz w:val="13"/>
      <w:szCs w:val="20"/>
      <w:lang w:val="fr-BE"/>
    </w:rPr>
  </w:style>
  <w:style w:type="paragraph" w:customStyle="1" w:styleId="FooterDate">
    <w:name w:val="Footer Date"/>
    <w:basedOn w:val="Footer"/>
    <w:link w:val="FooterDateChar"/>
    <w:uiPriority w:val="99"/>
    <w:pPr>
      <w:tabs>
        <w:tab w:val="right" w:pos="9240"/>
      </w:tabs>
    </w:pPr>
    <w:rPr>
      <w:rFonts w:ascii="Verdana" w:hAnsi="Verdana"/>
      <w:lang w:val="it-IT"/>
    </w:rPr>
  </w:style>
  <w:style w:type="character" w:customStyle="1" w:styleId="FooterDateChar">
    <w:name w:val="Footer Date Char"/>
    <w:link w:val="FooterDate"/>
    <w:uiPriority w:val="99"/>
    <w:rPr>
      <w:rFonts w:ascii="Verdana" w:eastAsia="Times New Roman" w:hAnsi="Verdana" w:cs="Times New Roman"/>
      <w:sz w:val="16"/>
      <w:szCs w:val="20"/>
      <w:lang w:val="it-IT"/>
    </w:rPr>
  </w:style>
  <w:style w:type="paragraph" w:customStyle="1" w:styleId="PageNumber1">
    <w:name w:val="Page Number1"/>
    <w:basedOn w:val="Footer"/>
    <w:link w:val="PagenumberChar"/>
    <w:pPr>
      <w:tabs>
        <w:tab w:val="right" w:pos="9240"/>
      </w:tabs>
      <w:ind w:right="-622"/>
    </w:pPr>
    <w:rPr>
      <w:rFonts w:ascii="Verdana" w:hAnsi="Verdana"/>
      <w:lang w:val="fr-BE"/>
    </w:rPr>
  </w:style>
  <w:style w:type="character" w:customStyle="1" w:styleId="PagenumberChar">
    <w:name w:val="Page number Char"/>
    <w:link w:val="PageNumber1"/>
    <w:rPr>
      <w:rFonts w:ascii="Verdana" w:eastAsia="Times New Roman" w:hAnsi="Verdana" w:cs="Times New Roman"/>
      <w:sz w:val="16"/>
      <w:szCs w:val="20"/>
      <w:lang w:val="fr-BE"/>
    </w:rPr>
  </w:style>
  <w:style w:type="paragraph" w:customStyle="1" w:styleId="DocumentSubtitle">
    <w:name w:val="Document Subtitle"/>
    <w:basedOn w:val="DocumentTitle"/>
    <w:link w:val="DocumentSubtitleChar"/>
    <w:uiPriority w:val="99"/>
    <w:qFormat/>
    <w:rPr>
      <w:b w:val="0"/>
      <w:sz w:val="32"/>
      <w:szCs w:val="36"/>
    </w:rPr>
  </w:style>
  <w:style w:type="character" w:customStyle="1" w:styleId="DocumentSubtitleChar">
    <w:name w:val="Document Subtitle Char"/>
    <w:link w:val="DocumentSubtitle"/>
    <w:uiPriority w:val="99"/>
    <w:rPr>
      <w:rFonts w:ascii="Verdana" w:eastAsia="Times New Roman" w:hAnsi="Verdana" w:cs="Times New Roman"/>
      <w:sz w:val="32"/>
      <w:szCs w:val="36"/>
    </w:rPr>
  </w:style>
  <w:style w:type="paragraph" w:customStyle="1" w:styleId="HeaderTitle">
    <w:name w:val="Header Title"/>
    <w:basedOn w:val="Normal"/>
    <w:link w:val="HeaderTitleChar"/>
    <w:uiPriority w:val="99"/>
    <w:pPr>
      <w:jc w:val="center"/>
    </w:pPr>
    <w:rPr>
      <w:rFonts w:ascii="Verdana" w:hAnsi="Verdana"/>
      <w:b/>
      <w:color w:val="808080"/>
      <w:sz w:val="18"/>
      <w:szCs w:val="18"/>
    </w:rPr>
  </w:style>
  <w:style w:type="character" w:customStyle="1" w:styleId="HeaderTitleChar">
    <w:name w:val="Header Title Char"/>
    <w:link w:val="HeaderTitle"/>
    <w:uiPriority w:val="99"/>
    <w:rPr>
      <w:rFonts w:ascii="Verdana" w:eastAsia="Times New Roman" w:hAnsi="Verdana" w:cs="Times New Roman"/>
      <w:b/>
      <w:color w:val="808080"/>
      <w:sz w:val="18"/>
      <w:szCs w:val="18"/>
    </w:rPr>
  </w:style>
  <w:style w:type="paragraph" w:customStyle="1" w:styleId="Heading">
    <w:name w:val="Heading"/>
    <w:basedOn w:val="TOC1"/>
    <w:link w:val="HeadingChar"/>
    <w:pPr>
      <w:widowControl w:val="0"/>
      <w:autoSpaceDE w:val="0"/>
      <w:autoSpaceDN w:val="0"/>
      <w:adjustRightInd w:val="0"/>
    </w:pPr>
    <w:rPr>
      <w:rFonts w:ascii="Verdana" w:hAnsi="Verdana"/>
      <w:b/>
      <w:u w:val="single"/>
    </w:rPr>
  </w:style>
  <w:style w:type="character" w:customStyle="1" w:styleId="HeadingChar">
    <w:name w:val="Heading Char"/>
    <w:link w:val="Heading"/>
    <w:rPr>
      <w:rFonts w:ascii="Verdana" w:eastAsia="Times New Roman" w:hAnsi="Verdana" w:cs="Times New Roman"/>
      <w:b/>
      <w:bCs/>
      <w:smallCaps/>
      <w:color w:val="365F91" w:themeColor="accent1" w:themeShade="BF"/>
      <w:sz w:val="20"/>
      <w:szCs w:val="20"/>
      <w:u w:val="single"/>
    </w:rPr>
  </w:style>
  <w:style w:type="paragraph" w:customStyle="1" w:styleId="BulletPoint2">
    <w:name w:val="Bullet Point 2"/>
    <w:basedOn w:val="NormalIndent"/>
    <w:link w:val="BulletPoint2Char"/>
    <w:qFormat/>
    <w:pPr>
      <w:numPr>
        <w:numId w:val="23"/>
      </w:numPr>
      <w:ind w:left="521" w:hanging="357"/>
    </w:pPr>
    <w:rPr>
      <w:rFonts w:ascii="Verdana" w:hAnsi="Verdana"/>
      <w:sz w:val="18"/>
      <w:lang w:eastAsia="ar-SA"/>
    </w:rPr>
  </w:style>
  <w:style w:type="character" w:customStyle="1" w:styleId="BulletPoint2Char">
    <w:name w:val="Bullet Point 2 Char"/>
    <w:link w:val="BulletPoint2"/>
    <w:rPr>
      <w:rFonts w:ascii="Verdana" w:eastAsia="Times New Roman" w:hAnsi="Verdana" w:cs="Times New Roman"/>
      <w:sz w:val="18"/>
      <w:szCs w:val="20"/>
      <w:lang w:eastAsia="ar-SA"/>
    </w:rPr>
  </w:style>
  <w:style w:type="paragraph" w:customStyle="1" w:styleId="Heading20">
    <w:name w:val="Heading2"/>
    <w:basedOn w:val="Title2"/>
    <w:link w:val="Heading2Char0"/>
    <w:pPr>
      <w:numPr>
        <w:numId w:val="0"/>
      </w:numPr>
    </w:pPr>
    <w:rPr>
      <w:rFonts w:ascii="Verdana" w:hAnsi="Verdana"/>
      <w:b/>
      <w:i/>
    </w:rPr>
  </w:style>
  <w:style w:type="paragraph" w:customStyle="1" w:styleId="Title2">
    <w:name w:val="Title 2"/>
    <w:basedOn w:val="Normal"/>
    <w:pPr>
      <w:numPr>
        <w:numId w:val="24"/>
      </w:numPr>
    </w:pPr>
  </w:style>
  <w:style w:type="character" w:customStyle="1" w:styleId="Heading2Char0">
    <w:name w:val="Heading2 Char"/>
    <w:link w:val="Heading20"/>
    <w:rPr>
      <w:rFonts w:ascii="Verdana" w:eastAsia="Times New Roman" w:hAnsi="Verdana" w:cs="Times New Roman"/>
      <w:b/>
      <w:i/>
      <w:sz w:val="24"/>
      <w:szCs w:val="20"/>
    </w:rPr>
  </w:style>
  <w:style w:type="table" w:customStyle="1" w:styleId="Style1">
    <w:name w:val="Style1"/>
    <w:basedOn w:val="TableNormal"/>
    <w:pPr>
      <w:spacing w:after="0" w:line="240" w:lineRule="auto"/>
    </w:pPr>
    <w:rPr>
      <w:rFonts w:ascii="Times New Roman" w:eastAsia="Times New Roman" w:hAnsi="Times New Roman" w:cs="Times New Roman"/>
      <w:sz w:val="20"/>
      <w:szCs w:val="20"/>
      <w:lang w:val="nl-BE" w:eastAsia="nl-BE"/>
    </w:rPr>
    <w:tblPr/>
  </w:style>
  <w:style w:type="table" w:styleId="TableElegant">
    <w:name w:val="Table Elegant"/>
    <w:basedOn w:val="TableNormal"/>
    <w:pPr>
      <w:spacing w:after="240" w:line="240" w:lineRule="auto"/>
      <w:jc w:val="both"/>
    </w:pPr>
    <w:rPr>
      <w:rFonts w:ascii="Times New Roman" w:eastAsia="Times New Roman" w:hAnsi="Times New Roman" w:cs="Times New Roman"/>
      <w:sz w:val="20"/>
      <w:szCs w:val="20"/>
      <w:lang w:val="nl-BE"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lang w:val="en-US"/>
    </w:rPr>
  </w:style>
  <w:style w:type="character" w:customStyle="1" w:styleId="FooterDocumentChar">
    <w:name w:val="Footer Document Char"/>
    <w:link w:val="FooterDocument"/>
    <w:rPr>
      <w:rFonts w:ascii="Verdana" w:hAnsi="Verdana"/>
      <w:i/>
      <w:noProof/>
      <w:sz w:val="13"/>
      <w:lang w:val="en-US"/>
    </w:rPr>
  </w:style>
  <w:style w:type="paragraph" w:customStyle="1" w:styleId="Subtitle0">
    <w:name w:val="Subtitle_"/>
    <w:basedOn w:val="TOC2"/>
    <w:link w:val="SubtitleChar0"/>
    <w:uiPriority w:val="99"/>
    <w:qFormat/>
    <w:pPr>
      <w:ind w:left="0"/>
    </w:pPr>
    <w:rPr>
      <w:rFonts w:ascii="Verdana" w:hAnsi="Verdana"/>
      <w:b/>
      <w:i/>
    </w:rPr>
  </w:style>
  <w:style w:type="character" w:customStyle="1" w:styleId="SubtitleChar0">
    <w:name w:val="Subtitle_ Char"/>
    <w:basedOn w:val="Heading2Char0"/>
    <w:link w:val="Subtitle0"/>
    <w:uiPriority w:val="99"/>
    <w:rPr>
      <w:rFonts w:ascii="Verdana" w:eastAsia="Times New Roman" w:hAnsi="Verdana" w:cs="Times New Roman"/>
      <w:b/>
      <w:i/>
      <w:iCs/>
      <w:sz w:val="20"/>
      <w:szCs w:val="20"/>
    </w:rPr>
  </w:style>
  <w:style w:type="paragraph" w:customStyle="1" w:styleId="HeadingBody">
    <w:name w:val="Heading Body"/>
    <w:basedOn w:val="Normal"/>
    <w:link w:val="HeadingBodyChar"/>
    <w:pPr>
      <w:spacing w:after="120"/>
    </w:pPr>
    <w:rPr>
      <w:rFonts w:ascii="Verdana" w:hAnsi="Verdana"/>
      <w:b/>
      <w:sz w:val="20"/>
      <w:szCs w:val="18"/>
    </w:rPr>
  </w:style>
  <w:style w:type="character" w:customStyle="1" w:styleId="HeadingBodyChar">
    <w:name w:val="Heading Body Char"/>
    <w:basedOn w:val="DefaultParagraphFont"/>
    <w:link w:val="HeadingBody"/>
    <w:rPr>
      <w:rFonts w:ascii="Verdana" w:eastAsia="Times New Roman" w:hAnsi="Verdana" w:cs="Times New Roman"/>
      <w:b/>
      <w:sz w:val="20"/>
      <w:szCs w:val="18"/>
    </w:rPr>
  </w:style>
  <w:style w:type="paragraph" w:customStyle="1" w:styleId="Titlepublication">
    <w:name w:val="Title publication"/>
    <w:basedOn w:val="Normal"/>
    <w:link w:val="TitlepublicationChar"/>
    <w:qFormat/>
    <w:pPr>
      <w:jc w:val="center"/>
    </w:pPr>
    <w:rPr>
      <w:rFonts w:ascii="Verdana" w:hAnsi="Verdana"/>
      <w:b/>
      <w:color w:val="FF0000"/>
      <w:sz w:val="52"/>
      <w:szCs w:val="52"/>
    </w:rPr>
  </w:style>
  <w:style w:type="character" w:customStyle="1" w:styleId="TitlepublicationChar">
    <w:name w:val="Title publication Char"/>
    <w:basedOn w:val="DefaultParagraphFont"/>
    <w:link w:val="Titlepublication"/>
    <w:rPr>
      <w:rFonts w:ascii="Verdana" w:eastAsia="Times New Roman" w:hAnsi="Verdana" w:cs="Times New Roman"/>
      <w:b/>
      <w:color w:val="FF0000"/>
      <w:sz w:val="52"/>
      <w:szCs w:val="52"/>
    </w:rPr>
  </w:style>
  <w:style w:type="paragraph" w:customStyle="1" w:styleId="Subtitlepublication">
    <w:name w:val="Subtitle publication"/>
    <w:basedOn w:val="Normal"/>
    <w:link w:val="SubtitlepublicationChar"/>
    <w:qFormat/>
    <w:pPr>
      <w:jc w:val="center"/>
    </w:pPr>
    <w:rPr>
      <w:rFonts w:ascii="Verdana" w:hAnsi="Verdana"/>
      <w:b/>
      <w:i/>
      <w:color w:val="FF0000"/>
      <w:sz w:val="32"/>
    </w:rPr>
  </w:style>
  <w:style w:type="character" w:customStyle="1" w:styleId="SubtitlepublicationChar">
    <w:name w:val="Subtitle publication Char"/>
    <w:basedOn w:val="DefaultParagraphFont"/>
    <w:link w:val="Subtitlepublication"/>
    <w:rPr>
      <w:rFonts w:ascii="Verdana" w:eastAsia="Times New Roman" w:hAnsi="Verdana" w:cs="Times New Roman"/>
      <w:b/>
      <w:i/>
      <w:color w:val="FF0000"/>
      <w:sz w:val="32"/>
      <w:szCs w:val="20"/>
    </w:rPr>
  </w:style>
  <w:style w:type="paragraph" w:customStyle="1" w:styleId="Editorname">
    <w:name w:val="Editor name"/>
    <w:basedOn w:val="Normal"/>
    <w:link w:val="EditornameChar"/>
    <w:qFormat/>
    <w:pPr>
      <w:jc w:val="center"/>
    </w:pPr>
    <w:rPr>
      <w:rFonts w:ascii="Verdana" w:hAnsi="Verdana"/>
      <w:color w:val="FF0000"/>
    </w:rPr>
  </w:style>
  <w:style w:type="character" w:customStyle="1" w:styleId="EditornameChar">
    <w:name w:val="Editor name Char"/>
    <w:basedOn w:val="DefaultParagraphFont"/>
    <w:link w:val="Editorname"/>
    <w:rPr>
      <w:rFonts w:ascii="Verdana" w:eastAsia="Times New Roman" w:hAnsi="Verdana" w:cs="Times New Roman"/>
      <w:color w:val="FF0000"/>
      <w:sz w:val="24"/>
      <w:szCs w:val="20"/>
    </w:rPr>
  </w:style>
  <w:style w:type="paragraph" w:customStyle="1" w:styleId="Backcoversummary">
    <w:name w:val="Backcover_summary"/>
    <w:basedOn w:val="Normal"/>
    <w:link w:val="BackcoversummaryChar"/>
    <w:qFormat/>
    <w:rPr>
      <w:rFonts w:ascii="Verdana" w:hAnsi="Verdana"/>
      <w:color w:val="FF0000"/>
    </w:rPr>
  </w:style>
  <w:style w:type="character" w:customStyle="1" w:styleId="BackcoversummaryChar">
    <w:name w:val="Backcover_summary Char"/>
    <w:basedOn w:val="DefaultParagraphFont"/>
    <w:link w:val="Backcoversummary"/>
    <w:rPr>
      <w:rFonts w:ascii="Verdana" w:eastAsia="Times New Roman" w:hAnsi="Verdana" w:cs="Times New Roman"/>
      <w:color w:val="FF0000"/>
      <w:sz w:val="24"/>
      <w:szCs w:val="20"/>
    </w:rPr>
  </w:style>
  <w:style w:type="paragraph" w:customStyle="1" w:styleId="Backcovercategory">
    <w:name w:val="Backcover_category"/>
    <w:basedOn w:val="Normal"/>
    <w:link w:val="BackcovercategoryChar"/>
    <w:qFormat/>
    <w:pPr>
      <w:ind w:right="28"/>
    </w:pPr>
    <w:rPr>
      <w:rFonts w:ascii="Verdana" w:hAnsi="Verdana"/>
      <w:i/>
      <w:color w:val="FF0000"/>
      <w:sz w:val="18"/>
    </w:rPr>
  </w:style>
  <w:style w:type="character" w:customStyle="1" w:styleId="BackcovercategoryChar">
    <w:name w:val="Backcover_category Char"/>
    <w:basedOn w:val="DefaultParagraphFont"/>
    <w:link w:val="Backcovercategory"/>
    <w:rPr>
      <w:rFonts w:ascii="Verdana" w:eastAsia="Times New Roman" w:hAnsi="Verdana" w:cs="Times New Roman"/>
      <w:i/>
      <w:color w:val="FF0000"/>
      <w:sz w:val="18"/>
      <w:szCs w:val="20"/>
    </w:rPr>
  </w:style>
  <w:style w:type="paragraph" w:customStyle="1" w:styleId="Title1">
    <w:name w:val="Title 1"/>
    <w:basedOn w:val="NormalIndent"/>
    <w:link w:val="Title1Char"/>
    <w:pPr>
      <w:numPr>
        <w:numId w:val="27"/>
      </w:numPr>
      <w:spacing w:before="360" w:after="120"/>
    </w:pPr>
    <w:rPr>
      <w:rFonts w:ascii="Verdana" w:hAnsi="Verdana"/>
      <w:b/>
      <w:caps/>
    </w:rPr>
  </w:style>
  <w:style w:type="character" w:customStyle="1" w:styleId="Title1Char">
    <w:name w:val="Title 1 Char"/>
    <w:basedOn w:val="NormalIndentChar"/>
    <w:link w:val="Title1"/>
    <w:rPr>
      <w:rFonts w:ascii="Verdana" w:eastAsia="Times New Roman" w:hAnsi="Verdana" w:cs="Times New Roman"/>
      <w:b/>
      <w:caps/>
      <w:sz w:val="24"/>
      <w:szCs w:val="20"/>
    </w:rPr>
  </w:style>
  <w:style w:type="paragraph" w:customStyle="1" w:styleId="Subtitle10">
    <w:name w:val="Subtitle 1"/>
    <w:basedOn w:val="Body"/>
    <w:link w:val="Subtitle1Char"/>
    <w:qFormat/>
    <w:rPr>
      <w:b/>
      <w:i/>
    </w:rPr>
  </w:style>
  <w:style w:type="character" w:customStyle="1" w:styleId="Subtitle1Char">
    <w:name w:val="Subtitle 1 Char"/>
    <w:basedOn w:val="BodyChar"/>
    <w:link w:val="Subtitle10"/>
    <w:rPr>
      <w:rFonts w:ascii="Verdana" w:hAnsi="Verdana"/>
      <w:b/>
      <w:i/>
    </w:rPr>
  </w:style>
  <w:style w:type="paragraph" w:customStyle="1" w:styleId="Style2">
    <w:name w:val="Style2"/>
    <w:basedOn w:val="ListBullet"/>
    <w:link w:val="Style2Char"/>
    <w:pPr>
      <w:tabs>
        <w:tab w:val="clear" w:pos="283"/>
        <w:tab w:val="num" w:pos="360"/>
      </w:tabs>
      <w:spacing w:after="120" w:line="276" w:lineRule="auto"/>
      <w:ind w:left="360" w:hanging="360"/>
    </w:pPr>
    <w:rPr>
      <w:rFonts w:ascii="Georgia" w:hAnsi="Georgia"/>
      <w:sz w:val="20"/>
      <w:szCs w:val="24"/>
    </w:rPr>
  </w:style>
  <w:style w:type="character" w:customStyle="1" w:styleId="Style2Char">
    <w:name w:val="Style2 Char"/>
    <w:basedOn w:val="DefaultParagraphFont"/>
    <w:link w:val="Style2"/>
    <w:rPr>
      <w:rFonts w:ascii="Georgia" w:eastAsia="Times New Roman" w:hAnsi="Georgia" w:cs="Times New Roman"/>
      <w:sz w:val="20"/>
      <w:szCs w:val="24"/>
    </w:rPr>
  </w:style>
  <w:style w:type="character" w:styleId="PageNumber">
    <w:name w:val="page number"/>
    <w:basedOn w:val="DefaultParagraphFont"/>
    <w:rPr>
      <w:rFonts w:ascii="Georgia" w:hAnsi="Georgia"/>
      <w:color w:val="333333"/>
      <w:sz w:val="20"/>
      <w:lang w:val="en-GB"/>
    </w:rPr>
  </w:style>
  <w:style w:type="paragraph" w:customStyle="1" w:styleId="ListParagraph1">
    <w:name w:val="List Paragraph1"/>
    <w:aliases w:val="List Paragraph3,Normal bullet 2,List Paragraph11,Bullet list,Normal bullet 21,List Paragraph111,Bullet list1"/>
    <w:basedOn w:val="Normal"/>
    <w:link w:val="ListParagraph1Char"/>
    <w:uiPriority w:val="34"/>
    <w:pPr>
      <w:spacing w:after="120" w:line="276" w:lineRule="auto"/>
    </w:pPr>
    <w:rPr>
      <w:rFonts w:ascii="Arial" w:eastAsia="Calibri" w:hAnsi="Arial"/>
      <w:sz w:val="20"/>
      <w:szCs w:val="22"/>
      <w:lang w:eastAsia="nl-BE"/>
    </w:rPr>
  </w:style>
  <w:style w:type="character" w:customStyle="1" w:styleId="ListParagraph1Char">
    <w:name w:val="List Paragraph1 Char"/>
    <w:aliases w:val="Normal bullet 2 Char,Bullet list Char,List Paragraph Char,Numbered List Char,1st level - Bullet List Paragraph Char,Lettre d'introduction Char,Paragraph Char,Bullet EY Char,Bullets Char,Bullet 1 Char,Paragrafo elenco Char"/>
    <w:link w:val="ListParagraph1"/>
    <w:uiPriority w:val="34"/>
    <w:qFormat/>
    <w:rPr>
      <w:rFonts w:ascii="Arial" w:eastAsia="Calibri" w:hAnsi="Arial" w:cs="Times New Roman"/>
      <w:sz w:val="20"/>
      <w:lang w:eastAsia="nl-BE"/>
    </w:rPr>
  </w:style>
  <w:style w:type="paragraph" w:customStyle="1" w:styleId="footer1">
    <w:name w:val="footer 1"/>
    <w:basedOn w:val="FootnoteText"/>
    <w:link w:val="footer1Char"/>
    <w:pPr>
      <w:keepNext/>
      <w:widowControl w:val="0"/>
      <w:suppressLineNumbers/>
      <w:tabs>
        <w:tab w:val="left" w:pos="142"/>
        <w:tab w:val="left" w:pos="4536"/>
        <w:tab w:val="left" w:pos="7938"/>
      </w:tabs>
      <w:suppressAutoHyphens/>
      <w:spacing w:before="60"/>
      <w:ind w:left="0" w:firstLine="0"/>
    </w:pPr>
    <w:rPr>
      <w:rFonts w:ascii="Georgia" w:eastAsiaTheme="minorHAnsi" w:hAnsi="Georgia" w:cstheme="minorBidi"/>
      <w:color w:val="548DD4" w:themeColor="text2" w:themeTint="99"/>
      <w:sz w:val="16"/>
      <w:szCs w:val="16"/>
      <w:lang w:val="en-US"/>
    </w:rPr>
  </w:style>
  <w:style w:type="character" w:customStyle="1" w:styleId="footer1Char">
    <w:name w:val="footer 1 Char"/>
    <w:basedOn w:val="DefaultParagraphFont"/>
    <w:link w:val="footer1"/>
    <w:rPr>
      <w:rFonts w:ascii="Georgia" w:hAnsi="Georgia"/>
      <w:color w:val="548DD4" w:themeColor="text2" w:themeTint="99"/>
      <w:sz w:val="16"/>
      <w:szCs w:val="16"/>
      <w:lang w:val="en-US"/>
    </w:rPr>
  </w:style>
  <w:style w:type="paragraph" w:customStyle="1" w:styleId="footer10">
    <w:name w:val="footer1"/>
    <w:basedOn w:val="FootnoteText"/>
    <w:link w:val="footer1Char0"/>
    <w:pPr>
      <w:keepNext/>
      <w:widowControl w:val="0"/>
      <w:suppressLineNumbers/>
      <w:tabs>
        <w:tab w:val="left" w:pos="142"/>
        <w:tab w:val="left" w:pos="4536"/>
        <w:tab w:val="left" w:pos="7938"/>
      </w:tabs>
      <w:suppressAutoHyphens/>
      <w:spacing w:before="60"/>
      <w:ind w:left="164" w:hanging="164"/>
    </w:pPr>
    <w:rPr>
      <w:rFonts w:ascii="Georgia" w:eastAsiaTheme="minorHAnsi" w:hAnsi="Georgia" w:cstheme="minorBidi"/>
      <w:color w:val="548DD4" w:themeColor="text2" w:themeTint="99"/>
      <w:sz w:val="16"/>
      <w:szCs w:val="16"/>
      <w:lang w:val="en-US"/>
    </w:rPr>
  </w:style>
  <w:style w:type="character" w:customStyle="1" w:styleId="footer1Char0">
    <w:name w:val="footer1 Char"/>
    <w:basedOn w:val="DefaultParagraphFont"/>
    <w:link w:val="footer10"/>
    <w:rPr>
      <w:rFonts w:ascii="Georgia" w:hAnsi="Georgia"/>
      <w:color w:val="548DD4" w:themeColor="text2" w:themeTint="99"/>
      <w:sz w:val="16"/>
      <w:szCs w:val="16"/>
      <w:lang w:val="en-US"/>
    </w:rPr>
  </w:style>
  <w:style w:type="paragraph" w:customStyle="1" w:styleId="footnote3F">
    <w:name w:val="footnote3F"/>
    <w:basedOn w:val="FootnoteText"/>
    <w:link w:val="footnote3FChar"/>
    <w:pPr>
      <w:keepNext/>
      <w:widowControl w:val="0"/>
      <w:suppressLineNumbers/>
      <w:tabs>
        <w:tab w:val="left" w:pos="142"/>
        <w:tab w:val="left" w:pos="4536"/>
        <w:tab w:val="left" w:pos="7938"/>
      </w:tabs>
      <w:suppressAutoHyphens/>
      <w:spacing w:before="60"/>
      <w:ind w:left="0" w:firstLine="0"/>
    </w:pPr>
    <w:rPr>
      <w:rFonts w:ascii="Georgia" w:hAnsi="Georgia"/>
      <w:color w:val="548DD4" w:themeColor="text2" w:themeTint="99"/>
      <w:sz w:val="16"/>
      <w:szCs w:val="24"/>
      <w:lang w:val="en-US"/>
    </w:rPr>
  </w:style>
  <w:style w:type="character" w:customStyle="1" w:styleId="footnote3FChar">
    <w:name w:val="footnote3F Char"/>
    <w:basedOn w:val="DefaultParagraphFont"/>
    <w:link w:val="footnote3F"/>
    <w:rPr>
      <w:rFonts w:ascii="Georgia" w:eastAsia="Times New Roman" w:hAnsi="Georgia" w:cs="Times New Roman"/>
      <w:color w:val="548DD4" w:themeColor="text2" w:themeTint="99"/>
      <w:sz w:val="16"/>
      <w:szCs w:val="24"/>
      <w:lang w:val="en-US"/>
    </w:rPr>
  </w:style>
  <w:style w:type="paragraph" w:customStyle="1" w:styleId="Bullet3">
    <w:name w:val="Bullet 3"/>
    <w:basedOn w:val="BodyText"/>
    <w:link w:val="Bullet3Char"/>
    <w:pPr>
      <w:numPr>
        <w:numId w:val="25"/>
      </w:numPr>
      <w:spacing w:line="276" w:lineRule="auto"/>
    </w:pPr>
    <w:rPr>
      <w:rFonts w:ascii="Georgia" w:hAnsi="Georgia"/>
      <w:sz w:val="20"/>
      <w:szCs w:val="24"/>
    </w:rPr>
  </w:style>
  <w:style w:type="character" w:customStyle="1" w:styleId="Bullet3Char">
    <w:name w:val="Bullet 3 Char"/>
    <w:basedOn w:val="DefaultParagraphFont"/>
    <w:link w:val="Bullet3"/>
    <w:rPr>
      <w:rFonts w:ascii="Georgia" w:eastAsia="Times New Roman" w:hAnsi="Georgia" w:cs="Times New Roman"/>
      <w:sz w:val="20"/>
      <w:szCs w:val="24"/>
    </w:rPr>
  </w:style>
  <w:style w:type="paragraph" w:customStyle="1" w:styleId="finding">
    <w:name w:val="finding"/>
    <w:basedOn w:val="Normal"/>
    <w:link w:val="findingChar"/>
    <w:autoRedefine/>
    <w:pPr>
      <w:numPr>
        <w:numId w:val="26"/>
      </w:numPr>
      <w:spacing w:before="240" w:line="276" w:lineRule="auto"/>
    </w:pPr>
    <w:rPr>
      <w:rFonts w:ascii="Verdana" w:hAnsi="Verdana"/>
      <w:b/>
      <w:i/>
      <w:sz w:val="20"/>
    </w:rPr>
  </w:style>
  <w:style w:type="character" w:customStyle="1" w:styleId="findingChar">
    <w:name w:val="finding Char"/>
    <w:basedOn w:val="DefaultParagraphFont"/>
    <w:link w:val="finding"/>
    <w:rPr>
      <w:rFonts w:ascii="Verdana" w:eastAsia="Times New Roman" w:hAnsi="Verdana" w:cs="Times New Roman"/>
      <w:b/>
      <w:i/>
      <w:sz w:val="20"/>
      <w:szCs w:val="20"/>
    </w:rPr>
  </w:style>
  <w:style w:type="paragraph" w:customStyle="1" w:styleId="Heading21">
    <w:name w:val="Heading 21"/>
    <w:basedOn w:val="Title1"/>
    <w:link w:val="heading2Char1"/>
    <w:pPr>
      <w:numPr>
        <w:numId w:val="0"/>
      </w:numPr>
      <w:tabs>
        <w:tab w:val="left" w:pos="993"/>
      </w:tabs>
      <w:ind w:left="567" w:hanging="567"/>
      <w:jc w:val="both"/>
    </w:pPr>
    <w:rPr>
      <w:caps w:val="0"/>
    </w:rPr>
  </w:style>
  <w:style w:type="character" w:customStyle="1" w:styleId="heading2Char1">
    <w:name w:val="heading 2 Char"/>
    <w:basedOn w:val="Title1Char"/>
    <w:link w:val="Heading21"/>
    <w:rPr>
      <w:rFonts w:ascii="Verdana" w:eastAsia="Times New Roman" w:hAnsi="Verdana" w:cs="Times New Roman"/>
      <w:b/>
      <w:caps w:val="0"/>
      <w:sz w:val="24"/>
      <w:szCs w:val="20"/>
    </w:rPr>
  </w:style>
  <w:style w:type="paragraph" w:customStyle="1" w:styleId="Caption1">
    <w:name w:val="Caption1"/>
    <w:basedOn w:val="BodyText"/>
    <w:link w:val="captionChar0"/>
    <w:pPr>
      <w:jc w:val="center"/>
    </w:pPr>
    <w:rPr>
      <w:rFonts w:ascii="Verdana" w:hAnsi="Verdana"/>
      <w:color w:val="595959" w:themeColor="text1" w:themeTint="A6"/>
      <w:sz w:val="18"/>
      <w:szCs w:val="18"/>
      <w:lang w:val="en-US"/>
    </w:rPr>
  </w:style>
  <w:style w:type="character" w:customStyle="1" w:styleId="captionChar0">
    <w:name w:val="caption Char"/>
    <w:basedOn w:val="BodyTextChar"/>
    <w:link w:val="Caption1"/>
    <w:rPr>
      <w:rFonts w:ascii="Verdana" w:eastAsia="Times New Roman" w:hAnsi="Verdana" w:cs="Times New Roman"/>
      <w:color w:val="595959" w:themeColor="text1" w:themeTint="A6"/>
      <w:sz w:val="18"/>
      <w:szCs w:val="18"/>
      <w:lang w:val="en-US"/>
    </w:rPr>
  </w:style>
  <w:style w:type="character" w:customStyle="1" w:styleId="Style1Char">
    <w:name w:val="Style1 Char"/>
    <w:basedOn w:val="DefaultParagraphFont"/>
    <w:rPr>
      <w:rFonts w:ascii="Georgia" w:hAnsi="Georgia"/>
      <w:sz w:val="16"/>
      <w:szCs w:val="24"/>
      <w:lang w:eastAsia="en-US"/>
    </w:rPr>
  </w:style>
  <w:style w:type="paragraph" w:customStyle="1" w:styleId="source">
    <w:name w:val="source"/>
    <w:basedOn w:val="Normal"/>
    <w:link w:val="sourceChar"/>
    <w:pPr>
      <w:spacing w:before="120" w:after="120" w:line="276" w:lineRule="auto"/>
      <w:jc w:val="center"/>
    </w:pPr>
    <w:rPr>
      <w:rFonts w:ascii="Georgia" w:hAnsi="Georgia"/>
      <w:sz w:val="16"/>
      <w:szCs w:val="24"/>
    </w:rPr>
  </w:style>
  <w:style w:type="paragraph" w:customStyle="1" w:styleId="Footer11">
    <w:name w:val="Footer1"/>
    <w:basedOn w:val="FootnoteText"/>
    <w:link w:val="Footer1Char1"/>
    <w:pPr>
      <w:keepNext/>
      <w:widowControl w:val="0"/>
      <w:suppressLineNumbers/>
      <w:tabs>
        <w:tab w:val="left" w:pos="142"/>
        <w:tab w:val="left" w:pos="4536"/>
        <w:tab w:val="left" w:pos="7938"/>
      </w:tabs>
      <w:suppressAutoHyphens/>
      <w:spacing w:before="60"/>
      <w:ind w:left="0" w:firstLine="0"/>
    </w:pPr>
    <w:rPr>
      <w:rFonts w:ascii="Georgia" w:eastAsiaTheme="minorHAnsi" w:hAnsi="Georgia" w:cstheme="minorBidi"/>
      <w:color w:val="548DD4" w:themeColor="text2" w:themeTint="99"/>
      <w:sz w:val="16"/>
      <w:szCs w:val="16"/>
      <w:lang w:val="en-US"/>
    </w:rPr>
  </w:style>
  <w:style w:type="character" w:customStyle="1" w:styleId="Footer1Char1">
    <w:name w:val="Footer1 Char"/>
    <w:basedOn w:val="DefaultParagraphFont"/>
    <w:link w:val="Footer11"/>
    <w:rPr>
      <w:rFonts w:ascii="Georgia" w:hAnsi="Georgia"/>
      <w:color w:val="548DD4" w:themeColor="text2" w:themeTint="99"/>
      <w:sz w:val="16"/>
      <w:szCs w:val="16"/>
      <w:lang w:val="en-US"/>
    </w:rPr>
  </w:style>
  <w:style w:type="character" w:styleId="SubtleEmphasis">
    <w:name w:val="Subtle Emphasis"/>
    <w:aliases w:val="Subtitle 2"/>
    <w:basedOn w:val="DefaultParagraphFont"/>
    <w:uiPriority w:val="19"/>
    <w:qFormat/>
    <w:rPr>
      <w:rFonts w:ascii="Verdana" w:hAnsi="Verdana"/>
      <w:i/>
      <w:iCs/>
      <w:color w:val="808080" w:themeColor="text1" w:themeTint="7F"/>
      <w:sz w:val="18"/>
    </w:rPr>
  </w:style>
  <w:style w:type="paragraph" w:customStyle="1" w:styleId="astandard3520normal">
    <w:name w:val="a_standard__35__20_normal"/>
    <w:basedOn w:val="Normal"/>
    <w:pPr>
      <w:spacing w:before="100" w:beforeAutospacing="1" w:after="100" w:afterAutospacing="1"/>
    </w:pPr>
    <w:rPr>
      <w:szCs w:val="24"/>
      <w:lang w:eastAsia="en-GB"/>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val="en-US" w:eastAsia="en-GB"/>
    </w:rPr>
  </w:style>
  <w:style w:type="character" w:customStyle="1" w:styleId="BalloonTextChar7">
    <w:name w:val="Balloon Text Char7"/>
    <w:basedOn w:val="DefaultParagraphFont"/>
    <w:uiPriority w:val="99"/>
    <w:semiHidden/>
    <w:rPr>
      <w:rFonts w:ascii="Lucida Grande" w:hAnsi="Lucida Grande"/>
      <w:sz w:val="18"/>
      <w:szCs w:val="18"/>
    </w:rPr>
  </w:style>
  <w:style w:type="character" w:customStyle="1" w:styleId="BalloonTextChar6">
    <w:name w:val="Balloon Text Char6"/>
    <w:basedOn w:val="DefaultParagraphFont"/>
    <w:uiPriority w:val="99"/>
    <w:semiHidden/>
    <w:rPr>
      <w:rFonts w:ascii="Lucida Grande" w:hAnsi="Lucida Grande"/>
      <w:sz w:val="18"/>
      <w:szCs w:val="18"/>
    </w:rPr>
  </w:style>
  <w:style w:type="character" w:customStyle="1" w:styleId="BalloonTextChar5">
    <w:name w:val="Balloon Text Char5"/>
    <w:basedOn w:val="DefaultParagraphFont"/>
    <w:uiPriority w:val="99"/>
    <w:semiHidden/>
    <w:rPr>
      <w:rFonts w:ascii="Lucida Grande" w:hAnsi="Lucida Grande" w:cs="Lucida Grande"/>
      <w:sz w:val="18"/>
      <w:szCs w:val="18"/>
    </w:rPr>
  </w:style>
  <w:style w:type="character" w:customStyle="1" w:styleId="BalloonTextChar4">
    <w:name w:val="Balloon Text Char4"/>
    <w:basedOn w:val="DefaultParagraphFont"/>
    <w:uiPriority w:val="99"/>
    <w:semiHidden/>
    <w:rPr>
      <w:rFonts w:ascii="Lucida Grande" w:hAnsi="Lucida Grande"/>
      <w:sz w:val="18"/>
      <w:szCs w:val="18"/>
    </w:rPr>
  </w:style>
  <w:style w:type="character" w:customStyle="1" w:styleId="BalloonTextChar3">
    <w:name w:val="Balloon Text Char3"/>
    <w:basedOn w:val="DefaultParagraphFont"/>
    <w:uiPriority w:val="99"/>
    <w:semiHidden/>
    <w:rPr>
      <w:rFonts w:ascii="Lucida Grande" w:hAnsi="Lucida Grande"/>
      <w:sz w:val="18"/>
      <w:szCs w:val="18"/>
    </w:rPr>
  </w:style>
  <w:style w:type="character" w:customStyle="1" w:styleId="BalloonTextChar2">
    <w:name w:val="Balloon Text Char2"/>
    <w:basedOn w:val="DefaultParagraphFont"/>
    <w:uiPriority w:val="99"/>
    <w:semiHidden/>
    <w:rPr>
      <w:rFonts w:ascii="Lucida Grande" w:hAnsi="Lucida Grande"/>
      <w:sz w:val="18"/>
      <w:szCs w:val="18"/>
    </w:rPr>
  </w:style>
  <w:style w:type="paragraph" w:customStyle="1" w:styleId="0Title1">
    <w:name w:val="0 Title 1"/>
    <w:basedOn w:val="BodyText"/>
    <w:next w:val="BodyText"/>
    <w:pPr>
      <w:keepNext/>
      <w:spacing w:before="400" w:after="200" w:line="720" w:lineRule="atLeast"/>
    </w:pPr>
    <w:rPr>
      <w:rFonts w:ascii="Georgia" w:hAnsi="Georgia"/>
      <w:color w:val="000000"/>
      <w:sz w:val="48"/>
      <w:szCs w:val="40"/>
    </w:rPr>
  </w:style>
  <w:style w:type="paragraph" w:customStyle="1" w:styleId="Source0">
    <w:name w:val="Source"/>
    <w:aliases w:val="Quote1,Source1"/>
    <w:basedOn w:val="BodyText"/>
    <w:next w:val="BodyText"/>
    <w:link w:val="SourceChar0"/>
    <w:qFormat/>
    <w:pPr>
      <w:spacing w:line="276" w:lineRule="auto"/>
    </w:pPr>
    <w:rPr>
      <w:rFonts w:ascii="Georgia" w:hAnsi="Georgia"/>
      <w:color w:val="333333"/>
      <w:sz w:val="18"/>
      <w:szCs w:val="24"/>
    </w:rPr>
  </w:style>
  <w:style w:type="paragraph" w:customStyle="1" w:styleId="CoverTitle">
    <w:name w:val="Cover Title"/>
    <w:basedOn w:val="BodyText"/>
    <w:next w:val="BodyText"/>
    <w:pPr>
      <w:widowControl w:val="0"/>
      <w:autoSpaceDE w:val="0"/>
      <w:autoSpaceDN w:val="0"/>
      <w:adjustRightInd w:val="0"/>
      <w:spacing w:before="240" w:after="400" w:line="264" w:lineRule="auto"/>
      <w:textAlignment w:val="center"/>
    </w:pPr>
    <w:rPr>
      <w:rFonts w:ascii="Georgia" w:hAnsi="Georgia"/>
      <w:b/>
      <w:noProof/>
      <w:color w:val="000000"/>
      <w:sz w:val="54"/>
      <w:szCs w:val="44"/>
    </w:rPr>
  </w:style>
  <w:style w:type="paragraph" w:customStyle="1" w:styleId="CoverVersiondate">
    <w:name w:val="Cover Version date"/>
    <w:basedOn w:val="BodyText"/>
    <w:next w:val="BodyText"/>
    <w:pPr>
      <w:widowControl w:val="0"/>
      <w:autoSpaceDE w:val="0"/>
      <w:autoSpaceDN w:val="0"/>
      <w:adjustRightInd w:val="0"/>
      <w:spacing w:before="2000" w:after="240" w:line="288" w:lineRule="auto"/>
      <w:textAlignment w:val="center"/>
    </w:pPr>
    <w:rPr>
      <w:rFonts w:ascii="Georgia" w:hAnsi="Georgia"/>
      <w:b/>
      <w:i/>
      <w:color w:val="000000"/>
      <w:sz w:val="28"/>
      <w:szCs w:val="36"/>
    </w:rPr>
  </w:style>
  <w:style w:type="paragraph" w:customStyle="1" w:styleId="CoverSubtitle">
    <w:name w:val="Cover Subtitle"/>
    <w:basedOn w:val="BodyText"/>
    <w:next w:val="BodyText"/>
    <w:pPr>
      <w:widowControl w:val="0"/>
      <w:autoSpaceDE w:val="0"/>
      <w:autoSpaceDN w:val="0"/>
      <w:adjustRightInd w:val="0"/>
      <w:spacing w:line="264" w:lineRule="auto"/>
      <w:textAlignment w:val="center"/>
    </w:pPr>
    <w:rPr>
      <w:rFonts w:ascii="Georgia" w:hAnsi="Georgia" w:cs="Arial"/>
      <w:color w:val="000000"/>
      <w:sz w:val="28"/>
      <w:szCs w:val="30"/>
    </w:rPr>
  </w:style>
  <w:style w:type="paragraph" w:customStyle="1" w:styleId="Tabletext0">
    <w:name w:val="Table text"/>
    <w:basedOn w:val="BodyText"/>
    <w:pPr>
      <w:spacing w:after="0" w:line="276" w:lineRule="auto"/>
    </w:pPr>
    <w:rPr>
      <w:rFonts w:ascii="Georgia" w:hAnsi="Georgia"/>
      <w:sz w:val="16"/>
      <w:szCs w:val="24"/>
    </w:rPr>
  </w:style>
  <w:style w:type="paragraph" w:customStyle="1" w:styleId="Tablecolumnheader">
    <w:name w:val="Table column header"/>
    <w:basedOn w:val="BodyText"/>
    <w:pPr>
      <w:spacing w:after="0" w:line="276" w:lineRule="auto"/>
      <w:jc w:val="center"/>
    </w:pPr>
    <w:rPr>
      <w:rFonts w:ascii="Georgia" w:hAnsi="Georgia"/>
      <w:b/>
      <w:sz w:val="16"/>
      <w:szCs w:val="24"/>
    </w:rPr>
  </w:style>
  <w:style w:type="paragraph" w:customStyle="1" w:styleId="Tablerowheader">
    <w:name w:val="Table row header"/>
    <w:basedOn w:val="Tablecolumnheader"/>
    <w:pPr>
      <w:jc w:val="left"/>
    </w:pPr>
    <w:rPr>
      <w:color w:val="000000"/>
    </w:rPr>
  </w:style>
  <w:style w:type="paragraph" w:customStyle="1" w:styleId="AppendixHeading1">
    <w:name w:val="Appendix Heading 1"/>
    <w:basedOn w:val="BodyText"/>
    <w:next w:val="BodyText"/>
    <w:pPr>
      <w:numPr>
        <w:numId w:val="28"/>
      </w:numPr>
      <w:spacing w:after="720" w:line="276" w:lineRule="auto"/>
      <w:outlineLvl w:val="0"/>
    </w:pPr>
    <w:rPr>
      <w:rFonts w:ascii="Georgia" w:hAnsi="Georgia"/>
      <w:sz w:val="28"/>
      <w:szCs w:val="24"/>
    </w:rPr>
  </w:style>
  <w:style w:type="paragraph" w:customStyle="1" w:styleId="AppendixHeading2">
    <w:name w:val="Appendix Heading 2"/>
    <w:basedOn w:val="BodyText"/>
    <w:next w:val="BodyText"/>
    <w:pPr>
      <w:keepNext/>
      <w:numPr>
        <w:ilvl w:val="1"/>
        <w:numId w:val="28"/>
      </w:numPr>
      <w:spacing w:line="276" w:lineRule="auto"/>
    </w:pPr>
    <w:rPr>
      <w:rFonts w:ascii="Georgia" w:hAnsi="Georgia"/>
      <w:color w:val="FF0000"/>
      <w:sz w:val="22"/>
      <w:szCs w:val="24"/>
    </w:rPr>
  </w:style>
  <w:style w:type="paragraph" w:customStyle="1" w:styleId="AppendixHeading3">
    <w:name w:val="Appendix Heading 3"/>
    <w:basedOn w:val="BodyText"/>
    <w:next w:val="BodyText"/>
    <w:pPr>
      <w:keepNext/>
      <w:numPr>
        <w:ilvl w:val="2"/>
        <w:numId w:val="28"/>
      </w:numPr>
      <w:spacing w:line="276" w:lineRule="auto"/>
    </w:pPr>
    <w:rPr>
      <w:rFonts w:ascii="Georgia" w:hAnsi="Georgia"/>
      <w:color w:val="333333"/>
      <w:sz w:val="20"/>
      <w:szCs w:val="24"/>
    </w:rPr>
  </w:style>
  <w:style w:type="paragraph" w:styleId="Quote">
    <w:name w:val="Quote"/>
    <w:basedOn w:val="BodyText"/>
    <w:next w:val="BodyText"/>
    <w:link w:val="QuoteChar"/>
    <w:qFormat/>
    <w:pPr>
      <w:spacing w:line="276" w:lineRule="auto"/>
      <w:ind w:left="567" w:right="565"/>
    </w:pPr>
    <w:rPr>
      <w:rFonts w:ascii="Georgia" w:hAnsi="Georgia"/>
      <w:i/>
      <w:sz w:val="20"/>
      <w:szCs w:val="24"/>
      <w:lang w:val="en-US"/>
    </w:rPr>
  </w:style>
  <w:style w:type="character" w:customStyle="1" w:styleId="QuoteChar">
    <w:name w:val="Quote Char"/>
    <w:basedOn w:val="DefaultParagraphFont"/>
    <w:link w:val="Quote"/>
    <w:rPr>
      <w:rFonts w:ascii="Georgia" w:eastAsia="Times New Roman" w:hAnsi="Georgia" w:cs="Times New Roman"/>
      <w:i/>
      <w:sz w:val="20"/>
      <w:szCs w:val="24"/>
      <w:lang w:val="en-US"/>
    </w:rPr>
  </w:style>
  <w:style w:type="paragraph" w:customStyle="1" w:styleId="Notes">
    <w:name w:val="Notes"/>
    <w:basedOn w:val="BodyText"/>
    <w:link w:val="NotesCharChar"/>
    <w:autoRedefine/>
    <w:pPr>
      <w:framePr w:w="2165" w:h="2707" w:hSpace="187" w:wrap="around" w:vAnchor="text" w:hAnchor="page" w:x="9262" w:y="-23" w:anchorLock="1"/>
      <w:pBdr>
        <w:top w:val="single" w:sz="6" w:space="7" w:color="FF0000"/>
      </w:pBdr>
      <w:shd w:val="solid" w:color="FFFFFF" w:fill="FFFFFF"/>
      <w:spacing w:line="276" w:lineRule="auto"/>
    </w:pPr>
    <w:rPr>
      <w:rFonts w:ascii="Georgia" w:hAnsi="Georgia"/>
      <w:color w:val="FF0000"/>
      <w:sz w:val="20"/>
      <w:szCs w:val="24"/>
    </w:rPr>
  </w:style>
  <w:style w:type="character" w:customStyle="1" w:styleId="NotesCharChar">
    <w:name w:val="Notes Char Char"/>
    <w:basedOn w:val="DefaultParagraphFont"/>
    <w:link w:val="Notes"/>
    <w:locked/>
    <w:rPr>
      <w:rFonts w:ascii="Georgia" w:eastAsia="Times New Roman" w:hAnsi="Georgia" w:cs="Times New Roman"/>
      <w:color w:val="FF0000"/>
      <w:sz w:val="20"/>
      <w:szCs w:val="24"/>
      <w:shd w:val="solid" w:color="FFFFFF" w:fill="FFFFFF"/>
    </w:rPr>
  </w:style>
  <w:style w:type="paragraph" w:customStyle="1" w:styleId="Notesleft">
    <w:name w:val="Notes left"/>
    <w:basedOn w:val="Notes"/>
    <w:pPr>
      <w:framePr w:wrap="around" w:x="492" w:y="9"/>
    </w:pPr>
  </w:style>
  <w:style w:type="paragraph" w:customStyle="1" w:styleId="Headline">
    <w:name w:val="Headline"/>
    <w:basedOn w:val="BodyText"/>
    <w:next w:val="BodyText"/>
    <w:pPr>
      <w:spacing w:line="276" w:lineRule="auto"/>
    </w:pPr>
    <w:rPr>
      <w:rFonts w:ascii="Georgia" w:hAnsi="Georgia"/>
      <w:b/>
      <w:szCs w:val="24"/>
    </w:rPr>
  </w:style>
  <w:style w:type="character" w:styleId="EndnoteReference">
    <w:name w:val="endnote reference"/>
    <w:basedOn w:val="DefaultParagraphFont"/>
    <w:rPr>
      <w:vertAlign w:val="superscript"/>
    </w:rPr>
  </w:style>
  <w:style w:type="paragraph" w:customStyle="1" w:styleId="AppendixTitle">
    <w:name w:val="Appendix Title"/>
    <w:basedOn w:val="BodyText"/>
    <w:next w:val="BodyText"/>
    <w:pPr>
      <w:spacing w:after="720" w:line="276" w:lineRule="auto"/>
    </w:pPr>
    <w:rPr>
      <w:rFonts w:ascii="Georgia" w:hAnsi="Georgia"/>
      <w:sz w:val="28"/>
      <w:szCs w:val="24"/>
      <w:lang w:val="en-US"/>
    </w:rPr>
  </w:style>
  <w:style w:type="paragraph" w:customStyle="1" w:styleId="FooterAddressEven">
    <w:name w:val="FooterAddressEven"/>
    <w:basedOn w:val="Footer"/>
    <w:pPr>
      <w:tabs>
        <w:tab w:val="right" w:pos="7655"/>
      </w:tabs>
      <w:spacing w:line="276" w:lineRule="auto"/>
      <w:ind w:left="-1750" w:right="0"/>
    </w:pPr>
    <w:rPr>
      <w:rFonts w:ascii="Georgia" w:hAnsi="Georgia"/>
      <w:color w:val="333333"/>
      <w:sz w:val="18"/>
      <w:szCs w:val="24"/>
    </w:rPr>
  </w:style>
  <w:style w:type="paragraph" w:customStyle="1" w:styleId="TableListBullet">
    <w:name w:val="Table List Bullet"/>
    <w:basedOn w:val="BodyText"/>
    <w:pPr>
      <w:numPr>
        <w:numId w:val="29"/>
      </w:numPr>
      <w:spacing w:after="60" w:line="276" w:lineRule="auto"/>
    </w:pPr>
    <w:rPr>
      <w:rFonts w:ascii="Georgia" w:hAnsi="Georgia"/>
      <w:sz w:val="16"/>
      <w:szCs w:val="24"/>
    </w:rPr>
  </w:style>
  <w:style w:type="paragraph" w:customStyle="1" w:styleId="TableListBullet2">
    <w:name w:val="Table List Bullet 2"/>
    <w:basedOn w:val="BodyText"/>
    <w:pPr>
      <w:numPr>
        <w:numId w:val="30"/>
      </w:numPr>
      <w:spacing w:after="60" w:line="276" w:lineRule="auto"/>
    </w:pPr>
    <w:rPr>
      <w:rFonts w:ascii="Georgia" w:hAnsi="Georgia"/>
      <w:sz w:val="16"/>
      <w:szCs w:val="24"/>
    </w:rPr>
  </w:style>
  <w:style w:type="paragraph" w:customStyle="1" w:styleId="InsertFigure">
    <w:name w:val="InsertFigure"/>
    <w:basedOn w:val="BodyText"/>
    <w:pPr>
      <w:spacing w:line="276" w:lineRule="auto"/>
      <w:jc w:val="center"/>
    </w:pPr>
    <w:rPr>
      <w:rFonts w:ascii="Georgia" w:hAnsi="Georgia"/>
      <w:color w:val="333333"/>
      <w:sz w:val="18"/>
      <w:szCs w:val="24"/>
      <w:lang w:val="de-DE"/>
    </w:rPr>
  </w:style>
  <w:style w:type="paragraph" w:customStyle="1" w:styleId="TableListNumber">
    <w:name w:val="Table List Number"/>
    <w:basedOn w:val="BodyText"/>
    <w:pPr>
      <w:numPr>
        <w:numId w:val="31"/>
      </w:numPr>
      <w:spacing w:after="60" w:line="276" w:lineRule="auto"/>
    </w:pPr>
    <w:rPr>
      <w:rFonts w:ascii="Georgia" w:hAnsi="Georgia"/>
      <w:sz w:val="16"/>
      <w:szCs w:val="24"/>
    </w:rPr>
  </w:style>
  <w:style w:type="paragraph" w:customStyle="1" w:styleId="TableListNumber2">
    <w:name w:val="Table List Number 2"/>
    <w:basedOn w:val="BodyText"/>
    <w:pPr>
      <w:numPr>
        <w:numId w:val="32"/>
      </w:numPr>
      <w:spacing w:after="60" w:line="276" w:lineRule="auto"/>
    </w:pPr>
    <w:rPr>
      <w:rFonts w:ascii="Georgia" w:hAnsi="Georgia"/>
      <w:sz w:val="16"/>
      <w:szCs w:val="24"/>
    </w:rPr>
  </w:style>
  <w:style w:type="paragraph" w:customStyle="1" w:styleId="TOCTitle">
    <w:name w:val="TOC Title"/>
    <w:basedOn w:val="0Title1"/>
    <w:next w:val="BodyText"/>
  </w:style>
  <w:style w:type="table" w:customStyle="1" w:styleId="TechnopolisTable">
    <w:name w:val="Technopolis Table"/>
    <w:basedOn w:val="TableGrid"/>
    <w:pPr>
      <w:jc w:val="both"/>
    </w:pPr>
    <w:rPr>
      <w:rFonts w:ascii="Georgia" w:hAnsi="Georgia"/>
      <w:color w:val="000000"/>
      <w:sz w:val="18"/>
      <w:szCs w:val="24"/>
    </w:rPr>
    <w:tblPr>
      <w:tblStyleRowBandSize w:val="1"/>
    </w:tblPr>
    <w:tcPr>
      <w:shd w:val="clear" w:color="auto" w:fill="F2F2F2"/>
    </w:tcPr>
    <w:tblStylePr w:type="firstRow">
      <w:pPr>
        <w:jc w:val="center"/>
      </w:pPr>
      <w:rPr>
        <w:rFonts w:ascii="Times New Roman" w:hAnsi="Times New Roman" w:cs="Times New Roman"/>
        <w:b/>
        <w:color w:val="333333"/>
        <w:sz w:val="18"/>
      </w:rPr>
      <w:tblPr/>
      <w:tcPr>
        <w:tcBorders>
          <w:bottom w:val="single" w:sz="6" w:space="0" w:color="FF0000"/>
        </w:tcBorders>
        <w:shd w:val="clear" w:color="auto" w:fill="00AEF0"/>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tblStylePr w:type="band1Horz">
      <w:rPr>
        <w:sz w:val="18"/>
      </w:rPr>
    </w:tblStylePr>
  </w:style>
  <w:style w:type="paragraph" w:customStyle="1" w:styleId="SecondBullet">
    <w:name w:val="Second Bullet"/>
    <w:basedOn w:val="Normal"/>
    <w:next w:val="Normal"/>
    <w:autoRedefine/>
    <w:pPr>
      <w:numPr>
        <w:numId w:val="33"/>
      </w:numPr>
      <w:spacing w:line="276" w:lineRule="auto"/>
    </w:pPr>
    <w:rPr>
      <w:rFonts w:ascii="Georgia" w:hAnsi="Georgia"/>
      <w:color w:val="000000"/>
      <w:sz w:val="22"/>
      <w:szCs w:val="24"/>
    </w:rPr>
  </w:style>
  <w:style w:type="character" w:styleId="FollowedHyperlink">
    <w:name w:val="FollowedHyperlink"/>
    <w:basedOn w:val="DefaultParagraphFont"/>
    <w:uiPriority w:val="99"/>
    <w:rPr>
      <w:color w:val="800080" w:themeColor="followedHyperlink"/>
      <w:u w:val="single"/>
    </w:rPr>
  </w:style>
  <w:style w:type="character" w:customStyle="1" w:styleId="apple-converted-space">
    <w:name w:val="apple-converted-space"/>
    <w:basedOn w:val="DefaultParagraphFont"/>
  </w:style>
  <w:style w:type="character" w:styleId="HTMLAcronym">
    <w:name w:val="HTML Acronym"/>
    <w:basedOn w:val="DefaultParagraphFont"/>
    <w:uiPriority w:val="99"/>
  </w:style>
  <w:style w:type="character" w:styleId="Emphasis">
    <w:name w:val="Emphasis"/>
    <w:basedOn w:val="DefaultParagraphFont"/>
    <w:uiPriority w:val="20"/>
    <w:qFormat/>
    <w:rPr>
      <w:i/>
    </w:rPr>
  </w:style>
  <w:style w:type="character" w:customStyle="1" w:styleId="portlet-title-text">
    <w:name w:val="portlet-title-text"/>
    <w:basedOn w:val="DefaultParagraphFont"/>
  </w:style>
  <w:style w:type="table" w:customStyle="1" w:styleId="TableGrid1">
    <w:name w:val="Table Grid1"/>
    <w:basedOn w:val="TableNormal"/>
    <w:next w:val="TableGrid"/>
    <w:uiPriority w:val="59"/>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uces1">
    <w:name w:val="Liste à puces 1"/>
    <w:basedOn w:val="Normal"/>
    <w:link w:val="Listepuces1CharChar"/>
    <w:pPr>
      <w:numPr>
        <w:numId w:val="34"/>
      </w:numPr>
      <w:spacing w:before="120" w:after="120" w:line="240" w:lineRule="exact"/>
    </w:pPr>
    <w:rPr>
      <w:rFonts w:ascii="Arial" w:hAnsi="Arial"/>
      <w:color w:val="000000"/>
      <w:sz w:val="20"/>
      <w:szCs w:val="18"/>
    </w:rPr>
  </w:style>
  <w:style w:type="character" w:customStyle="1" w:styleId="Listepuces1CharChar">
    <w:name w:val="Liste à puces 1 Char Char"/>
    <w:basedOn w:val="DefaultParagraphFont"/>
    <w:link w:val="Listepuces1"/>
    <w:rPr>
      <w:rFonts w:ascii="Arial" w:eastAsia="Times New Roman" w:hAnsi="Arial" w:cs="Times New Roman"/>
      <w:color w:val="000000"/>
      <w:sz w:val="20"/>
      <w:szCs w:val="18"/>
    </w:rPr>
  </w:style>
  <w:style w:type="paragraph" w:customStyle="1" w:styleId="Tableboxtext">
    <w:name w:val="Table/box text"/>
    <w:basedOn w:val="Normal"/>
    <w:link w:val="TableboxtextChar"/>
    <w:uiPriority w:val="99"/>
    <w:pPr>
      <w:spacing w:after="120" w:line="240" w:lineRule="exact"/>
    </w:pPr>
    <w:rPr>
      <w:rFonts w:ascii="Georgia" w:eastAsia="Calibri" w:hAnsi="Georgia"/>
      <w:sz w:val="18"/>
      <w:szCs w:val="22"/>
    </w:rPr>
  </w:style>
  <w:style w:type="paragraph" w:customStyle="1" w:styleId="Style4">
    <w:name w:val="Style4"/>
    <w:basedOn w:val="Heading6"/>
    <w:link w:val="Style4Char"/>
    <w:qFormat/>
    <w:pPr>
      <w:keepNext/>
      <w:spacing w:after="120" w:line="240" w:lineRule="atLeast"/>
      <w:ind w:left="1800" w:hanging="360"/>
    </w:pPr>
    <w:rPr>
      <w:rFonts w:ascii="Verdana" w:hAnsi="Verdana"/>
      <w:bCs/>
      <w:iCs/>
      <w:noProof/>
      <w:sz w:val="20"/>
      <w:lang w:eastAsia="nl-BE"/>
    </w:rPr>
  </w:style>
  <w:style w:type="character" w:customStyle="1" w:styleId="ListParagraph1Char1">
    <w:name w:val="List Paragraph1 Char1"/>
    <w:aliases w:val="Normal bullet 2 Char1,Bullet list Char1,List Paragraph11 Char,Normal bullet 21 Char,List Paragraph111 Char,Bullet list1 Char"/>
    <w:uiPriority w:val="99"/>
    <w:rPr>
      <w:rFonts w:ascii="EYInterstate Light" w:hAnsi="EYInterstate Light"/>
      <w:szCs w:val="22"/>
      <w:lang w:val="en-GB" w:eastAsia="en-US"/>
    </w:rPr>
  </w:style>
  <w:style w:type="paragraph" w:customStyle="1" w:styleId="Style3">
    <w:name w:val="Style3"/>
    <w:basedOn w:val="ListBullet"/>
    <w:link w:val="Style3Char"/>
    <w:qFormat/>
    <w:pPr>
      <w:numPr>
        <w:numId w:val="0"/>
      </w:numPr>
      <w:tabs>
        <w:tab w:val="num" w:pos="1191"/>
      </w:tabs>
      <w:spacing w:after="120" w:line="276" w:lineRule="auto"/>
      <w:ind w:left="1191" w:hanging="709"/>
    </w:pPr>
    <w:rPr>
      <w:rFonts w:ascii="Georgia" w:hAnsi="Georgia"/>
      <w:szCs w:val="24"/>
    </w:rPr>
  </w:style>
  <w:style w:type="character" w:customStyle="1" w:styleId="Style3Char">
    <w:name w:val="Style3 Char"/>
    <w:basedOn w:val="ListBulletChar"/>
    <w:link w:val="Style3"/>
    <w:rPr>
      <w:rFonts w:ascii="Georgia" w:eastAsia="Times New Roman" w:hAnsi="Georgia" w:cs="Times New Roman"/>
      <w:sz w:val="24"/>
      <w:szCs w:val="24"/>
    </w:rPr>
  </w:style>
  <w:style w:type="paragraph" w:customStyle="1" w:styleId="Style6">
    <w:name w:val="Style6"/>
    <w:basedOn w:val="TOC1"/>
    <w:link w:val="Style6Char"/>
    <w:uiPriority w:val="99"/>
    <w:qFormat/>
    <w:pPr>
      <w:numPr>
        <w:numId w:val="35"/>
      </w:numPr>
      <w:tabs>
        <w:tab w:val="left" w:pos="442"/>
      </w:tabs>
      <w:overflowPunct w:val="0"/>
      <w:autoSpaceDE w:val="0"/>
      <w:autoSpaceDN w:val="0"/>
      <w:adjustRightInd w:val="0"/>
      <w:spacing w:line="260" w:lineRule="atLeast"/>
      <w:textAlignment w:val="baseline"/>
    </w:pPr>
    <w:rPr>
      <w:rFonts w:ascii="EYInterstate Light" w:hAnsi="EYInterstate Light"/>
      <w:bCs w:val="0"/>
      <w:caps/>
      <w:noProof/>
      <w:szCs w:val="18"/>
      <w:lang w:eastAsia="nl-BE"/>
    </w:rPr>
  </w:style>
  <w:style w:type="character" w:customStyle="1" w:styleId="Style6Char">
    <w:name w:val="Style6 Char"/>
    <w:basedOn w:val="DefaultParagraphFont"/>
    <w:link w:val="Style6"/>
    <w:uiPriority w:val="99"/>
    <w:rPr>
      <w:rFonts w:ascii="EYInterstate Light" w:eastAsia="Times New Roman" w:hAnsi="EYInterstate Light" w:cs="Times New Roman"/>
      <w:caps/>
      <w:smallCaps/>
      <w:noProof/>
      <w:color w:val="365F91" w:themeColor="accent1" w:themeShade="BF"/>
      <w:sz w:val="20"/>
      <w:szCs w:val="18"/>
      <w:lang w:eastAsia="nl-BE"/>
    </w:rPr>
  </w:style>
  <w:style w:type="paragraph" w:customStyle="1" w:styleId="Caption11">
    <w:name w:val="Caption11"/>
    <w:basedOn w:val="Tableboxtext"/>
    <w:pPr>
      <w:jc w:val="center"/>
    </w:pPr>
    <w:rPr>
      <w:sz w:val="16"/>
    </w:rPr>
  </w:style>
  <w:style w:type="character" w:customStyle="1" w:styleId="hps">
    <w:name w:val="hps"/>
    <w:basedOn w:val="DefaultParagraphFont"/>
  </w:style>
  <w:style w:type="character" w:customStyle="1" w:styleId="highlightedsearchterm">
    <w:name w:val="highlightedsearchterm"/>
    <w:basedOn w:val="DefaultParagraphFont"/>
  </w:style>
  <w:style w:type="character" w:customStyle="1" w:styleId="link-external">
    <w:name w:val="link-external"/>
    <w:basedOn w:val="DefaultParagraphFont"/>
  </w:style>
  <w:style w:type="table" w:customStyle="1" w:styleId="LightList-Accent31">
    <w:name w:val="Light List - Accent 31"/>
    <w:basedOn w:val="TableNormal"/>
    <w:next w:val="LightList-Accent3"/>
    <w:uiPriority w:val="61"/>
    <w:pPr>
      <w:spacing w:after="0" w:line="240" w:lineRule="auto"/>
    </w:pPr>
    <w:rPr>
      <w:rFonts w:ascii="EYInterstate Light" w:eastAsia="EYInterstate Light" w:hAnsi="EYInterstate Light" w:cs="Times New Roman"/>
      <w:lang w:val="it-IT"/>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LightList-Accent3">
    <w:name w:val="Light List Accent 3"/>
    <w:basedOn w:val="TableNormal"/>
    <w:uiPriority w:val="61"/>
    <w:pPr>
      <w:spacing w:after="0" w:line="240" w:lineRule="auto"/>
    </w:pPr>
    <w:rPr>
      <w:rFonts w:ascii="Times New Roman" w:eastAsia="Times New Roman" w:hAnsi="Times New Roman" w:cs="Times New Roman"/>
      <w:sz w:val="24"/>
      <w:szCs w:val="24"/>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Style12">
    <w:name w:val="Style12"/>
    <w:basedOn w:val="ListParagraph1"/>
    <w:pPr>
      <w:ind w:left="1068" w:hanging="360"/>
    </w:pPr>
  </w:style>
  <w:style w:type="paragraph" w:customStyle="1" w:styleId="000">
    <w:name w:val="000"/>
    <w:aliases w:val="standaard,standaard uitvullen,standaard (alt-s),stan084daard,standaard 04...,standaard 155,standaard uitv042ullen,sta550ndaard,standaard 040,standaard81,0001,standaard 042,standaard1,standaard uitvullen1,standaard (alt-s)1,stan084daard1,standaard811"/>
    <w:basedOn w:val="Normal"/>
    <w:link w:val="000Char"/>
    <w:pPr>
      <w:overflowPunct w:val="0"/>
      <w:autoSpaceDE w:val="0"/>
      <w:autoSpaceDN w:val="0"/>
      <w:adjustRightInd w:val="0"/>
      <w:spacing w:line="260" w:lineRule="atLeast"/>
      <w:textAlignment w:val="baseline"/>
    </w:pPr>
    <w:rPr>
      <w:rFonts w:ascii="Arial" w:hAnsi="Arial"/>
      <w:sz w:val="18"/>
      <w:lang w:val="nl-NL" w:eastAsia="nl-BE"/>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tabelbullet">
    <w:name w:val="tabel bullet"/>
    <w:basedOn w:val="Style2"/>
    <w:link w:val="tabelbulletChar"/>
    <w:autoRedefine/>
    <w:pPr>
      <w:numPr>
        <w:numId w:val="0"/>
      </w:numPr>
      <w:tabs>
        <w:tab w:val="num" w:pos="1191"/>
      </w:tabs>
      <w:spacing w:after="0"/>
      <w:ind w:left="1191" w:hanging="709"/>
    </w:pPr>
    <w:rPr>
      <w:color w:val="333333"/>
      <w:sz w:val="18"/>
    </w:rPr>
  </w:style>
  <w:style w:type="character" w:customStyle="1" w:styleId="tabelbulletChar">
    <w:name w:val="tabel bullet Char"/>
    <w:basedOn w:val="Style2Char"/>
    <w:link w:val="tabelbullet"/>
    <w:rPr>
      <w:rFonts w:ascii="Georgia" w:eastAsia="Times New Roman" w:hAnsi="Georgia" w:cs="Times New Roman"/>
      <w:color w:val="333333"/>
      <w:sz w:val="18"/>
      <w:szCs w:val="24"/>
    </w:rPr>
  </w:style>
  <w:style w:type="paragraph" w:customStyle="1" w:styleId="1tabletbullet">
    <w:name w:val="1. tablet bullet"/>
    <w:basedOn w:val="tabelbullet"/>
    <w:link w:val="1tabletbulletChar"/>
    <w:pPr>
      <w:keepNext/>
      <w:numPr>
        <w:numId w:val="36"/>
      </w:numPr>
      <w:spacing w:before="120"/>
      <w:ind w:left="714" w:hanging="357"/>
    </w:pPr>
    <w:rPr>
      <w:b/>
    </w:rPr>
  </w:style>
  <w:style w:type="character" w:customStyle="1" w:styleId="1tabletbulletChar">
    <w:name w:val="1. tablet bullet Char"/>
    <w:basedOn w:val="tabelbulletChar"/>
    <w:link w:val="1tabletbullet"/>
    <w:rPr>
      <w:rFonts w:ascii="Georgia" w:eastAsia="Times New Roman" w:hAnsi="Georgia" w:cs="Times New Roman"/>
      <w:b/>
      <w:color w:val="333333"/>
      <w:sz w:val="18"/>
      <w:szCs w:val="24"/>
    </w:rPr>
  </w:style>
  <w:style w:type="paragraph" w:customStyle="1" w:styleId="font5">
    <w:name w:val="font5"/>
    <w:basedOn w:val="Normal"/>
    <w:pPr>
      <w:spacing w:before="100" w:beforeAutospacing="1" w:after="100" w:afterAutospacing="1" w:line="276" w:lineRule="auto"/>
    </w:pPr>
    <w:rPr>
      <w:rFonts w:ascii="Tahoma" w:hAnsi="Tahoma" w:cs="Tahoma"/>
      <w:color w:val="000000"/>
      <w:sz w:val="18"/>
      <w:szCs w:val="18"/>
      <w:lang w:val="en-US"/>
    </w:rPr>
  </w:style>
  <w:style w:type="paragraph" w:customStyle="1" w:styleId="font6">
    <w:name w:val="font6"/>
    <w:basedOn w:val="Normal"/>
    <w:pPr>
      <w:spacing w:before="100" w:beforeAutospacing="1" w:after="100" w:afterAutospacing="1" w:line="276" w:lineRule="auto"/>
    </w:pPr>
    <w:rPr>
      <w:rFonts w:ascii="Tahoma" w:hAnsi="Tahoma" w:cs="Tahoma"/>
      <w:b/>
      <w:bCs/>
      <w:color w:val="000000"/>
      <w:sz w:val="18"/>
      <w:szCs w:val="18"/>
      <w:lang w:val="en-US"/>
    </w:rPr>
  </w:style>
  <w:style w:type="paragraph" w:customStyle="1" w:styleId="xl65">
    <w:name w:val="xl65"/>
    <w:basedOn w:val="Normal"/>
    <w:pPr>
      <w:spacing w:before="100" w:beforeAutospacing="1" w:after="100" w:afterAutospacing="1" w:line="276" w:lineRule="auto"/>
      <w:textAlignment w:val="center"/>
    </w:pPr>
    <w:rPr>
      <w:rFonts w:ascii="Georgia" w:hAnsi="Georgia"/>
      <w:color w:val="000000"/>
      <w:sz w:val="20"/>
      <w:lang w:val="en-US"/>
    </w:rPr>
  </w:style>
  <w:style w:type="paragraph" w:customStyle="1" w:styleId="xl66">
    <w:name w:val="xl66"/>
    <w:basedOn w:val="Normal"/>
    <w:pPr>
      <w:spacing w:before="100" w:beforeAutospacing="1" w:after="100" w:afterAutospacing="1" w:line="276" w:lineRule="auto"/>
      <w:textAlignment w:val="center"/>
    </w:pPr>
    <w:rPr>
      <w:rFonts w:ascii="Georgia" w:hAnsi="Georgia"/>
      <w:color w:val="000000"/>
      <w:sz w:val="20"/>
      <w:lang w:val="en-US"/>
    </w:rPr>
  </w:style>
  <w:style w:type="paragraph" w:customStyle="1" w:styleId="xl67">
    <w:name w:val="xl67"/>
    <w:basedOn w:val="Normal"/>
    <w:pPr>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68">
    <w:name w:val="xl68"/>
    <w:basedOn w:val="Normal"/>
    <w:pPr>
      <w:pBdr>
        <w:top w:val="single" w:sz="4" w:space="0" w:color="BFBFBF"/>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69">
    <w:name w:val="xl69"/>
    <w:basedOn w:val="Normal"/>
    <w:pPr>
      <w:pBdr>
        <w:top w:val="single" w:sz="4" w:space="0" w:color="BFBFBF"/>
        <w:bottom w:val="single" w:sz="12" w:space="0" w:color="FF0000"/>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0">
    <w:name w:val="xl70"/>
    <w:basedOn w:val="Normal"/>
    <w:pPr>
      <w:pBdr>
        <w:top w:val="single" w:sz="12" w:space="0" w:color="FF0000"/>
        <w:left w:val="single" w:sz="12" w:space="0" w:color="FFFFFF"/>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1">
    <w:name w:val="xl71"/>
    <w:basedOn w:val="Normal"/>
    <w:pPr>
      <w:pBdr>
        <w:top w:val="single" w:sz="12" w:space="0" w:color="FF0000"/>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2">
    <w:name w:val="xl72"/>
    <w:basedOn w:val="Normal"/>
    <w:pPr>
      <w:pBdr>
        <w:top w:val="single" w:sz="12" w:space="0" w:color="FF0000"/>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3">
    <w:name w:val="xl73"/>
    <w:basedOn w:val="Normal"/>
    <w:pPr>
      <w:pBdr>
        <w:top w:val="single" w:sz="4" w:space="0" w:color="BFBFBF"/>
        <w:left w:val="single" w:sz="12" w:space="0" w:color="FFFFFF"/>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4">
    <w:name w:val="xl74"/>
    <w:basedOn w:val="Normal"/>
    <w:pPr>
      <w:pBdr>
        <w:top w:val="single" w:sz="4" w:space="0" w:color="BFBFBF"/>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5">
    <w:name w:val="xl75"/>
    <w:basedOn w:val="Normal"/>
    <w:pPr>
      <w:pBdr>
        <w:top w:val="single" w:sz="4" w:space="0" w:color="BFBFBF"/>
        <w:bottom w:val="single" w:sz="12" w:space="0" w:color="FF0000"/>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6">
    <w:name w:val="xl76"/>
    <w:basedOn w:val="Normal"/>
    <w:pPr>
      <w:pBdr>
        <w:top w:val="single" w:sz="12" w:space="0" w:color="FF0000"/>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77">
    <w:name w:val="xl77"/>
    <w:basedOn w:val="Normal"/>
    <w:pPr>
      <w:pBdr>
        <w:top w:val="single" w:sz="4" w:space="0" w:color="BFBFBF"/>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78">
    <w:name w:val="xl78"/>
    <w:basedOn w:val="Normal"/>
    <w:pPr>
      <w:pBdr>
        <w:top w:val="single" w:sz="4" w:space="0" w:color="BFBFBF"/>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79">
    <w:name w:val="xl79"/>
    <w:basedOn w:val="Normal"/>
    <w:pPr>
      <w:pBdr>
        <w:top w:val="single" w:sz="4" w:space="0" w:color="BFBFBF"/>
        <w:bottom w:val="single" w:sz="12" w:space="0" w:color="FF0000"/>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0">
    <w:name w:val="xl80"/>
    <w:basedOn w:val="Normal"/>
    <w:pPr>
      <w:pBdr>
        <w:top w:val="single" w:sz="12" w:space="0" w:color="FF0000"/>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1">
    <w:name w:val="xl81"/>
    <w:basedOn w:val="Normal"/>
    <w:pPr>
      <w:pBdr>
        <w:top w:val="single" w:sz="4" w:space="0" w:color="BFBFBF"/>
        <w:bottom w:val="single" w:sz="12" w:space="0" w:color="FF0000"/>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2">
    <w:name w:val="xl82"/>
    <w:basedOn w:val="Normal"/>
    <w:pPr>
      <w:pBdr>
        <w:top w:val="single" w:sz="12" w:space="0" w:color="FFFFFF"/>
        <w:left w:val="single" w:sz="12" w:space="0" w:color="FFFFFF"/>
        <w:right w:val="single" w:sz="12" w:space="0" w:color="FFFFFF"/>
      </w:pBdr>
      <w:shd w:val="clear" w:color="000000" w:fill="D9D9D9"/>
      <w:spacing w:before="100" w:beforeAutospacing="1" w:after="100" w:afterAutospacing="1" w:line="276" w:lineRule="auto"/>
      <w:jc w:val="center"/>
      <w:textAlignment w:val="center"/>
    </w:pPr>
    <w:rPr>
      <w:rFonts w:ascii="Georgia" w:hAnsi="Georgia"/>
      <w:b/>
      <w:bCs/>
      <w:sz w:val="20"/>
      <w:lang w:val="en-US"/>
    </w:rPr>
  </w:style>
  <w:style w:type="paragraph" w:customStyle="1" w:styleId="xl83">
    <w:name w:val="xl83"/>
    <w:basedOn w:val="Normal"/>
    <w:pPr>
      <w:pBdr>
        <w:bottom w:val="single" w:sz="12" w:space="0" w:color="FF0000"/>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84">
    <w:name w:val="xl84"/>
    <w:basedOn w:val="Normal"/>
    <w:pPr>
      <w:pBdr>
        <w:bottom w:val="single" w:sz="12" w:space="0" w:color="FF0000"/>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85">
    <w:name w:val="xl85"/>
    <w:basedOn w:val="Normal"/>
    <w:pPr>
      <w:pBdr>
        <w:bottom w:val="single" w:sz="12" w:space="0" w:color="FF0000"/>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6">
    <w:name w:val="xl86"/>
    <w:basedOn w:val="Normal"/>
    <w:pPr>
      <w:pBdr>
        <w:top w:val="single" w:sz="4" w:space="0" w:color="BFBFBF"/>
        <w:bottom w:val="single" w:sz="4" w:space="0" w:color="D9D9D9"/>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87">
    <w:name w:val="xl87"/>
    <w:basedOn w:val="Normal"/>
    <w:pPr>
      <w:pBdr>
        <w:top w:val="single" w:sz="4" w:space="0" w:color="BFBFBF"/>
        <w:bottom w:val="single" w:sz="4" w:space="0" w:color="D9D9D9"/>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88">
    <w:name w:val="xl88"/>
    <w:basedOn w:val="Normal"/>
    <w:pPr>
      <w:pBdr>
        <w:top w:val="single" w:sz="4" w:space="0" w:color="BFBFBF"/>
        <w:bottom w:val="single" w:sz="4" w:space="0" w:color="D9D9D9"/>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9">
    <w:name w:val="xl89"/>
    <w:basedOn w:val="Normal"/>
    <w:pPr>
      <w:pBdr>
        <w:top w:val="single" w:sz="4" w:space="0" w:color="D9D9D9"/>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90">
    <w:name w:val="xl90"/>
    <w:basedOn w:val="Normal"/>
    <w:pPr>
      <w:pBdr>
        <w:top w:val="single" w:sz="4" w:space="0" w:color="D9D9D9"/>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91">
    <w:name w:val="xl91"/>
    <w:basedOn w:val="Normal"/>
    <w:pPr>
      <w:pBdr>
        <w:top w:val="single" w:sz="4" w:space="0" w:color="D9D9D9"/>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92">
    <w:name w:val="xl92"/>
    <w:basedOn w:val="Normal"/>
    <w:pPr>
      <w:pBdr>
        <w:top w:val="single" w:sz="4" w:space="0" w:color="BFBFBF"/>
        <w:bottom w:val="single" w:sz="4" w:space="0" w:color="D9D9D9"/>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93">
    <w:name w:val="xl93"/>
    <w:basedOn w:val="Normal"/>
    <w:pPr>
      <w:pBdr>
        <w:top w:val="single" w:sz="12" w:space="0" w:color="FFFFFF"/>
        <w:left w:val="single" w:sz="12" w:space="0" w:color="FFFFFF"/>
      </w:pBdr>
      <w:shd w:val="clear" w:color="000000" w:fill="D9D9D9"/>
      <w:spacing w:before="100" w:beforeAutospacing="1" w:after="100" w:afterAutospacing="1" w:line="276" w:lineRule="auto"/>
      <w:jc w:val="center"/>
      <w:textAlignment w:val="center"/>
    </w:pPr>
    <w:rPr>
      <w:rFonts w:ascii="Georgia" w:hAnsi="Georgia"/>
      <w:b/>
      <w:bCs/>
      <w:sz w:val="20"/>
      <w:lang w:val="en-US"/>
    </w:rPr>
  </w:style>
  <w:style w:type="paragraph" w:customStyle="1" w:styleId="xl94">
    <w:name w:val="xl94"/>
    <w:basedOn w:val="Normal"/>
    <w:pPr>
      <w:pBdr>
        <w:bottom w:val="single" w:sz="12" w:space="0" w:color="FF0000"/>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95">
    <w:name w:val="xl95"/>
    <w:basedOn w:val="Normal"/>
    <w:pP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96">
    <w:name w:val="xl96"/>
    <w:basedOn w:val="Normal"/>
    <w:pPr>
      <w:pBdr>
        <w:top w:val="single" w:sz="4" w:space="0" w:color="BFBFBF"/>
        <w:bottom w:val="single" w:sz="4" w:space="0" w:color="BFBFBF"/>
      </w:pBdr>
      <w:spacing w:before="100" w:beforeAutospacing="1" w:after="100" w:afterAutospacing="1" w:line="276" w:lineRule="auto"/>
      <w:textAlignment w:val="center"/>
    </w:pPr>
    <w:rPr>
      <w:rFonts w:ascii="Georgia" w:hAnsi="Georgia"/>
      <w:color w:val="000000"/>
      <w:sz w:val="20"/>
      <w:lang w:val="en-US"/>
    </w:rPr>
  </w:style>
  <w:style w:type="paragraph" w:customStyle="1" w:styleId="xl97">
    <w:name w:val="xl97"/>
    <w:basedOn w:val="Normal"/>
    <w:pPr>
      <w:pBdr>
        <w:top w:val="single" w:sz="4" w:space="0" w:color="BFBFBF"/>
        <w:bottom w:val="single" w:sz="4" w:space="0" w:color="BFBFBF"/>
      </w:pBdr>
      <w:spacing w:before="100" w:beforeAutospacing="1" w:after="100" w:afterAutospacing="1" w:line="276" w:lineRule="auto"/>
      <w:textAlignment w:val="center"/>
    </w:pPr>
    <w:rPr>
      <w:rFonts w:ascii="Georgia" w:hAnsi="Georgia"/>
      <w:color w:val="000000"/>
      <w:sz w:val="20"/>
      <w:lang w:val="en-US"/>
    </w:rPr>
  </w:style>
  <w:style w:type="paragraph" w:customStyle="1" w:styleId="xl98">
    <w:name w:val="xl98"/>
    <w:basedOn w:val="Normal"/>
    <w:pPr>
      <w:pBdr>
        <w:top w:val="single" w:sz="4" w:space="0" w:color="BFBFBF"/>
        <w:bottom w:val="single" w:sz="4" w:space="0" w:color="BFBFBF"/>
      </w:pBdr>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99">
    <w:name w:val="xl99"/>
    <w:basedOn w:val="Normal"/>
    <w:pPr>
      <w:pBdr>
        <w:top w:val="single" w:sz="4" w:space="0" w:color="BFBFBF"/>
        <w:bottom w:val="single" w:sz="4" w:space="0" w:color="BFBFBF"/>
      </w:pBdr>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100">
    <w:name w:val="xl100"/>
    <w:basedOn w:val="Normal"/>
    <w:pPr>
      <w:pBdr>
        <w:top w:val="single" w:sz="12" w:space="0" w:color="FF0000"/>
        <w:left w:val="single" w:sz="12" w:space="0" w:color="FFFFFF"/>
        <w:bottom w:val="single" w:sz="12" w:space="0" w:color="FF0000"/>
      </w:pBdr>
      <w:shd w:val="clear" w:color="000000" w:fill="FFFFFF"/>
      <w:spacing w:before="100" w:beforeAutospacing="1" w:after="100" w:afterAutospacing="1" w:line="276" w:lineRule="auto"/>
      <w:jc w:val="center"/>
      <w:textAlignment w:val="center"/>
    </w:pPr>
    <w:rPr>
      <w:rFonts w:ascii="Georgia" w:hAnsi="Georgia"/>
      <w:b/>
      <w:bCs/>
      <w:sz w:val="20"/>
      <w:lang w:val="en-US"/>
    </w:rPr>
  </w:style>
  <w:style w:type="paragraph" w:customStyle="1" w:styleId="xl101">
    <w:name w:val="xl101"/>
    <w:basedOn w:val="Normal"/>
    <w:pPr>
      <w:pBdr>
        <w:top w:val="single" w:sz="12" w:space="0" w:color="FF0000"/>
        <w:bottom w:val="single" w:sz="12" w:space="0" w:color="FF0000"/>
      </w:pBdr>
      <w:shd w:val="clear" w:color="000000" w:fill="FFFFFF"/>
      <w:spacing w:before="100" w:beforeAutospacing="1" w:after="100" w:afterAutospacing="1" w:line="276" w:lineRule="auto"/>
      <w:jc w:val="center"/>
      <w:textAlignment w:val="center"/>
    </w:pPr>
    <w:rPr>
      <w:rFonts w:ascii="Georgia" w:hAnsi="Georgia"/>
      <w:b/>
      <w:bCs/>
      <w:sz w:val="20"/>
      <w:lang w:val="en-US"/>
    </w:rPr>
  </w:style>
  <w:style w:type="paragraph" w:customStyle="1" w:styleId="CM4">
    <w:name w:val="CM4"/>
    <w:basedOn w:val="Default"/>
    <w:next w:val="Default"/>
    <w:uiPriority w:val="99"/>
    <w:rPr>
      <w:rFonts w:ascii="Times New Roman" w:hAnsi="Times New Roman" w:cs="Times New Roman"/>
      <w:color w:val="auto"/>
      <w:lang w:val="it-IT"/>
    </w:rPr>
  </w:style>
  <w:style w:type="paragraph" w:customStyle="1" w:styleId="Pa0">
    <w:name w:val="Pa0"/>
    <w:basedOn w:val="Default"/>
    <w:next w:val="Default"/>
    <w:uiPriority w:val="99"/>
    <w:pPr>
      <w:spacing w:line="241" w:lineRule="atLeast"/>
    </w:pPr>
    <w:rPr>
      <w:rFonts w:ascii="HelveticaRounded LT Std Blk" w:hAnsi="HelveticaRounded LT Std Blk" w:cs="Times New Roman"/>
      <w:color w:val="auto"/>
      <w:lang w:val="it-IT"/>
    </w:rPr>
  </w:style>
  <w:style w:type="character" w:customStyle="1" w:styleId="A0">
    <w:name w:val="A0"/>
    <w:uiPriority w:val="99"/>
    <w:rPr>
      <w:rFonts w:cs="HelveticaRounded LT Std Blk"/>
      <w:b/>
      <w:bCs/>
      <w:color w:val="000000"/>
      <w:sz w:val="58"/>
      <w:szCs w:val="58"/>
    </w:rPr>
  </w:style>
  <w:style w:type="character" w:customStyle="1" w:styleId="A5">
    <w:name w:val="A5"/>
    <w:uiPriority w:val="99"/>
    <w:rPr>
      <w:rFonts w:cs="Myriad Pro Cond"/>
      <w:b/>
      <w:bCs/>
      <w:color w:val="000000"/>
      <w:sz w:val="56"/>
      <w:szCs w:val="56"/>
    </w:rPr>
  </w:style>
  <w:style w:type="character" w:customStyle="1" w:styleId="A1">
    <w:name w:val="A1"/>
    <w:uiPriority w:val="99"/>
    <w:rPr>
      <w:rFonts w:cs="HelveticaRounded LT Std Blk"/>
      <w:b/>
      <w:bCs/>
      <w:color w:val="000000"/>
      <w:sz w:val="32"/>
      <w:szCs w:val="32"/>
    </w:rPr>
  </w:style>
  <w:style w:type="character" w:styleId="PlaceholderText">
    <w:name w:val="Placeholder Text"/>
    <w:basedOn w:val="DefaultParagraphFont"/>
    <w:rPr>
      <w:color w:val="808080"/>
    </w:rPr>
  </w:style>
  <w:style w:type="paragraph" w:customStyle="1" w:styleId="caption10">
    <w:name w:val="caption1"/>
    <w:basedOn w:val="BodyText"/>
    <w:link w:val="caption1Char"/>
    <w:qFormat/>
    <w:pPr>
      <w:keepNext/>
      <w:spacing w:before="240"/>
      <w:jc w:val="center"/>
    </w:pPr>
    <w:rPr>
      <w:rFonts w:ascii="Verdana" w:hAnsi="Verdana"/>
      <w:b/>
      <w:sz w:val="18"/>
      <w:szCs w:val="18"/>
      <w:lang w:val="en-US"/>
    </w:rPr>
  </w:style>
  <w:style w:type="character" w:customStyle="1" w:styleId="caption1Char">
    <w:name w:val="caption1 Char"/>
    <w:basedOn w:val="BodyTextChar"/>
    <w:link w:val="caption10"/>
    <w:rPr>
      <w:rFonts w:ascii="Verdana" w:eastAsia="Times New Roman" w:hAnsi="Verdana" w:cs="Times New Roman"/>
      <w:b/>
      <w:sz w:val="18"/>
      <w:szCs w:val="18"/>
      <w:lang w:val="en-US"/>
    </w:rPr>
  </w:style>
  <w:style w:type="paragraph" w:customStyle="1" w:styleId="footnote3fig">
    <w:name w:val="footnote3fig"/>
    <w:basedOn w:val="FootnoteText"/>
    <w:link w:val="footnote3figChar"/>
    <w:qFormat/>
    <w:pPr>
      <w:keepNext/>
      <w:widowControl w:val="0"/>
      <w:suppressLineNumbers/>
      <w:tabs>
        <w:tab w:val="left" w:pos="142"/>
        <w:tab w:val="left" w:pos="4536"/>
        <w:tab w:val="left" w:pos="7938"/>
      </w:tabs>
      <w:suppressAutoHyphens/>
      <w:spacing w:before="60"/>
      <w:ind w:left="255" w:hanging="255"/>
    </w:pPr>
    <w:rPr>
      <w:rFonts w:ascii="Verdana" w:hAnsi="Verdana"/>
      <w:color w:val="548DD4" w:themeColor="text2" w:themeTint="99"/>
      <w:sz w:val="16"/>
      <w:szCs w:val="16"/>
      <w:lang w:val="en-US"/>
    </w:rPr>
  </w:style>
  <w:style w:type="character" w:customStyle="1" w:styleId="footnote3figChar">
    <w:name w:val="footnote3fig Char"/>
    <w:basedOn w:val="DefaultParagraphFont"/>
    <w:link w:val="footnote3fig"/>
    <w:rPr>
      <w:rFonts w:ascii="Verdana" w:eastAsia="Times New Roman" w:hAnsi="Verdana" w:cs="Times New Roman"/>
      <w:color w:val="548DD4" w:themeColor="text2" w:themeTint="99"/>
      <w:sz w:val="16"/>
      <w:szCs w:val="16"/>
      <w:lang w:val="en-US"/>
    </w:rPr>
  </w:style>
  <w:style w:type="character" w:customStyle="1" w:styleId="cit-source">
    <w:name w:val="cit-source"/>
    <w:basedOn w:val="DefaultParagraphFont"/>
  </w:style>
  <w:style w:type="character" w:customStyle="1" w:styleId="cit-pub-date">
    <w:name w:val="cit-pub-date"/>
    <w:basedOn w:val="DefaultParagraphFont"/>
  </w:style>
  <w:style w:type="character" w:customStyle="1" w:styleId="cit-vol">
    <w:name w:val="cit-vol"/>
    <w:basedOn w:val="DefaultParagraphFont"/>
  </w:style>
  <w:style w:type="character" w:customStyle="1" w:styleId="cit-fpage">
    <w:name w:val="cit-fpage"/>
    <w:basedOn w:val="DefaultParagraphFont"/>
  </w:style>
  <w:style w:type="character" w:customStyle="1" w:styleId="cit">
    <w:name w:val="cit"/>
    <w:basedOn w:val="DefaultParagraphFont"/>
  </w:style>
  <w:style w:type="character" w:customStyle="1" w:styleId="oneclick-link">
    <w:name w:val="oneclick-link"/>
    <w:basedOn w:val="DefaultParagraphFont"/>
  </w:style>
  <w:style w:type="character" w:customStyle="1" w:styleId="SourceChar0">
    <w:name w:val="Source Char"/>
    <w:link w:val="Source0"/>
    <w:rPr>
      <w:rFonts w:ascii="Georgia" w:eastAsia="Times New Roman" w:hAnsi="Georgia" w:cs="Times New Roman"/>
      <w:color w:val="333333"/>
      <w:sz w:val="18"/>
      <w:szCs w:val="24"/>
    </w:rPr>
  </w:style>
  <w:style w:type="paragraph" w:customStyle="1" w:styleId="footer1fig">
    <w:name w:val="footer1fig"/>
    <w:basedOn w:val="FootnoteText"/>
    <w:link w:val="footer1figChar"/>
    <w:qFormat/>
    <w:pPr>
      <w:keepNext/>
      <w:widowControl w:val="0"/>
      <w:suppressLineNumbers/>
      <w:tabs>
        <w:tab w:val="left" w:pos="142"/>
        <w:tab w:val="left" w:pos="4536"/>
        <w:tab w:val="left" w:pos="7938"/>
      </w:tabs>
      <w:suppressAutoHyphens/>
      <w:spacing w:before="60"/>
      <w:ind w:left="198" w:hanging="198"/>
    </w:pPr>
    <w:rPr>
      <w:rFonts w:ascii="Verdana" w:hAnsi="Verdana"/>
      <w:color w:val="548DD4" w:themeColor="text2" w:themeTint="99"/>
      <w:sz w:val="16"/>
      <w:szCs w:val="16"/>
      <w:lang w:val="en-US"/>
    </w:rPr>
  </w:style>
  <w:style w:type="character" w:customStyle="1" w:styleId="footer1figChar">
    <w:name w:val="footer1fig Char"/>
    <w:basedOn w:val="DefaultParagraphFont"/>
    <w:link w:val="footer1fig"/>
    <w:rPr>
      <w:rFonts w:ascii="Verdana" w:eastAsia="Times New Roman" w:hAnsi="Verdana" w:cs="Times New Roman"/>
      <w:color w:val="548DD4" w:themeColor="text2" w:themeTint="99"/>
      <w:sz w:val="16"/>
      <w:szCs w:val="16"/>
      <w:lang w:val="en-US"/>
    </w:rPr>
  </w:style>
  <w:style w:type="paragraph" w:customStyle="1" w:styleId="Tablebody">
    <w:name w:val="Table_body"/>
    <w:basedOn w:val="Body"/>
    <w:link w:val="TablebodyChar"/>
    <w:qFormat/>
    <w:rPr>
      <w:sz w:val="18"/>
      <w:szCs w:val="18"/>
      <w:lang w:val="it-IT"/>
    </w:rPr>
  </w:style>
  <w:style w:type="character" w:customStyle="1" w:styleId="TablebodyChar">
    <w:name w:val="Table_body Char"/>
    <w:basedOn w:val="BodyChar"/>
    <w:link w:val="Tablebody"/>
    <w:rPr>
      <w:rFonts w:ascii="Verdana" w:hAnsi="Verdana"/>
      <w:sz w:val="18"/>
      <w:szCs w:val="18"/>
      <w:lang w:val="it-IT"/>
    </w:rPr>
  </w:style>
  <w:style w:type="character" w:customStyle="1" w:styleId="TabletextChar">
    <w:name w:val="Table_text Char"/>
    <w:basedOn w:val="DefaultParagraphFont"/>
    <w:link w:val="Tabletext1"/>
    <w:locked/>
    <w:rPr>
      <w:rFonts w:ascii="Verdana" w:hAnsi="Verdana"/>
      <w:sz w:val="17"/>
      <w:szCs w:val="17"/>
    </w:rPr>
  </w:style>
  <w:style w:type="paragraph" w:customStyle="1" w:styleId="Tabletext1">
    <w:name w:val="Table_text"/>
    <w:basedOn w:val="Normal"/>
    <w:link w:val="TabletextChar"/>
    <w:qFormat/>
    <w:rPr>
      <w:rFonts w:ascii="Verdana" w:eastAsiaTheme="minorHAnsi" w:hAnsi="Verdana" w:cstheme="minorBidi"/>
      <w:sz w:val="17"/>
      <w:szCs w:val="17"/>
    </w:rPr>
  </w:style>
  <w:style w:type="paragraph" w:customStyle="1" w:styleId="Bullet3n">
    <w:name w:val="Bullet3n"/>
    <w:basedOn w:val="ListParagraph"/>
    <w:link w:val="Bullet3nChar"/>
    <w:uiPriority w:val="99"/>
    <w:pPr>
      <w:numPr>
        <w:numId w:val="38"/>
      </w:numPr>
    </w:pPr>
    <w:rPr>
      <w:rFonts w:ascii="Verdana" w:hAnsi="Verdana" w:cs="Calibri"/>
      <w:color w:val="000000" w:themeColor="text1"/>
      <w:sz w:val="15"/>
      <w:szCs w:val="15"/>
    </w:rPr>
  </w:style>
  <w:style w:type="character" w:customStyle="1" w:styleId="Bullet3nChar">
    <w:name w:val="Bullet3n Char"/>
    <w:basedOn w:val="DefaultParagraphFont"/>
    <w:link w:val="Bullet3n"/>
    <w:uiPriority w:val="99"/>
    <w:locked/>
    <w:rPr>
      <w:rFonts w:ascii="Verdana" w:eastAsia="Times New Roman" w:hAnsi="Verdana" w:cs="Calibri"/>
      <w:color w:val="000000" w:themeColor="text1"/>
      <w:sz w:val="15"/>
      <w:szCs w:val="15"/>
    </w:rPr>
  </w:style>
  <w:style w:type="paragraph" w:customStyle="1" w:styleId="Heading1HOME">
    <w:name w:val="Heading1HOME"/>
    <w:basedOn w:val="Heading1"/>
    <w:next w:val="Body"/>
    <w:link w:val="Heading1HOMEChar"/>
    <w:uiPriority w:val="99"/>
    <w:rPr>
      <w:rFonts w:ascii="Verdana" w:hAnsi="Verdana"/>
    </w:rPr>
  </w:style>
  <w:style w:type="paragraph" w:customStyle="1" w:styleId="Heading2HOME">
    <w:name w:val="Heading2HOME"/>
    <w:basedOn w:val="Heading2"/>
    <w:next w:val="Body"/>
    <w:link w:val="Heading2HOMEChar"/>
    <w:uiPriority w:val="99"/>
    <w:pPr>
      <w:numPr>
        <w:numId w:val="37"/>
      </w:numPr>
      <w:tabs>
        <w:tab w:val="left" w:pos="1026"/>
      </w:tabs>
    </w:pPr>
    <w:rPr>
      <w:rFonts w:ascii="Verdana" w:hAnsi="Verdana"/>
    </w:rPr>
  </w:style>
  <w:style w:type="character" w:customStyle="1" w:styleId="Heading1HOMEChar">
    <w:name w:val="Heading1HOME Char"/>
    <w:basedOn w:val="Heading1Char"/>
    <w:link w:val="Heading1HOME"/>
    <w:uiPriority w:val="99"/>
    <w:locked/>
    <w:rPr>
      <w:rFonts w:ascii="Verdana" w:eastAsia="Times New Roman" w:hAnsi="Verdana" w:cs="Times New Roman"/>
      <w:b/>
      <w:smallCaps/>
      <w:sz w:val="24"/>
      <w:szCs w:val="24"/>
    </w:rPr>
  </w:style>
  <w:style w:type="character" w:customStyle="1" w:styleId="Heading2HOMEChar">
    <w:name w:val="Heading2HOME Char"/>
    <w:basedOn w:val="Heading2Char"/>
    <w:link w:val="Heading2HOME"/>
    <w:uiPriority w:val="99"/>
    <w:locked/>
    <w:rPr>
      <w:rFonts w:ascii="Verdana" w:eastAsia="Times New Roman" w:hAnsi="Verdana" w:cs="Times New Roman"/>
      <w:b/>
      <w:sz w:val="24"/>
      <w:szCs w:val="20"/>
    </w:rPr>
  </w:style>
  <w:style w:type="table" w:customStyle="1" w:styleId="DocumentTable1">
    <w:name w:val="Document Table1"/>
    <w:basedOn w:val="TableNormal"/>
    <w:next w:val="TableGrid"/>
    <w:uiPriority w:val="5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Tahoma" w:hAnsi="Tahoma"/>
        <w:b/>
        <w:color w:val="FFFFFF" w:themeColor="background1"/>
        <w:sz w:val="18"/>
      </w:rPr>
      <w:tblPr/>
      <w:tcPr>
        <w:shd w:val="clear" w:color="auto" w:fill="00AEF0"/>
      </w:tcPr>
    </w:tblStylePr>
    <w:tblStylePr w:type="band1Horz">
      <w:rPr>
        <w:sz w:val="18"/>
      </w:rPr>
    </w:tblStylePr>
  </w:style>
  <w:style w:type="paragraph" w:customStyle="1" w:styleId="CharCharCharCharChar">
    <w:name w:val="Char Char Char Char Char"/>
    <w:basedOn w:val="Normal"/>
    <w:next w:val="Normal"/>
    <w:pPr>
      <w:spacing w:after="160" w:line="240" w:lineRule="exact"/>
    </w:pPr>
    <w:rPr>
      <w:rFonts w:ascii="Tahoma" w:hAnsi="Tahoma"/>
      <w:lang w:val="en-US" w:eastAsia="zh-CN"/>
    </w:rPr>
  </w:style>
  <w:style w:type="table" w:customStyle="1" w:styleId="TableGridLight1">
    <w:name w:val="Table Grid Light1"/>
    <w:basedOn w:val="TableNormal"/>
    <w:uiPriority w:val="40"/>
    <w:pPr>
      <w:spacing w:after="0" w:line="240" w:lineRule="auto"/>
    </w:pPr>
    <w:rPr>
      <w:rFonts w:ascii="Times New Roman" w:eastAsia="Times New Roman" w:hAnsi="Times New Roman" w:cs="Times New Roman"/>
      <w:sz w:val="20"/>
      <w:szCs w:val="20"/>
      <w:lang w:val="nl-BE" w:eastAsia="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text">
    <w:name w:val="Box text"/>
    <w:basedOn w:val="Body"/>
    <w:link w:val="BoxtextChar"/>
    <w:qFormat/>
    <w:pPr>
      <w:contextualSpacing/>
    </w:pPr>
    <w:rPr>
      <w:rFonts w:cstheme="minorHAnsi"/>
      <w:b/>
      <w:color w:val="000000" w:themeColor="text1"/>
      <w:sz w:val="18"/>
    </w:rPr>
  </w:style>
  <w:style w:type="character" w:customStyle="1" w:styleId="BoxtextChar">
    <w:name w:val="Box text Char"/>
    <w:basedOn w:val="BodyChar"/>
    <w:link w:val="Boxtext"/>
    <w:rPr>
      <w:rFonts w:ascii="Verdana" w:hAnsi="Verdana" w:cstheme="minorHAnsi"/>
      <w:b/>
      <w:color w:val="000000" w:themeColor="text1"/>
      <w:sz w:val="18"/>
    </w:rPr>
  </w:style>
  <w:style w:type="paragraph" w:customStyle="1" w:styleId="Footnotestyle">
    <w:name w:val="Footnote style"/>
    <w:basedOn w:val="Normal"/>
    <w:link w:val="FootnotestyleChar"/>
    <w:uiPriority w:val="99"/>
    <w:qFormat/>
    <w:rPr>
      <w:rFonts w:ascii="Verdana" w:hAnsi="Verdana"/>
      <w:sz w:val="16"/>
      <w:szCs w:val="16"/>
    </w:rPr>
  </w:style>
  <w:style w:type="character" w:customStyle="1" w:styleId="FootnotestyleChar">
    <w:name w:val="Footnote style Char"/>
    <w:basedOn w:val="DefaultParagraphFont"/>
    <w:link w:val="Footnotestyle"/>
    <w:uiPriority w:val="99"/>
    <w:rPr>
      <w:rFonts w:ascii="Verdana" w:eastAsia="Times New Roman" w:hAnsi="Verdana" w:cs="Times New Roman"/>
      <w:sz w:val="16"/>
      <w:szCs w:val="16"/>
    </w:rPr>
  </w:style>
  <w:style w:type="paragraph" w:styleId="Bibliography">
    <w:name w:val="Bibliography"/>
    <w:basedOn w:val="Normal"/>
    <w:next w:val="Normal"/>
    <w:uiPriority w:val="37"/>
    <w:unhideWhenUsed/>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ascii="Times New Roman" w:eastAsia="Times New Roman" w:hAnsi="Times New Roman" w:cs="Times New Roman"/>
      <w:sz w:val="24"/>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unhideWhenUsed/>
    <w:rPr>
      <w:rFonts w:ascii="Consolas" w:hAnsi="Consolas"/>
      <w:sz w:val="20"/>
    </w:rPr>
  </w:style>
  <w:style w:type="character" w:customStyle="1" w:styleId="HTMLPreformattedChar">
    <w:name w:val="HTML Preformatted Char"/>
    <w:basedOn w:val="DefaultParagraphFont"/>
    <w:link w:val="HTMLPreformatted"/>
    <w:uiPriority w:val="99"/>
    <w:rPr>
      <w:rFonts w:ascii="Consolas" w:eastAsia="Times New Roman" w:hAnsi="Consolas" w:cs="Times New Roman"/>
      <w:sz w:val="20"/>
      <w:szCs w:val="20"/>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F81BD" w:themeColor="accent1"/>
      <w:sz w:val="24"/>
      <w:szCs w:val="20"/>
    </w:rPr>
  </w:style>
  <w:style w:type="paragraph" w:styleId="NoSpacing">
    <w:name w:val="No Spacing"/>
    <w:uiPriority w:val="1"/>
    <w:qFormat/>
    <w:pPr>
      <w:spacing w:after="0" w:line="240" w:lineRule="auto"/>
      <w:jc w:val="both"/>
    </w:pPr>
    <w:rPr>
      <w:rFonts w:ascii="Times New Roman" w:eastAsia="Times New Roman" w:hAnsi="Times New Roman" w:cs="Times New Roman"/>
      <w:sz w:val="24"/>
      <w:szCs w:val="20"/>
      <w:lang w:val="fr-FR"/>
    </w:rPr>
  </w:style>
  <w:style w:type="paragraph" w:customStyle="1" w:styleId="subtitle2">
    <w:name w:val="subtitle 2"/>
    <w:basedOn w:val="Normal"/>
    <w:next w:val="Body"/>
    <w:pPr>
      <w:numPr>
        <w:ilvl w:val="1"/>
        <w:numId w:val="39"/>
      </w:numPr>
      <w:spacing w:before="240" w:after="120" w:line="276" w:lineRule="auto"/>
    </w:pPr>
    <w:rPr>
      <w:rFonts w:ascii="Verdana" w:hAnsi="Verdana"/>
      <w:b/>
      <w:sz w:val="18"/>
      <w:lang w:eastAsia="en-GB"/>
    </w:rPr>
  </w:style>
  <w:style w:type="paragraph" w:customStyle="1" w:styleId="AnnexHeading2">
    <w:name w:val="Annex Heading 2"/>
    <w:basedOn w:val="Normal"/>
    <w:next w:val="Normal"/>
    <w:autoRedefine/>
    <w:qFormat/>
    <w:pPr>
      <w:keepNext/>
      <w:keepLines/>
      <w:spacing w:before="120"/>
      <w:ind w:left="360" w:hanging="360"/>
      <w:outlineLvl w:val="1"/>
    </w:pPr>
    <w:rPr>
      <w:rFonts w:ascii="Verdana" w:hAnsi="Verdana" w:cs="Arial"/>
      <w:b/>
      <w:bCs/>
      <w:sz w:val="22"/>
      <w:szCs w:val="28"/>
      <w:lang w:eastAsia="nl-BE"/>
    </w:rPr>
  </w:style>
  <w:style w:type="paragraph" w:customStyle="1" w:styleId="Char3CharCharCharCharChar">
    <w:name w:val="Char3 Char Char Char Char Char"/>
    <w:basedOn w:val="Normal"/>
    <w:next w:val="Normal"/>
    <w:pPr>
      <w:spacing w:after="160" w:line="240" w:lineRule="exact"/>
    </w:pPr>
    <w:rPr>
      <w:rFonts w:ascii="Tahoma" w:hAnsi="Tahoma"/>
      <w:lang w:val="en-US" w:eastAsia="zh-CN"/>
    </w:rPr>
  </w:style>
  <w:style w:type="paragraph" w:customStyle="1" w:styleId="TableText">
    <w:name w:val="Table Text"/>
    <w:basedOn w:val="Normal"/>
    <w:qFormat/>
    <w:pPr>
      <w:numPr>
        <w:numId w:val="41"/>
      </w:numPr>
      <w:tabs>
        <w:tab w:val="left" w:pos="907"/>
      </w:tabs>
      <w:suppressAutoHyphens/>
      <w:spacing w:before="60" w:after="60"/>
      <w:contextualSpacing/>
    </w:pPr>
    <w:rPr>
      <w:rFonts w:ascii="EYInterstate Light" w:hAnsi="EYInterstate Light"/>
      <w:kern w:val="12"/>
      <w:sz w:val="18"/>
      <w:lang w:val="en-US" w:eastAsia="ar-SA"/>
    </w:rPr>
  </w:style>
  <w:style w:type="paragraph" w:customStyle="1" w:styleId="Bulletcoretext">
    <w:name w:val="Bullet core text"/>
    <w:basedOn w:val="ListParagraph"/>
    <w:link w:val="BulletcoretextChar"/>
    <w:pPr>
      <w:numPr>
        <w:numId w:val="40"/>
      </w:numPr>
      <w:spacing w:after="120"/>
    </w:pPr>
    <w:rPr>
      <w:rFonts w:ascii="EYInterstate Light" w:eastAsiaTheme="minorHAnsi" w:hAnsi="EYInterstate Light" w:cstheme="minorBidi"/>
      <w:sz w:val="20"/>
      <w:szCs w:val="22"/>
    </w:rPr>
  </w:style>
  <w:style w:type="character" w:customStyle="1" w:styleId="BulletcoretextChar">
    <w:name w:val="Bullet core text Char"/>
    <w:basedOn w:val="DefaultParagraphFont"/>
    <w:link w:val="Bulletcoretext"/>
    <w:rPr>
      <w:rFonts w:ascii="EYInterstate Light" w:hAnsi="EYInterstate Light"/>
      <w:sz w:val="20"/>
    </w:rPr>
  </w:style>
  <w:style w:type="paragraph" w:customStyle="1" w:styleId="EQ">
    <w:name w:val="EQ"/>
    <w:basedOn w:val="Body"/>
    <w:link w:val="EQChar"/>
    <w:qFormat/>
    <w:pPr>
      <w:shd w:val="clear" w:color="auto" w:fill="F2F2F2" w:themeFill="background1" w:themeFillShade="F2"/>
    </w:pPr>
    <w:rPr>
      <w:i/>
      <w:sz w:val="18"/>
    </w:rPr>
  </w:style>
  <w:style w:type="character" w:customStyle="1" w:styleId="EQChar">
    <w:name w:val="EQ Char"/>
    <w:basedOn w:val="BodyChar"/>
    <w:link w:val="EQ"/>
    <w:rPr>
      <w:rFonts w:ascii="Verdana" w:hAnsi="Verdana"/>
      <w:i/>
      <w:sz w:val="18"/>
      <w:shd w:val="clear" w:color="auto" w:fill="F2F2F2" w:themeFill="background1" w:themeFillShade="F2"/>
    </w:rPr>
  </w:style>
  <w:style w:type="paragraph" w:customStyle="1" w:styleId="StyleStyle4Left0cmFirstline0cm">
    <w:name w:val="Style Style4 + Left:  0 cm First line:  0 cm"/>
    <w:basedOn w:val="Heading3"/>
    <w:pPr>
      <w:tabs>
        <w:tab w:val="left" w:pos="1026"/>
      </w:tabs>
      <w:spacing w:before="240"/>
    </w:pPr>
    <w:rPr>
      <w:rFonts w:ascii="Verdana" w:hAnsi="Verdana"/>
      <w:b/>
      <w:iCs/>
      <w:sz w:val="20"/>
      <w:lang w:val="en-U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style>
  <w:style w:type="table" w:customStyle="1" w:styleId="LightShading1">
    <w:name w:val="Light Shading1"/>
    <w:basedOn w:val="TableNormal"/>
    <w:next w:val="LightShading"/>
    <w:uiPriority w:val="60"/>
    <w:pPr>
      <w:spacing w:after="0" w:line="240" w:lineRule="auto"/>
    </w:pPr>
    <w:rPr>
      <w:rFonts w:ascii="Calibri" w:eastAsia="Calibri" w:hAnsi="Calibri" w:cs="Times New Roman"/>
      <w:color w:val="000000"/>
      <w:sz w:val="16"/>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dicator">
    <w:name w:val="Indicator"/>
    <w:basedOn w:val="Normal"/>
    <w:link w:val="IndicatorChar"/>
    <w:qFormat/>
    <w:pPr>
      <w:spacing w:before="120" w:after="120"/>
    </w:pPr>
    <w:rPr>
      <w:rFonts w:ascii="Verdana" w:eastAsia="Calibri" w:hAnsi="Verdana"/>
      <w:b/>
      <w:color w:val="4F81BD"/>
      <w:sz w:val="18"/>
      <w:szCs w:val="18"/>
      <w:lang w:eastAsia="en-GB"/>
    </w:rPr>
  </w:style>
  <w:style w:type="character" w:customStyle="1" w:styleId="IndicatorChar">
    <w:name w:val="Indicator Char"/>
    <w:basedOn w:val="DefaultParagraphFont"/>
    <w:link w:val="Indicator"/>
    <w:rPr>
      <w:rFonts w:ascii="Verdana" w:eastAsia="Calibri" w:hAnsi="Verdana" w:cs="Times New Roman"/>
      <w:b/>
      <w:color w:val="4F81BD"/>
      <w:sz w:val="18"/>
      <w:szCs w:val="18"/>
      <w:lang w:eastAsia="en-GB"/>
    </w:rPr>
  </w:style>
  <w:style w:type="table" w:customStyle="1" w:styleId="Style11">
    <w:name w:val="Style11"/>
    <w:basedOn w:val="TableNormal"/>
    <w:uiPriority w:val="99"/>
    <w:pPr>
      <w:spacing w:after="0" w:line="240" w:lineRule="auto"/>
    </w:pPr>
    <w:rPr>
      <w:rFonts w:ascii="Calibri" w:eastAsia="Calibri" w:hAnsi="Calibri" w:cs="Times New Roman"/>
    </w:rPr>
    <w:tblPr/>
  </w:style>
  <w:style w:type="paragraph" w:customStyle="1" w:styleId="CharCharCharCharChar0">
    <w:name w:val="Char Char Char Char Char0"/>
    <w:basedOn w:val="Normal"/>
    <w:next w:val="Normal"/>
    <w:pPr>
      <w:spacing w:after="160" w:line="240" w:lineRule="exact"/>
    </w:pPr>
    <w:rPr>
      <w:rFonts w:ascii="Tahoma" w:hAnsi="Tahoma"/>
      <w:lang w:val="en-US" w:eastAsia="zh-CN"/>
    </w:rPr>
  </w:style>
  <w:style w:type="paragraph" w:customStyle="1" w:styleId="CharCharCharCharChar1">
    <w:name w:val="Char Char Char Char Char1"/>
    <w:basedOn w:val="Normal"/>
    <w:next w:val="Normal"/>
    <w:pPr>
      <w:spacing w:after="160" w:line="240" w:lineRule="exact"/>
    </w:pPr>
    <w:rPr>
      <w:rFonts w:ascii="Tahoma" w:hAnsi="Tahoma"/>
      <w:lang w:val="en-US" w:eastAsia="zh-CN"/>
    </w:rPr>
  </w:style>
  <w:style w:type="paragraph" w:customStyle="1" w:styleId="CharCharCharCharChar2">
    <w:name w:val="Char Char Char Char Char2"/>
    <w:basedOn w:val="Normal"/>
    <w:next w:val="Normal"/>
    <w:pPr>
      <w:spacing w:after="160" w:line="240" w:lineRule="exact"/>
    </w:pPr>
    <w:rPr>
      <w:rFonts w:ascii="Tahoma" w:hAnsi="Tahoma"/>
      <w:lang w:val="en-US" w:eastAsia="zh-CN"/>
    </w:rPr>
  </w:style>
  <w:style w:type="table" w:customStyle="1" w:styleId="TableGridLight2">
    <w:name w:val="Table Grid Light2"/>
    <w:basedOn w:val="TableNormal"/>
    <w:uiPriority w:val="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
    <w:name w:val="subhead"/>
    <w:basedOn w:val="Normal"/>
    <w:autoRedefine/>
    <w:qFormat/>
    <w:pPr>
      <w:widowControl w:val="0"/>
      <w:tabs>
        <w:tab w:val="left" w:pos="4536"/>
      </w:tabs>
      <w:suppressAutoHyphens/>
      <w:autoSpaceDE w:val="0"/>
      <w:autoSpaceDN w:val="0"/>
      <w:adjustRightInd w:val="0"/>
      <w:spacing w:before="320" w:line="240" w:lineRule="atLeast"/>
      <w:textAlignment w:val="center"/>
    </w:pPr>
    <w:rPr>
      <w:rFonts w:ascii="Arial" w:eastAsia="Cambria" w:hAnsi="Arial" w:cs="ArialMT"/>
      <w:b/>
      <w:color w:val="000000"/>
      <w:sz w:val="28"/>
      <w:szCs w:val="28"/>
    </w:rPr>
  </w:style>
  <w:style w:type="paragraph" w:customStyle="1" w:styleId="Reporttitle">
    <w:name w:val="Report title"/>
    <w:basedOn w:val="Normal"/>
    <w:autoRedefine/>
    <w:qFormat/>
    <w:pPr>
      <w:tabs>
        <w:tab w:val="left" w:pos="4536"/>
      </w:tabs>
      <w:spacing w:before="120" w:after="120" w:line="276" w:lineRule="auto"/>
      <w:ind w:right="-101"/>
    </w:pPr>
    <w:rPr>
      <w:rFonts w:ascii="Arial" w:eastAsia="Cambria" w:hAnsi="Arial"/>
      <w:b/>
      <w:sz w:val="76"/>
    </w:rPr>
  </w:style>
  <w:style w:type="paragraph" w:customStyle="1" w:styleId="name">
    <w:name w:val="name"/>
    <w:basedOn w:val="Normal"/>
    <w:autoRedefine/>
    <w:qFormat/>
    <w:pPr>
      <w:widowControl w:val="0"/>
      <w:shd w:val="solid" w:color="FFFFFF" w:fill="auto"/>
      <w:tabs>
        <w:tab w:val="left" w:pos="4536"/>
      </w:tabs>
      <w:suppressAutoHyphens/>
      <w:autoSpaceDE w:val="0"/>
      <w:autoSpaceDN w:val="0"/>
      <w:adjustRightInd w:val="0"/>
      <w:spacing w:before="2800" w:line="240" w:lineRule="atLeast"/>
      <w:textAlignment w:val="center"/>
    </w:pPr>
    <w:rPr>
      <w:rFonts w:ascii="Arial" w:eastAsia="Cambria" w:hAnsi="Arial" w:cs="ArialMT"/>
      <w:b/>
      <w:color w:val="000000"/>
      <w:sz w:val="20"/>
    </w:rPr>
  </w:style>
  <w:style w:type="paragraph" w:customStyle="1" w:styleId="Dash1">
    <w:name w:val="Dash 1"/>
    <w:basedOn w:val="Normal"/>
    <w:pPr>
      <w:numPr>
        <w:numId w:val="42"/>
      </w:numPr>
      <w:spacing w:before="120" w:after="120" w:line="360" w:lineRule="auto"/>
      <w:outlineLvl w:val="0"/>
    </w:pPr>
    <w:rPr>
      <w:szCs w:val="24"/>
    </w:rPr>
  </w:style>
  <w:style w:type="paragraph" w:customStyle="1" w:styleId="Dash2">
    <w:name w:val="Dash 2"/>
    <w:basedOn w:val="Normal"/>
    <w:pPr>
      <w:tabs>
        <w:tab w:val="num" w:pos="1701"/>
      </w:tabs>
      <w:spacing w:before="120" w:after="120" w:line="360" w:lineRule="auto"/>
      <w:ind w:left="1701" w:hanging="567"/>
      <w:outlineLvl w:val="1"/>
    </w:pPr>
    <w:rPr>
      <w:szCs w:val="24"/>
    </w:rPr>
  </w:style>
  <w:style w:type="character" w:customStyle="1" w:styleId="FunotentextfChar1">
    <w:name w:val="Fußnotentextf Char1"/>
    <w:aliases w:val="Footnote Text Char Char1,Note de bas de page Car Car Car Car Car Car Car Car Car Car Char1,Note de bas de page Car Car Car Car Char1,Note de bas de page Car Car Car Car Car Car Car Car Car Char1"/>
    <w:basedOn w:val="DefaultParagraphFont"/>
    <w:uiPriority w:val="99"/>
    <w:rPr>
      <w:rFonts w:ascii="Verdana" w:hAnsi="Verdana"/>
    </w:rPr>
  </w:style>
  <w:style w:type="table" w:customStyle="1" w:styleId="TableGrid2">
    <w:name w:val="Table Grid2"/>
    <w:basedOn w:val="TableNormal"/>
    <w:next w:val="TableGrid"/>
    <w:uiPriority w:val="39"/>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11">
    <w:name w:val="CV111"/>
    <w:basedOn w:val="TableNormal"/>
    <w:next w:val="TableGrid"/>
    <w:uiPriority w:val="59"/>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color w:val="FFFFFF"/>
      </w:rPr>
      <w:tblPr/>
      <w:tcPr>
        <w:shd w:val="clear" w:color="auto" w:fill="00AEF0"/>
      </w:tcPr>
    </w:tblStylePr>
  </w:style>
  <w:style w:type="paragraph" w:customStyle="1" w:styleId="HH1">
    <w:name w:val="HH1"/>
    <w:basedOn w:val="ListParagraph"/>
    <w:link w:val="HH1Char"/>
    <w:qFormat/>
    <w:pPr>
      <w:keepNext/>
      <w:numPr>
        <w:numId w:val="61"/>
      </w:numPr>
      <w:spacing w:before="240" w:after="240"/>
      <w:jc w:val="both"/>
      <w:outlineLvl w:val="0"/>
    </w:pPr>
    <w:rPr>
      <w:b/>
      <w:smallCaps/>
      <w:color w:val="365F91" w:themeColor="accent1" w:themeShade="BF"/>
      <w:sz w:val="32"/>
      <w:szCs w:val="32"/>
    </w:rPr>
  </w:style>
  <w:style w:type="paragraph" w:customStyle="1" w:styleId="HH2">
    <w:name w:val="HH2"/>
    <w:basedOn w:val="ListParagraph"/>
    <w:link w:val="HH2Char"/>
    <w:qFormat/>
    <w:pPr>
      <w:keepNext/>
      <w:numPr>
        <w:ilvl w:val="1"/>
        <w:numId w:val="61"/>
      </w:numPr>
      <w:spacing w:before="240" w:after="240"/>
      <w:jc w:val="both"/>
      <w:outlineLvl w:val="1"/>
    </w:pPr>
    <w:rPr>
      <w:b/>
      <w:sz w:val="28"/>
      <w:szCs w:val="28"/>
      <w:u w:val="single"/>
    </w:rPr>
  </w:style>
  <w:style w:type="character" w:customStyle="1" w:styleId="HH1Char">
    <w:name w:val="HH1 Char"/>
    <w:basedOn w:val="Heading1Char"/>
    <w:link w:val="HH1"/>
    <w:rPr>
      <w:rFonts w:ascii="Times New Roman" w:eastAsia="Times New Roman" w:hAnsi="Times New Roman" w:cs="Times New Roman"/>
      <w:b/>
      <w:smallCaps/>
      <w:color w:val="365F91" w:themeColor="accent1" w:themeShade="BF"/>
      <w:sz w:val="32"/>
      <w:szCs w:val="32"/>
    </w:rPr>
  </w:style>
  <w:style w:type="character" w:customStyle="1" w:styleId="HH2Char">
    <w:name w:val="HH2 Char"/>
    <w:basedOn w:val="Heading2Char"/>
    <w:link w:val="HH2"/>
    <w:rPr>
      <w:rFonts w:ascii="Times New Roman" w:eastAsia="Times New Roman" w:hAnsi="Times New Roman" w:cs="Times New Roman"/>
      <w:b/>
      <w:sz w:val="28"/>
      <w:szCs w:val="28"/>
      <w:u w:val="single"/>
    </w:rPr>
  </w:style>
  <w:style w:type="paragraph" w:customStyle="1" w:styleId="CharCharCharCharChar7">
    <w:name w:val="Char Char Char Char Char7"/>
    <w:basedOn w:val="Normal"/>
    <w:next w:val="Normal"/>
    <w:pPr>
      <w:spacing w:after="160" w:line="240" w:lineRule="exact"/>
    </w:pPr>
    <w:rPr>
      <w:rFonts w:ascii="Tahoma" w:hAnsi="Tahoma"/>
      <w:lang w:val="en-US" w:eastAsia="zh-CN"/>
    </w:rPr>
  </w:style>
  <w:style w:type="paragraph" w:customStyle="1" w:styleId="CharCharCharCharChar6">
    <w:name w:val="Char Char Char Char Char6"/>
    <w:basedOn w:val="Normal"/>
    <w:next w:val="Normal"/>
    <w:pPr>
      <w:spacing w:after="160" w:line="240" w:lineRule="exact"/>
    </w:pPr>
    <w:rPr>
      <w:rFonts w:ascii="Tahoma" w:hAnsi="Tahoma"/>
      <w:lang w:val="en-US" w:eastAsia="zh-CN"/>
    </w:rPr>
  </w:style>
  <w:style w:type="paragraph" w:customStyle="1" w:styleId="CharCharCharCharChar5">
    <w:name w:val="Char Char Char Char Char5"/>
    <w:basedOn w:val="Normal"/>
    <w:next w:val="Normal"/>
    <w:pPr>
      <w:spacing w:after="160" w:line="240" w:lineRule="exact"/>
    </w:pPr>
    <w:rPr>
      <w:rFonts w:ascii="Tahoma" w:hAnsi="Tahoma"/>
      <w:lang w:val="en-US" w:eastAsia="zh-CN"/>
    </w:rPr>
  </w:style>
  <w:style w:type="paragraph" w:customStyle="1" w:styleId="CharCharCharCharChar4">
    <w:name w:val="Char Char Char Char Char4"/>
    <w:basedOn w:val="Normal"/>
    <w:next w:val="Normal"/>
    <w:pPr>
      <w:spacing w:after="160" w:line="240" w:lineRule="exact"/>
    </w:pPr>
    <w:rPr>
      <w:rFonts w:ascii="Tahoma" w:hAnsi="Tahoma"/>
      <w:lang w:val="en-US" w:eastAsia="zh-CN"/>
    </w:rPr>
  </w:style>
  <w:style w:type="paragraph" w:customStyle="1" w:styleId="CharCharCharCharChar3">
    <w:name w:val="Char Char Char Char Char3"/>
    <w:basedOn w:val="Normal"/>
    <w:next w:val="Normal"/>
    <w:pPr>
      <w:spacing w:after="160" w:line="240" w:lineRule="exact"/>
    </w:pPr>
    <w:rPr>
      <w:rFonts w:ascii="Tahoma" w:hAnsi="Tahoma"/>
      <w:lang w:val="en-US" w:eastAsia="zh-CN"/>
    </w:rPr>
  </w:style>
  <w:style w:type="paragraph" w:customStyle="1" w:styleId="BoxTextvero">
    <w:name w:val="Box Text vero"/>
    <w:basedOn w:val="Boxtext"/>
    <w:link w:val="BoxTextveroChar"/>
    <w:rPr>
      <w:b w:val="0"/>
    </w:rPr>
  </w:style>
  <w:style w:type="character" w:customStyle="1" w:styleId="BoxTextveroChar">
    <w:name w:val="Box Text vero Char"/>
    <w:basedOn w:val="BoxtextChar"/>
    <w:link w:val="BoxTextvero"/>
    <w:rPr>
      <w:rFonts w:ascii="Verdana" w:hAnsi="Verdana" w:cstheme="minorHAnsi"/>
      <w:b w:val="0"/>
      <w:color w:val="000000" w:themeColor="text1"/>
      <w:sz w:val="18"/>
    </w:rPr>
  </w:style>
  <w:style w:type="table" w:customStyle="1" w:styleId="TableEY1">
    <w:name w:val="Table EY1"/>
    <w:basedOn w:val="TableNormal"/>
    <w:next w:val="TableGrid"/>
    <w:uiPriority w:val="39"/>
    <w:pPr>
      <w:spacing w:after="0" w:line="240" w:lineRule="auto"/>
    </w:pPr>
    <w:rPr>
      <w:rFonts w:ascii="EYInterstate Light" w:eastAsia="Calibri" w:hAnsi="EYInterstate Light" w:cs="Times New Roman"/>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pPr>
      <w:numPr>
        <w:numId w:val="43"/>
      </w:numPr>
      <w:spacing w:after="60"/>
      <w:ind w:left="924" w:hanging="357"/>
    </w:pPr>
    <w:rPr>
      <w:rFonts w:ascii="EYInterstate Light" w:eastAsiaTheme="minorHAnsi" w:hAnsi="EYInterstate Light" w:cstheme="minorBidi"/>
      <w:sz w:val="20"/>
      <w:szCs w:val="22"/>
    </w:rPr>
  </w:style>
  <w:style w:type="character" w:customStyle="1" w:styleId="Style4Char">
    <w:name w:val="Style4 Char"/>
    <w:link w:val="Style4"/>
    <w:rPr>
      <w:rFonts w:ascii="Verdana" w:eastAsia="Times New Roman" w:hAnsi="Verdana" w:cs="Times New Roman"/>
      <w:bCs/>
      <w:i/>
      <w:iCs/>
      <w:noProof/>
      <w:sz w:val="20"/>
      <w:szCs w:val="20"/>
      <w:lang w:eastAsia="nl-BE"/>
    </w:rPr>
  </w:style>
  <w:style w:type="paragraph" w:customStyle="1" w:styleId="bullet1">
    <w:name w:val="bullet 1"/>
    <w:basedOn w:val="Normal"/>
    <w:link w:val="bullet1Char"/>
    <w:pPr>
      <w:numPr>
        <w:numId w:val="44"/>
      </w:numPr>
      <w:spacing w:after="120"/>
      <w:ind w:left="357" w:hanging="357"/>
    </w:pPr>
    <w:rPr>
      <w:rFonts w:ascii="EYInterstate Light" w:hAnsi="EYInterstate Light"/>
      <w:sz w:val="20"/>
      <w:szCs w:val="24"/>
    </w:rPr>
  </w:style>
  <w:style w:type="character" w:customStyle="1" w:styleId="bullet1Char">
    <w:name w:val="bullet 1 Char"/>
    <w:link w:val="bullet1"/>
    <w:rPr>
      <w:rFonts w:ascii="EYInterstate Light" w:eastAsia="Times New Roman" w:hAnsi="EYInterstate Light" w:cs="Times New Roman"/>
      <w:sz w:val="20"/>
      <w:szCs w:val="24"/>
    </w:rPr>
  </w:style>
  <w:style w:type="paragraph" w:customStyle="1" w:styleId="EYHeading1">
    <w:name w:val="EY Heading 1"/>
    <w:basedOn w:val="Normal"/>
    <w:next w:val="Normal"/>
    <w:pPr>
      <w:pageBreakBefore/>
      <w:numPr>
        <w:numId w:val="45"/>
      </w:numPr>
      <w:spacing w:after="360"/>
      <w:outlineLvl w:val="0"/>
    </w:pPr>
    <w:rPr>
      <w:rFonts w:ascii="EYInterstate Light" w:hAnsi="EYInterstate Light" w:cs="Arial"/>
      <w:b/>
      <w:color w:val="7F7E82"/>
      <w:kern w:val="12"/>
      <w:sz w:val="32"/>
      <w:szCs w:val="24"/>
    </w:rPr>
  </w:style>
  <w:style w:type="paragraph" w:customStyle="1" w:styleId="EYHeading2">
    <w:name w:val="EY Heading 2"/>
    <w:basedOn w:val="EYHeading1"/>
    <w:next w:val="Normal"/>
    <w:pPr>
      <w:keepNext/>
      <w:pageBreakBefore w:val="0"/>
      <w:numPr>
        <w:ilvl w:val="1"/>
      </w:numPr>
      <w:spacing w:before="120" w:after="120"/>
    </w:pPr>
    <w:rPr>
      <w:color w:val="auto"/>
      <w:sz w:val="28"/>
    </w:rPr>
  </w:style>
  <w:style w:type="paragraph" w:customStyle="1" w:styleId="EYHeading3">
    <w:name w:val="EY Heading 3"/>
    <w:basedOn w:val="EYHeading1"/>
    <w:next w:val="Normal"/>
    <w:link w:val="EYHeading3Char"/>
    <w:pPr>
      <w:keepNext/>
      <w:pageBreakBefore w:val="0"/>
      <w:numPr>
        <w:ilvl w:val="2"/>
      </w:numPr>
      <w:spacing w:before="120" w:after="120"/>
    </w:pPr>
    <w:rPr>
      <w:color w:val="auto"/>
      <w:sz w:val="24"/>
    </w:rPr>
  </w:style>
  <w:style w:type="paragraph" w:customStyle="1" w:styleId="EYHeading4">
    <w:name w:val="EY Heading 4"/>
    <w:basedOn w:val="EYHeading3"/>
    <w:next w:val="Normal"/>
    <w:pPr>
      <w:numPr>
        <w:ilvl w:val="3"/>
      </w:numPr>
      <w:tabs>
        <w:tab w:val="clear" w:pos="0"/>
      </w:tabs>
      <w:ind w:left="1945" w:hanging="360"/>
    </w:pPr>
    <w:rPr>
      <w:sz w:val="20"/>
    </w:rPr>
  </w:style>
  <w:style w:type="numbering" w:customStyle="1" w:styleId="NoList2">
    <w:name w:val="No List2"/>
    <w:next w:val="NoList"/>
    <w:uiPriority w:val="99"/>
    <w:semiHidden/>
    <w:unhideWhenUsed/>
  </w:style>
  <w:style w:type="paragraph" w:customStyle="1" w:styleId="FootnoteReference1">
    <w:name w:val="Footnote Reference1"/>
    <w:basedOn w:val="EndnoteText"/>
    <w:qFormat/>
    <w:rPr>
      <w:rFonts w:ascii="EYInterstate Light" w:eastAsia="Calibri" w:hAnsi="EYInterstate Light"/>
      <w:vertAlign w:val="superscript"/>
    </w:rPr>
  </w:style>
  <w:style w:type="table" w:customStyle="1" w:styleId="TableEY2">
    <w:name w:val="Table EY2"/>
    <w:basedOn w:val="TableNormal"/>
    <w:next w:val="TableGrid"/>
    <w:uiPriority w:val="39"/>
    <w:pPr>
      <w:spacing w:after="0" w:line="240" w:lineRule="auto"/>
    </w:pPr>
    <w:rPr>
      <w:rFonts w:ascii="EYInterstate Light" w:eastAsia="Calibri" w:hAnsi="EYInterstate Light" w:cs="Times New Roman"/>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basedOn w:val="TableNormal"/>
    <w:next w:val="LightShading-Accent3"/>
    <w:uiPriority w:val="60"/>
    <w:pPr>
      <w:spacing w:before="40" w:after="40" w:line="240" w:lineRule="auto"/>
    </w:pPr>
    <w:rPr>
      <w:rFonts w:ascii="EYInterstate Light" w:eastAsia="Calibri" w:hAnsi="EYInterstate Light" w:cs="Times New Roman"/>
      <w:color w:val="727272"/>
      <w:sz w:val="18"/>
      <w:szCs w:val="20"/>
      <w:lang w:val="nl-BE"/>
    </w:rPr>
    <w:tblPr>
      <w:tblStyleRowBandSize w:val="1"/>
      <w:tblStyleColBandSize w:val="1"/>
      <w:tblBorders>
        <w:top w:val="single" w:sz="18" w:space="0" w:color="7F7E82"/>
      </w:tblBorders>
    </w:tblPr>
    <w:tblStylePr w:type="firstRow">
      <w:pPr>
        <w:spacing w:before="0" w:after="0" w:line="240" w:lineRule="auto"/>
      </w:pPr>
      <w:rPr>
        <w:rFonts w:ascii="ArialMT" w:hAnsi="ArialMT"/>
        <w:b/>
        <w:bCs/>
        <w:sz w:val="18"/>
      </w:rPr>
      <w:tblPr/>
      <w:tcPr>
        <w:shd w:val="clear" w:color="auto" w:fill="FFC000"/>
      </w:tcPr>
    </w:tblStylePr>
    <w:tblStylePr w:type="lastRow">
      <w:pPr>
        <w:spacing w:before="0" w:after="0" w:line="240" w:lineRule="auto"/>
      </w:pPr>
      <w:rPr>
        <w:rFonts w:ascii="ArialMT" w:hAnsi="ArialMT"/>
        <w:b/>
        <w:bCs/>
      </w:rPr>
      <w:tblPr/>
      <w:tcPr>
        <w:tcBorders>
          <w:top w:val="single" w:sz="4" w:space="0" w:color="FFFFFF"/>
          <w:left w:val="single" w:sz="4" w:space="0" w:color="FFFFFF"/>
          <w:bottom w:val="single" w:sz="12" w:space="0" w:color="646464"/>
          <w:right w:val="single" w:sz="4" w:space="0" w:color="FFFFFF"/>
          <w:insideH w:val="single" w:sz="4" w:space="0" w:color="FFFFFF"/>
          <w:insideV w:val="single" w:sz="4" w:space="0" w:color="FFFFFF"/>
        </w:tcBorders>
      </w:tcPr>
    </w:tblStylePr>
    <w:tblStylePr w:type="firstCol">
      <w:rPr>
        <w:b/>
        <w:bCs/>
      </w:rPr>
    </w:tblStylePr>
    <w:tblStylePr w:type="lastCol">
      <w:rPr>
        <w:b/>
        <w:bCs/>
      </w:rPr>
    </w:tblStylePr>
    <w:tblStylePr w:type="band2Vert">
      <w:rPr>
        <w:rFonts w:ascii="ArialMT" w:hAnsi="ArialMT"/>
      </w:rPr>
    </w:tblStylePr>
    <w:tblStylePr w:type="band1Horz">
      <w:tblPr/>
      <w:tcPr>
        <w:tcBorders>
          <w:left w:val="nil"/>
          <w:right w:val="nil"/>
          <w:insideH w:val="nil"/>
          <w:insideV w:val="nil"/>
        </w:tcBorders>
        <w:shd w:val="clear" w:color="auto" w:fill="E5E5E5"/>
      </w:tcPr>
    </w:tblStylePr>
  </w:style>
  <w:style w:type="table" w:customStyle="1" w:styleId="LightList-Accent32">
    <w:name w:val="Light List - Accent 32"/>
    <w:basedOn w:val="TableNormal"/>
    <w:next w:val="LightList-Accent3"/>
    <w:uiPriority w:val="61"/>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646464"/>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customStyle="1" w:styleId="MediumShading1-Accent21">
    <w:name w:val="Medium Shading 1 - Accent 21"/>
    <w:basedOn w:val="TableNormal"/>
    <w:next w:val="MediumShading1-Accent2"/>
    <w:uiPriority w:val="63"/>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FFEC40"/>
        <w:left w:val="single" w:sz="8" w:space="0" w:color="FFEC40"/>
        <w:bottom w:val="single" w:sz="8" w:space="0" w:color="FFEC40"/>
        <w:right w:val="single" w:sz="8" w:space="0" w:color="FFEC40"/>
        <w:insideH w:val="single" w:sz="8" w:space="0" w:color="FFEC40"/>
      </w:tblBorders>
    </w:tblPr>
    <w:tblStylePr w:type="firstRow">
      <w:pPr>
        <w:spacing w:before="0" w:after="0" w:line="240" w:lineRule="auto"/>
      </w:pPr>
      <w:rPr>
        <w:b/>
        <w:bCs/>
        <w:color w:val="646464"/>
      </w:rPr>
      <w:tblPr/>
      <w:tcPr>
        <w:tcBorders>
          <w:top w:val="single" w:sz="8" w:space="0" w:color="FFEC40"/>
          <w:left w:val="single" w:sz="8" w:space="0" w:color="FFEC40"/>
          <w:bottom w:val="single" w:sz="8" w:space="0" w:color="FFEC40"/>
          <w:right w:val="single" w:sz="8" w:space="0" w:color="FFEC40"/>
          <w:insideH w:val="nil"/>
          <w:insideV w:val="nil"/>
        </w:tcBorders>
        <w:shd w:val="clear" w:color="auto" w:fill="FFE600"/>
      </w:tcPr>
    </w:tblStylePr>
    <w:tblStylePr w:type="lastRow">
      <w:pPr>
        <w:spacing w:before="0" w:after="0" w:line="240" w:lineRule="auto"/>
      </w:pPr>
      <w:rPr>
        <w:b/>
        <w:bCs/>
      </w:rPr>
      <w:tblPr/>
      <w:tcPr>
        <w:tcBorders>
          <w:top w:val="double" w:sz="6" w:space="0" w:color="FFEC40"/>
          <w:left w:val="single" w:sz="8" w:space="0" w:color="FFEC40"/>
          <w:bottom w:val="single" w:sz="8" w:space="0" w:color="FFEC40"/>
          <w:right w:val="single" w:sz="8" w:space="0" w:color="FFEC40"/>
          <w:insideH w:val="nil"/>
          <w:insideV w:val="nil"/>
        </w:tcBorders>
      </w:tcPr>
    </w:tblStylePr>
    <w:tblStylePr w:type="firstCol">
      <w:rPr>
        <w:b/>
        <w:bCs/>
      </w:rPr>
    </w:tblStylePr>
    <w:tblStylePr w:type="lastCol">
      <w:rPr>
        <w:b/>
        <w:bCs/>
      </w:rPr>
    </w:tblStylePr>
    <w:tblStylePr w:type="band1Vert">
      <w:tblPr/>
      <w:tcPr>
        <w:shd w:val="clear" w:color="auto" w:fill="FFF8C0"/>
      </w:tcPr>
    </w:tblStylePr>
    <w:tblStylePr w:type="band1Horz">
      <w:tblPr/>
      <w:tcPr>
        <w:tcBorders>
          <w:insideH w:val="nil"/>
          <w:insideV w:val="nil"/>
        </w:tcBorders>
        <w:shd w:val="clear" w:color="auto" w:fill="FFF8C0"/>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99"/>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646464"/>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customStyle="1" w:styleId="MediumList2-Accent21">
    <w:name w:val="Medium List 2 - Accent 21"/>
    <w:basedOn w:val="TableNormal"/>
    <w:next w:val="MediumList2-Accent2"/>
    <w:uiPriority w:val="99"/>
    <w:pPr>
      <w:spacing w:after="0" w:line="240" w:lineRule="auto"/>
    </w:pPr>
    <w:rPr>
      <w:rFonts w:ascii="Cambria" w:eastAsia="MS Gothic" w:hAnsi="Cambria" w:cs="Times New Roman"/>
      <w:color w:val="000000"/>
      <w:sz w:val="20"/>
      <w:szCs w:val="20"/>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rPr>
        <w:sz w:val="24"/>
        <w:szCs w:val="24"/>
      </w:rPr>
      <w:tblPr/>
      <w:tcPr>
        <w:tcBorders>
          <w:top w:val="nil"/>
          <w:left w:val="nil"/>
          <w:bottom w:val="single" w:sz="24" w:space="0" w:color="FFE600"/>
          <w:right w:val="nil"/>
          <w:insideH w:val="nil"/>
          <w:insideV w:val="nil"/>
        </w:tcBorders>
        <w:shd w:val="clear" w:color="auto" w:fill="646464"/>
      </w:tcPr>
    </w:tblStylePr>
    <w:tblStylePr w:type="lastRow">
      <w:tblPr/>
      <w:tcPr>
        <w:tcBorders>
          <w:top w:val="single" w:sz="8" w:space="0" w:color="FFE600"/>
          <w:left w:val="nil"/>
          <w:bottom w:val="nil"/>
          <w:right w:val="nil"/>
          <w:insideH w:val="nil"/>
          <w:insideV w:val="nil"/>
        </w:tcBorders>
        <w:shd w:val="clear" w:color="auto" w:fill="646464"/>
      </w:tcPr>
    </w:tblStylePr>
    <w:tblStylePr w:type="firstCol">
      <w:tblPr/>
      <w:tcPr>
        <w:tcBorders>
          <w:top w:val="nil"/>
          <w:left w:val="nil"/>
          <w:bottom w:val="nil"/>
          <w:right w:val="single" w:sz="8" w:space="0" w:color="FFE600"/>
          <w:insideH w:val="nil"/>
          <w:insideV w:val="nil"/>
        </w:tcBorders>
        <w:shd w:val="clear" w:color="auto" w:fill="646464"/>
      </w:tcPr>
    </w:tblStylePr>
    <w:tblStylePr w:type="lastCol">
      <w:tblPr/>
      <w:tcPr>
        <w:tcBorders>
          <w:top w:val="nil"/>
          <w:left w:val="single" w:sz="8" w:space="0" w:color="FFE600"/>
          <w:bottom w:val="nil"/>
          <w:right w:val="nil"/>
          <w:insideH w:val="nil"/>
          <w:insideV w:val="nil"/>
        </w:tcBorders>
        <w:shd w:val="clear" w:color="auto" w:fill="646464"/>
      </w:tcPr>
    </w:tblStylePr>
    <w:tblStylePr w:type="band1Vert">
      <w:tblPr/>
      <w:tcPr>
        <w:tcBorders>
          <w:left w:val="nil"/>
          <w:right w:val="nil"/>
          <w:insideH w:val="nil"/>
          <w:insideV w:val="nil"/>
        </w:tcBorders>
        <w:shd w:val="clear" w:color="auto" w:fill="FFF8C0"/>
      </w:tcPr>
    </w:tblStylePr>
    <w:tblStylePr w:type="band1Horz">
      <w:tblPr/>
      <w:tcPr>
        <w:tcBorders>
          <w:top w:val="nil"/>
          <w:bottom w:val="nil"/>
          <w:insideH w:val="nil"/>
          <w:insideV w:val="nil"/>
        </w:tcBorders>
        <w:shd w:val="clear" w:color="auto" w:fill="FFF8C0"/>
      </w:tcPr>
    </w:tblStylePr>
    <w:tblStylePr w:type="nwCell">
      <w:tblPr/>
      <w:tcPr>
        <w:shd w:val="clear" w:color="auto" w:fill="646464"/>
      </w:tcPr>
    </w:tblStylePr>
    <w:tblStylePr w:type="swCell">
      <w:tblPr/>
      <w:tcPr>
        <w:tcBorders>
          <w:top w:val="nil"/>
        </w:tcBorders>
      </w:tcPr>
    </w:tblStylePr>
  </w:style>
  <w:style w:type="character" w:customStyle="1" w:styleId="SubtleReference1">
    <w:name w:val="Subtle Reference1"/>
    <w:basedOn w:val="DefaultParagraphFont"/>
    <w:uiPriority w:val="31"/>
    <w:rPr>
      <w:smallCaps/>
      <w:color w:val="4A4A4A"/>
      <w:u w:val="single"/>
    </w:rPr>
  </w:style>
  <w:style w:type="character" w:customStyle="1" w:styleId="IntenseReference1">
    <w:name w:val="Intense Reference1"/>
    <w:basedOn w:val="DefaultParagraphFont"/>
    <w:uiPriority w:val="32"/>
    <w:qFormat/>
    <w:rPr>
      <w:rFonts w:ascii="Verdana" w:eastAsia="MS Gothic" w:hAnsi="Verdana"/>
      <w:b/>
      <w:bCs/>
      <w:spacing w:val="5"/>
      <w:sz w:val="20"/>
      <w:u w:val="single"/>
    </w:rPr>
  </w:style>
  <w:style w:type="table" w:customStyle="1" w:styleId="ColorfulList-Accent31">
    <w:name w:val="Colorful List - Accent 31"/>
    <w:basedOn w:val="TableNormal"/>
    <w:next w:val="ColorfulList-Accent3"/>
    <w:uiPriority w:val="72"/>
    <w:pPr>
      <w:spacing w:after="0" w:line="240" w:lineRule="auto"/>
    </w:pPr>
    <w:rPr>
      <w:rFonts w:ascii="EYInterstate Light" w:eastAsia="Calibri" w:hAnsi="EYInterstate Light" w:cs="Times New Roman"/>
      <w:color w:val="000000"/>
      <w:sz w:val="20"/>
      <w:szCs w:val="20"/>
      <w:lang w:val="nl-BE"/>
    </w:rPr>
    <w:tblPr>
      <w:tblStyleRowBandSize w:val="1"/>
      <w:tblStyleColBandSize w:val="1"/>
    </w:tblPr>
    <w:tcPr>
      <w:shd w:val="clear" w:color="auto" w:fill="F5F5F5"/>
    </w:tcPr>
    <w:tblStylePr w:type="firstRow">
      <w:rPr>
        <w:b/>
        <w:bCs/>
        <w:color w:val="646464"/>
      </w:rPr>
      <w:tblPr/>
      <w:tcPr>
        <w:tcBorders>
          <w:bottom w:val="single" w:sz="12" w:space="0" w:color="646464"/>
        </w:tcBorders>
        <w:shd w:val="clear" w:color="auto" w:fill="C0C0C0"/>
      </w:tcPr>
    </w:tblStylePr>
    <w:tblStylePr w:type="lastRow">
      <w:rPr>
        <w:b/>
        <w:bCs/>
        <w:color w:val="C0C0C0"/>
      </w:rPr>
      <w:tblPr/>
      <w:tcPr>
        <w:tcBorders>
          <w:top w:val="single" w:sz="12" w:space="0" w:color="000000"/>
        </w:tcBorders>
        <w:shd w:val="clear" w:color="auto" w:fill="64646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paragraph" w:customStyle="1" w:styleId="Tablebullet">
    <w:name w:val="Table bullet"/>
    <w:basedOn w:val="Normal"/>
    <w:link w:val="TablebulletChar"/>
    <w:qFormat/>
    <w:pPr>
      <w:widowControl w:val="0"/>
      <w:adjustRightInd w:val="0"/>
      <w:spacing w:before="120" w:after="120"/>
      <w:textAlignment w:val="baseline"/>
    </w:pPr>
    <w:rPr>
      <w:rFonts w:ascii="EYInterstate Light" w:hAnsi="EYInterstate Light"/>
      <w:sz w:val="18"/>
      <w:lang w:val="en-US"/>
    </w:rPr>
  </w:style>
  <w:style w:type="paragraph" w:customStyle="1" w:styleId="Style4bis-smallerparagraph">
    <w:name w:val="Style4 bis - smaller paragraph"/>
    <w:basedOn w:val="Normal"/>
    <w:link w:val="Style4bis-smallerparagraphChar"/>
    <w:uiPriority w:val="99"/>
    <w:qFormat/>
    <w:pPr>
      <w:keepNext/>
      <w:overflowPunct w:val="0"/>
      <w:autoSpaceDE w:val="0"/>
      <w:autoSpaceDN w:val="0"/>
      <w:adjustRightInd w:val="0"/>
      <w:spacing w:before="200" w:after="120"/>
      <w:textAlignment w:val="baseline"/>
    </w:pPr>
    <w:rPr>
      <w:rFonts w:ascii="EYInterstate" w:hAnsi="EYInterstate"/>
      <w:b/>
      <w:i/>
      <w:noProof/>
      <w:color w:val="808080"/>
      <w:lang w:eastAsia="nl-BE"/>
    </w:rPr>
  </w:style>
  <w:style w:type="character" w:customStyle="1" w:styleId="Style4bis-smallerparagraphChar">
    <w:name w:val="Style4 bis - smaller paragraph Char"/>
    <w:basedOn w:val="DefaultParagraphFont"/>
    <w:link w:val="Style4bis-smallerparagraph"/>
    <w:uiPriority w:val="99"/>
    <w:rPr>
      <w:rFonts w:ascii="EYInterstate" w:eastAsia="Times New Roman" w:hAnsi="EYInterstate" w:cs="Times New Roman"/>
      <w:b/>
      <w:i/>
      <w:noProof/>
      <w:color w:val="808080"/>
      <w:sz w:val="24"/>
      <w:szCs w:val="20"/>
      <w:lang w:eastAsia="nl-BE"/>
    </w:rPr>
  </w:style>
  <w:style w:type="paragraph" w:customStyle="1" w:styleId="Tableheading1">
    <w:name w:val="Table heading 1"/>
    <w:basedOn w:val="Normal"/>
    <w:next w:val="Normal"/>
    <w:qFormat/>
    <w:pPr>
      <w:keepNext/>
      <w:overflowPunct w:val="0"/>
      <w:autoSpaceDE w:val="0"/>
      <w:autoSpaceDN w:val="0"/>
      <w:adjustRightInd w:val="0"/>
      <w:spacing w:line="260" w:lineRule="atLeast"/>
      <w:textAlignment w:val="baseline"/>
    </w:pPr>
    <w:rPr>
      <w:rFonts w:ascii="EYInterstate Light" w:hAnsi="EYInterstate Light"/>
      <w:b/>
      <w:color w:val="646464"/>
      <w:kern w:val="12"/>
      <w:sz w:val="22"/>
      <w:lang w:val="nl-NL"/>
    </w:rPr>
  </w:style>
  <w:style w:type="table" w:customStyle="1" w:styleId="LightShading-Accent311">
    <w:name w:val="Light Shading - Accent 311"/>
    <w:basedOn w:val="TableNormal"/>
    <w:next w:val="LightShading-Accent3"/>
    <w:uiPriority w:val="60"/>
    <w:pPr>
      <w:spacing w:after="0" w:line="240" w:lineRule="auto"/>
    </w:pPr>
    <w:rPr>
      <w:rFonts w:ascii="EYInterstate Light" w:eastAsia="Calibri" w:hAnsi="EYInterstate Light" w:cs="Times New Roman"/>
      <w:color w:val="727272"/>
      <w:sz w:val="20"/>
      <w:szCs w:val="20"/>
      <w:lang w:val="nl-BE"/>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customStyle="1" w:styleId="BoxBullet0">
    <w:name w:val="Box Bullet"/>
    <w:basedOn w:val="ListParagraph"/>
    <w:link w:val="BoxBulletChar"/>
    <w:qFormat/>
    <w:pPr>
      <w:spacing w:after="120"/>
      <w:ind w:hanging="360"/>
    </w:pPr>
    <w:rPr>
      <w:rFonts w:ascii="EYInterstate Light" w:hAnsi="EYInterstate Light"/>
      <w:sz w:val="18"/>
      <w:szCs w:val="18"/>
      <w:lang w:val="en-US" w:eastAsia="en-GB"/>
    </w:rPr>
  </w:style>
  <w:style w:type="character" w:customStyle="1" w:styleId="BoxBulletChar">
    <w:name w:val="Box Bullet Char"/>
    <w:basedOn w:val="DefaultParagraphFont"/>
    <w:link w:val="BoxBullet0"/>
    <w:rPr>
      <w:rFonts w:ascii="EYInterstate Light" w:eastAsia="Times New Roman" w:hAnsi="EYInterstate Light" w:cs="Times New Roman"/>
      <w:sz w:val="18"/>
      <w:szCs w:val="18"/>
      <w:lang w:val="en-US" w:eastAsia="en-GB"/>
    </w:rPr>
  </w:style>
  <w:style w:type="character" w:customStyle="1" w:styleId="TableBox-txtChar">
    <w:name w:val="Table/Box - txt Char"/>
    <w:basedOn w:val="DefaultParagraphFont"/>
    <w:link w:val="TableBox-txt"/>
    <w:rPr>
      <w:sz w:val="18"/>
      <w:szCs w:val="18"/>
      <w:lang w:val="fr-FR"/>
    </w:rPr>
  </w:style>
  <w:style w:type="numbering" w:customStyle="1" w:styleId="NoList11">
    <w:name w:val="No List11"/>
    <w:next w:val="NoList"/>
    <w:uiPriority w:val="99"/>
    <w:semiHidden/>
    <w:unhideWhenUsed/>
  </w:style>
  <w:style w:type="table" w:customStyle="1" w:styleId="Style5">
    <w:name w:val="Style5"/>
    <w:basedOn w:val="TableNormal"/>
    <w:uiPriority w:val="99"/>
    <w:pPr>
      <w:spacing w:after="0" w:line="240" w:lineRule="auto"/>
    </w:pPr>
    <w:rPr>
      <w:rFonts w:ascii="EYInterstate Light" w:eastAsia="Calibri" w:hAnsi="EYInterstate Light" w:cs="Times New Roman"/>
      <w:sz w:val="20"/>
      <w:szCs w:val="20"/>
      <w:lang w:val="nl-BE"/>
    </w:rPr>
    <w:tblPr/>
    <w:tblStylePr w:type="firstRow">
      <w:rPr>
        <w:rFonts w:ascii="ArialMT" w:hAnsi="ArialMT"/>
        <w:sz w:val="18"/>
      </w:rPr>
      <w:tblPr/>
      <w:tcPr>
        <w:tcBorders>
          <w:top w:val="nil"/>
          <w:left w:val="nil"/>
          <w:bottom w:val="nil"/>
          <w:right w:val="nil"/>
          <w:insideH w:val="nil"/>
          <w:insideV w:val="nil"/>
          <w:tl2br w:val="nil"/>
          <w:tr2bl w:val="nil"/>
        </w:tcBorders>
      </w:tcPr>
    </w:tblStylePr>
  </w:style>
  <w:style w:type="paragraph" w:customStyle="1" w:styleId="TableBox-txt">
    <w:name w:val="Table/Box - txt"/>
    <w:basedOn w:val="Normal"/>
    <w:link w:val="TableBox-txtChar"/>
    <w:qFormat/>
    <w:pPr>
      <w:tabs>
        <w:tab w:val="left" w:pos="651"/>
        <w:tab w:val="left" w:pos="907"/>
      </w:tabs>
      <w:spacing w:before="60" w:after="60" w:line="200" w:lineRule="atLeast"/>
    </w:pPr>
    <w:rPr>
      <w:rFonts w:asciiTheme="minorHAnsi" w:eastAsiaTheme="minorHAnsi" w:hAnsiTheme="minorHAnsi" w:cstheme="minorBidi"/>
      <w:sz w:val="18"/>
      <w:szCs w:val="18"/>
      <w:lang w:val="fr-FR"/>
    </w:rPr>
  </w:style>
  <w:style w:type="table" w:customStyle="1" w:styleId="LightShading-Accent32">
    <w:name w:val="Light Shading - Accent 32"/>
    <w:basedOn w:val="TableNormal"/>
    <w:next w:val="LightShading-Accent3"/>
    <w:uiPriority w:val="99"/>
    <w:pPr>
      <w:spacing w:after="0" w:line="240" w:lineRule="auto"/>
    </w:pPr>
    <w:rPr>
      <w:rFonts w:ascii="Calibri" w:eastAsia="Calibri" w:hAnsi="Calibri" w:cs="Times New Roman"/>
      <w:color w:val="727272"/>
      <w:sz w:val="20"/>
      <w:szCs w:val="20"/>
      <w:lang w:eastAsia="en-GB"/>
    </w:rPr>
    <w:tblPr>
      <w:tblStyleRowBandSize w:val="1"/>
      <w:tblStyleColBandSize w:val="1"/>
      <w:tblBorders>
        <w:top w:val="single" w:sz="8" w:space="0" w:color="999999"/>
        <w:bottom w:val="single" w:sz="8" w:space="0" w:color="999999"/>
      </w:tblBorders>
    </w:tblPr>
    <w:tblStylePr w:type="firstRow">
      <w:pPr>
        <w:spacing w:before="0" w:after="0"/>
      </w:pPr>
      <w:rPr>
        <w:rFonts w:cs="Times New Roman"/>
        <w:b/>
        <w:bCs/>
      </w:rPr>
      <w:tblPr/>
      <w:tcPr>
        <w:tcBorders>
          <w:top w:val="single" w:sz="8" w:space="0" w:color="999999"/>
          <w:left w:val="nil"/>
          <w:bottom w:val="single" w:sz="8" w:space="0" w:color="999999"/>
          <w:right w:val="nil"/>
          <w:insideH w:val="nil"/>
          <w:insideV w:val="nil"/>
        </w:tcBorders>
      </w:tcPr>
    </w:tblStylePr>
    <w:tblStylePr w:type="lastRow">
      <w:pPr>
        <w:spacing w:before="0" w:after="0"/>
      </w:pPr>
      <w:rPr>
        <w:rFonts w:cs="Times New Roman"/>
        <w:b/>
        <w:bCs/>
      </w:rPr>
      <w:tblPr/>
      <w:tcPr>
        <w:tcBorders>
          <w:top w:val="single" w:sz="8" w:space="0" w:color="999999"/>
          <w:left w:val="nil"/>
          <w:bottom w:val="single" w:sz="8" w:space="0" w:color="99999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customStyle="1" w:styleId="LightList-Accent311">
    <w:name w:val="Light List - Accent 311"/>
    <w:basedOn w:val="TableNormal"/>
    <w:next w:val="LightList-Accent3"/>
    <w:uiPriority w:val="99"/>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pPr>
      <w:rPr>
        <w:rFonts w:cs="Times New Roman"/>
        <w:b/>
        <w:bCs/>
        <w:color w:val="646464"/>
      </w:rPr>
      <w:tblPr/>
      <w:tcPr>
        <w:shd w:val="clear" w:color="auto" w:fill="999999"/>
      </w:tcPr>
    </w:tblStylePr>
    <w:tblStylePr w:type="lastRow">
      <w:pPr>
        <w:spacing w:before="0" w:after="0"/>
      </w:pPr>
      <w:rPr>
        <w:rFonts w:cs="Times New Roman"/>
        <w:b/>
        <w:bCs/>
      </w:rPr>
      <w:tblPr/>
      <w:tcPr>
        <w:tcBorders>
          <w:top w:val="double" w:sz="6" w:space="0" w:color="999999"/>
          <w:left w:val="single" w:sz="8" w:space="0" w:color="999999"/>
          <w:bottom w:val="single" w:sz="8" w:space="0" w:color="999999"/>
          <w:right w:val="single" w:sz="8" w:space="0" w:color="99999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99999"/>
          <w:left w:val="single" w:sz="8" w:space="0" w:color="999999"/>
          <w:bottom w:val="single" w:sz="8" w:space="0" w:color="999999"/>
          <w:right w:val="single" w:sz="8" w:space="0" w:color="999999"/>
        </w:tcBorders>
      </w:tcPr>
    </w:tblStylePr>
    <w:tblStylePr w:type="band1Horz">
      <w:rPr>
        <w:rFonts w:cs="Times New Roman"/>
      </w:rPr>
      <w:tblPr/>
      <w:tcPr>
        <w:tcBorders>
          <w:top w:val="single" w:sz="8" w:space="0" w:color="999999"/>
          <w:left w:val="single" w:sz="8" w:space="0" w:color="999999"/>
          <w:bottom w:val="single" w:sz="8" w:space="0" w:color="999999"/>
          <w:right w:val="single" w:sz="8" w:space="0" w:color="999999"/>
        </w:tcBorders>
      </w:tcPr>
    </w:tblStylePr>
  </w:style>
  <w:style w:type="table" w:customStyle="1" w:styleId="MediumShading1-Accent311">
    <w:name w:val="Medium Shading 1 - Accent 311"/>
    <w:basedOn w:val="TableNormal"/>
    <w:next w:val="MediumShading1-Accent3"/>
    <w:uiPriority w:val="99"/>
    <w:pPr>
      <w:spacing w:after="0" w:line="240" w:lineRule="auto"/>
    </w:pPr>
    <w:rPr>
      <w:rFonts w:ascii="EYInterstate Light" w:eastAsia="Calibri" w:hAnsi="EYInterstate Light" w:cs="Times New Roman"/>
      <w:sz w:val="18"/>
      <w:szCs w:val="20"/>
      <w:lang w:eastAsia="en-GB"/>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pPr>
      <w:rPr>
        <w:rFonts w:cs="Times New Roman"/>
        <w:b/>
        <w:bCs/>
        <w:color w:val="646464"/>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pPr>
      <w:rPr>
        <w:rFonts w:cs="Times New Roman"/>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customStyle="1" w:styleId="MediumList2-Accent211">
    <w:name w:val="Medium List 2 - Accent 211"/>
    <w:basedOn w:val="TableNormal"/>
    <w:uiPriority w:val="99"/>
    <w:pPr>
      <w:spacing w:after="0" w:line="240" w:lineRule="auto"/>
    </w:pPr>
    <w:rPr>
      <w:rFonts w:ascii="EYInterstate Light" w:eastAsia="Times New Roman" w:hAnsi="EYInterstate Light" w:cs="Times New Roman"/>
      <w:color w:val="000000"/>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cs="Times New Roman"/>
        <w:sz w:val="24"/>
        <w:szCs w:val="24"/>
      </w:rPr>
      <w:tblPr/>
      <w:tcPr>
        <w:shd w:val="clear" w:color="auto" w:fill="C1C1C1"/>
      </w:tcPr>
    </w:tblStylePr>
    <w:tblStylePr w:type="lastRow">
      <w:rPr>
        <w:rFonts w:ascii="ArialMT" w:hAnsi="ArialMT" w:cs="Times New Roman"/>
        <w:color w:val="auto"/>
        <w:sz w:val="18"/>
      </w:rPr>
      <w:tblPr/>
      <w:tcPr>
        <w:shd w:val="clear" w:color="auto" w:fill="F0F0F0"/>
      </w:tcPr>
    </w:tblStylePr>
    <w:tblStylePr w:type="firstCol">
      <w:rPr>
        <w:rFonts w:ascii="ArialMT" w:hAnsi="ArialMT" w:cs="Times New Roman"/>
        <w:sz w:val="18"/>
      </w:rPr>
    </w:tblStylePr>
    <w:tblStylePr w:type="lastCol">
      <w:rPr>
        <w:rFonts w:ascii="ArialMT" w:hAnsi="ArialMT" w:cs="Times New Roman"/>
        <w:sz w:val="18"/>
      </w:rPr>
    </w:tblStylePr>
    <w:tblStylePr w:type="band1Vert">
      <w:rPr>
        <w:rFonts w:ascii="ArialMT" w:hAnsi="ArialMT" w:cs="Times New Roman"/>
        <w:sz w:val="18"/>
      </w:rPr>
    </w:tblStylePr>
    <w:tblStylePr w:type="band2Vert">
      <w:rPr>
        <w:rFonts w:ascii="ArialMT" w:hAnsi="ArialMT"/>
        <w:sz w:val="18"/>
      </w:rPr>
    </w:tblStylePr>
    <w:tblStylePr w:type="band1Horz">
      <w:rPr>
        <w:rFonts w:ascii="ArialMT" w:hAnsi="ArialMT" w:cs="Times New Roman"/>
        <w:sz w:val="18"/>
      </w:rPr>
      <w:tblPr/>
      <w:tcPr>
        <w:shd w:val="clear" w:color="auto" w:fill="E0E0E0"/>
      </w:tcPr>
    </w:tblStylePr>
    <w:tblStylePr w:type="band2Horz">
      <w:rPr>
        <w:rFonts w:ascii="ArialMT" w:hAnsi="ArialMT"/>
        <w:sz w:val="18"/>
      </w:rPr>
      <w:tblPr/>
      <w:tcPr>
        <w:shd w:val="clear" w:color="auto" w:fill="F0F0F0"/>
      </w:tcPr>
    </w:tblStylePr>
    <w:tblStylePr w:type="neCell">
      <w:rPr>
        <w:rFonts w:ascii="ArialMT" w:hAnsi="ArialMT"/>
        <w:sz w:val="18"/>
      </w:rPr>
      <w:tblPr/>
      <w:tcPr>
        <w:shd w:val="clear" w:color="auto" w:fill="C1C1C1"/>
      </w:tcPr>
    </w:tblStylePr>
    <w:tblStylePr w:type="nwCell">
      <w:rPr>
        <w:rFonts w:cs="Times New Roman"/>
      </w:rPr>
      <w:tblPr/>
      <w:tcPr>
        <w:shd w:val="clear" w:color="auto" w:fill="C1C1C1"/>
      </w:tcPr>
    </w:tblStylePr>
    <w:tblStylePr w:type="seCell">
      <w:rPr>
        <w:rFonts w:ascii="ArialMT" w:hAnsi="ArialMT"/>
        <w:sz w:val="18"/>
      </w:rPr>
    </w:tblStylePr>
    <w:tblStylePr w:type="swCell">
      <w:rPr>
        <w:rFonts w:ascii="ArialMT" w:hAnsi="ArialMT" w:cs="Times New Roman"/>
        <w:sz w:val="18"/>
      </w:rPr>
    </w:tblStylePr>
  </w:style>
  <w:style w:type="table" w:customStyle="1" w:styleId="ColorfulList-Accent32">
    <w:name w:val="Colorful List - Accent 32"/>
    <w:basedOn w:val="TableNormal"/>
    <w:next w:val="ColorfulList-Accent3"/>
    <w:uiPriority w:val="99"/>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F5F5F5"/>
    </w:tcPr>
    <w:tblStylePr w:type="firstRow">
      <w:rPr>
        <w:rFonts w:cs="Times New Roman"/>
        <w:b/>
        <w:bCs/>
        <w:color w:val="646464"/>
      </w:rPr>
      <w:tblPr/>
      <w:tcPr>
        <w:tcBorders>
          <w:bottom w:val="single" w:sz="12" w:space="0" w:color="646464"/>
        </w:tcBorders>
        <w:shd w:val="clear" w:color="auto" w:fill="C0C0C0"/>
      </w:tcPr>
    </w:tblStylePr>
    <w:tblStylePr w:type="lastRow">
      <w:rPr>
        <w:rFonts w:cs="Times New Roman"/>
        <w:b/>
        <w:bCs/>
        <w:color w:val="C0C0C0"/>
      </w:rPr>
      <w:tblPr/>
      <w:tcPr>
        <w:tcBorders>
          <w:top w:val="single" w:sz="12" w:space="0" w:color="000000"/>
        </w:tcBorders>
        <w:shd w:val="clear" w:color="auto" w:fill="646464"/>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paragraph" w:customStyle="1" w:styleId="Bullettabella">
    <w:name w:val="Bullet tabella"/>
    <w:basedOn w:val="ListParagraph"/>
    <w:uiPriority w:val="99"/>
    <w:qFormat/>
    <w:pPr>
      <w:widowControl w:val="0"/>
      <w:adjustRightInd w:val="0"/>
      <w:spacing w:before="120" w:after="120" w:line="276" w:lineRule="auto"/>
      <w:ind w:left="360" w:hanging="360"/>
      <w:contextualSpacing w:val="0"/>
      <w:textAlignment w:val="baseline"/>
    </w:pPr>
    <w:rPr>
      <w:rFonts w:ascii="EYInterstate Light" w:hAnsi="EYInterstate Light"/>
      <w:sz w:val="18"/>
      <w:szCs w:val="22"/>
    </w:rPr>
  </w:style>
  <w:style w:type="character" w:customStyle="1" w:styleId="CommentSubjectChar1">
    <w:name w:val="Comment Subject Char1"/>
    <w:basedOn w:val="DefaultParagraphFont"/>
    <w:uiPriority w:val="99"/>
    <w:semiHidden/>
    <w:locked/>
    <w:rPr>
      <w:rFonts w:ascii="EYInterstate Light" w:hAnsi="EYInterstate Light" w:cs="Times New Roman"/>
      <w:b/>
      <w:bCs/>
      <w:sz w:val="20"/>
      <w:szCs w:val="20"/>
      <w:lang w:val="en-GB" w:eastAsia="en-US"/>
    </w:rPr>
  </w:style>
  <w:style w:type="table" w:customStyle="1" w:styleId="LightShading-Accent111">
    <w:name w:val="Light Shading - Accent 111"/>
    <w:uiPriority w:val="99"/>
    <w:pPr>
      <w:spacing w:after="0" w:line="240" w:lineRule="auto"/>
    </w:pPr>
    <w:rPr>
      <w:rFonts w:ascii="Calibri" w:eastAsia="Calibri" w:hAnsi="Calibri" w:cs="Times New Roman"/>
      <w:color w:val="5F5E61"/>
      <w:sz w:val="20"/>
      <w:szCs w:val="20"/>
      <w:lang w:eastAsia="en-GB"/>
    </w:rPr>
    <w:tblPr>
      <w:tblStyleRowBandSize w:val="1"/>
      <w:tblStyleColBandSize w:val="1"/>
      <w:tblInd w:w="0" w:type="dxa"/>
      <w:tblBorders>
        <w:top w:val="single" w:sz="8" w:space="0" w:color="7F7E82"/>
        <w:bottom w:val="single" w:sz="8" w:space="0" w:color="7F7E82"/>
      </w:tblBorders>
      <w:tblCellMar>
        <w:top w:w="0" w:type="dxa"/>
        <w:left w:w="108" w:type="dxa"/>
        <w:bottom w:w="0" w:type="dxa"/>
        <w:right w:w="108" w:type="dxa"/>
      </w:tblCellMar>
    </w:tblPr>
  </w:style>
  <w:style w:type="paragraph" w:customStyle="1" w:styleId="Style9">
    <w:name w:val="Style9"/>
    <w:basedOn w:val="Normal"/>
    <w:link w:val="Style9Char"/>
    <w:qFormat/>
    <w:pPr>
      <w:spacing w:before="120" w:after="60" w:line="276" w:lineRule="auto"/>
      <w:ind w:left="1776" w:hanging="360"/>
    </w:pPr>
    <w:rPr>
      <w:rFonts w:ascii="EYInterstate Light" w:eastAsia="Calibri" w:hAnsi="EYInterstate Light"/>
      <w:sz w:val="20"/>
      <w:szCs w:val="22"/>
    </w:rPr>
  </w:style>
  <w:style w:type="table" w:customStyle="1" w:styleId="ColorfulShading-Accent21">
    <w:name w:val="Colorful Shading - Accent 21"/>
    <w:basedOn w:val="TableNormal"/>
    <w:next w:val="ColorfulShading-Accent2"/>
    <w:uiPriority w:val="71"/>
    <w:pPr>
      <w:spacing w:after="0" w:line="240" w:lineRule="auto"/>
    </w:pPr>
    <w:rPr>
      <w:rFonts w:ascii="EYInterstate Light" w:eastAsia="Calibri" w:hAnsi="EYInterstate Light" w:cs="Times New Roman"/>
      <w:color w:val="000000"/>
      <w:sz w:val="20"/>
      <w:szCs w:val="20"/>
      <w:lang w:val="nl-BE"/>
    </w:rPr>
    <w:tblPr>
      <w:tblStyleRowBandSize w:val="1"/>
      <w:tblStyleColBandSize w:val="1"/>
      <w:tblBorders>
        <w:top w:val="single" w:sz="24" w:space="0" w:color="FFE600"/>
        <w:left w:val="single" w:sz="4" w:space="0" w:color="FFE600"/>
        <w:bottom w:val="single" w:sz="4" w:space="0" w:color="FFE600"/>
        <w:right w:val="single" w:sz="4" w:space="0" w:color="FFE600"/>
        <w:insideH w:val="single" w:sz="4" w:space="0" w:color="646464"/>
        <w:insideV w:val="single" w:sz="4" w:space="0" w:color="646464"/>
      </w:tblBorders>
    </w:tblPr>
    <w:tcPr>
      <w:shd w:val="clear" w:color="auto" w:fill="FFE600"/>
    </w:tcPr>
    <w:tblStylePr w:type="firstRow">
      <w:rPr>
        <w:b/>
        <w:bCs/>
      </w:rPr>
      <w:tblPr/>
      <w:tcPr>
        <w:tcBorders>
          <w:top w:val="nil"/>
          <w:left w:val="nil"/>
          <w:bottom w:val="single" w:sz="24" w:space="0" w:color="FFE600"/>
          <w:right w:val="nil"/>
          <w:insideH w:val="nil"/>
          <w:insideV w:val="nil"/>
        </w:tcBorders>
        <w:shd w:val="clear" w:color="auto" w:fill="646464"/>
      </w:tcPr>
    </w:tblStylePr>
    <w:tblStylePr w:type="lastRow">
      <w:rPr>
        <w:b/>
        <w:bCs/>
        <w:color w:val="646464"/>
      </w:rPr>
      <w:tblPr/>
      <w:tcPr>
        <w:tcBorders>
          <w:top w:val="single" w:sz="6" w:space="0" w:color="646464"/>
        </w:tcBorders>
        <w:shd w:val="clear" w:color="auto" w:fill="998A00"/>
      </w:tcPr>
    </w:tblStylePr>
    <w:tblStylePr w:type="firstCol">
      <w:rPr>
        <w:color w:val="646464"/>
      </w:rPr>
      <w:tblPr/>
      <w:tcPr>
        <w:tcBorders>
          <w:top w:val="nil"/>
          <w:left w:val="nil"/>
          <w:bottom w:val="nil"/>
          <w:right w:val="nil"/>
          <w:insideH w:val="single" w:sz="4" w:space="0" w:color="998A00"/>
          <w:insideV w:val="nil"/>
        </w:tcBorders>
        <w:shd w:val="clear" w:color="auto" w:fill="998A00"/>
      </w:tcPr>
    </w:tblStylePr>
    <w:tblStylePr w:type="lastCol">
      <w:rPr>
        <w:color w:val="646464"/>
      </w:rPr>
      <w:tblPr/>
      <w:tcPr>
        <w:tcBorders>
          <w:top w:val="nil"/>
          <w:left w:val="nil"/>
          <w:bottom w:val="nil"/>
          <w:right w:val="nil"/>
          <w:insideH w:val="nil"/>
          <w:insideV w:val="nil"/>
        </w:tcBorders>
        <w:shd w:val="clear" w:color="auto" w:fill="998A00"/>
      </w:tcPr>
    </w:tblStylePr>
    <w:tblStylePr w:type="band1Vert">
      <w:tblPr/>
      <w:tcPr>
        <w:shd w:val="clear" w:color="auto" w:fill="FFF599"/>
      </w:tcPr>
    </w:tblStylePr>
    <w:tblStylePr w:type="band1Horz">
      <w:tblPr/>
      <w:tcPr>
        <w:shd w:val="clear" w:color="auto" w:fill="FFF280"/>
      </w:tcPr>
    </w:tblStylePr>
    <w:tblStylePr w:type="neCell">
      <w:rPr>
        <w:color w:val="000000"/>
      </w:rPr>
    </w:tblStylePr>
    <w:tblStylePr w:type="nwCell">
      <w:rPr>
        <w:color w:val="000000"/>
      </w:rPr>
    </w:tblStylePr>
  </w:style>
  <w:style w:type="table" w:customStyle="1" w:styleId="ColorfulShading-Accent41">
    <w:name w:val="Colorful Shading - Accent 41"/>
    <w:basedOn w:val="TableNormal"/>
    <w:next w:val="ColorfulShading-Accent4"/>
    <w:uiPriority w:val="71"/>
    <w:pPr>
      <w:spacing w:after="0" w:line="240" w:lineRule="auto"/>
    </w:pPr>
    <w:rPr>
      <w:rFonts w:ascii="EYInterstate Light" w:eastAsia="Calibri" w:hAnsi="EYInterstate Light" w:cs="Times New Roman"/>
      <w:color w:val="000000"/>
      <w:sz w:val="20"/>
      <w:szCs w:val="20"/>
      <w:lang w:val="nl-BE"/>
    </w:rPr>
    <w:tblPr>
      <w:tblStyleRowBandSize w:val="1"/>
      <w:tblStyleColBandSize w:val="1"/>
      <w:tblBorders>
        <w:top w:val="single" w:sz="24" w:space="0" w:color="999999"/>
        <w:left w:val="single" w:sz="4" w:space="0" w:color="F0F0F0"/>
        <w:bottom w:val="single" w:sz="4" w:space="0" w:color="F0F0F0"/>
        <w:right w:val="single" w:sz="4" w:space="0" w:color="F0F0F0"/>
        <w:insideH w:val="single" w:sz="4" w:space="0" w:color="646464"/>
        <w:insideV w:val="single" w:sz="4" w:space="0" w:color="646464"/>
      </w:tblBorders>
    </w:tblPr>
    <w:tcPr>
      <w:shd w:val="clear" w:color="auto" w:fill="FDFDFD"/>
    </w:tcPr>
    <w:tblStylePr w:type="firstRow">
      <w:rPr>
        <w:b/>
        <w:bCs/>
      </w:rPr>
      <w:tblPr/>
      <w:tcPr>
        <w:tcBorders>
          <w:top w:val="nil"/>
          <w:left w:val="nil"/>
          <w:bottom w:val="single" w:sz="24" w:space="0" w:color="999999"/>
          <w:right w:val="nil"/>
          <w:insideH w:val="nil"/>
          <w:insideV w:val="nil"/>
        </w:tcBorders>
        <w:shd w:val="clear" w:color="auto" w:fill="646464"/>
      </w:tcPr>
    </w:tblStylePr>
    <w:tblStylePr w:type="lastRow">
      <w:rPr>
        <w:b/>
        <w:bCs/>
        <w:color w:val="646464"/>
      </w:rPr>
      <w:tblPr/>
      <w:tcPr>
        <w:tcBorders>
          <w:top w:val="single" w:sz="6" w:space="0" w:color="646464"/>
        </w:tcBorders>
        <w:shd w:val="clear" w:color="auto" w:fill="909090"/>
      </w:tcPr>
    </w:tblStylePr>
    <w:tblStylePr w:type="firstCol">
      <w:rPr>
        <w:color w:val="646464"/>
      </w:rPr>
      <w:tblPr/>
      <w:tcPr>
        <w:tcBorders>
          <w:top w:val="nil"/>
          <w:left w:val="nil"/>
          <w:bottom w:val="nil"/>
          <w:right w:val="nil"/>
          <w:insideH w:val="single" w:sz="4" w:space="0" w:color="909090"/>
          <w:insideV w:val="nil"/>
        </w:tcBorders>
        <w:shd w:val="clear" w:color="auto" w:fill="909090"/>
      </w:tcPr>
    </w:tblStylePr>
    <w:tblStylePr w:type="lastCol">
      <w:rPr>
        <w:color w:val="646464"/>
      </w:rPr>
      <w:tblPr/>
      <w:tcPr>
        <w:tcBorders>
          <w:top w:val="nil"/>
          <w:left w:val="nil"/>
          <w:bottom w:val="nil"/>
          <w:right w:val="nil"/>
          <w:insideH w:val="nil"/>
          <w:insideV w:val="nil"/>
        </w:tcBorders>
        <w:shd w:val="clear" w:color="auto" w:fill="909090"/>
      </w:tcPr>
    </w:tblStylePr>
    <w:tblStylePr w:type="band1Vert">
      <w:tblPr/>
      <w:tcPr>
        <w:shd w:val="clear" w:color="auto" w:fill="F9F9F9"/>
      </w:tcPr>
    </w:tblStylePr>
    <w:tblStylePr w:type="band1Horz">
      <w:tblPr/>
      <w:tcPr>
        <w:shd w:val="clear" w:color="auto" w:fill="F7F7F7"/>
      </w:tcPr>
    </w:tblStylePr>
    <w:tblStylePr w:type="neCell">
      <w:rPr>
        <w:color w:val="000000"/>
      </w:rPr>
    </w:tblStylePr>
    <w:tblStylePr w:type="nwCell">
      <w:rPr>
        <w:color w:val="000000"/>
      </w:rPr>
    </w:tblStylePr>
  </w:style>
  <w:style w:type="table" w:customStyle="1" w:styleId="ColorfulList-Accent11">
    <w:name w:val="Colorful List - Accent 11"/>
    <w:basedOn w:val="TableNormal"/>
    <w:next w:val="ColorfulList-Accent1"/>
    <w:uiPriority w:val="72"/>
    <w:pPr>
      <w:spacing w:after="0" w:line="240" w:lineRule="auto"/>
    </w:pPr>
    <w:rPr>
      <w:rFonts w:ascii="EYInterstate Light" w:eastAsia="Calibri" w:hAnsi="EYInterstate Light" w:cs="Times New Roman"/>
      <w:color w:val="000000"/>
      <w:sz w:val="20"/>
      <w:szCs w:val="20"/>
      <w:lang w:val="nl-BE"/>
    </w:rPr>
    <w:tblPr>
      <w:tblStyleRowBandSize w:val="1"/>
      <w:tblStyleColBandSize w:val="1"/>
    </w:tblPr>
    <w:tcPr>
      <w:shd w:val="clear" w:color="auto" w:fill="F2F2F2"/>
    </w:tcPr>
    <w:tblStylePr w:type="firstRow">
      <w:rPr>
        <w:b/>
        <w:bCs/>
        <w:color w:val="646464"/>
      </w:rPr>
      <w:tblPr/>
      <w:tcPr>
        <w:tcBorders>
          <w:bottom w:val="single" w:sz="12" w:space="0" w:color="646464"/>
        </w:tcBorders>
        <w:shd w:val="clear" w:color="auto" w:fill="CCB800"/>
      </w:tcPr>
    </w:tblStylePr>
    <w:tblStylePr w:type="lastRow">
      <w:rPr>
        <w:b/>
        <w:bCs/>
        <w:color w:val="CCB800"/>
      </w:rPr>
      <w:tblPr/>
      <w:tcPr>
        <w:tcBorders>
          <w:top w:val="single" w:sz="12" w:space="0" w:color="000000"/>
        </w:tcBorders>
        <w:shd w:val="clear" w:color="auto" w:fill="64646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E0"/>
      </w:tcPr>
    </w:tblStylePr>
    <w:tblStylePr w:type="band1Horz">
      <w:tblPr/>
      <w:tcPr>
        <w:shd w:val="clear" w:color="auto" w:fill="E5E5E6"/>
      </w:tcPr>
    </w:tblStylePr>
  </w:style>
  <w:style w:type="table" w:customStyle="1" w:styleId="MediumGrid1-Accent41">
    <w:name w:val="Medium Grid 1 - Accent 41"/>
    <w:basedOn w:val="TableNormal"/>
    <w:next w:val="MediumGrid1-Accent4"/>
    <w:uiPriority w:val="67"/>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Pr>
    <w:tcPr>
      <w:shd w:val="clear" w:color="auto" w:fill="FBFBFB"/>
    </w:tcPr>
    <w:tblStylePr w:type="firstRow">
      <w:rPr>
        <w:b/>
        <w:bCs/>
      </w:rPr>
    </w:tblStylePr>
    <w:tblStylePr w:type="lastRow">
      <w:rPr>
        <w:b/>
        <w:bCs/>
      </w:rPr>
      <w:tblPr/>
      <w:tcPr>
        <w:tcBorders>
          <w:top w:val="single" w:sz="18" w:space="0" w:color="F3F3F3"/>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ghtList-Accent21">
    <w:name w:val="Light List - Accent 21"/>
    <w:basedOn w:val="TableNormal"/>
    <w:next w:val="LightList-Accent2"/>
    <w:uiPriority w:val="61"/>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paragraph" w:customStyle="1" w:styleId="Legende">
    <w:name w:val="Legende"/>
    <w:basedOn w:val="Normal"/>
    <w:pPr>
      <w:spacing w:before="120" w:after="120" w:line="320" w:lineRule="exact"/>
    </w:pPr>
    <w:rPr>
      <w:rFonts w:ascii="EYInterstate Light" w:hAnsi="EYInterstate Light"/>
      <w:i/>
      <w:color w:val="646464"/>
      <w:sz w:val="18"/>
      <w:szCs w:val="18"/>
    </w:rPr>
  </w:style>
  <w:style w:type="character" w:customStyle="1" w:styleId="TOC1Char">
    <w:name w:val="TOC 1 Char"/>
    <w:basedOn w:val="DefaultParagraphFont"/>
    <w:link w:val="TOC1"/>
    <w:uiPriority w:val="39"/>
    <w:rPr>
      <w:rFonts w:ascii="Times New Roman" w:eastAsia="Times New Roman" w:hAnsi="Times New Roman" w:cs="Times New Roman"/>
      <w:bCs/>
      <w:smallCaps/>
      <w:color w:val="365F91" w:themeColor="accent1" w:themeShade="BF"/>
      <w:sz w:val="20"/>
      <w:szCs w:val="20"/>
    </w:rPr>
  </w:style>
  <w:style w:type="table" w:customStyle="1" w:styleId="Table-standard">
    <w:name w:val="Table - standard"/>
    <w:basedOn w:val="TableNormal"/>
    <w:pPr>
      <w:spacing w:before="60" w:after="60" w:line="240" w:lineRule="auto"/>
    </w:pPr>
    <w:rPr>
      <w:rFonts w:ascii="EYInterstate Light" w:eastAsia="Times New Roman" w:hAnsi="EYInterstate Light" w:cs="Times New Roman"/>
      <w:sz w:val="18"/>
      <w:szCs w:val="20"/>
      <w:lang w:val="fr-FR" w:eastAsia="fr-FR"/>
    </w:rPr>
    <w:tblPr>
      <w:tblBorders>
        <w:insideH w:val="single" w:sz="4" w:space="0" w:color="auto"/>
      </w:tblBorders>
    </w:tblPr>
    <w:tcPr>
      <w:shd w:val="clear" w:color="auto" w:fill="auto"/>
    </w:tcPr>
    <w:tblStylePr w:type="firstRow">
      <w:rPr>
        <w:rFonts w:ascii="ArialMT" w:hAnsi="ArialMT"/>
        <w:sz w:val="18"/>
      </w:rPr>
      <w:tblPr/>
      <w:tcPr>
        <w:shd w:val="clear" w:color="auto" w:fill="FFE600"/>
      </w:tcPr>
    </w:tblStylePr>
    <w:tblStylePr w:type="lastRow">
      <w:rPr>
        <w:rFonts w:ascii="ArialMT" w:hAnsi="ArialMT"/>
      </w:rPr>
    </w:tblStylePr>
    <w:tblStylePr w:type="firstCol">
      <w:tblPr/>
      <w:tcPr>
        <w:tcBorders>
          <w:insideH w:val="single" w:sz="4" w:space="0" w:color="auto"/>
        </w:tcBorders>
        <w:shd w:val="clear" w:color="auto" w:fill="F2F2F2"/>
      </w:tcPr>
    </w:tblStylePr>
  </w:style>
  <w:style w:type="paragraph" w:customStyle="1" w:styleId="Imageplaceholder">
    <w:name w:val="Image placeholder"/>
    <w:qFormat/>
    <w:pPr>
      <w:spacing w:after="0" w:line="240" w:lineRule="auto"/>
      <w:jc w:val="center"/>
    </w:pPr>
    <w:rPr>
      <w:rFonts w:ascii="EYInterstate" w:eastAsia="Times New Roman" w:hAnsi="EYInterstate" w:cs="Times New Roman"/>
      <w:color w:val="FFFFFF"/>
      <w:sz w:val="28"/>
      <w:szCs w:val="24"/>
    </w:rPr>
  </w:style>
  <w:style w:type="paragraph" w:customStyle="1" w:styleId="TableContent">
    <w:name w:val="Table Content"/>
    <w:basedOn w:val="Normal"/>
    <w:pPr>
      <w:spacing w:before="60" w:after="60"/>
    </w:pPr>
    <w:rPr>
      <w:rFonts w:ascii="EYInterstate Light" w:hAnsi="EYInterstate Light"/>
      <w:sz w:val="18"/>
      <w:lang w:val="en-US"/>
    </w:rPr>
  </w:style>
  <w:style w:type="paragraph" w:customStyle="1" w:styleId="TableBullet0">
    <w:name w:val="Table Bullet"/>
    <w:basedOn w:val="Normal"/>
    <w:pPr>
      <w:tabs>
        <w:tab w:val="num" w:pos="0"/>
      </w:tabs>
      <w:suppressAutoHyphens/>
      <w:ind w:left="284" w:hanging="284"/>
    </w:pPr>
    <w:rPr>
      <w:rFonts w:ascii="EYInterstate Light" w:hAnsi="EYInterstate Light"/>
      <w:sz w:val="18"/>
      <w:lang w:val="en-US" w:eastAsia="ar-SA"/>
    </w:rPr>
  </w:style>
  <w:style w:type="table" w:customStyle="1" w:styleId="MediumShading2-Accent31">
    <w:name w:val="Medium Shading 2 - Accent 31"/>
    <w:basedOn w:val="TableNormal"/>
    <w:next w:val="MediumShading2-Accent3"/>
    <w:uiPriority w:val="64"/>
    <w:pP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cPr>
    </w:tblStylePr>
    <w:tblStylePr w:type="firstCol">
      <w:rPr>
        <w:b/>
        <w:bCs/>
        <w:color w:val="646464"/>
      </w:rPr>
      <w:tblPr/>
      <w:tcPr>
        <w:tcBorders>
          <w:top w:val="nil"/>
          <w:left w:val="nil"/>
          <w:bottom w:val="single" w:sz="18" w:space="0" w:color="auto"/>
          <w:right w:val="nil"/>
          <w:insideH w:val="nil"/>
          <w:insideV w:val="nil"/>
        </w:tcBorders>
        <w:shd w:val="clear" w:color="auto" w:fill="999999"/>
      </w:tcPr>
    </w:tblStylePr>
    <w:tblStylePr w:type="lastCol">
      <w:rPr>
        <w:b/>
        <w:bCs/>
        <w:color w:val="646464"/>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545454"/>
      </w:tcPr>
    </w:tblStylePr>
    <w:tblStylePr w:type="band1Horz">
      <w:tblPr/>
      <w:tcPr>
        <w:shd w:val="clear" w:color="auto" w:fill="54545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pP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8" w:space="0" w:color="646464"/>
        <w:left w:val="single" w:sz="8" w:space="0" w:color="646464"/>
        <w:bottom w:val="single" w:sz="8" w:space="0" w:color="646464"/>
        <w:right w:val="single" w:sz="8" w:space="0" w:color="646464"/>
        <w:insideH w:val="single" w:sz="6" w:space="0" w:color="646464"/>
        <w:insideV w:val="single" w:sz="6" w:space="0" w:color="646464"/>
      </w:tblBorders>
    </w:tblPr>
    <w:tcPr>
      <w:shd w:val="clear" w:color="auto" w:fill="DFDFE0"/>
    </w:tcPr>
    <w:tblStylePr w:type="firstRow">
      <w:rPr>
        <w:b/>
        <w:bCs/>
        <w:i w:val="0"/>
        <w:iCs w:val="0"/>
        <w:color w:val="646464"/>
      </w:rPr>
      <w:tblPr/>
      <w:tcPr>
        <w:tcBorders>
          <w:top w:val="single" w:sz="8" w:space="0" w:color="646464"/>
          <w:left w:val="single" w:sz="8" w:space="0" w:color="646464"/>
          <w:bottom w:val="single" w:sz="24" w:space="0" w:color="646464"/>
          <w:right w:val="single" w:sz="8" w:space="0" w:color="646464"/>
          <w:insideH w:val="nil"/>
          <w:insideV w:val="single" w:sz="8" w:space="0" w:color="646464"/>
        </w:tcBorders>
        <w:shd w:val="clear" w:color="auto" w:fill="7F7E82"/>
      </w:tcPr>
    </w:tblStylePr>
    <w:tblStylePr w:type="lastRow">
      <w:rPr>
        <w:b/>
        <w:bCs/>
        <w:i w:val="0"/>
        <w:iCs w:val="0"/>
        <w:color w:val="646464"/>
      </w:rPr>
      <w:tblPr/>
      <w:tcPr>
        <w:tcBorders>
          <w:top w:val="single" w:sz="24" w:space="0" w:color="646464"/>
          <w:left w:val="single" w:sz="8" w:space="0" w:color="646464"/>
          <w:bottom w:val="single" w:sz="8" w:space="0" w:color="646464"/>
          <w:right w:val="single" w:sz="8" w:space="0" w:color="646464"/>
          <w:insideH w:val="nil"/>
          <w:insideV w:val="single" w:sz="8" w:space="0" w:color="646464"/>
        </w:tcBorders>
        <w:shd w:val="clear" w:color="auto" w:fill="7F7E82"/>
      </w:tcPr>
    </w:tblStylePr>
    <w:tblStylePr w:type="firstCol">
      <w:rPr>
        <w:b/>
        <w:bCs/>
        <w:i w:val="0"/>
        <w:iCs w:val="0"/>
        <w:color w:val="646464"/>
      </w:rPr>
      <w:tblPr/>
      <w:tcPr>
        <w:tcBorders>
          <w:left w:val="single" w:sz="8" w:space="0" w:color="646464"/>
          <w:right w:val="single" w:sz="24" w:space="0" w:color="646464"/>
          <w:insideH w:val="nil"/>
          <w:insideV w:val="nil"/>
        </w:tcBorders>
        <w:shd w:val="clear" w:color="auto" w:fill="7F7E82"/>
      </w:tcPr>
    </w:tblStylePr>
    <w:tblStylePr w:type="lastCol">
      <w:rPr>
        <w:b/>
        <w:bCs/>
        <w:i w:val="0"/>
        <w:iCs w:val="0"/>
        <w:color w:val="646464"/>
      </w:rPr>
      <w:tblPr/>
      <w:tcPr>
        <w:tcBorders>
          <w:top w:val="nil"/>
          <w:left w:val="single" w:sz="24" w:space="0" w:color="646464"/>
          <w:bottom w:val="nil"/>
          <w:right w:val="nil"/>
          <w:insideH w:val="nil"/>
          <w:insideV w:val="nil"/>
        </w:tcBorders>
        <w:shd w:val="clear" w:color="auto" w:fill="7F7E82"/>
      </w:tcPr>
    </w:tblStylePr>
    <w:tblStylePr w:type="band1Vert">
      <w:tblPr/>
      <w:tcPr>
        <w:tcBorders>
          <w:top w:val="single" w:sz="8" w:space="0" w:color="646464"/>
          <w:left w:val="single" w:sz="8" w:space="0" w:color="646464"/>
          <w:bottom w:val="single" w:sz="8" w:space="0" w:color="646464"/>
          <w:right w:val="single" w:sz="8" w:space="0" w:color="646464"/>
          <w:insideH w:val="nil"/>
          <w:insideV w:val="nil"/>
        </w:tcBorders>
        <w:shd w:val="clear" w:color="auto" w:fill="BFBEC0"/>
      </w:tcPr>
    </w:tblStylePr>
    <w:tblStylePr w:type="band1Horz">
      <w:tblPr/>
      <w:tcPr>
        <w:tcBorders>
          <w:top w:val="single" w:sz="8" w:space="0" w:color="646464"/>
          <w:left w:val="single" w:sz="8" w:space="0" w:color="646464"/>
          <w:bottom w:val="single" w:sz="8" w:space="0" w:color="646464"/>
          <w:right w:val="single" w:sz="8" w:space="0" w:color="646464"/>
          <w:insideH w:val="single" w:sz="8" w:space="0" w:color="646464"/>
          <w:insideV w:val="single" w:sz="8" w:space="0" w:color="646464"/>
        </w:tcBorders>
        <w:shd w:val="clear" w:color="auto" w:fill="BFBEC0"/>
      </w:tcPr>
    </w:tblStylePr>
  </w:style>
  <w:style w:type="character" w:customStyle="1" w:styleId="TableboxtextChar">
    <w:name w:val="Table/box text Char"/>
    <w:basedOn w:val="DefaultParagraphFont"/>
    <w:link w:val="Tableboxtext"/>
    <w:uiPriority w:val="99"/>
    <w:rPr>
      <w:rFonts w:ascii="Georgia" w:eastAsia="Calibri" w:hAnsi="Georgia" w:cs="Times New Roman"/>
      <w:sz w:val="18"/>
    </w:rPr>
  </w:style>
  <w:style w:type="character" w:customStyle="1" w:styleId="Style9Char">
    <w:name w:val="Style9 Char"/>
    <w:link w:val="Style9"/>
    <w:rPr>
      <w:rFonts w:ascii="EYInterstate Light" w:eastAsia="Calibri" w:hAnsi="EYInterstate Light" w:cs="Times New Roman"/>
      <w:sz w:val="20"/>
    </w:rPr>
  </w:style>
  <w:style w:type="table" w:customStyle="1" w:styleId="LightList-Accent211">
    <w:name w:val="Light List - Accent 211"/>
    <w:basedOn w:val="TableNormal"/>
    <w:next w:val="LightList-Accent2"/>
    <w:uiPriority w:val="61"/>
    <w:pPr>
      <w:spacing w:after="0" w:line="240" w:lineRule="auto"/>
    </w:pPr>
    <w:rPr>
      <w:rFonts w:ascii="Calibri" w:eastAsia="Calibri" w:hAnsi="Calibri" w:cs="Times New Roman"/>
      <w:sz w:val="20"/>
      <w:szCs w:val="20"/>
      <w:lang w:val="it-IT" w:eastAsia="it-IT"/>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numbering" w:customStyle="1" w:styleId="NoList21">
    <w:name w:val="No List21"/>
    <w:next w:val="NoList"/>
    <w:uiPriority w:val="99"/>
    <w:semiHidden/>
    <w:unhideWhenUsed/>
  </w:style>
  <w:style w:type="character" w:styleId="BookTitle">
    <w:name w:val="Book Title"/>
    <w:uiPriority w:val="33"/>
    <w:rPr>
      <w:i/>
      <w:iCs/>
      <w:smallCaps/>
      <w:spacing w:val="5"/>
    </w:rPr>
  </w:style>
  <w:style w:type="paragraph" w:customStyle="1" w:styleId="EYTableNormal">
    <w:name w:val="EY Table Normal"/>
    <w:basedOn w:val="Normal"/>
    <w:autoRedefine/>
    <w:pPr>
      <w:spacing w:before="40" w:after="40"/>
    </w:pPr>
    <w:rPr>
      <w:rFonts w:ascii="EYInterstate Light" w:hAnsi="EYInterstate Light"/>
      <w:color w:val="000000"/>
      <w:sz w:val="18"/>
      <w:szCs w:val="24"/>
      <w:lang w:val="en-US" w:eastAsia="en-GB"/>
    </w:rPr>
  </w:style>
  <w:style w:type="paragraph" w:customStyle="1" w:styleId="EYTableHeadingWhite">
    <w:name w:val="EY Table Heading (White)"/>
    <w:basedOn w:val="Normal"/>
    <w:pPr>
      <w:spacing w:before="60" w:after="60"/>
    </w:pPr>
    <w:rPr>
      <w:rFonts w:ascii="EYInterstate Regular" w:hAnsi="EYInterstate Regular"/>
      <w:bCs/>
      <w:color w:val="FFFFFF"/>
      <w:sz w:val="18"/>
      <w:szCs w:val="24"/>
      <w:lang w:val="en-US"/>
    </w:rPr>
  </w:style>
  <w:style w:type="table" w:customStyle="1" w:styleId="LightShading-Accent42">
    <w:name w:val="Light Shading - Accent 42"/>
    <w:basedOn w:val="TableNormal"/>
    <w:next w:val="LightShading-Accent4"/>
    <w:uiPriority w:val="60"/>
    <w:pPr>
      <w:spacing w:after="0" w:line="240" w:lineRule="auto"/>
    </w:pPr>
    <w:rPr>
      <w:rFonts w:ascii="EYInterstate Light" w:eastAsia="Calibri" w:hAnsi="EYInterstate Light" w:cs="Times New Roman"/>
      <w:color w:val="5F497A"/>
      <w:sz w:val="20"/>
      <w:szCs w:val="20"/>
      <w:lang w:val="it-IT"/>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
    <w:name w:val="Light Shading - Accent 41"/>
    <w:basedOn w:val="TableNormal"/>
    <w:next w:val="LightShading-Accent4"/>
    <w:uiPriority w:val="60"/>
    <w:pPr>
      <w:spacing w:after="0" w:line="240" w:lineRule="auto"/>
    </w:pPr>
    <w:rPr>
      <w:rFonts w:ascii="EYInterstate Light" w:eastAsia="Calibri" w:hAnsi="EYInterstate Light" w:cs="Times New Roman"/>
      <w:color w:val="B3B3B3"/>
      <w:sz w:val="20"/>
      <w:szCs w:val="20"/>
      <w:lang w:val="nl-BE"/>
    </w:rPr>
    <w:tblPr>
      <w:tblStyleRowBandSize w:val="1"/>
      <w:tblStyleColBandSize w:val="1"/>
      <w:tblBorders>
        <w:top w:val="single" w:sz="8" w:space="0" w:color="F0F0F0"/>
        <w:bottom w:val="single" w:sz="8" w:space="0" w:color="F0F0F0"/>
      </w:tblBorders>
    </w:tblPr>
    <w:tblStylePr w:type="firstRow">
      <w:pPr>
        <w:spacing w:before="0" w:after="0" w:line="240" w:lineRule="auto"/>
      </w:pPr>
      <w:rPr>
        <w:b/>
        <w:bCs/>
      </w:rPr>
      <w:tblPr/>
      <w:tcPr>
        <w:tcBorders>
          <w:top w:val="single" w:sz="8" w:space="0" w:color="F0F0F0"/>
          <w:left w:val="nil"/>
          <w:bottom w:val="single" w:sz="8" w:space="0" w:color="F0F0F0"/>
          <w:right w:val="nil"/>
          <w:insideH w:val="nil"/>
          <w:insideV w:val="nil"/>
        </w:tcBorders>
      </w:tcPr>
    </w:tblStylePr>
    <w:tblStylePr w:type="lastRow">
      <w:pPr>
        <w:spacing w:before="0" w:after="0" w:line="240" w:lineRule="auto"/>
      </w:pPr>
      <w:rPr>
        <w:b/>
        <w:bCs/>
      </w:rPr>
      <w:tblPr/>
      <w:tcPr>
        <w:tcBorders>
          <w:top w:val="single" w:sz="8" w:space="0" w:color="F0F0F0"/>
          <w:left w:val="nil"/>
          <w:bottom w:val="single" w:sz="8" w:space="0" w:color="F0F0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B"/>
      </w:tcPr>
    </w:tblStylePr>
    <w:tblStylePr w:type="band1Horz">
      <w:tblPr/>
      <w:tcPr>
        <w:tcBorders>
          <w:left w:val="nil"/>
          <w:right w:val="nil"/>
          <w:insideH w:val="nil"/>
          <w:insideV w:val="nil"/>
        </w:tcBorders>
        <w:shd w:val="clear" w:color="auto" w:fill="FBFBFB"/>
      </w:tcPr>
    </w:tblStylePr>
  </w:style>
  <w:style w:type="paragraph" w:customStyle="1" w:styleId="ListepuceCV">
    <w:name w:val="Liste puce CV"/>
    <w:basedOn w:val="Normal"/>
    <w:pPr>
      <w:numPr>
        <w:numId w:val="46"/>
      </w:numPr>
      <w:spacing w:before="20" w:after="120" w:line="276" w:lineRule="auto"/>
    </w:pPr>
    <w:rPr>
      <w:rFonts w:ascii="EYInterstate Light" w:hAnsi="EYInterstate Light"/>
      <w:color w:val="C00000"/>
      <w:sz w:val="20"/>
      <w:szCs w:val="24"/>
    </w:rPr>
  </w:style>
  <w:style w:type="table" w:customStyle="1" w:styleId="LightGrid-Accent41">
    <w:name w:val="Light Grid - Accent 41"/>
    <w:basedOn w:val="TableNormal"/>
    <w:next w:val="LightGrid-Accent4"/>
    <w:uiPriority w:val="62"/>
    <w:pPr>
      <w:spacing w:after="0" w:line="240" w:lineRule="auto"/>
    </w:pPr>
    <w:rPr>
      <w:rFonts w:ascii="EYInterstate Light" w:eastAsia="Calibri" w:hAnsi="EYInterstate Light" w:cs="Times New Roman"/>
      <w:sz w:val="18"/>
      <w:szCs w:val="20"/>
      <w:lang w:val="nl-BE"/>
    </w:rPr>
    <w:tblPr>
      <w:tblStyleRowBandSize w:val="1"/>
      <w:tblStyleColBandSize w:val="1"/>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Pr>
    <w:tblStylePr w:type="firstRow">
      <w:pPr>
        <w:spacing w:before="0" w:after="0" w:line="240" w:lineRule="auto"/>
      </w:pPr>
      <w:rPr>
        <w:rFonts w:ascii="ArialMT" w:eastAsia="MS Gothic" w:hAnsi="ArialMT" w:cs="Times New Roman"/>
        <w:b/>
        <w:bCs/>
        <w:sz w:val="18"/>
      </w:rPr>
      <w:tblPr/>
      <w:tcPr>
        <w:tcBorders>
          <w:top w:val="single" w:sz="8" w:space="0" w:color="F0F0F0"/>
          <w:left w:val="single" w:sz="8" w:space="0" w:color="F0F0F0"/>
          <w:bottom w:val="single" w:sz="18" w:space="0" w:color="F0F0F0"/>
          <w:right w:val="single" w:sz="8" w:space="0" w:color="F0F0F0"/>
          <w:insideH w:val="nil"/>
          <w:insideV w:val="single" w:sz="8" w:space="0" w:color="F0F0F0"/>
        </w:tcBorders>
      </w:tcPr>
    </w:tblStylePr>
    <w:tblStylePr w:type="lastRow">
      <w:pPr>
        <w:spacing w:before="0" w:after="0" w:line="240" w:lineRule="auto"/>
      </w:pPr>
      <w:rPr>
        <w:rFonts w:ascii="ArialMT" w:eastAsia="MS Gothic" w:hAnsi="ArialMT" w:cs="Times New Roman"/>
        <w:b/>
        <w:bCs/>
        <w:sz w:val="18"/>
      </w:rPr>
      <w:tblPr/>
      <w:tcPr>
        <w:tcBorders>
          <w:top w:val="double" w:sz="6" w:space="0" w:color="F0F0F0"/>
          <w:left w:val="single" w:sz="8" w:space="0" w:color="F0F0F0"/>
          <w:bottom w:val="single" w:sz="8" w:space="0" w:color="F0F0F0"/>
          <w:right w:val="single" w:sz="8" w:space="0" w:color="F0F0F0"/>
          <w:insideH w:val="nil"/>
          <w:insideV w:val="single" w:sz="8" w:space="0" w:color="F0F0F0"/>
        </w:tcBorders>
      </w:tcPr>
    </w:tblStylePr>
    <w:tblStylePr w:type="firstCol">
      <w:rPr>
        <w:rFonts w:ascii="ArialMT" w:eastAsia="MS Gothic" w:hAnsi="ArialMT" w:cs="Times New Roman"/>
        <w:b/>
        <w:bCs/>
        <w:sz w:val="18"/>
      </w:rPr>
    </w:tblStylePr>
    <w:tblStylePr w:type="lastCol">
      <w:rPr>
        <w:rFonts w:ascii="ArialMT" w:eastAsia="MS Gothic" w:hAnsi="ArialMT" w:cs="Times New Roman"/>
        <w:b/>
        <w:bCs/>
      </w:rPr>
      <w:tblPr/>
      <w:tcPr>
        <w:tcBorders>
          <w:top w:val="single" w:sz="8" w:space="0" w:color="F0F0F0"/>
          <w:left w:val="single" w:sz="8" w:space="0" w:color="F0F0F0"/>
          <w:bottom w:val="single" w:sz="8" w:space="0" w:color="F0F0F0"/>
          <w:right w:val="single" w:sz="8" w:space="0" w:color="F0F0F0"/>
        </w:tcBorders>
      </w:tcPr>
    </w:tblStylePr>
    <w:tblStylePr w:type="band1Vert">
      <w:tblPr/>
      <w:tcPr>
        <w:tcBorders>
          <w:top w:val="single" w:sz="8" w:space="0" w:color="F0F0F0"/>
          <w:left w:val="single" w:sz="8" w:space="0" w:color="F0F0F0"/>
          <w:bottom w:val="single" w:sz="8" w:space="0" w:color="F0F0F0"/>
          <w:right w:val="single" w:sz="8" w:space="0" w:color="F0F0F0"/>
        </w:tcBorders>
        <w:shd w:val="clear" w:color="auto" w:fill="FBFBFB"/>
      </w:tcPr>
    </w:tblStylePr>
    <w:tblStylePr w:type="band2Vert">
      <w:rPr>
        <w:rFonts w:ascii="ArialMT" w:hAnsi="ArialMT"/>
        <w:sz w:val="18"/>
      </w:rPr>
    </w:tblStylePr>
    <w:tblStylePr w:type="band1Horz">
      <w:rPr>
        <w:rFonts w:ascii="ArialMT" w:hAnsi="ArialMT"/>
      </w:rPr>
      <w:tblPr/>
      <w:tcPr>
        <w:tcBorders>
          <w:top w:val="single" w:sz="8" w:space="0" w:color="F0F0F0"/>
          <w:left w:val="single" w:sz="8" w:space="0" w:color="F0F0F0"/>
          <w:bottom w:val="single" w:sz="8" w:space="0" w:color="F0F0F0"/>
          <w:right w:val="single" w:sz="8" w:space="0" w:color="F0F0F0"/>
          <w:insideV w:val="single" w:sz="8" w:space="0" w:color="F0F0F0"/>
        </w:tcBorders>
        <w:shd w:val="clear" w:color="auto" w:fill="FBFBFB"/>
      </w:tcPr>
    </w:tblStylePr>
    <w:tblStylePr w:type="band2Horz">
      <w:rPr>
        <w:rFonts w:ascii="ArialMT" w:hAnsi="ArialMT"/>
      </w:rPr>
      <w:tblPr/>
      <w:tcPr>
        <w:tcBorders>
          <w:top w:val="single" w:sz="8" w:space="0" w:color="F0F0F0"/>
          <w:left w:val="single" w:sz="8" w:space="0" w:color="F0F0F0"/>
          <w:bottom w:val="single" w:sz="8" w:space="0" w:color="F0F0F0"/>
          <w:right w:val="single" w:sz="8" w:space="0" w:color="F0F0F0"/>
          <w:insideV w:val="single" w:sz="8" w:space="0" w:color="F0F0F0"/>
        </w:tcBorders>
      </w:tcPr>
    </w:tblStylePr>
  </w:style>
  <w:style w:type="table" w:customStyle="1" w:styleId="CV2">
    <w:name w:val="CV2"/>
    <w:basedOn w:val="TableNormal"/>
    <w:pPr>
      <w:spacing w:after="0" w:line="240" w:lineRule="auto"/>
    </w:pPr>
    <w:rPr>
      <w:rFonts w:ascii="EYInterstate" w:eastAsia="Times New Roman" w:hAnsi="EYInterstate" w:cs="Times New Roman"/>
      <w:sz w:val="16"/>
      <w:szCs w:val="16"/>
      <w:lang w:val="fr-FR" w:eastAsia="fr-FR"/>
    </w:rPr>
    <w:tblPr>
      <w:tblBorders>
        <w:top w:val="single" w:sz="8" w:space="0" w:color="808080"/>
        <w:bottom w:val="single" w:sz="8" w:space="0" w:color="808080"/>
        <w:insideH w:val="single" w:sz="2" w:space="0" w:color="808080"/>
      </w:tblBorders>
      <w:tblCellMar>
        <w:top w:w="85" w:type="dxa"/>
      </w:tblCellMar>
    </w:tblPr>
    <w:tcPr>
      <w:shd w:val="clear" w:color="auto" w:fill="auto"/>
    </w:tcPr>
    <w:tblStylePr w:type="firstRow">
      <w:pPr>
        <w:wordWrap/>
        <w:spacing w:line="240" w:lineRule="auto"/>
      </w:pPr>
      <w:rPr>
        <w:rFonts w:ascii="Arial Narrow" w:hAnsi="Arial Narrow"/>
        <w:b w:val="0"/>
        <w:bCs/>
        <w:color w:val="auto"/>
        <w:sz w:val="16"/>
      </w:rPr>
      <w:tblPr/>
      <w:tcPr>
        <w:tcBorders>
          <w:top w:val="nil"/>
          <w:left w:val="nil"/>
          <w:bottom w:val="nil"/>
          <w:right w:val="nil"/>
          <w:insideH w:val="nil"/>
          <w:insideV w:val="nil"/>
          <w:tl2br w:val="nil"/>
          <w:tr2bl w:val="nil"/>
        </w:tcBorders>
        <w:shd w:val="clear" w:color="auto" w:fill="FFD200"/>
      </w:tcPr>
    </w:tblStylePr>
    <w:tblStylePr w:type="nwCell">
      <w:pPr>
        <w:wordWrap/>
        <w:spacing w:line="240" w:lineRule="auto"/>
      </w:pPr>
      <w:rPr>
        <w:rFonts w:ascii="Arial Narrow" w:hAnsi="Arial Narrow"/>
      </w:rPr>
      <w:tblPr/>
      <w:tcPr>
        <w:tcBorders>
          <w:top w:val="nil"/>
          <w:left w:val="nil"/>
          <w:bottom w:val="nil"/>
          <w:right w:val="nil"/>
          <w:insideH w:val="nil"/>
          <w:insideV w:val="nil"/>
          <w:tl2br w:val="nil"/>
          <w:tr2bl w:val="nil"/>
        </w:tcBorders>
        <w:shd w:val="clear" w:color="auto" w:fill="FFD200"/>
      </w:tcPr>
    </w:tblStylePr>
  </w:style>
  <w:style w:type="table" w:customStyle="1" w:styleId="LightShading2">
    <w:name w:val="Light Shading2"/>
    <w:basedOn w:val="TableNormal"/>
    <w:next w:val="LightShading"/>
    <w:uiPriority w:val="60"/>
    <w:pPr>
      <w:spacing w:after="0" w:line="240" w:lineRule="auto"/>
    </w:pPr>
    <w:rPr>
      <w:rFonts w:ascii="EYInterstate Light" w:eastAsia="Calibri" w:hAnsi="EYInterstate Light" w:cs="Times New Roman"/>
      <w:color w:val="000000"/>
      <w:sz w:val="20"/>
      <w:szCs w:val="20"/>
      <w:lang w:val="nl-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
    <w:name w:val="Light Shading - Accent 21"/>
    <w:basedOn w:val="TableNormal"/>
    <w:next w:val="LightShading-Accent2"/>
    <w:uiPriority w:val="60"/>
    <w:pPr>
      <w:spacing w:after="0" w:line="240" w:lineRule="auto"/>
    </w:pPr>
    <w:rPr>
      <w:rFonts w:ascii="EYInterstate Light" w:eastAsia="Calibri" w:hAnsi="EYInterstate Light" w:cs="Times New Roman"/>
      <w:color w:val="BFAC00"/>
      <w:sz w:val="18"/>
      <w:szCs w:val="20"/>
      <w:lang w:val="nl-BE"/>
    </w:rPr>
    <w:tblPr>
      <w:tblStyleRowBandSize w:val="1"/>
      <w:tblStyleColBandSize w:val="1"/>
      <w:tblBorders>
        <w:top w:val="single" w:sz="8" w:space="0" w:color="FFE600"/>
        <w:bottom w:val="single" w:sz="8" w:space="0" w:color="FFE600"/>
      </w:tblBorders>
    </w:tblPr>
    <w:tblStylePr w:type="firstRow">
      <w:pPr>
        <w:spacing w:before="0" w:after="0" w:line="240" w:lineRule="auto"/>
      </w:pPr>
      <w:rPr>
        <w:b/>
        <w:bCs/>
      </w:rPr>
      <w:tblPr/>
      <w:tcPr>
        <w:tcBorders>
          <w:top w:val="single" w:sz="8" w:space="0" w:color="FFE600"/>
          <w:left w:val="nil"/>
          <w:bottom w:val="single" w:sz="8" w:space="0" w:color="FFE600"/>
          <w:right w:val="nil"/>
          <w:insideH w:val="nil"/>
          <w:insideV w:val="nil"/>
        </w:tcBorders>
      </w:tcPr>
    </w:tblStylePr>
    <w:tblStylePr w:type="lastRow">
      <w:pPr>
        <w:spacing w:before="0" w:after="0" w:line="240" w:lineRule="auto"/>
      </w:pPr>
      <w:rPr>
        <w:b/>
        <w:bCs/>
      </w:rPr>
      <w:tblPr/>
      <w:tcPr>
        <w:tcBorders>
          <w:top w:val="single" w:sz="8" w:space="0" w:color="FFE600"/>
          <w:left w:val="nil"/>
          <w:bottom w:val="single" w:sz="8" w:space="0" w:color="FFE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C0"/>
      </w:tcPr>
    </w:tblStylePr>
    <w:tblStylePr w:type="band1Horz">
      <w:tblPr/>
      <w:tcPr>
        <w:tcBorders>
          <w:left w:val="nil"/>
          <w:right w:val="nil"/>
          <w:insideH w:val="nil"/>
          <w:insideV w:val="nil"/>
        </w:tcBorders>
        <w:shd w:val="clear" w:color="auto" w:fill="FFF8C0"/>
      </w:tcPr>
    </w:tblStylePr>
  </w:style>
  <w:style w:type="table" w:customStyle="1" w:styleId="LightShading-Accent11">
    <w:name w:val="Light Shading - Accent 11"/>
    <w:basedOn w:val="TableNormal"/>
    <w:next w:val="LightShading-Accent1"/>
    <w:uiPriority w:val="60"/>
    <w:pPr>
      <w:spacing w:after="0" w:line="240" w:lineRule="auto"/>
    </w:pPr>
    <w:rPr>
      <w:rFonts w:ascii="EYInterstate Light" w:eastAsia="Calibri" w:hAnsi="EYInterstate Light" w:cs="Times New Roman"/>
      <w:color w:val="5F5E61"/>
      <w:sz w:val="18"/>
      <w:szCs w:val="20"/>
      <w:lang w:val="nl-BE"/>
    </w:rPr>
    <w:tblPr>
      <w:tblStyleRowBandSize w:val="1"/>
      <w:tblStyleColBandSize w:val="1"/>
      <w:tblBorders>
        <w:top w:val="single" w:sz="8" w:space="0" w:color="7F7E82"/>
        <w:bottom w:val="single" w:sz="8" w:space="0" w:color="7F7E82"/>
      </w:tblBorders>
    </w:tblPr>
    <w:tblStylePr w:type="firstRow">
      <w:pPr>
        <w:spacing w:before="0" w:after="0" w:line="240" w:lineRule="auto"/>
      </w:pPr>
      <w:rPr>
        <w:b/>
        <w:bCs/>
      </w:rPr>
      <w:tblPr/>
      <w:tcPr>
        <w:tcBorders>
          <w:top w:val="single" w:sz="8" w:space="0" w:color="7F7E82"/>
          <w:left w:val="nil"/>
          <w:bottom w:val="single" w:sz="8" w:space="0" w:color="7F7E82"/>
          <w:right w:val="nil"/>
          <w:insideH w:val="nil"/>
          <w:insideV w:val="nil"/>
        </w:tcBorders>
      </w:tcPr>
    </w:tblStylePr>
    <w:tblStylePr w:type="lastRow">
      <w:pPr>
        <w:spacing w:before="0" w:after="0" w:line="240" w:lineRule="auto"/>
      </w:pPr>
      <w:rPr>
        <w:b/>
        <w:bCs/>
      </w:rPr>
      <w:tblPr/>
      <w:tcPr>
        <w:tcBorders>
          <w:top w:val="single" w:sz="8" w:space="0" w:color="7F7E82"/>
          <w:left w:val="nil"/>
          <w:bottom w:val="single" w:sz="8" w:space="0" w:color="7F7E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E0"/>
      </w:tcPr>
    </w:tblStylePr>
    <w:tblStylePr w:type="band1Horz">
      <w:tblPr/>
      <w:tcPr>
        <w:tcBorders>
          <w:left w:val="nil"/>
          <w:right w:val="nil"/>
          <w:insideH w:val="nil"/>
          <w:insideV w:val="nil"/>
        </w:tcBorders>
        <w:shd w:val="clear" w:color="auto" w:fill="DFDFE0"/>
      </w:tcPr>
    </w:tblStylePr>
  </w:style>
  <w:style w:type="paragraph" w:customStyle="1" w:styleId="Lettrepuce2">
    <w:name w:val="Lettre puce 2"/>
    <w:basedOn w:val="Normal"/>
    <w:uiPriority w:val="99"/>
    <w:pPr>
      <w:numPr>
        <w:numId w:val="47"/>
      </w:numPr>
      <w:tabs>
        <w:tab w:val="left" w:pos="560"/>
      </w:tabs>
      <w:spacing w:before="60" w:after="60" w:line="276" w:lineRule="auto"/>
    </w:pPr>
    <w:rPr>
      <w:rFonts w:ascii="EYInterstate Light" w:hAnsi="EYInterstate Light"/>
      <w:sz w:val="20"/>
      <w:szCs w:val="18"/>
    </w:rPr>
  </w:style>
  <w:style w:type="table" w:customStyle="1" w:styleId="ColorfulList-Accent311">
    <w:name w:val="Colorful List - Accent 311"/>
    <w:basedOn w:val="TableNormal"/>
    <w:uiPriority w:val="72"/>
    <w:pPr>
      <w:spacing w:after="0" w:line="240" w:lineRule="auto"/>
    </w:pPr>
    <w:rPr>
      <w:rFonts w:ascii="Calibri" w:eastAsia="Calibri" w:hAnsi="Calibri" w:cs="Times New Roman"/>
      <w:color w:val="000000"/>
      <w:lang w:val="nl-BE"/>
    </w:rPr>
    <w:tblPr>
      <w:tblStyleRowBandSize w:val="1"/>
      <w:tblStyleColBandSize w:val="1"/>
    </w:tblPr>
    <w:tcPr>
      <w:shd w:val="clear" w:color="auto" w:fill="F5F5F5"/>
    </w:tcPr>
    <w:tblStylePr w:type="firstRow">
      <w:rPr>
        <w:b/>
        <w:bCs/>
        <w:color w:val="646464"/>
      </w:rPr>
      <w:tblPr/>
      <w:tcPr>
        <w:tcBorders>
          <w:bottom w:val="single" w:sz="12" w:space="0" w:color="646464"/>
        </w:tcBorders>
        <w:shd w:val="clear" w:color="auto" w:fill="C0C0C0"/>
      </w:tcPr>
    </w:tblStylePr>
    <w:tblStylePr w:type="lastRow">
      <w:rPr>
        <w:b/>
        <w:bCs/>
        <w:color w:val="C0C0C0"/>
      </w:rPr>
      <w:tblPr/>
      <w:tcPr>
        <w:tcBorders>
          <w:top w:val="single" w:sz="12" w:space="0" w:color="000000"/>
        </w:tcBorders>
        <w:shd w:val="clear" w:color="auto" w:fill="64646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customStyle="1" w:styleId="TabelEcorys1">
    <w:name w:val="TabelEcorys1"/>
    <w:basedOn w:val="TableNormal"/>
    <w:next w:val="TableGrid"/>
    <w:uiPriority w:val="59"/>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00Char">
    <w:name w:val="000 Char"/>
    <w:aliases w:val="standaard Char,standaard uitvullen Char,stan084daard Char,standaard (alt-s) Char,standaard uitvull0083 Char,standaard 040 Char,standaard 042 Char,standaard 155 Char,standaard81 Char,standaard uitv042ullen Char,standaard uitvulle045n Char"/>
    <w:basedOn w:val="DefaultParagraphFont"/>
    <w:link w:val="000"/>
    <w:rPr>
      <w:rFonts w:ascii="Arial" w:eastAsia="Times New Roman" w:hAnsi="Arial" w:cs="Times New Roman"/>
      <w:sz w:val="18"/>
      <w:szCs w:val="20"/>
      <w:lang w:val="nl-NL" w:eastAsia="nl-BE"/>
    </w:rPr>
  </w:style>
  <w:style w:type="paragraph" w:customStyle="1" w:styleId="EYBodytextnoparaspace">
    <w:name w:val="EY Body text (no para space)"/>
    <w:basedOn w:val="000"/>
    <w:link w:val="EYBodytextnoparaspaceChar"/>
    <w:qFormat/>
    <w:pPr>
      <w:tabs>
        <w:tab w:val="left" w:pos="907"/>
      </w:tabs>
      <w:spacing w:before="60" w:after="60"/>
    </w:pPr>
    <w:rPr>
      <w:rFonts w:ascii="EYInterstate Light" w:hAnsi="EYInterstate Light"/>
      <w:kern w:val="12"/>
      <w:lang w:val="en-US"/>
    </w:rPr>
  </w:style>
  <w:style w:type="character" w:customStyle="1" w:styleId="EYBodytextnoparaspaceChar">
    <w:name w:val="EY Body text (no para space) Char"/>
    <w:basedOn w:val="000Char"/>
    <w:link w:val="EYBodytextnoparaspace"/>
    <w:rPr>
      <w:rFonts w:ascii="EYInterstate Light" w:eastAsia="Times New Roman" w:hAnsi="EYInterstate Light" w:cs="Times New Roman"/>
      <w:kern w:val="12"/>
      <w:sz w:val="18"/>
      <w:szCs w:val="20"/>
      <w:lang w:val="en-US" w:eastAsia="nl-BE"/>
    </w:rPr>
  </w:style>
  <w:style w:type="paragraph" w:customStyle="1" w:styleId="table">
    <w:name w:val="table"/>
    <w:basedOn w:val="Normal"/>
    <w:qFormat/>
    <w:pPr>
      <w:spacing w:before="120" w:after="120"/>
      <w:contextualSpacing/>
    </w:pPr>
    <w:rPr>
      <w:rFonts w:ascii="EYInterstate Light" w:hAnsi="EYInterstate Light"/>
      <w:sz w:val="18"/>
      <w:szCs w:val="18"/>
      <w:lang w:val="en-US"/>
    </w:rPr>
  </w:style>
  <w:style w:type="paragraph" w:customStyle="1" w:styleId="Captiondghome">
    <w:name w:val="Caption dg home"/>
    <w:basedOn w:val="Normal"/>
    <w:link w:val="CaptiondghomeChar"/>
    <w:qFormat/>
    <w:pPr>
      <w:keepNext/>
      <w:spacing w:before="200" w:after="120"/>
      <w:jc w:val="center"/>
    </w:pPr>
    <w:rPr>
      <w:rFonts w:ascii="EYInterstate" w:eastAsia="Calibri" w:hAnsi="EYInterstate"/>
      <w:b/>
      <w:bCs/>
      <w:color w:val="7F7E82"/>
      <w:sz w:val="18"/>
      <w:szCs w:val="18"/>
    </w:rPr>
  </w:style>
  <w:style w:type="character" w:customStyle="1" w:styleId="CaptiondghomeChar">
    <w:name w:val="Caption dg home Char"/>
    <w:basedOn w:val="DefaultParagraphFont"/>
    <w:link w:val="Captiondghome"/>
    <w:rPr>
      <w:rFonts w:ascii="EYInterstate" w:eastAsia="Calibri" w:hAnsi="EYInterstate" w:cs="Times New Roman"/>
      <w:b/>
      <w:bCs/>
      <w:color w:val="7F7E82"/>
      <w:sz w:val="18"/>
      <w:szCs w:val="18"/>
    </w:rPr>
  </w:style>
  <w:style w:type="table" w:customStyle="1" w:styleId="CV13">
    <w:name w:val="CV13"/>
    <w:basedOn w:val="TableNormal"/>
    <w:next w:val="TableGrid"/>
    <w:uiPriority w:val="59"/>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EY">
    <w:name w:val="Tableau titre_EY"/>
    <w:basedOn w:val="Normal"/>
    <w:link w:val="TableautitreEYChar"/>
    <w:autoRedefine/>
    <w:pPr>
      <w:keepNext/>
      <w:spacing w:beforeLines="23" w:before="55" w:afterLines="23" w:after="55" w:line="276" w:lineRule="auto"/>
      <w:ind w:right="-108"/>
      <w:jc w:val="center"/>
    </w:pPr>
    <w:rPr>
      <w:rFonts w:ascii="EYInterstate Light" w:hAnsi="EYInterstate Light"/>
      <w:bCs/>
      <w:color w:val="595959"/>
      <w:sz w:val="20"/>
      <w:lang w:val="en-US"/>
    </w:rPr>
  </w:style>
  <w:style w:type="character" w:customStyle="1" w:styleId="TableautitreEYChar">
    <w:name w:val="Tableau titre_EY Char"/>
    <w:basedOn w:val="DefaultParagraphFont"/>
    <w:link w:val="TableautitreEY"/>
    <w:rPr>
      <w:rFonts w:ascii="EYInterstate Light" w:eastAsia="Times New Roman" w:hAnsi="EYInterstate Light" w:cs="Times New Roman"/>
      <w:bCs/>
      <w:color w:val="595959"/>
      <w:sz w:val="20"/>
      <w:szCs w:val="20"/>
      <w:lang w:val="en-US"/>
    </w:rPr>
  </w:style>
  <w:style w:type="paragraph" w:customStyle="1" w:styleId="Heading3EYEY">
    <w:name w:val="Heading 3 EY EY"/>
    <w:basedOn w:val="Heading1"/>
    <w:link w:val="Heading3EYEYChar"/>
    <w:autoRedefine/>
    <w:pPr>
      <w:keepLines/>
      <w:spacing w:before="360" w:after="120" w:line="276" w:lineRule="auto"/>
    </w:pPr>
    <w:rPr>
      <w:rFonts w:ascii="EYInterstate" w:eastAsia="MS Gothic" w:hAnsi="EYInterstate"/>
      <w:bCs/>
      <w:smallCaps w:val="0"/>
      <w:noProof/>
      <w:color w:val="646464"/>
      <w:sz w:val="32"/>
      <w:szCs w:val="32"/>
    </w:rPr>
  </w:style>
  <w:style w:type="paragraph" w:customStyle="1" w:styleId="Heading2EYEY">
    <w:name w:val="Heading 2 EY EY"/>
    <w:basedOn w:val="Heading1"/>
    <w:autoRedefine/>
    <w:pPr>
      <w:keepLines/>
      <w:ind w:left="1021" w:hanging="1021"/>
    </w:pPr>
    <w:rPr>
      <w:rFonts w:ascii="EYInterstate Light" w:eastAsia="MS Gothic" w:hAnsi="EYInterstate Light"/>
      <w:bCs/>
      <w:smallCaps w:val="0"/>
      <w:color w:val="646464"/>
      <w:sz w:val="22"/>
      <w:szCs w:val="44"/>
    </w:rPr>
  </w:style>
  <w:style w:type="character" w:customStyle="1" w:styleId="Heading3EYEYChar">
    <w:name w:val="Heading 3 EY EY Char"/>
    <w:basedOn w:val="Heading1Char"/>
    <w:link w:val="Heading3EYEY"/>
    <w:rPr>
      <w:rFonts w:ascii="EYInterstate" w:eastAsia="MS Gothic" w:hAnsi="EYInterstate" w:cs="Times New Roman"/>
      <w:b/>
      <w:bCs/>
      <w:smallCaps w:val="0"/>
      <w:noProof/>
      <w:color w:val="646464"/>
      <w:sz w:val="32"/>
      <w:szCs w:val="32"/>
    </w:rPr>
  </w:style>
  <w:style w:type="paragraph" w:customStyle="1" w:styleId="Heading4EYEY">
    <w:name w:val="Heading 4 EY EY"/>
    <w:basedOn w:val="Heading1"/>
    <w:link w:val="Heading4EYEYChar"/>
    <w:autoRedefine/>
    <w:pPr>
      <w:keepLines/>
      <w:spacing w:line="276" w:lineRule="auto"/>
      <w:ind w:left="709"/>
    </w:pPr>
    <w:rPr>
      <w:rFonts w:ascii="EYInterstate" w:eastAsia="MS Gothic" w:hAnsi="EYInterstate"/>
      <w:bCs/>
      <w:smallCaps w:val="0"/>
      <w:noProof/>
      <w:color w:val="646464"/>
      <w:sz w:val="48"/>
      <w:szCs w:val="28"/>
      <w:lang w:val="en"/>
    </w:rPr>
  </w:style>
  <w:style w:type="character" w:customStyle="1" w:styleId="Heading4EYEYChar">
    <w:name w:val="Heading 4 EY EY Char"/>
    <w:basedOn w:val="Heading1Char"/>
    <w:link w:val="Heading4EYEY"/>
    <w:rPr>
      <w:rFonts w:ascii="EYInterstate" w:eastAsia="MS Gothic" w:hAnsi="EYInterstate" w:cs="Times New Roman"/>
      <w:b/>
      <w:bCs/>
      <w:smallCaps w:val="0"/>
      <w:noProof/>
      <w:color w:val="646464"/>
      <w:sz w:val="48"/>
      <w:szCs w:val="28"/>
      <w:lang w:val="en"/>
    </w:rPr>
  </w:style>
  <w:style w:type="table" w:customStyle="1" w:styleId="MediumList2-Accent2111">
    <w:name w:val="Medium List 2 - Accent 2111"/>
    <w:basedOn w:val="TableNormal"/>
    <w:uiPriority w:val="99"/>
    <w:pPr>
      <w:spacing w:after="0" w:line="240" w:lineRule="auto"/>
    </w:pPr>
    <w:rPr>
      <w:rFonts w:ascii="EYInterstate Light" w:eastAsia="Times New Roman" w:hAnsi="EYInterstate Light" w:cs="Times New Roman"/>
      <w:color w:val="000000"/>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cs="Times New Roman"/>
        <w:sz w:val="24"/>
        <w:szCs w:val="24"/>
      </w:rPr>
      <w:tblPr/>
      <w:tcPr>
        <w:shd w:val="clear" w:color="auto" w:fill="C1C1C1"/>
      </w:tcPr>
    </w:tblStylePr>
    <w:tblStylePr w:type="lastRow">
      <w:rPr>
        <w:rFonts w:ascii="ArialMT" w:hAnsi="ArialMT" w:cs="Times New Roman"/>
        <w:color w:val="auto"/>
        <w:sz w:val="18"/>
      </w:rPr>
      <w:tblPr/>
      <w:tcPr>
        <w:shd w:val="clear" w:color="auto" w:fill="F0F0F0"/>
      </w:tcPr>
    </w:tblStylePr>
    <w:tblStylePr w:type="firstCol">
      <w:rPr>
        <w:rFonts w:ascii="ArialMT" w:hAnsi="ArialMT" w:cs="Times New Roman"/>
        <w:sz w:val="18"/>
      </w:rPr>
    </w:tblStylePr>
    <w:tblStylePr w:type="lastCol">
      <w:rPr>
        <w:rFonts w:ascii="ArialMT" w:hAnsi="ArialMT" w:cs="Times New Roman"/>
        <w:sz w:val="18"/>
      </w:rPr>
    </w:tblStylePr>
    <w:tblStylePr w:type="band1Vert">
      <w:rPr>
        <w:rFonts w:ascii="ArialMT" w:hAnsi="ArialMT" w:cs="Times New Roman"/>
        <w:sz w:val="18"/>
      </w:rPr>
    </w:tblStylePr>
    <w:tblStylePr w:type="band2Vert">
      <w:rPr>
        <w:rFonts w:ascii="ArialMT" w:hAnsi="ArialMT"/>
        <w:sz w:val="18"/>
      </w:rPr>
    </w:tblStylePr>
    <w:tblStylePr w:type="band1Horz">
      <w:rPr>
        <w:rFonts w:ascii="ArialMT" w:hAnsi="ArialMT" w:cs="Times New Roman"/>
        <w:sz w:val="18"/>
      </w:rPr>
      <w:tblPr/>
      <w:tcPr>
        <w:shd w:val="clear" w:color="auto" w:fill="E0E0E0"/>
      </w:tcPr>
    </w:tblStylePr>
    <w:tblStylePr w:type="band2Horz">
      <w:rPr>
        <w:rFonts w:ascii="ArialMT" w:hAnsi="ArialMT"/>
        <w:sz w:val="18"/>
      </w:rPr>
      <w:tblPr/>
      <w:tcPr>
        <w:shd w:val="clear" w:color="auto" w:fill="F0F0F0"/>
      </w:tcPr>
    </w:tblStylePr>
    <w:tblStylePr w:type="neCell">
      <w:rPr>
        <w:rFonts w:ascii="ArialMT" w:hAnsi="ArialMT"/>
        <w:sz w:val="18"/>
      </w:rPr>
      <w:tblPr/>
      <w:tcPr>
        <w:shd w:val="clear" w:color="auto" w:fill="C1C1C1"/>
      </w:tcPr>
    </w:tblStylePr>
    <w:tblStylePr w:type="nwCell">
      <w:rPr>
        <w:rFonts w:cs="Times New Roman"/>
      </w:rPr>
      <w:tblPr/>
      <w:tcPr>
        <w:shd w:val="clear" w:color="auto" w:fill="C1C1C1"/>
      </w:tcPr>
    </w:tblStylePr>
    <w:tblStylePr w:type="seCell">
      <w:rPr>
        <w:rFonts w:ascii="ArialMT" w:hAnsi="ArialMT"/>
        <w:sz w:val="18"/>
      </w:rPr>
    </w:tblStylePr>
    <w:tblStylePr w:type="swCell">
      <w:rPr>
        <w:rFonts w:ascii="ArialMT" w:hAnsi="ArialMT" w:cs="Times New Roman"/>
        <w:sz w:val="18"/>
      </w:rPr>
    </w:tblStylePr>
  </w:style>
  <w:style w:type="table" w:customStyle="1" w:styleId="Table-standard1">
    <w:name w:val="Table - standard1"/>
    <w:basedOn w:val="TableNormal"/>
    <w:pPr>
      <w:spacing w:after="0" w:line="240" w:lineRule="auto"/>
    </w:pPr>
    <w:rPr>
      <w:rFonts w:ascii="EYInterstate Light" w:eastAsia="Times New Roman" w:hAnsi="EYInterstate Light" w:cs="Times New Roman"/>
      <w:sz w:val="20"/>
      <w:szCs w:val="20"/>
      <w:lang w:val="fr-FR" w:eastAsia="fr-FR"/>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sz w:val="18"/>
      </w:rPr>
      <w:tblPr/>
      <w:tcPr>
        <w:shd w:val="clear" w:color="auto" w:fill="FFC000"/>
      </w:tcPr>
    </w:tblStylePr>
    <w:tblStylePr w:type="lastRow">
      <w:rPr>
        <w:rFonts w:ascii="ArialMT" w:hAnsi="ArialMT"/>
      </w:rPr>
    </w:tblStylePr>
  </w:style>
  <w:style w:type="paragraph" w:customStyle="1" w:styleId="CVNormal">
    <w:name w:val="CV Normal"/>
    <w:basedOn w:val="Normal"/>
    <w:pPr>
      <w:suppressAutoHyphens/>
      <w:ind w:left="113" w:right="113"/>
    </w:pPr>
    <w:rPr>
      <w:rFonts w:ascii="Arial Narrow" w:hAnsi="Arial Narrow"/>
      <w:sz w:val="20"/>
      <w:lang w:val="en-US" w:eastAsia="ar-SA"/>
    </w:rPr>
  </w:style>
  <w:style w:type="paragraph" w:customStyle="1" w:styleId="ECVSectionBullet">
    <w:name w:val="_ECV_SectionBullet"/>
    <w:basedOn w:val="Normal"/>
    <w:pPr>
      <w:widowControl w:val="0"/>
      <w:suppressLineNumbers/>
      <w:suppressAutoHyphens/>
      <w:autoSpaceDE w:val="0"/>
      <w:spacing w:line="100" w:lineRule="atLeast"/>
    </w:pPr>
    <w:rPr>
      <w:rFonts w:ascii="Arial" w:eastAsia="SimSun" w:hAnsi="Arial" w:cs="Mangal"/>
      <w:color w:val="3F3A38"/>
      <w:spacing w:val="-6"/>
      <w:kern w:val="1"/>
      <w:sz w:val="18"/>
      <w:szCs w:val="24"/>
      <w:lang w:eastAsia="zh-CN" w:bidi="hi-IN"/>
    </w:rPr>
  </w:style>
  <w:style w:type="paragraph" w:customStyle="1" w:styleId="TableParagraph">
    <w:name w:val="Table Paragraph"/>
    <w:basedOn w:val="Normal"/>
    <w:uiPriority w:val="1"/>
    <w:qFormat/>
    <w:pPr>
      <w:widowControl w:val="0"/>
    </w:pPr>
    <w:rPr>
      <w:rFonts w:ascii="Calibri" w:eastAsia="Calibri" w:hAnsi="Calibri"/>
      <w:sz w:val="22"/>
      <w:szCs w:val="22"/>
      <w:lang w:val="en-US"/>
    </w:rPr>
  </w:style>
  <w:style w:type="paragraph" w:customStyle="1" w:styleId="Tableboxlist">
    <w:name w:val="Table/box list"/>
    <w:basedOn w:val="Normal"/>
    <w:uiPriority w:val="99"/>
    <w:qFormat/>
    <w:pPr>
      <w:spacing w:beforeLines="20" w:before="48" w:afterLines="20" w:after="48" w:line="160" w:lineRule="exact"/>
      <w:ind w:left="360" w:hanging="360"/>
    </w:pPr>
    <w:rPr>
      <w:rFonts w:ascii="Verdana" w:hAnsi="Verdana"/>
      <w:color w:val="000000"/>
      <w:sz w:val="18"/>
      <w:szCs w:val="18"/>
      <w:lang w:val="en-US" w:eastAsia="en-GB"/>
    </w:rPr>
  </w:style>
  <w:style w:type="table" w:customStyle="1" w:styleId="CV1111">
    <w:name w:val="CV1111"/>
    <w:basedOn w:val="TableNormal"/>
    <w:next w:val="TableGrid"/>
    <w:pPr>
      <w:spacing w:after="120" w:line="240" w:lineRule="exact"/>
      <w:jc w:val="right"/>
    </w:pPr>
    <w:rPr>
      <w:rFonts w:ascii="EYInterstate" w:eastAsia="Times New Roman" w:hAnsi="EYInterstate" w:cs="Times New Roman"/>
      <w:sz w:val="16"/>
      <w:szCs w:val="20"/>
      <w:lang w:val="fr-FR" w:eastAsia="fr-FR"/>
    </w:rPr>
    <w:tblPr>
      <w:tblStyleRowBandSize w:val="1"/>
      <w:tblStyleColBandSize w:val="1"/>
      <w:tblBorders>
        <w:top w:val="single" w:sz="24" w:space="0" w:color="808080"/>
        <w:bottom w:val="single" w:sz="24" w:space="0" w:color="808080"/>
        <w:insideH w:val="single" w:sz="8" w:space="0" w:color="808080"/>
      </w:tblBorders>
    </w:tblPr>
    <w:tcPr>
      <w:noWrap/>
    </w:tcPr>
    <w:tblStylePr w:type="firstRow">
      <w:rPr>
        <w:rFonts w:ascii="Garamond" w:hAnsi="Garamond"/>
        <w:sz w:val="16"/>
      </w:rPr>
    </w:tblStylePr>
  </w:style>
  <w:style w:type="paragraph" w:customStyle="1" w:styleId="SmallNormal">
    <w:name w:val="Small Normal"/>
    <w:basedOn w:val="Normal"/>
    <w:link w:val="SmallNormalChar"/>
    <w:pPr>
      <w:tabs>
        <w:tab w:val="num" w:pos="720"/>
        <w:tab w:val="right" w:pos="6804"/>
      </w:tabs>
      <w:spacing w:beforeLines="23" w:before="120" w:afterLines="23" w:after="60" w:line="276" w:lineRule="auto"/>
    </w:pPr>
    <w:rPr>
      <w:rFonts w:ascii="EYInterstate Light" w:eastAsia="Calibri" w:hAnsi="EYInterstate Light"/>
      <w:sz w:val="20"/>
      <w:szCs w:val="18"/>
    </w:rPr>
  </w:style>
  <w:style w:type="character" w:customStyle="1" w:styleId="SmallNormalChar">
    <w:name w:val="Small Normal Char"/>
    <w:basedOn w:val="DefaultParagraphFont"/>
    <w:link w:val="SmallNormal"/>
    <w:rPr>
      <w:rFonts w:ascii="EYInterstate Light" w:eastAsia="Calibri" w:hAnsi="EYInterstate Light" w:cs="Times New Roman"/>
      <w:sz w:val="20"/>
      <w:szCs w:val="18"/>
    </w:rPr>
  </w:style>
  <w:style w:type="paragraph" w:customStyle="1" w:styleId="Lettrepuce1">
    <w:name w:val="Lettre puce 1"/>
    <w:basedOn w:val="Normal"/>
    <w:pPr>
      <w:numPr>
        <w:numId w:val="48"/>
      </w:numPr>
      <w:tabs>
        <w:tab w:val="left" w:pos="294"/>
      </w:tabs>
      <w:overflowPunct w:val="0"/>
      <w:autoSpaceDE w:val="0"/>
      <w:autoSpaceDN w:val="0"/>
      <w:adjustRightInd w:val="0"/>
      <w:spacing w:before="120" w:after="120" w:line="300" w:lineRule="exact"/>
      <w:ind w:right="-109"/>
      <w:textAlignment w:val="baseline"/>
    </w:pPr>
    <w:rPr>
      <w:rFonts w:ascii="EYInterstate Light" w:hAnsi="EYInterstate Light"/>
      <w:sz w:val="18"/>
      <w:szCs w:val="18"/>
    </w:rPr>
  </w:style>
  <w:style w:type="character" w:customStyle="1" w:styleId="MatrixnormalChar">
    <w:name w:val="Matrix normal Char"/>
    <w:basedOn w:val="DefaultParagraphFont"/>
    <w:link w:val="Matrixnormal"/>
    <w:locked/>
    <w:rPr>
      <w:rFonts w:ascii="Arial" w:hAnsi="Arial" w:cs="Arial"/>
      <w:color w:val="000000"/>
    </w:rPr>
  </w:style>
  <w:style w:type="paragraph" w:customStyle="1" w:styleId="Matrixnormal">
    <w:name w:val="Matrix normal"/>
    <w:basedOn w:val="Normal"/>
    <w:link w:val="MatrixnormalChar"/>
    <w:qFormat/>
    <w:pPr>
      <w:spacing w:line="280" w:lineRule="exact"/>
    </w:pPr>
    <w:rPr>
      <w:rFonts w:ascii="Arial" w:eastAsiaTheme="minorHAnsi" w:hAnsi="Arial" w:cs="Arial"/>
      <w:color w:val="000000"/>
      <w:sz w:val="22"/>
      <w:szCs w:val="22"/>
    </w:rPr>
  </w:style>
  <w:style w:type="paragraph" w:customStyle="1" w:styleId="subhead321">
    <w:name w:val="subhead 321"/>
    <w:basedOn w:val="Normal"/>
    <w:next w:val="Normal"/>
    <w:uiPriority w:val="99"/>
    <w:unhideWhenUsed/>
    <w:qFormat/>
    <w:pPr>
      <w:keepNext/>
      <w:keepLines/>
      <w:spacing w:before="200" w:after="120" w:line="276" w:lineRule="auto"/>
      <w:ind w:left="864" w:hanging="864"/>
      <w:outlineLvl w:val="3"/>
    </w:pPr>
    <w:rPr>
      <w:rFonts w:ascii="EYInterstate Light" w:hAnsi="EYInterstate Light"/>
      <w:b/>
      <w:bCs/>
      <w:i/>
      <w:iCs/>
      <w:szCs w:val="22"/>
    </w:rPr>
  </w:style>
  <w:style w:type="paragraph" w:customStyle="1" w:styleId="boxbullet">
    <w:name w:val="box bullet"/>
    <w:basedOn w:val="ListParagraph"/>
    <w:uiPriority w:val="99"/>
    <w:pPr>
      <w:numPr>
        <w:numId w:val="49"/>
      </w:numPr>
      <w:suppressAutoHyphens/>
      <w:spacing w:after="80"/>
      <w:ind w:left="436"/>
    </w:pPr>
    <w:rPr>
      <w:rFonts w:ascii="Garamond" w:hAnsi="Garamond"/>
      <w:sz w:val="18"/>
      <w:szCs w:val="18"/>
    </w:rPr>
  </w:style>
  <w:style w:type="character" w:customStyle="1" w:styleId="IntenseEmphasis1">
    <w:name w:val="Intense Emphasis1"/>
    <w:basedOn w:val="DefaultParagraphFont"/>
    <w:uiPriority w:val="21"/>
    <w:qFormat/>
    <w:rPr>
      <w:b/>
      <w:bCs/>
      <w:i/>
      <w:iCs/>
      <w:color w:val="7F7E82"/>
    </w:rPr>
  </w:style>
  <w:style w:type="character" w:customStyle="1" w:styleId="at1">
    <w:name w:val="a__t1"/>
    <w:basedOn w:val="DefaultParagraphFont"/>
  </w:style>
  <w:style w:type="character" w:customStyle="1" w:styleId="CommentTextChar1">
    <w:name w:val="Comment Text Char1"/>
    <w:basedOn w:val="DefaultParagraphFont"/>
    <w:uiPriority w:val="99"/>
    <w:rPr>
      <w:sz w:val="20"/>
      <w:szCs w:val="20"/>
    </w:rPr>
  </w:style>
  <w:style w:type="numbering" w:customStyle="1" w:styleId="NoList3">
    <w:name w:val="No List3"/>
    <w:next w:val="NoList"/>
    <w:uiPriority w:val="99"/>
    <w:semiHidden/>
    <w:unhideWhenUsed/>
  </w:style>
  <w:style w:type="paragraph" w:customStyle="1" w:styleId="CommentText1">
    <w:name w:val="Comment Text1"/>
    <w:basedOn w:val="Normal"/>
    <w:next w:val="CommentText"/>
    <w:uiPriority w:val="99"/>
    <w:pPr>
      <w:spacing w:after="80"/>
    </w:pPr>
    <w:rPr>
      <w:rFonts w:ascii="Calibri" w:eastAsia="Calibri" w:hAnsi="Calibri"/>
      <w:sz w:val="22"/>
      <w:szCs w:val="22"/>
    </w:rPr>
  </w:style>
  <w:style w:type="table" w:customStyle="1" w:styleId="MediumList2-Accent2112">
    <w:name w:val="Medium List 2 - Accent 2112"/>
    <w:basedOn w:val="TableNormal"/>
    <w:uiPriority w:val="99"/>
    <w:pPr>
      <w:spacing w:after="0" w:line="240" w:lineRule="auto"/>
    </w:pPr>
    <w:rPr>
      <w:rFonts w:ascii="EYInterstate Light" w:eastAsia="Times New Roman" w:hAnsi="EYInterstate Light" w:cs="Times New Roman"/>
      <w:color w:val="000000"/>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cs="Times New Roman"/>
        <w:sz w:val="24"/>
        <w:szCs w:val="24"/>
      </w:rPr>
      <w:tblPr/>
      <w:tcPr>
        <w:shd w:val="clear" w:color="auto" w:fill="C1C1C1"/>
      </w:tcPr>
    </w:tblStylePr>
    <w:tblStylePr w:type="lastRow">
      <w:rPr>
        <w:rFonts w:ascii="ArialMT" w:hAnsi="ArialMT" w:cs="Times New Roman"/>
        <w:color w:val="auto"/>
        <w:sz w:val="18"/>
      </w:rPr>
      <w:tblPr/>
      <w:tcPr>
        <w:shd w:val="clear" w:color="auto" w:fill="F0F0F0"/>
      </w:tcPr>
    </w:tblStylePr>
    <w:tblStylePr w:type="firstCol">
      <w:rPr>
        <w:rFonts w:ascii="ArialMT" w:hAnsi="ArialMT" w:cs="Times New Roman"/>
        <w:sz w:val="18"/>
      </w:rPr>
    </w:tblStylePr>
    <w:tblStylePr w:type="lastCol">
      <w:rPr>
        <w:rFonts w:ascii="ArialMT" w:hAnsi="ArialMT" w:cs="Times New Roman"/>
        <w:sz w:val="18"/>
      </w:rPr>
    </w:tblStylePr>
    <w:tblStylePr w:type="band1Vert">
      <w:rPr>
        <w:rFonts w:ascii="ArialMT" w:hAnsi="ArialMT" w:cs="Times New Roman"/>
        <w:sz w:val="18"/>
      </w:rPr>
    </w:tblStylePr>
    <w:tblStylePr w:type="band2Vert">
      <w:rPr>
        <w:rFonts w:ascii="ArialMT" w:hAnsi="ArialMT"/>
        <w:sz w:val="18"/>
      </w:rPr>
    </w:tblStylePr>
    <w:tblStylePr w:type="band1Horz">
      <w:rPr>
        <w:rFonts w:ascii="ArialMT" w:hAnsi="ArialMT" w:cs="Times New Roman"/>
        <w:sz w:val="18"/>
      </w:rPr>
      <w:tblPr/>
      <w:tcPr>
        <w:shd w:val="clear" w:color="auto" w:fill="E0E0E0"/>
      </w:tcPr>
    </w:tblStylePr>
    <w:tblStylePr w:type="band2Horz">
      <w:rPr>
        <w:rFonts w:ascii="ArialMT" w:hAnsi="ArialMT"/>
        <w:sz w:val="18"/>
      </w:rPr>
      <w:tblPr/>
      <w:tcPr>
        <w:shd w:val="clear" w:color="auto" w:fill="F0F0F0"/>
      </w:tcPr>
    </w:tblStylePr>
    <w:tblStylePr w:type="neCell">
      <w:rPr>
        <w:rFonts w:ascii="ArialMT" w:hAnsi="ArialMT"/>
        <w:sz w:val="18"/>
      </w:rPr>
      <w:tblPr/>
      <w:tcPr>
        <w:shd w:val="clear" w:color="auto" w:fill="C1C1C1"/>
      </w:tcPr>
    </w:tblStylePr>
    <w:tblStylePr w:type="nwCell">
      <w:rPr>
        <w:rFonts w:cs="Times New Roman"/>
      </w:rPr>
      <w:tblPr/>
      <w:tcPr>
        <w:shd w:val="clear" w:color="auto" w:fill="C1C1C1"/>
      </w:tcPr>
    </w:tblStylePr>
    <w:tblStylePr w:type="seCell">
      <w:rPr>
        <w:rFonts w:ascii="ArialMT" w:hAnsi="ArialMT"/>
        <w:sz w:val="18"/>
      </w:rPr>
    </w:tblStylePr>
    <w:tblStylePr w:type="swCell">
      <w:rPr>
        <w:rFonts w:ascii="ArialMT" w:hAnsi="ArialMT" w:cs="Times New Roman"/>
        <w:sz w:val="18"/>
      </w:rPr>
    </w:tblStylePr>
  </w:style>
  <w:style w:type="character" w:customStyle="1" w:styleId="FunotentextfCarattere">
    <w:name w:val="Fußnotentextf Carattere"/>
    <w:aliases w:val="Note de bas de page Car Car Carattere,Note de bas de page Car Car Car Car Car Carattere,Note de bas de page Car Car Car Car Carattere,Note de bas de page Car Car Car Carattere"/>
    <w:basedOn w:val="DefaultParagraphFont"/>
    <w:uiPriority w:val="99"/>
    <w:locked/>
  </w:style>
  <w:style w:type="paragraph" w:customStyle="1" w:styleId="Testocommento1">
    <w:name w:val="Testo commento1"/>
    <w:basedOn w:val="Normal"/>
    <w:next w:val="CommentText"/>
    <w:link w:val="TestocommentoCarattere"/>
    <w:uiPriority w:val="99"/>
    <w:pPr>
      <w:spacing w:after="80"/>
    </w:pPr>
    <w:rPr>
      <w:rFonts w:ascii="Calibri" w:eastAsia="Calibri" w:hAnsi="Calibri"/>
      <w:sz w:val="22"/>
      <w:szCs w:val="22"/>
      <w:lang w:val="it-IT"/>
    </w:rPr>
  </w:style>
  <w:style w:type="character" w:customStyle="1" w:styleId="TestocommentoCarattere">
    <w:name w:val="Testo commento Carattere"/>
    <w:basedOn w:val="DefaultParagraphFont"/>
    <w:link w:val="Testocommento1"/>
    <w:uiPriority w:val="99"/>
    <w:rPr>
      <w:rFonts w:ascii="Calibri" w:eastAsia="Calibri" w:hAnsi="Calibri" w:cs="Times New Roman"/>
      <w:lang w:val="it-IT"/>
    </w:rPr>
  </w:style>
  <w:style w:type="character" w:customStyle="1" w:styleId="EYHeading3Char">
    <w:name w:val="EY Heading 3 Char"/>
    <w:basedOn w:val="DefaultParagraphFont"/>
    <w:link w:val="EYHeading3"/>
    <w:rPr>
      <w:rFonts w:ascii="EYInterstate Light" w:eastAsia="Times New Roman" w:hAnsi="EYInterstate Light" w:cs="Arial"/>
      <w:b/>
      <w:kern w:val="12"/>
      <w:sz w:val="24"/>
      <w:szCs w:val="24"/>
    </w:rPr>
  </w:style>
  <w:style w:type="table" w:customStyle="1" w:styleId="CVtable1">
    <w:name w:val="CV table1"/>
    <w:basedOn w:val="TableNormal"/>
    <w:next w:val="TableGrid"/>
    <w:uiPriority w:val="5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Tableau titre"/>
    <w:basedOn w:val="Normal"/>
    <w:link w:val="TableautitreChar"/>
    <w:pPr>
      <w:spacing w:line="240" w:lineRule="exact"/>
    </w:pPr>
    <w:rPr>
      <w:rFonts w:ascii="EYInterstate" w:hAnsi="EYInterstate"/>
      <w:sz w:val="16"/>
      <w:szCs w:val="16"/>
    </w:rPr>
  </w:style>
  <w:style w:type="character" w:customStyle="1" w:styleId="TableautitreChar">
    <w:name w:val="Tableau titre Char"/>
    <w:basedOn w:val="DefaultParagraphFont"/>
    <w:link w:val="Tableautitre"/>
    <w:locked/>
    <w:rPr>
      <w:rFonts w:ascii="EYInterstate" w:eastAsia="Times New Roman" w:hAnsi="EYInterstate" w:cs="Times New Roman"/>
      <w:sz w:val="16"/>
      <w:szCs w:val="16"/>
    </w:rPr>
  </w:style>
  <w:style w:type="paragraph" w:customStyle="1" w:styleId="Style8">
    <w:name w:val="Style8"/>
    <w:basedOn w:val="Heading6"/>
    <w:link w:val="Style8Char"/>
    <w:qFormat/>
    <w:pPr>
      <w:keepNext/>
      <w:keepLines/>
      <w:numPr>
        <w:ilvl w:val="5"/>
        <w:numId w:val="39"/>
      </w:numPr>
      <w:spacing w:before="200" w:after="120"/>
      <w:ind w:left="360" w:hanging="360"/>
    </w:pPr>
    <w:rPr>
      <w:rFonts w:ascii="EYInterstate Light" w:eastAsia="MS Gothic" w:hAnsi="EYInterstate Light"/>
      <w:b/>
      <w:iCs/>
      <w:color w:val="3F3E40"/>
    </w:rPr>
  </w:style>
  <w:style w:type="character" w:customStyle="1" w:styleId="Style8Char">
    <w:name w:val="Style8 Char"/>
    <w:basedOn w:val="Heading6Char"/>
    <w:link w:val="Style8"/>
    <w:rPr>
      <w:rFonts w:ascii="EYInterstate Light" w:eastAsia="MS Gothic" w:hAnsi="EYInterstate Light" w:cs="Times New Roman"/>
      <w:b/>
      <w:i/>
      <w:iCs/>
      <w:color w:val="3F3E40"/>
      <w:szCs w:val="20"/>
    </w:rPr>
  </w:style>
  <w:style w:type="paragraph" w:customStyle="1" w:styleId="Tableaupucebis">
    <w:name w:val="Tableau puce bis"/>
    <w:basedOn w:val="Normal"/>
    <w:link w:val="TableaupucebisChar"/>
    <w:pPr>
      <w:tabs>
        <w:tab w:val="left" w:pos="227"/>
        <w:tab w:val="num" w:pos="360"/>
      </w:tabs>
      <w:overflowPunct w:val="0"/>
      <w:autoSpaceDE w:val="0"/>
      <w:autoSpaceDN w:val="0"/>
      <w:adjustRightInd w:val="0"/>
      <w:spacing w:before="60" w:line="276" w:lineRule="auto"/>
      <w:ind w:left="360" w:right="113" w:hanging="360"/>
      <w:textAlignment w:val="baseline"/>
    </w:pPr>
    <w:rPr>
      <w:rFonts w:ascii="EY Gothic Comp Book" w:hAnsi="EY Gothic Comp Book"/>
      <w:noProof/>
      <w:sz w:val="20"/>
      <w:lang w:val="en-US"/>
    </w:rPr>
  </w:style>
  <w:style w:type="character" w:customStyle="1" w:styleId="TableaupucebisChar">
    <w:name w:val="Tableau puce bis Char"/>
    <w:basedOn w:val="DefaultParagraphFont"/>
    <w:link w:val="Tableaupucebis"/>
    <w:rPr>
      <w:rFonts w:ascii="EY Gothic Comp Book" w:eastAsia="Times New Roman" w:hAnsi="EY Gothic Comp Book" w:cs="Times New Roman"/>
      <w:noProof/>
      <w:sz w:val="20"/>
      <w:szCs w:val="20"/>
      <w:lang w:val="en-US"/>
    </w:rPr>
  </w:style>
  <w:style w:type="table" w:customStyle="1" w:styleId="ColorfulList-Accent3111">
    <w:name w:val="Colorful List - Accent 3111"/>
    <w:uiPriority w:val="72"/>
    <w:pPr>
      <w:spacing w:after="0" w:line="240" w:lineRule="auto"/>
    </w:pPr>
    <w:rPr>
      <w:rFonts w:ascii="Calibri" w:eastAsia="Calibri" w:hAnsi="Calibri"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5F5F5"/>
    </w:tcPr>
  </w:style>
  <w:style w:type="table" w:customStyle="1" w:styleId="PlainTable32">
    <w:name w:val="Plain Table 32"/>
    <w:basedOn w:val="TableNormal"/>
    <w:uiPriority w:val="43"/>
    <w:pPr>
      <w:spacing w:after="0" w:line="240" w:lineRule="auto"/>
    </w:pPr>
    <w:rPr>
      <w:rFonts w:ascii="EYInterstate Light" w:eastAsia="Calibri" w:hAnsi="EYInterstate Light" w:cs="Times New Roman"/>
      <w:sz w:val="20"/>
      <w:szCs w:val="20"/>
      <w:lang w:val="nl-B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5E5E5E"/>
      </w:tcPr>
    </w:tblStylePr>
    <w:tblStylePr w:type="band1Horz">
      <w:tblPr/>
      <w:tcPr>
        <w:shd w:val="clear" w:color="auto" w:fill="5E5E5E"/>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leNormal"/>
    <w:next w:val="TableNormal"/>
    <w:uiPriority w:val="43"/>
    <w:pPr>
      <w:spacing w:after="0" w:line="240" w:lineRule="auto"/>
    </w:pPr>
    <w:rPr>
      <w:rFonts w:ascii="Calibri" w:eastAsia="Calibri" w:hAnsi="Calibri" w:cs="Times New Roman"/>
      <w:lang w:val="it-I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21">
    <w:name w:val="List Table 21"/>
    <w:basedOn w:val="TableNormal"/>
    <w:uiPriority w:val="47"/>
    <w:pPr>
      <w:spacing w:after="0" w:line="240" w:lineRule="auto"/>
    </w:pPr>
    <w:rPr>
      <w:rFonts w:ascii="Calibri" w:eastAsia="Calibri" w:hAnsi="Calibri" w:cs="Times New Roman"/>
      <w:lang w:val="it-IT"/>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uiPriority w:val="44"/>
    <w:pPr>
      <w:spacing w:after="0" w:line="240" w:lineRule="auto"/>
    </w:pPr>
    <w:rPr>
      <w:rFonts w:ascii="Calibri" w:eastAsia="Calibri" w:hAnsi="Calibri" w:cs="Times New Roman"/>
      <w:lang w:val="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5E5E5E"/>
      </w:tcPr>
    </w:tblStylePr>
    <w:tblStylePr w:type="band1Horz">
      <w:tblPr/>
      <w:tcPr>
        <w:shd w:val="clear" w:color="auto" w:fill="5E5E5E"/>
      </w:tcPr>
    </w:tblStylePr>
  </w:style>
  <w:style w:type="table" w:styleId="LightShading-Accent3">
    <w:name w:val="Light Shading Accent 3"/>
    <w:basedOn w:val="TableNormal"/>
    <w:uiPriority w:val="60"/>
    <w:unhideWhenUsed/>
    <w:pPr>
      <w:spacing w:after="0" w:line="240" w:lineRule="auto"/>
    </w:pPr>
    <w:rPr>
      <w:rFonts w:ascii="Times New Roman" w:eastAsia="Times New Roman" w:hAnsi="Times New Roman" w:cs="Times New Roman"/>
      <w:color w:val="76923C" w:themeColor="accent3" w:themeShade="BF"/>
      <w:sz w:val="20"/>
      <w:szCs w:val="20"/>
      <w:lang w:val="nl-BE" w:eastAsia="nl-B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2">
    <w:name w:val="Medium Shading 1 Accent 2"/>
    <w:basedOn w:val="TableNormal"/>
    <w:uiPriority w:val="63"/>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unhideWhenUsed/>
    <w:pPr>
      <w:spacing w:after="0" w:line="240" w:lineRule="auto"/>
    </w:pPr>
    <w:rPr>
      <w:rFonts w:asciiTheme="majorHAnsi" w:eastAsiaTheme="majorEastAsia" w:hAnsiTheme="majorHAnsi" w:cstheme="majorBidi"/>
      <w:color w:val="000000" w:themeColor="text1"/>
      <w:sz w:val="20"/>
      <w:szCs w:val="20"/>
      <w:lang w:val="nl-BE" w:eastAsia="nl-B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rPr>
      <w:b/>
      <w:bCs/>
      <w:smallCaps/>
      <w:color w:val="4F81BD" w:themeColor="accent1"/>
      <w:spacing w:val="5"/>
    </w:rPr>
  </w:style>
  <w:style w:type="table" w:styleId="ColorfulList-Accent3">
    <w:name w:val="Colorful List Accent 3"/>
    <w:basedOn w:val="TableNormal"/>
    <w:uiPriority w:val="72"/>
    <w:unhideWhenUsed/>
    <w:pPr>
      <w:spacing w:after="0" w:line="240" w:lineRule="auto"/>
    </w:pPr>
    <w:rPr>
      <w:rFonts w:ascii="Times New Roman" w:eastAsia="Times New Roman" w:hAnsi="Times New Roman" w:cs="Times New Roman"/>
      <w:color w:val="000000" w:themeColor="text1"/>
      <w:sz w:val="20"/>
      <w:szCs w:val="20"/>
      <w:lang w:val="nl-BE" w:eastAsia="nl-B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2">
    <w:name w:val="Colorful Shading Accent 2"/>
    <w:basedOn w:val="TableNormal"/>
    <w:uiPriority w:val="71"/>
    <w:unhideWhenUsed/>
    <w:pPr>
      <w:spacing w:after="0" w:line="240" w:lineRule="auto"/>
    </w:pPr>
    <w:rPr>
      <w:rFonts w:ascii="Times New Roman" w:eastAsia="Times New Roman" w:hAnsi="Times New Roman" w:cs="Times New Roman"/>
      <w:color w:val="000000" w:themeColor="text1"/>
      <w:sz w:val="20"/>
      <w:szCs w:val="20"/>
      <w:lang w:val="nl-BE" w:eastAsia="nl-B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unhideWhenUsed/>
    <w:pPr>
      <w:spacing w:after="0" w:line="240" w:lineRule="auto"/>
    </w:pPr>
    <w:rPr>
      <w:rFonts w:ascii="Times New Roman" w:eastAsia="Times New Roman" w:hAnsi="Times New Roman" w:cs="Times New Roman"/>
      <w:color w:val="000000" w:themeColor="text1"/>
      <w:sz w:val="20"/>
      <w:szCs w:val="20"/>
      <w:lang w:val="nl-BE" w:eastAsia="nl-B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unhideWhenUsed/>
    <w:pPr>
      <w:spacing w:after="0" w:line="240" w:lineRule="auto"/>
    </w:pPr>
    <w:rPr>
      <w:rFonts w:ascii="Times New Roman" w:eastAsia="Times New Roman" w:hAnsi="Times New Roman" w:cs="Times New Roman"/>
      <w:color w:val="000000" w:themeColor="text1"/>
      <w:sz w:val="20"/>
      <w:szCs w:val="20"/>
      <w:lang w:val="nl-BE" w:eastAsia="nl-B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1-Accent4">
    <w:name w:val="Medium Grid 1 Accent 4"/>
    <w:basedOn w:val="TableNormal"/>
    <w:uiPriority w:val="67"/>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2">
    <w:name w:val="Light List Accent 2"/>
    <w:basedOn w:val="TableNormal"/>
    <w:uiPriority w:val="61"/>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3">
    <w:name w:val="Medium Shading 2 Accent 3"/>
    <w:basedOn w:val="TableNormal"/>
    <w:uiPriority w:val="64"/>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4">
    <w:name w:val="Light Shading Accent 4"/>
    <w:basedOn w:val="TableNormal"/>
    <w:uiPriority w:val="60"/>
    <w:unhideWhenUsed/>
    <w:pPr>
      <w:spacing w:after="0" w:line="240" w:lineRule="auto"/>
    </w:pPr>
    <w:rPr>
      <w:rFonts w:ascii="Times New Roman" w:eastAsia="Times New Roman" w:hAnsi="Times New Roman" w:cs="Times New Roman"/>
      <w:color w:val="5F497A" w:themeColor="accent4" w:themeShade="BF"/>
      <w:sz w:val="20"/>
      <w:szCs w:val="20"/>
      <w:lang w:val="nl-BE" w:eastAsia="nl-B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2">
    <w:name w:val="Light Shading Accent 2"/>
    <w:basedOn w:val="TableNormal"/>
    <w:uiPriority w:val="60"/>
    <w:unhideWhenUsed/>
    <w:pPr>
      <w:spacing w:after="0" w:line="240" w:lineRule="auto"/>
    </w:pPr>
    <w:rPr>
      <w:rFonts w:ascii="Times New Roman" w:eastAsia="Times New Roman" w:hAnsi="Times New Roman" w:cs="Times New Roman"/>
      <w:color w:val="943634" w:themeColor="accent2" w:themeShade="BF"/>
      <w:sz w:val="20"/>
      <w:szCs w:val="20"/>
      <w:lang w:val="nl-BE" w:eastAsia="nl-B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unhideWhenUsed/>
    <w:pPr>
      <w:spacing w:after="0" w:line="240" w:lineRule="auto"/>
    </w:pPr>
    <w:rPr>
      <w:rFonts w:ascii="Times New Roman" w:eastAsia="Times New Roman" w:hAnsi="Times New Roman" w:cs="Times New Roman"/>
      <w:color w:val="365F91" w:themeColor="accent1" w:themeShade="BF"/>
      <w:sz w:val="20"/>
      <w:szCs w:val="20"/>
      <w:lang w:val="nl-BE" w:eastAsia="nl-B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IntenseEmphasis">
    <w:name w:val="Intense Emphasis"/>
    <w:basedOn w:val="DefaultParagraphFont"/>
    <w:uiPriority w:val="21"/>
    <w:qFormat/>
    <w:rPr>
      <w:i/>
      <w:iCs/>
      <w:color w:val="4F81BD" w:themeColor="accent1"/>
    </w:rPr>
  </w:style>
  <w:style w:type="character" w:customStyle="1" w:styleId="Bullet2ndlevelChar">
    <w:name w:val="Bullet_2nd level Char"/>
    <w:basedOn w:val="DefaultParagraphFont"/>
    <w:link w:val="Bullet2ndlevel"/>
    <w:uiPriority w:val="99"/>
    <w:locked/>
    <w:rPr>
      <w:rFonts w:ascii="Verdana" w:hAnsi="Verdana"/>
      <w:sz w:val="18"/>
      <w:lang w:val="fr-FR" w:eastAsia="nl-NL"/>
    </w:rPr>
  </w:style>
  <w:style w:type="paragraph" w:customStyle="1" w:styleId="Bullet2ndlevel">
    <w:name w:val="Bullet_2nd level"/>
    <w:basedOn w:val="Bulletpoint1"/>
    <w:link w:val="Bullet2ndlevelChar"/>
    <w:uiPriority w:val="99"/>
    <w:pPr>
      <w:numPr>
        <w:numId w:val="0"/>
      </w:numPr>
      <w:tabs>
        <w:tab w:val="num" w:pos="709"/>
      </w:tabs>
      <w:spacing w:before="0" w:line="240" w:lineRule="auto"/>
      <w:ind w:left="720" w:hanging="360"/>
    </w:pPr>
    <w:rPr>
      <w:sz w:val="18"/>
      <w:lang w:val="fr-FR" w:eastAsia="nl-NL"/>
    </w:rPr>
  </w:style>
  <w:style w:type="table" w:customStyle="1" w:styleId="Table-standard2">
    <w:name w:val="Table - standard2"/>
    <w:basedOn w:val="TableNormal"/>
    <w:pPr>
      <w:spacing w:before="60" w:after="60" w:line="240" w:lineRule="auto"/>
    </w:pPr>
    <w:rPr>
      <w:rFonts w:ascii="EYInterstate Light" w:eastAsia="Times New Roman" w:hAnsi="EYInterstate Light" w:cs="Times New Roman"/>
      <w:sz w:val="18"/>
      <w:szCs w:val="20"/>
      <w:lang w:val="fr-FR" w:eastAsia="fr-FR"/>
    </w:rPr>
    <w:tblPr>
      <w:tblBorders>
        <w:insideH w:val="single" w:sz="4" w:space="0" w:color="auto"/>
      </w:tblBorders>
    </w:tblPr>
    <w:tcPr>
      <w:shd w:val="clear" w:color="auto" w:fill="auto"/>
    </w:tcPr>
    <w:tblStylePr w:type="firstRow">
      <w:rPr>
        <w:rFonts w:ascii="ArialMT" w:hAnsi="ArialMT"/>
        <w:sz w:val="18"/>
      </w:rPr>
      <w:tblPr/>
      <w:tcPr>
        <w:shd w:val="clear" w:color="auto" w:fill="FFE600"/>
      </w:tcPr>
    </w:tblStylePr>
    <w:tblStylePr w:type="lastRow">
      <w:rPr>
        <w:rFonts w:ascii="ArialMT" w:hAnsi="ArialMT"/>
      </w:rPr>
    </w:tblStylePr>
    <w:tblStylePr w:type="firstCol">
      <w:tblPr/>
      <w:tcPr>
        <w:tcBorders>
          <w:insideH w:val="single" w:sz="4" w:space="0" w:color="auto"/>
        </w:tcBorders>
        <w:shd w:val="clear" w:color="auto" w:fill="F2F2F2"/>
      </w:tcPr>
    </w:tblStylePr>
  </w:style>
  <w:style w:type="table" w:customStyle="1" w:styleId="Table-standard3">
    <w:name w:val="Table - standard3"/>
    <w:basedOn w:val="TableNormal"/>
    <w:pPr>
      <w:spacing w:before="60" w:after="60" w:line="240" w:lineRule="auto"/>
    </w:pPr>
    <w:rPr>
      <w:rFonts w:ascii="EYInterstate Light" w:eastAsia="Times New Roman" w:hAnsi="EYInterstate Light" w:cs="Times New Roman"/>
      <w:sz w:val="18"/>
      <w:szCs w:val="20"/>
      <w:lang w:val="fr-FR" w:eastAsia="fr-FR"/>
    </w:rPr>
    <w:tblPr>
      <w:tblBorders>
        <w:insideH w:val="single" w:sz="4" w:space="0" w:color="auto"/>
      </w:tblBorders>
    </w:tblPr>
    <w:tcPr>
      <w:shd w:val="clear" w:color="auto" w:fill="auto"/>
    </w:tcPr>
    <w:tblStylePr w:type="firstRow">
      <w:rPr>
        <w:rFonts w:ascii="ArialMT" w:hAnsi="ArialMT"/>
        <w:sz w:val="18"/>
      </w:rPr>
      <w:tblPr/>
      <w:tcPr>
        <w:shd w:val="clear" w:color="auto" w:fill="FFE600"/>
      </w:tcPr>
    </w:tblStylePr>
    <w:tblStylePr w:type="lastRow">
      <w:rPr>
        <w:rFonts w:ascii="ArialMT" w:hAnsi="ArialMT"/>
      </w:rPr>
    </w:tblStylePr>
    <w:tblStylePr w:type="firstCol">
      <w:tblPr/>
      <w:tcPr>
        <w:tcBorders>
          <w:insideH w:val="single" w:sz="4" w:space="0" w:color="auto"/>
        </w:tcBorders>
        <w:shd w:val="clear" w:color="auto" w:fill="F2F2F2"/>
      </w:tcPr>
    </w:tblStylePr>
  </w:style>
  <w:style w:type="paragraph" w:customStyle="1" w:styleId="Style7">
    <w:name w:val="Style7"/>
    <w:basedOn w:val="Normal"/>
    <w:link w:val="Style7Char"/>
    <w:qFormat/>
    <w:pPr>
      <w:numPr>
        <w:ilvl w:val="1"/>
        <w:numId w:val="50"/>
      </w:numPr>
      <w:spacing w:after="60"/>
      <w:ind w:left="1068"/>
    </w:pPr>
    <w:rPr>
      <w:rFonts w:ascii="Verdana" w:eastAsia="Calibri" w:hAnsi="Verdana"/>
      <w:b/>
      <w:sz w:val="20"/>
      <w:szCs w:val="22"/>
      <w:lang w:val="en-US"/>
    </w:rPr>
  </w:style>
  <w:style w:type="paragraph" w:customStyle="1" w:styleId="font0">
    <w:name w:val="font0"/>
    <w:basedOn w:val="Normal"/>
    <w:pPr>
      <w:spacing w:before="100" w:beforeAutospacing="1" w:after="100" w:afterAutospacing="1"/>
    </w:pPr>
    <w:rPr>
      <w:rFonts w:ascii="Calibri" w:hAnsi="Calibri"/>
      <w:color w:val="000000"/>
      <w:sz w:val="22"/>
      <w:szCs w:val="22"/>
      <w:lang w:val="it-IT" w:eastAsia="it-IT"/>
    </w:rPr>
  </w:style>
  <w:style w:type="paragraph" w:customStyle="1" w:styleId="font7">
    <w:name w:val="font7"/>
    <w:basedOn w:val="Normal"/>
    <w:pPr>
      <w:spacing w:before="100" w:beforeAutospacing="1" w:after="100" w:afterAutospacing="1"/>
    </w:pPr>
    <w:rPr>
      <w:rFonts w:ascii="Tahoma" w:hAnsi="Tahoma" w:cs="Tahoma"/>
      <w:b/>
      <w:bCs/>
      <w:color w:val="000000"/>
      <w:sz w:val="18"/>
      <w:szCs w:val="18"/>
      <w:lang w:val="it-IT" w:eastAsia="it-IT"/>
    </w:rPr>
  </w:style>
  <w:style w:type="paragraph" w:customStyle="1" w:styleId="font8">
    <w:name w:val="font8"/>
    <w:basedOn w:val="Normal"/>
    <w:pPr>
      <w:spacing w:before="100" w:beforeAutospacing="1" w:after="100" w:afterAutospacing="1"/>
    </w:pPr>
    <w:rPr>
      <w:rFonts w:ascii="Tahoma" w:hAnsi="Tahoma" w:cs="Tahoma"/>
      <w:color w:val="000000"/>
      <w:sz w:val="18"/>
      <w:szCs w:val="18"/>
      <w:lang w:val="it-IT" w:eastAsia="it-IT"/>
    </w:rPr>
  </w:style>
  <w:style w:type="paragraph" w:customStyle="1" w:styleId="font9">
    <w:name w:val="font9"/>
    <w:basedOn w:val="Normal"/>
    <w:pPr>
      <w:spacing w:before="100" w:beforeAutospacing="1" w:after="100" w:afterAutospacing="1"/>
    </w:pPr>
    <w:rPr>
      <w:rFonts w:ascii="Tahoma" w:hAnsi="Tahoma" w:cs="Tahoma"/>
      <w:b/>
      <w:bCs/>
      <w:color w:val="000000"/>
      <w:sz w:val="18"/>
      <w:szCs w:val="18"/>
      <w:lang w:val="it-IT" w:eastAsia="it-IT"/>
    </w:rPr>
  </w:style>
  <w:style w:type="paragraph" w:customStyle="1" w:styleId="xl63">
    <w:name w:val="xl63"/>
    <w:basedOn w:val="Normal"/>
    <w:pPr>
      <w:spacing w:before="100" w:beforeAutospacing="1" w:after="100" w:afterAutospacing="1"/>
      <w:textAlignment w:val="top"/>
    </w:pPr>
    <w:rPr>
      <w:szCs w:val="24"/>
      <w:lang w:val="it-IT" w:eastAsia="it-IT"/>
    </w:rPr>
  </w:style>
  <w:style w:type="paragraph" w:customStyle="1" w:styleId="xl64">
    <w:name w:val="xl64"/>
    <w:basedOn w:val="Normal"/>
    <w:pPr>
      <w:spacing w:before="100" w:beforeAutospacing="1" w:after="100" w:afterAutospacing="1"/>
      <w:jc w:val="center"/>
      <w:textAlignment w:val="top"/>
    </w:pPr>
    <w:rPr>
      <w:szCs w:val="24"/>
      <w:lang w:val="it-IT" w:eastAsia="it-IT"/>
    </w:rPr>
  </w:style>
  <w:style w:type="character" w:customStyle="1" w:styleId="field-content6">
    <w:name w:val="field-content6"/>
    <w:basedOn w:val="DefaultParagraphFont"/>
  </w:style>
  <w:style w:type="paragraph" w:customStyle="1" w:styleId="TableBoxListParagraph">
    <w:name w:val="Table/Box List Paragraph"/>
    <w:basedOn w:val="Normal"/>
    <w:qFormat/>
    <w:pPr>
      <w:spacing w:after="120"/>
      <w:ind w:left="360" w:hanging="360"/>
      <w:contextualSpacing/>
    </w:pPr>
    <w:rPr>
      <w:rFonts w:ascii="Verdana" w:eastAsia="Calibri" w:hAnsi="Verdana"/>
      <w:bCs/>
      <w:sz w:val="18"/>
      <w:szCs w:val="18"/>
    </w:rPr>
  </w:style>
  <w:style w:type="paragraph" w:customStyle="1" w:styleId="Tableheading">
    <w:name w:val="Table heading"/>
    <w:basedOn w:val="Normal"/>
    <w:qFormat/>
    <w:pPr>
      <w:spacing w:before="20" w:after="20"/>
      <w:contextualSpacing/>
    </w:pPr>
    <w:rPr>
      <w:rFonts w:ascii="Verdana" w:eastAsia="Calibri" w:hAnsi="Verdana"/>
      <w:b/>
      <w:sz w:val="18"/>
      <w:szCs w:val="22"/>
      <w:lang w:eastAsia="nl-BE"/>
    </w:rPr>
  </w:style>
  <w:style w:type="paragraph" w:customStyle="1" w:styleId="Bulletpoint20">
    <w:name w:val="Bullet point 2"/>
    <w:basedOn w:val="Bulletpoint1"/>
    <w:qFormat/>
    <w:pPr>
      <w:numPr>
        <w:numId w:val="0"/>
      </w:numPr>
      <w:spacing w:before="0" w:after="0" w:line="240" w:lineRule="auto"/>
      <w:ind w:left="1440" w:hanging="360"/>
    </w:pPr>
    <w:rPr>
      <w:lang w:val="fr-FR"/>
    </w:rPr>
  </w:style>
  <w:style w:type="paragraph" w:customStyle="1" w:styleId="Bullettables">
    <w:name w:val="Bullet tables"/>
    <w:basedOn w:val="Bulletpoint1"/>
    <w:link w:val="BullettablesChar"/>
    <w:qFormat/>
    <w:pPr>
      <w:spacing w:before="0" w:after="0"/>
      <w:ind w:left="357" w:hanging="357"/>
    </w:pPr>
    <w:rPr>
      <w:sz w:val="18"/>
      <w:szCs w:val="18"/>
    </w:rPr>
  </w:style>
  <w:style w:type="character" w:customStyle="1" w:styleId="BullettablesChar">
    <w:name w:val="Bullet tables Char"/>
    <w:basedOn w:val="Bulletpoint1Char"/>
    <w:link w:val="Bullettables"/>
    <w:rPr>
      <w:rFonts w:ascii="Verdana" w:hAnsi="Verdana"/>
      <w:sz w:val="18"/>
      <w:szCs w:val="18"/>
    </w:rPr>
  </w:style>
  <w:style w:type="paragraph" w:customStyle="1" w:styleId="CharCharCharCharChar11">
    <w:name w:val="Char Char Char Char Char11"/>
    <w:basedOn w:val="Normal"/>
    <w:next w:val="Normal"/>
    <w:pPr>
      <w:spacing w:after="160" w:line="240" w:lineRule="exact"/>
    </w:pPr>
    <w:rPr>
      <w:rFonts w:ascii="Tahoma" w:hAnsi="Tahoma"/>
      <w:lang w:val="en-US" w:eastAsia="zh-CN"/>
    </w:rPr>
  </w:style>
  <w:style w:type="paragraph" w:customStyle="1" w:styleId="CharCharCharCharChar10">
    <w:name w:val="Char Char Char Char Char10"/>
    <w:basedOn w:val="Normal"/>
    <w:next w:val="Normal"/>
    <w:pPr>
      <w:spacing w:after="160" w:line="240" w:lineRule="exact"/>
    </w:pPr>
    <w:rPr>
      <w:rFonts w:ascii="Tahoma" w:hAnsi="Tahoma"/>
      <w:lang w:val="en-US" w:eastAsia="zh-CN"/>
    </w:rPr>
  </w:style>
  <w:style w:type="paragraph" w:customStyle="1" w:styleId="CharCharCharCharChar9">
    <w:name w:val="Char Char Char Char Char9"/>
    <w:basedOn w:val="Normal"/>
    <w:next w:val="Normal"/>
    <w:pPr>
      <w:spacing w:after="160" w:line="240" w:lineRule="exact"/>
    </w:pPr>
    <w:rPr>
      <w:rFonts w:ascii="Tahoma" w:hAnsi="Tahoma"/>
      <w:lang w:val="en-US" w:eastAsia="zh-CN"/>
    </w:rPr>
  </w:style>
  <w:style w:type="paragraph" w:customStyle="1" w:styleId="CharCharCharCharChar8">
    <w:name w:val="Char Char Char Char Char8"/>
    <w:basedOn w:val="Normal"/>
    <w:next w:val="Normal"/>
    <w:pPr>
      <w:spacing w:after="160" w:line="240" w:lineRule="exact"/>
    </w:pPr>
    <w:rPr>
      <w:rFonts w:ascii="Tahoma" w:hAnsi="Tahoma"/>
      <w:lang w:val="en-US" w:eastAsia="zh-CN"/>
    </w:rPr>
  </w:style>
  <w:style w:type="paragraph" w:customStyle="1" w:styleId="AFigure">
    <w:name w:val="A. Figure"/>
    <w:basedOn w:val="Caption"/>
    <w:link w:val="AFigureChar"/>
    <w:qFormat/>
    <w:pPr>
      <w:keepNext/>
    </w:pPr>
    <w:rPr>
      <w:rFonts w:ascii="Verdana" w:hAnsi="Verdana"/>
      <w:i/>
      <w:color w:val="A6A6A6" w:themeColor="background1" w:themeShade="A6"/>
      <w:sz w:val="18"/>
      <w:szCs w:val="18"/>
    </w:rPr>
  </w:style>
  <w:style w:type="character" w:customStyle="1" w:styleId="AFigureChar">
    <w:name w:val="A. Figure Char"/>
    <w:basedOn w:val="CaptionChar"/>
    <w:link w:val="AFigure"/>
    <w:rPr>
      <w:rFonts w:ascii="Verdana" w:eastAsia="Times New Roman" w:hAnsi="Verdana" w:cs="Times New Roman"/>
      <w:b/>
      <w:i/>
      <w:color w:val="A6A6A6" w:themeColor="background1" w:themeShade="A6"/>
      <w:sz w:val="18"/>
      <w:szCs w:val="18"/>
    </w:rPr>
  </w:style>
  <w:style w:type="table" w:customStyle="1" w:styleId="TechnopolisTable1">
    <w:name w:val="Technopolis Table1"/>
    <w:basedOn w:val="TableGrid"/>
    <w:pPr>
      <w:jc w:val="both"/>
    </w:pPr>
    <w:rPr>
      <w:rFonts w:ascii="Georgia" w:hAnsi="Georgia"/>
      <w:color w:val="000000"/>
      <w:sz w:val="18"/>
      <w:szCs w:val="24"/>
    </w:rPr>
    <w:tblPr>
      <w:tblStyleRowBandSize w:val="1"/>
    </w:tblPr>
    <w:tcPr>
      <w:shd w:val="clear" w:color="auto" w:fill="F2F2F2"/>
    </w:tcPr>
    <w:tblStylePr w:type="firstRow">
      <w:pPr>
        <w:jc w:val="center"/>
      </w:pPr>
      <w:rPr>
        <w:rFonts w:ascii="Times New Roman" w:hAnsi="Times New Roman" w:cs="Times New Roman"/>
        <w:b/>
        <w:color w:val="333333"/>
        <w:sz w:val="18"/>
      </w:rPr>
      <w:tblPr/>
      <w:tcPr>
        <w:tcBorders>
          <w:bottom w:val="single" w:sz="6" w:space="0" w:color="FF0000"/>
        </w:tcBorders>
        <w:shd w:val="clear" w:color="auto" w:fill="00AEF0"/>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tblStylePr w:type="band1Horz">
      <w:rPr>
        <w:sz w:val="18"/>
      </w:rPr>
    </w:tblStylePr>
  </w:style>
  <w:style w:type="table" w:customStyle="1" w:styleId="DocumentTable12">
    <w:name w:val="Document Table12"/>
    <w:basedOn w:val="TableNormal"/>
    <w:next w:val="TableGrid"/>
    <w:uiPriority w:val="5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Myriad Pro" w:hAnsi="Myriad Pro"/>
        <w:b/>
        <w:color w:val="FFFFFF" w:themeColor="background1"/>
        <w:sz w:val="18"/>
      </w:rPr>
      <w:tblPr/>
      <w:tcPr>
        <w:shd w:val="clear" w:color="auto" w:fill="00AEF0"/>
      </w:tcPr>
    </w:tblStylePr>
    <w:tblStylePr w:type="band1Horz">
      <w:rPr>
        <w:sz w:val="18"/>
      </w:rPr>
    </w:tblStylePr>
  </w:style>
  <w:style w:type="table" w:customStyle="1" w:styleId="DocumentTable111">
    <w:name w:val="Document Table111"/>
    <w:basedOn w:val="TableNormal"/>
    <w:next w:val="TableGrid"/>
    <w:uiPriority w:val="3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Tahoma" w:hAnsi="Tahoma"/>
        <w:b/>
        <w:color w:val="FFFFFF"/>
        <w:sz w:val="18"/>
      </w:rPr>
      <w:tblPr/>
      <w:tcPr>
        <w:shd w:val="clear" w:color="auto" w:fill="00AEF0"/>
      </w:tcPr>
    </w:tblStylePr>
    <w:tblStylePr w:type="band1Horz">
      <w:rPr>
        <w:sz w:val="18"/>
      </w:rPr>
    </w:tblStylePr>
  </w:style>
  <w:style w:type="table" w:customStyle="1" w:styleId="TechnopolisTable2">
    <w:name w:val="Technopolis Table2"/>
    <w:basedOn w:val="TableGrid"/>
    <w:pPr>
      <w:jc w:val="both"/>
    </w:pPr>
    <w:rPr>
      <w:rFonts w:ascii="Georgia" w:hAnsi="Georgia"/>
      <w:color w:val="000000"/>
      <w:sz w:val="18"/>
      <w:szCs w:val="24"/>
    </w:rPr>
    <w:tblPr>
      <w:tblStyleRowBandSize w:val="1"/>
    </w:tblPr>
    <w:tcPr>
      <w:shd w:val="clear" w:color="auto" w:fill="F2F2F2"/>
    </w:tcPr>
    <w:tblStylePr w:type="firstRow">
      <w:pPr>
        <w:jc w:val="center"/>
      </w:pPr>
      <w:rPr>
        <w:rFonts w:ascii="Times New Roman" w:hAnsi="Times New Roman" w:cs="Times New Roman"/>
        <w:b/>
        <w:color w:val="333333"/>
        <w:sz w:val="18"/>
      </w:rPr>
      <w:tblPr/>
      <w:tcPr>
        <w:tcBorders>
          <w:bottom w:val="single" w:sz="6" w:space="0" w:color="FF0000"/>
        </w:tcBorders>
        <w:shd w:val="clear" w:color="auto" w:fill="00AEF0"/>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tblStylePr w:type="band1Horz">
      <w:rPr>
        <w:sz w:val="18"/>
      </w:rPr>
    </w:tblStylePr>
  </w:style>
  <w:style w:type="table" w:customStyle="1" w:styleId="DocumentTable13">
    <w:name w:val="Document Table13"/>
    <w:basedOn w:val="TableNormal"/>
    <w:next w:val="TableGrid"/>
    <w:uiPriority w:val="5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Myriad Pro" w:hAnsi="Myriad Pro"/>
        <w:b/>
        <w:color w:val="FFFFFF" w:themeColor="background1"/>
        <w:sz w:val="18"/>
      </w:rPr>
      <w:tblPr/>
      <w:tcPr>
        <w:shd w:val="clear" w:color="auto" w:fill="00AEF0"/>
      </w:tcPr>
    </w:tblStylePr>
    <w:tblStylePr w:type="band1Horz">
      <w:rPr>
        <w:sz w:val="18"/>
      </w:rPr>
    </w:tblStylePr>
  </w:style>
  <w:style w:type="table" w:customStyle="1" w:styleId="DocumentTable112">
    <w:name w:val="Document Table112"/>
    <w:basedOn w:val="TableNormal"/>
    <w:next w:val="TableGrid"/>
    <w:uiPriority w:val="3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Tahoma" w:hAnsi="Tahoma"/>
        <w:b/>
        <w:color w:val="FFFFFF"/>
        <w:sz w:val="18"/>
      </w:rPr>
      <w:tblPr/>
      <w:tcPr>
        <w:shd w:val="clear" w:color="auto" w:fill="00AEF0"/>
      </w:tcPr>
    </w:tblStylePr>
    <w:tblStylePr w:type="band1Horz">
      <w:rPr>
        <w:sz w:val="18"/>
      </w:rPr>
    </w:tblStylePr>
  </w:style>
  <w:style w:type="paragraph" w:customStyle="1" w:styleId="Pa16">
    <w:name w:val="Pa16"/>
    <w:basedOn w:val="Normal"/>
    <w:next w:val="Normal"/>
    <w:uiPriority w:val="99"/>
    <w:pPr>
      <w:autoSpaceDE w:val="0"/>
      <w:autoSpaceDN w:val="0"/>
      <w:adjustRightInd w:val="0"/>
      <w:spacing w:line="181" w:lineRule="atLeast"/>
    </w:pPr>
    <w:rPr>
      <w:rFonts w:ascii="Myriad Pro" w:eastAsiaTheme="minorHAnsi" w:hAnsi="Myriad Pro" w:cstheme="minorBidi"/>
      <w:szCs w:val="24"/>
      <w:lang w:val="it-IT"/>
    </w:rPr>
  </w:style>
  <w:style w:type="character" w:customStyle="1" w:styleId="Style7Char">
    <w:name w:val="Style7 Char"/>
    <w:basedOn w:val="DefaultParagraphFont"/>
    <w:link w:val="Style7"/>
    <w:rPr>
      <w:rFonts w:ascii="Verdana" w:eastAsia="Calibri" w:hAnsi="Verdana" w:cs="Times New Roman"/>
      <w:b/>
      <w:sz w:val="20"/>
      <w:lang w:val="en-US"/>
    </w:rPr>
  </w:style>
  <w:style w:type="character" w:customStyle="1" w:styleId="shorttext">
    <w:name w:val="short_text"/>
    <w:basedOn w:val="DefaultParagraphFont"/>
  </w:style>
  <w:style w:type="character" w:customStyle="1" w:styleId="st1">
    <w:name w:val="st1"/>
    <w:basedOn w:val="DefaultParagraphFont"/>
  </w:style>
  <w:style w:type="paragraph" w:customStyle="1" w:styleId="Pa1">
    <w:name w:val="Pa1"/>
    <w:basedOn w:val="Default"/>
    <w:next w:val="Default"/>
    <w:uiPriority w:val="99"/>
    <w:pPr>
      <w:spacing w:line="221" w:lineRule="atLeast"/>
    </w:pPr>
    <w:rPr>
      <w:rFonts w:ascii="Cambria" w:eastAsiaTheme="minorHAnsi" w:hAnsi="Cambria" w:cstheme="minorBidi"/>
      <w:color w:val="auto"/>
      <w:lang w:eastAsia="en-US"/>
    </w:rPr>
  </w:style>
  <w:style w:type="numbering" w:customStyle="1" w:styleId="Style51">
    <w:name w:val="Style51"/>
    <w:uiPriority w:val="99"/>
  </w:style>
  <w:style w:type="paragraph" w:customStyle="1" w:styleId="Bodycopy">
    <w:name w:val="Body copy"/>
    <w:pPr>
      <w:spacing w:after="240" w:line="260" w:lineRule="exact"/>
    </w:pPr>
    <w:rPr>
      <w:rFonts w:ascii="EYInterstate Light" w:eastAsia="Times New Roman" w:hAnsi="EYInterstate Light" w:cs="Times New Roman"/>
      <w:color w:val="000000"/>
      <w:sz w:val="20"/>
      <w:szCs w:val="18"/>
      <w:lang w:val="en-US"/>
    </w:rPr>
  </w:style>
  <w:style w:type="character" w:customStyle="1" w:styleId="sourceChar">
    <w:name w:val="source Char"/>
    <w:link w:val="source"/>
    <w:rPr>
      <w:rFonts w:ascii="Georgia" w:eastAsia="Times New Roman" w:hAnsi="Georgia" w:cs="Times New Roman"/>
      <w:sz w:val="16"/>
      <w:szCs w:val="24"/>
    </w:rPr>
  </w:style>
  <w:style w:type="paragraph" w:customStyle="1" w:styleId="Normal1">
    <w:name w:val="Normal1"/>
    <w:basedOn w:val="Normal"/>
    <w:pPr>
      <w:autoSpaceDE w:val="0"/>
      <w:autoSpaceDN w:val="0"/>
      <w:adjustRightInd w:val="0"/>
      <w:spacing w:before="120"/>
    </w:pPr>
    <w:rPr>
      <w:szCs w:val="24"/>
      <w:lang w:val="en-US"/>
    </w:rPr>
  </w:style>
  <w:style w:type="paragraph" w:customStyle="1" w:styleId="sti-art">
    <w:name w:val="sti-art"/>
    <w:basedOn w:val="Normal"/>
    <w:pPr>
      <w:autoSpaceDE w:val="0"/>
      <w:autoSpaceDN w:val="0"/>
      <w:adjustRightInd w:val="0"/>
      <w:spacing w:before="40" w:after="120"/>
      <w:jc w:val="center"/>
    </w:pPr>
    <w:rPr>
      <w:b/>
      <w:bCs/>
      <w:szCs w:val="24"/>
      <w:lang w:val="en-US"/>
    </w:rPr>
  </w:style>
  <w:style w:type="paragraph" w:customStyle="1" w:styleId="ti-art">
    <w:name w:val="ti-art"/>
    <w:basedOn w:val="Normal"/>
    <w:pPr>
      <w:autoSpaceDE w:val="0"/>
      <w:autoSpaceDN w:val="0"/>
      <w:adjustRightInd w:val="0"/>
      <w:spacing w:before="360" w:after="120"/>
      <w:jc w:val="center"/>
    </w:pPr>
    <w:rPr>
      <w:i/>
      <w:iCs/>
      <w:szCs w:val="24"/>
      <w:lang w:val="en-US"/>
    </w:rPr>
  </w:style>
  <w:style w:type="paragraph" w:customStyle="1" w:styleId="006">
    <w:name w:val="006"/>
    <w:aliases w:val="Titel tekst"/>
    <w:basedOn w:val="Normal"/>
    <w:pPr>
      <w:tabs>
        <w:tab w:val="left" w:pos="907"/>
      </w:tabs>
      <w:autoSpaceDE w:val="0"/>
      <w:autoSpaceDN w:val="0"/>
      <w:adjustRightInd w:val="0"/>
      <w:spacing w:before="40" w:after="40"/>
    </w:pPr>
    <w:rPr>
      <w:rFonts w:ascii="EYInterstate Light" w:hAnsi="EYInterstate Light"/>
      <w:b/>
      <w:color w:val="808080"/>
      <w:kern w:val="12"/>
      <w:sz w:val="60"/>
      <w:szCs w:val="88"/>
      <w:lang w:val="en-US"/>
    </w:rPr>
  </w:style>
  <w:style w:type="table" w:customStyle="1" w:styleId="EYTable2">
    <w:name w:val="EY Table 2"/>
    <w:basedOn w:val="TableGrid"/>
    <w:next w:val="TableNormal"/>
    <w:rPr>
      <w:rFonts w:ascii="Verdana" w:hAnsi="Verdana"/>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Georgia" w:hAnsi="Georgia"/>
        <w:b/>
        <w:color w:val="FFFFFF" w:themeColor="background1"/>
        <w:sz w:val="18"/>
      </w:rPr>
      <w:tblPr/>
      <w:tcPr>
        <w:shd w:val="clear" w:color="auto" w:fill="00AEF0"/>
      </w:tcPr>
    </w:tblStylePr>
    <w:tblStylePr w:type="band1Horz">
      <w:rPr>
        <w:sz w:val="18"/>
      </w:rPr>
    </w:tblStylePr>
  </w:style>
  <w:style w:type="paragraph" w:customStyle="1" w:styleId="ManualConsidrant">
    <w:name w:val="Manual Considérant"/>
    <w:basedOn w:val="Normal"/>
    <w:pPr>
      <w:autoSpaceDE w:val="0"/>
      <w:autoSpaceDN w:val="0"/>
      <w:adjustRightInd w:val="0"/>
      <w:spacing w:before="120" w:after="120"/>
      <w:ind w:left="709" w:hanging="709"/>
    </w:pPr>
    <w:rPr>
      <w:szCs w:val="24"/>
    </w:rPr>
  </w:style>
  <w:style w:type="paragraph" w:customStyle="1" w:styleId="Point0">
    <w:name w:val="Point 0"/>
    <w:basedOn w:val="Normal"/>
    <w:pPr>
      <w:autoSpaceDE w:val="0"/>
      <w:autoSpaceDN w:val="0"/>
      <w:adjustRightInd w:val="0"/>
      <w:spacing w:before="120" w:after="120"/>
      <w:ind w:left="850" w:hanging="850"/>
    </w:pPr>
    <w:rPr>
      <w:noProof/>
      <w:szCs w:val="24"/>
    </w:rPr>
  </w:style>
  <w:style w:type="paragraph" w:customStyle="1" w:styleId="Bullet0">
    <w:name w:val="Bullet 0"/>
    <w:basedOn w:val="Normal"/>
    <w:pPr>
      <w:tabs>
        <w:tab w:val="num" w:pos="850"/>
      </w:tabs>
      <w:autoSpaceDE w:val="0"/>
      <w:autoSpaceDN w:val="0"/>
      <w:adjustRightInd w:val="0"/>
      <w:spacing w:before="120" w:after="120"/>
      <w:ind w:left="850" w:hanging="850"/>
    </w:pPr>
    <w:rPr>
      <w:szCs w:val="24"/>
    </w:rPr>
  </w:style>
  <w:style w:type="paragraph" w:customStyle="1" w:styleId="LevelAssessment-Code">
    <w:name w:val="Level Assessment - Code"/>
    <w:basedOn w:val="Normal"/>
    <w:next w:val="Normal"/>
    <w:pPr>
      <w:suppressAutoHyphens/>
      <w:autoSpaceDE w:val="0"/>
      <w:autoSpaceDN w:val="0"/>
      <w:adjustRightInd w:val="0"/>
      <w:spacing w:before="40"/>
      <w:ind w:left="28"/>
      <w:jc w:val="center"/>
    </w:pPr>
    <w:rPr>
      <w:rFonts w:ascii="Arial Narrow" w:hAnsi="Arial Narrow"/>
      <w:sz w:val="20"/>
      <w:lang w:val="en-US" w:eastAsia="ar-SA"/>
    </w:rPr>
  </w:style>
  <w:style w:type="table" w:customStyle="1" w:styleId="TableGrid11">
    <w:name w:val="Table Grid11"/>
    <w:basedOn w:val="TableNormal"/>
    <w:next w:val="TableGrid"/>
    <w:uiPriority w:val="59"/>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able">
    <w:name w:val="Bullet table"/>
    <w:basedOn w:val="Style7"/>
    <w:link w:val="BullettableChar"/>
    <w:pPr>
      <w:numPr>
        <w:ilvl w:val="0"/>
        <w:numId w:val="0"/>
      </w:numPr>
      <w:tabs>
        <w:tab w:val="left" w:pos="907"/>
        <w:tab w:val="num" w:pos="1911"/>
      </w:tabs>
      <w:autoSpaceDE w:val="0"/>
      <w:autoSpaceDN w:val="0"/>
      <w:adjustRightInd w:val="0"/>
      <w:spacing w:after="0"/>
      <w:ind w:left="1911" w:hanging="709"/>
      <w:jc w:val="both"/>
    </w:pPr>
    <w:rPr>
      <w:rFonts w:ascii="EYInterstate Light" w:hAnsi="EYInterstate Light" w:cs="Arial"/>
      <w:b w:val="0"/>
      <w:color w:val="808080" w:themeColor="background1" w:themeShade="80"/>
      <w:kern w:val="12"/>
      <w:sz w:val="18"/>
      <w:szCs w:val="18"/>
      <w:lang w:eastAsia="it-IT"/>
    </w:rPr>
  </w:style>
  <w:style w:type="character" w:customStyle="1" w:styleId="BullettableChar">
    <w:name w:val="Bullet table Char"/>
    <w:basedOn w:val="Style7Char"/>
    <w:link w:val="Bullettable"/>
    <w:rPr>
      <w:rFonts w:ascii="EYInterstate Light" w:eastAsia="Calibri" w:hAnsi="EYInterstate Light" w:cs="Arial"/>
      <w:b w:val="0"/>
      <w:color w:val="808080" w:themeColor="background1" w:themeShade="80"/>
      <w:kern w:val="12"/>
      <w:sz w:val="18"/>
      <w:szCs w:val="18"/>
      <w:lang w:val="en-US" w:eastAsia="it-IT"/>
    </w:rPr>
  </w:style>
  <w:style w:type="paragraph" w:customStyle="1" w:styleId="Pa7">
    <w:name w:val="Pa7"/>
    <w:basedOn w:val="Default"/>
    <w:next w:val="Default"/>
    <w:uiPriority w:val="99"/>
  </w:style>
  <w:style w:type="paragraph" w:customStyle="1" w:styleId="Pa20">
    <w:name w:val="Pa20"/>
    <w:basedOn w:val="Default"/>
    <w:next w:val="Default"/>
    <w:uiPriority w:val="99"/>
  </w:style>
  <w:style w:type="paragraph" w:customStyle="1" w:styleId="Pa14">
    <w:name w:val="Pa14"/>
    <w:basedOn w:val="Default"/>
    <w:next w:val="Default"/>
    <w:uiPriority w:val="99"/>
  </w:style>
  <w:style w:type="character" w:customStyle="1" w:styleId="A13">
    <w:name w:val="A13"/>
    <w:uiPriority w:val="99"/>
    <w:rPr>
      <w:rFonts w:cs="KievitPro-Regular"/>
      <w:color w:val="000000"/>
      <w:sz w:val="11"/>
      <w:szCs w:val="11"/>
    </w:rPr>
  </w:style>
  <w:style w:type="character" w:customStyle="1" w:styleId="A12">
    <w:name w:val="A12"/>
    <w:uiPriority w:val="99"/>
    <w:rPr>
      <w:rFonts w:cs="KievitPro-Regular"/>
      <w:color w:val="000000"/>
    </w:rPr>
  </w:style>
  <w:style w:type="paragraph" w:customStyle="1" w:styleId="Tableaupuce">
    <w:name w:val="Tableau puce"/>
    <w:basedOn w:val="Normal"/>
    <w:link w:val="TableaupuceChar"/>
    <w:pPr>
      <w:tabs>
        <w:tab w:val="left" w:pos="227"/>
      </w:tabs>
      <w:overflowPunct w:val="0"/>
      <w:autoSpaceDE w:val="0"/>
      <w:autoSpaceDN w:val="0"/>
      <w:adjustRightInd w:val="0"/>
      <w:spacing w:before="40"/>
      <w:ind w:right="113"/>
      <w:textAlignment w:val="baseline"/>
    </w:pPr>
    <w:rPr>
      <w:rFonts w:ascii="EY Gothic Comp Book" w:hAnsi="EY Gothic Comp Book"/>
      <w:noProof/>
      <w:sz w:val="20"/>
    </w:rPr>
  </w:style>
  <w:style w:type="character" w:customStyle="1" w:styleId="TableaupuceChar">
    <w:name w:val="Tableau puce Char"/>
    <w:basedOn w:val="DefaultParagraphFont"/>
    <w:link w:val="Tableaupuce"/>
    <w:rPr>
      <w:rFonts w:ascii="EY Gothic Comp Book" w:eastAsia="Times New Roman" w:hAnsi="EY Gothic Comp Book" w:cs="Times New Roman"/>
      <w:noProof/>
      <w:sz w:val="20"/>
      <w:szCs w:val="20"/>
    </w:rPr>
  </w:style>
  <w:style w:type="paragraph" w:customStyle="1" w:styleId="Pa29">
    <w:name w:val="Pa29"/>
    <w:basedOn w:val="Default"/>
    <w:next w:val="Default"/>
    <w:uiPriority w:val="99"/>
  </w:style>
  <w:style w:type="character" w:customStyle="1" w:styleId="super">
    <w:name w:val="super"/>
    <w:basedOn w:val="DefaultParagraphFont"/>
    <w:rPr>
      <w:sz w:val="17"/>
      <w:szCs w:val="17"/>
      <w:vertAlign w:val="superscript"/>
    </w:rPr>
  </w:style>
  <w:style w:type="paragraph" w:customStyle="1" w:styleId="doc-ti">
    <w:name w:val="doc-ti"/>
    <w:basedOn w:val="Normal"/>
    <w:pPr>
      <w:autoSpaceDE w:val="0"/>
      <w:autoSpaceDN w:val="0"/>
      <w:adjustRightInd w:val="0"/>
      <w:spacing w:before="240" w:after="120"/>
      <w:jc w:val="center"/>
    </w:pPr>
    <w:rPr>
      <w:b/>
      <w:bCs/>
      <w:szCs w:val="24"/>
      <w:lang w:val="en-US"/>
    </w:rPr>
  </w:style>
  <w:style w:type="character" w:customStyle="1" w:styleId="blackgraphtx">
    <w:name w:val="blackgraphtx"/>
    <w:basedOn w:val="DefaultParagraphFont"/>
  </w:style>
  <w:style w:type="paragraph" w:customStyle="1" w:styleId="numbering">
    <w:name w:val="numbering"/>
    <w:basedOn w:val="Bulletcoretext"/>
    <w:link w:val="numberingChar"/>
    <w:qFormat/>
    <w:pPr>
      <w:numPr>
        <w:numId w:val="51"/>
      </w:numPr>
      <w:tabs>
        <w:tab w:val="left" w:pos="709"/>
      </w:tabs>
      <w:suppressAutoHyphens/>
      <w:autoSpaceDE w:val="0"/>
      <w:autoSpaceDN w:val="0"/>
      <w:adjustRightInd w:val="0"/>
      <w:spacing w:before="40" w:after="40"/>
      <w:contextualSpacing w:val="0"/>
    </w:pPr>
    <w:rPr>
      <w:rFonts w:ascii="Tahoma" w:eastAsia="Calibri" w:hAnsi="Tahoma"/>
      <w:kern w:val="12"/>
      <w:sz w:val="18"/>
      <w:lang w:val="en-US" w:eastAsia="ar-SA"/>
    </w:rPr>
  </w:style>
  <w:style w:type="character" w:customStyle="1" w:styleId="numberingChar">
    <w:name w:val="numbering Char"/>
    <w:basedOn w:val="BulletcoretextChar"/>
    <w:link w:val="numbering"/>
    <w:rPr>
      <w:rFonts w:ascii="Tahoma" w:eastAsia="Calibri" w:hAnsi="Tahoma"/>
      <w:kern w:val="12"/>
      <w:sz w:val="18"/>
      <w:lang w:val="en-US" w:eastAsia="ar-SA"/>
    </w:rPr>
  </w:style>
  <w:style w:type="paragraph" w:customStyle="1" w:styleId="Rfrenceinstitutionelle">
    <w:name w:val="Référence institutionelle"/>
    <w:basedOn w:val="Normal"/>
    <w:next w:val="Normal"/>
    <w:pPr>
      <w:autoSpaceDE w:val="0"/>
      <w:autoSpaceDN w:val="0"/>
      <w:adjustRightInd w:val="0"/>
      <w:ind w:left="5103"/>
    </w:pPr>
    <w:rPr>
      <w:szCs w:val="24"/>
      <w:lang w:eastAsia="de-DE"/>
    </w:rPr>
  </w:style>
  <w:style w:type="paragraph" w:customStyle="1" w:styleId="ManualHeading3">
    <w:name w:val="Manual Heading 3"/>
    <w:basedOn w:val="Normal"/>
    <w:next w:val="Normal"/>
    <w:pPr>
      <w:keepNext/>
      <w:tabs>
        <w:tab w:val="left" w:pos="850"/>
      </w:tabs>
      <w:autoSpaceDE w:val="0"/>
      <w:autoSpaceDN w:val="0"/>
      <w:adjustRightInd w:val="0"/>
      <w:spacing w:before="120" w:after="120"/>
      <w:ind w:left="850" w:hanging="850"/>
      <w:outlineLvl w:val="2"/>
    </w:pPr>
    <w:rPr>
      <w:i/>
      <w:szCs w:val="24"/>
      <w:lang w:eastAsia="de-DE"/>
    </w:rPr>
  </w:style>
  <w:style w:type="table" w:customStyle="1" w:styleId="GridTable5Dark-Accent21">
    <w:name w:val="Grid Table 5 Dark - Accent 21"/>
    <w:basedOn w:val="TableNormal"/>
    <w:uiPriority w:val="50"/>
    <w:pPr>
      <w:spacing w:after="0" w:line="240" w:lineRule="auto"/>
    </w:pPr>
    <w:rPr>
      <w:rFonts w:ascii="EYInterstate Light" w:hAnsi="EYInterstate Light"/>
      <w:sz w:val="20"/>
      <w:szCs w:val="20"/>
      <w:lang w:val="nl-B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7Colorful-Accent11">
    <w:name w:val="List Table 7 Colorful - Accent 11"/>
    <w:basedOn w:val="TableNormal"/>
    <w:uiPriority w:val="52"/>
    <w:pPr>
      <w:spacing w:after="0" w:line="240" w:lineRule="auto"/>
    </w:pPr>
    <w:rPr>
      <w:rFonts w:ascii="EYInterstate Light" w:hAnsi="EYInterstate Light"/>
      <w:color w:val="365F91" w:themeColor="accent1" w:themeShade="BF"/>
      <w:sz w:val="20"/>
      <w:szCs w:val="20"/>
      <w:lang w:val="nl-B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4-Accent11">
    <w:name w:val="List Table 4 - Accent 11"/>
    <w:basedOn w:val="TableNormal"/>
    <w:uiPriority w:val="49"/>
    <w:pPr>
      <w:spacing w:after="0" w:line="240" w:lineRule="auto"/>
    </w:pPr>
    <w:rPr>
      <w:rFonts w:ascii="EYInterstate Light" w:hAnsi="EYInterstate Light"/>
      <w:sz w:val="20"/>
      <w:szCs w:val="20"/>
      <w:lang w:val="nl-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3">
    <w:name w:val="Pa3"/>
    <w:basedOn w:val="Normal"/>
    <w:next w:val="Normal"/>
    <w:uiPriority w:val="99"/>
    <w:pPr>
      <w:autoSpaceDE w:val="0"/>
      <w:autoSpaceDN w:val="0"/>
      <w:adjustRightInd w:val="0"/>
      <w:spacing w:line="241" w:lineRule="atLeast"/>
    </w:pPr>
    <w:rPr>
      <w:rFonts w:ascii="Corbel" w:eastAsiaTheme="minorHAnsi" w:hAnsi="Corbel" w:cstheme="minorBidi"/>
      <w:szCs w:val="24"/>
      <w:lang w:val="en-US"/>
    </w:rPr>
  </w:style>
  <w:style w:type="character" w:customStyle="1" w:styleId="A7">
    <w:name w:val="A7"/>
    <w:uiPriority w:val="99"/>
    <w:rPr>
      <w:rFonts w:cs="Corbel"/>
      <w:color w:val="000000"/>
      <w:sz w:val="14"/>
      <w:szCs w:val="14"/>
    </w:rPr>
  </w:style>
  <w:style w:type="character" w:customStyle="1" w:styleId="A4">
    <w:name w:val="A4"/>
    <w:uiPriority w:val="99"/>
    <w:rPr>
      <w:rFonts w:cs="BankGothic Md BT"/>
      <w:color w:val="000000"/>
      <w:sz w:val="72"/>
      <w:szCs w:val="72"/>
    </w:rPr>
  </w:style>
  <w:style w:type="character" w:customStyle="1" w:styleId="bold">
    <w:name w:val="bold"/>
    <w:basedOn w:val="DefaultParagraphFont"/>
    <w:rPr>
      <w:b/>
      <w:bCs/>
    </w:rPr>
  </w:style>
  <w:style w:type="table" w:customStyle="1" w:styleId="GridTable4-Accent11">
    <w:name w:val="Grid Table 4 - Accent 11"/>
    <w:basedOn w:val="TableNormal"/>
    <w:uiPriority w:val="49"/>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10">
    <w:name w:val="normal10"/>
    <w:basedOn w:val="DefaultParagraphFont"/>
  </w:style>
  <w:style w:type="character" w:styleId="HTMLCite">
    <w:name w:val="HTML Cite"/>
    <w:basedOn w:val="DefaultParagraphFont"/>
    <w:uiPriority w:val="99"/>
    <w:semiHidden/>
    <w:unhideWhenUsed/>
    <w:rPr>
      <w:i/>
      <w:iCs/>
    </w:rPr>
  </w:style>
  <w:style w:type="character" w:customStyle="1" w:styleId="libraysubgroupname1">
    <w:name w:val="libraysubgroupname1"/>
    <w:basedOn w:val="DefaultParagraphFont"/>
    <w:rPr>
      <w:b/>
      <w:bCs/>
      <w:sz w:val="26"/>
      <w:szCs w:val="26"/>
    </w:rPr>
  </w:style>
  <w:style w:type="paragraph" w:customStyle="1" w:styleId="CharCharCharCharChar15">
    <w:name w:val="Char Char Char Char Char15"/>
    <w:basedOn w:val="Normal"/>
    <w:next w:val="Normal"/>
    <w:pPr>
      <w:spacing w:after="160" w:line="240" w:lineRule="exact"/>
    </w:pPr>
    <w:rPr>
      <w:rFonts w:ascii="Tahoma" w:hAnsi="Tahoma"/>
      <w:lang w:val="en-US" w:eastAsia="zh-CN"/>
    </w:rPr>
  </w:style>
  <w:style w:type="paragraph" w:customStyle="1" w:styleId="CharCharCharCharChar14">
    <w:name w:val="Char Char Char Char Char14"/>
    <w:basedOn w:val="Normal"/>
    <w:next w:val="Normal"/>
    <w:pPr>
      <w:spacing w:after="160" w:line="240" w:lineRule="exact"/>
    </w:pPr>
    <w:rPr>
      <w:rFonts w:ascii="Tahoma" w:hAnsi="Tahoma"/>
      <w:lang w:val="en-US" w:eastAsia="zh-CN"/>
    </w:rPr>
  </w:style>
  <w:style w:type="paragraph" w:customStyle="1" w:styleId="CharCharCharCharChar13">
    <w:name w:val="Char Char Char Char Char13"/>
    <w:basedOn w:val="Normal"/>
    <w:next w:val="Normal"/>
    <w:pPr>
      <w:spacing w:after="160" w:line="240" w:lineRule="exact"/>
    </w:pPr>
    <w:rPr>
      <w:rFonts w:ascii="Tahoma" w:hAnsi="Tahoma"/>
      <w:lang w:val="en-US" w:eastAsia="zh-CN"/>
    </w:rPr>
  </w:style>
  <w:style w:type="paragraph" w:customStyle="1" w:styleId="CharCharCharCharChar12">
    <w:name w:val="Char Char Char Char Char12"/>
    <w:basedOn w:val="Normal"/>
    <w:next w:val="Normal"/>
    <w:pPr>
      <w:spacing w:after="160" w:line="240" w:lineRule="exact"/>
    </w:pPr>
    <w:rPr>
      <w:rFonts w:ascii="Tahoma" w:hAnsi="Tahoma"/>
      <w:lang w:val="en-US" w:eastAsia="zh-CN"/>
    </w:rPr>
  </w:style>
  <w:style w:type="table" w:customStyle="1" w:styleId="ListTable3-Accent51">
    <w:name w:val="List Table 3 - Accent 51"/>
    <w:basedOn w:val="TableNormal"/>
    <w:uiPriority w:val="48"/>
    <w:pPr>
      <w:spacing w:after="0" w:line="240" w:lineRule="auto"/>
    </w:pPr>
    <w:rPr>
      <w:lang w:val="it-IT"/>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harCharCharCharChar00">
    <w:name w:val="Char Char Char Char Char00"/>
    <w:basedOn w:val="Normal"/>
    <w:next w:val="Normal"/>
    <w:pPr>
      <w:spacing w:after="160" w:line="240" w:lineRule="exact"/>
    </w:pPr>
    <w:rPr>
      <w:rFonts w:ascii="Tahoma" w:hAnsi="Tahoma"/>
      <w:lang w:val="en-US" w:eastAsia="zh-CN"/>
    </w:rPr>
  </w:style>
  <w:style w:type="paragraph" w:customStyle="1" w:styleId="CharCharCharCharChar20">
    <w:name w:val="Char Char Char Char Char20"/>
    <w:basedOn w:val="Normal"/>
    <w:next w:val="Normal"/>
    <w:pPr>
      <w:spacing w:after="160" w:line="240" w:lineRule="exact"/>
    </w:pPr>
    <w:rPr>
      <w:rFonts w:ascii="Tahoma" w:hAnsi="Tahoma"/>
      <w:lang w:val="en-US" w:eastAsia="zh-CN"/>
    </w:rPr>
  </w:style>
  <w:style w:type="table" w:customStyle="1" w:styleId="TableGridLight20">
    <w:name w:val="Table Grid Light20"/>
    <w:basedOn w:val="TableNormal"/>
    <w:uiPriority w:val="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CharCharCharChar30">
    <w:name w:val="Char Char Char Char Char30"/>
    <w:basedOn w:val="Normal"/>
    <w:next w:val="Normal"/>
    <w:pPr>
      <w:spacing w:after="160" w:line="240" w:lineRule="exact"/>
    </w:pPr>
    <w:rPr>
      <w:rFonts w:ascii="Tahoma" w:hAnsi="Tahoma"/>
      <w:lang w:val="en-US" w:eastAsia="zh-CN"/>
    </w:rPr>
  </w:style>
  <w:style w:type="paragraph" w:customStyle="1" w:styleId="CharCharCharCharChar100">
    <w:name w:val="Char Char Char Char Char100"/>
    <w:basedOn w:val="Normal"/>
    <w:next w:val="Normal"/>
    <w:pPr>
      <w:spacing w:after="160" w:line="240" w:lineRule="exact"/>
    </w:pPr>
    <w:rPr>
      <w:rFonts w:ascii="Tahoma" w:hAnsi="Tahoma"/>
      <w:lang w:val="en-US" w:eastAsia="zh-CN"/>
    </w:rPr>
  </w:style>
  <w:style w:type="paragraph" w:customStyle="1" w:styleId="Normal2">
    <w:name w:val="Normal2"/>
    <w:basedOn w:val="Normal"/>
    <w:pPr>
      <w:spacing w:before="120"/>
    </w:pPr>
    <w:rPr>
      <w:szCs w:val="24"/>
      <w:lang w:val="en-US"/>
    </w:rPr>
  </w:style>
  <w:style w:type="paragraph" w:customStyle="1" w:styleId="CharCharCharCharChar000">
    <w:name w:val="Char Char Char Char Char000"/>
    <w:basedOn w:val="Normal"/>
    <w:next w:val="Normal"/>
    <w:pPr>
      <w:spacing w:after="160" w:line="240" w:lineRule="exact"/>
    </w:pPr>
    <w:rPr>
      <w:rFonts w:ascii="Tahoma" w:hAnsi="Tahoma"/>
      <w:lang w:val="en-US" w:eastAsia="zh-CN"/>
    </w:rPr>
  </w:style>
  <w:style w:type="paragraph" w:customStyle="1" w:styleId="CharCharCharCharChar200">
    <w:name w:val="Char Char Char Char Char200"/>
    <w:basedOn w:val="Normal"/>
    <w:next w:val="Normal"/>
    <w:pPr>
      <w:spacing w:after="160" w:line="240" w:lineRule="exact"/>
    </w:pPr>
    <w:rPr>
      <w:rFonts w:ascii="Tahoma" w:hAnsi="Tahoma"/>
      <w:lang w:val="en-US" w:eastAsia="zh-CN"/>
    </w:rPr>
  </w:style>
  <w:style w:type="table" w:customStyle="1" w:styleId="TableGridLight200">
    <w:name w:val="Table Grid Light200"/>
    <w:basedOn w:val="TableNormal"/>
    <w:uiPriority w:val="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CharCharCharChar300">
    <w:name w:val="Char Char Char Char Char300"/>
    <w:basedOn w:val="Normal"/>
    <w:next w:val="Normal"/>
    <w:pPr>
      <w:spacing w:after="160" w:line="240" w:lineRule="exact"/>
    </w:pPr>
    <w:rPr>
      <w:rFonts w:ascii="Tahoma" w:hAnsi="Tahoma"/>
      <w:lang w:val="en-US" w:eastAsia="zh-CN"/>
    </w:rPr>
  </w:style>
  <w:style w:type="paragraph" w:customStyle="1" w:styleId="CharCharCharCharChar1000">
    <w:name w:val="Char Char Char Char Char1000"/>
    <w:basedOn w:val="Normal"/>
    <w:next w:val="Normal"/>
    <w:pPr>
      <w:spacing w:after="160" w:line="240" w:lineRule="exact"/>
    </w:pPr>
    <w:rPr>
      <w:rFonts w:ascii="Tahoma" w:hAnsi="Tahoma"/>
      <w:lang w:val="en-US" w:eastAsia="zh-CN"/>
    </w:rPr>
  </w:style>
  <w:style w:type="paragraph" w:customStyle="1" w:styleId="CharCharCharCharChar19">
    <w:name w:val="Char Char Char Char Char19"/>
    <w:basedOn w:val="Normal"/>
    <w:next w:val="Normal"/>
    <w:pPr>
      <w:spacing w:after="160" w:line="240" w:lineRule="exact"/>
    </w:pPr>
    <w:rPr>
      <w:rFonts w:ascii="Tahoma" w:hAnsi="Tahoma"/>
      <w:lang w:val="en-US" w:eastAsia="zh-CN"/>
    </w:rPr>
  </w:style>
  <w:style w:type="paragraph" w:customStyle="1" w:styleId="CharCharCharCharChar18">
    <w:name w:val="Char Char Char Char Char18"/>
    <w:basedOn w:val="Normal"/>
    <w:next w:val="Normal"/>
    <w:pPr>
      <w:spacing w:after="160" w:line="240" w:lineRule="exact"/>
    </w:pPr>
    <w:rPr>
      <w:rFonts w:ascii="Tahoma" w:hAnsi="Tahoma"/>
      <w:lang w:val="en-US" w:eastAsia="zh-CN"/>
    </w:rPr>
  </w:style>
  <w:style w:type="paragraph" w:customStyle="1" w:styleId="CharCharCharCharChar17">
    <w:name w:val="Char Char Char Char Char17"/>
    <w:basedOn w:val="Normal"/>
    <w:next w:val="Normal"/>
    <w:pPr>
      <w:spacing w:after="160" w:line="240" w:lineRule="exact"/>
    </w:pPr>
    <w:rPr>
      <w:rFonts w:ascii="Tahoma" w:hAnsi="Tahoma"/>
      <w:lang w:val="en-US" w:eastAsia="zh-CN"/>
    </w:rPr>
  </w:style>
  <w:style w:type="paragraph" w:customStyle="1" w:styleId="CharCharCharCharChar16">
    <w:name w:val="Char Char Char Char Char16"/>
    <w:basedOn w:val="Normal"/>
    <w:next w:val="Normal"/>
    <w:pPr>
      <w:spacing w:after="160" w:line="240" w:lineRule="exact"/>
    </w:pPr>
    <w:rPr>
      <w:rFonts w:ascii="Tahoma" w:hAnsi="Tahoma"/>
      <w:lang w:val="en-US" w:eastAsia="zh-CN"/>
    </w:rPr>
  </w:style>
  <w:style w:type="paragraph" w:customStyle="1" w:styleId="Heading51">
    <w:name w:val="Heading 51"/>
    <w:basedOn w:val="Normal"/>
    <w:next w:val="Normal"/>
    <w:pPr>
      <w:spacing w:before="240" w:after="60"/>
      <w:ind w:left="1008" w:hanging="1008"/>
      <w:outlineLvl w:val="4"/>
    </w:pPr>
    <w:rPr>
      <w:rFonts w:ascii="Verdana" w:hAnsi="Verdana"/>
      <w:i/>
      <w:iCs/>
      <w:color w:val="000000"/>
      <w:sz w:val="20"/>
      <w:lang w:val="en-US"/>
    </w:rPr>
  </w:style>
  <w:style w:type="paragraph" w:customStyle="1" w:styleId="TOCHeading2">
    <w:name w:val="TOC Heading2"/>
    <w:basedOn w:val="Heading1"/>
    <w:next w:val="Normal"/>
    <w:uiPriority w:val="39"/>
    <w:unhideWhenUsed/>
    <w:qFormat/>
    <w:pPr>
      <w:keepLines/>
      <w:spacing w:before="480" w:line="276" w:lineRule="auto"/>
      <w:outlineLvl w:val="9"/>
    </w:pPr>
    <w:rPr>
      <w:rFonts w:ascii="Verdana" w:eastAsia="MS Gothic" w:hAnsi="Verdana"/>
      <w:bCs/>
      <w:smallCaps w:val="0"/>
      <w:color w:val="000000"/>
      <w:sz w:val="20"/>
      <w:szCs w:val="28"/>
    </w:rPr>
  </w:style>
  <w:style w:type="paragraph" w:customStyle="1" w:styleId="MediumGrid1-Accent211">
    <w:name w:val="Medium Grid 1 - Accent 211"/>
    <w:basedOn w:val="Normal"/>
    <w:next w:val="ListParagraph"/>
    <w:uiPriority w:val="34"/>
    <w:qFormat/>
    <w:pPr>
      <w:ind w:left="720"/>
      <w:contextualSpacing/>
    </w:pPr>
    <w:rPr>
      <w:color w:val="000000"/>
    </w:rPr>
  </w:style>
  <w:style w:type="character" w:customStyle="1" w:styleId="SubtleEmphasis1">
    <w:name w:val="Subtle Emphasis1"/>
    <w:basedOn w:val="DefaultParagraphFont"/>
    <w:uiPriority w:val="19"/>
    <w:qFormat/>
    <w:rPr>
      <w:rFonts w:ascii="Verdana" w:hAnsi="Verdana"/>
      <w:i/>
      <w:iCs/>
      <w:color w:val="808080"/>
      <w:sz w:val="18"/>
    </w:rPr>
  </w:style>
  <w:style w:type="character" w:customStyle="1" w:styleId="FollowedHyperlink1">
    <w:name w:val="FollowedHyperlink1"/>
    <w:basedOn w:val="DefaultParagraphFont"/>
    <w:uiPriority w:val="99"/>
    <w:rPr>
      <w:color w:val="800080"/>
      <w:u w:val="single"/>
    </w:rPr>
  </w:style>
  <w:style w:type="paragraph" w:customStyle="1" w:styleId="IntenseQuote1">
    <w:name w:val="Intense Quote1"/>
    <w:basedOn w:val="Normal"/>
    <w:next w:val="Normal"/>
    <w:uiPriority w:val="30"/>
    <w:pPr>
      <w:pBdr>
        <w:top w:val="single" w:sz="4" w:space="10" w:color="4F81BD"/>
        <w:bottom w:val="single" w:sz="4" w:space="10" w:color="4F81BD"/>
      </w:pBdr>
      <w:spacing w:before="360" w:after="360"/>
      <w:ind w:left="864" w:right="864"/>
      <w:jc w:val="center"/>
    </w:pPr>
    <w:rPr>
      <w:i/>
      <w:iCs/>
      <w:color w:val="4F81BD"/>
    </w:rPr>
  </w:style>
  <w:style w:type="table" w:customStyle="1" w:styleId="LightShading11">
    <w:name w:val="Light Shading11"/>
    <w:basedOn w:val="TableNormal"/>
    <w:next w:val="LightShading"/>
    <w:uiPriority w:val="60"/>
    <w:pPr>
      <w:spacing w:after="0" w:line="240" w:lineRule="auto"/>
    </w:pPr>
    <w:rPr>
      <w:rFonts w:ascii="Calibri" w:eastAsia="Calibri" w:hAnsi="Calibri" w:cs="Times New Roman"/>
      <w:color w:val="000000"/>
      <w:sz w:val="16"/>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EY11">
    <w:name w:val="Table EY11"/>
    <w:basedOn w:val="TableNormal"/>
    <w:next w:val="TableGrid"/>
    <w:uiPriority w:val="5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Tahoma" w:hAnsi="Tahoma"/>
        <w:b/>
        <w:color w:val="FFFFFF"/>
        <w:sz w:val="18"/>
      </w:rPr>
      <w:tblPr/>
      <w:tcPr>
        <w:shd w:val="clear" w:color="auto" w:fill="00AEF0"/>
      </w:tcPr>
    </w:tblStylePr>
    <w:tblStylePr w:type="band1Horz">
      <w:rPr>
        <w:sz w:val="18"/>
      </w:rPr>
    </w:tblStylePr>
  </w:style>
  <w:style w:type="table" w:customStyle="1" w:styleId="TableGridLight21">
    <w:name w:val="Table Grid Light21"/>
    <w:basedOn w:val="TableNormal"/>
    <w:uiPriority w:val="4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CharCharCharChar24">
    <w:name w:val="Char Char Char Char Char24"/>
    <w:basedOn w:val="Normal"/>
    <w:next w:val="Normal"/>
    <w:pPr>
      <w:spacing w:after="160" w:line="240" w:lineRule="exact"/>
    </w:pPr>
    <w:rPr>
      <w:rFonts w:ascii="Tahoma" w:hAnsi="Tahoma"/>
      <w:lang w:val="en-US" w:eastAsia="zh-CN"/>
    </w:rPr>
  </w:style>
  <w:style w:type="paragraph" w:customStyle="1" w:styleId="CharCharCharCharChar23">
    <w:name w:val="Char Char Char Char Char23"/>
    <w:basedOn w:val="Normal"/>
    <w:next w:val="Normal"/>
    <w:pPr>
      <w:spacing w:after="160" w:line="240" w:lineRule="exact"/>
    </w:pPr>
    <w:rPr>
      <w:rFonts w:ascii="Tahoma" w:hAnsi="Tahoma"/>
      <w:lang w:val="en-US" w:eastAsia="zh-CN"/>
    </w:rPr>
  </w:style>
  <w:style w:type="paragraph" w:customStyle="1" w:styleId="CharCharCharCharChar22">
    <w:name w:val="Char Char Char Char Char22"/>
    <w:basedOn w:val="Normal"/>
    <w:next w:val="Normal"/>
    <w:pPr>
      <w:spacing w:after="160" w:line="240" w:lineRule="exact"/>
    </w:pPr>
    <w:rPr>
      <w:rFonts w:ascii="Tahoma" w:hAnsi="Tahoma"/>
      <w:lang w:val="en-US" w:eastAsia="zh-CN"/>
    </w:rPr>
  </w:style>
  <w:style w:type="paragraph" w:customStyle="1" w:styleId="CharCharCharCharChar21">
    <w:name w:val="Char Char Char Char Char21"/>
    <w:basedOn w:val="Normal"/>
    <w:next w:val="Normal"/>
    <w:pPr>
      <w:spacing w:after="160" w:line="240" w:lineRule="exact"/>
    </w:pPr>
    <w:rPr>
      <w:rFonts w:ascii="Tahoma" w:hAnsi="Tahoma"/>
      <w:lang w:val="en-US" w:eastAsia="zh-CN"/>
    </w:rPr>
  </w:style>
  <w:style w:type="table" w:customStyle="1" w:styleId="TableGridLight22">
    <w:name w:val="Table Grid Light22"/>
    <w:basedOn w:val="TableNormal"/>
    <w:uiPriority w:val="4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14">
    <w:name w:val="A14"/>
    <w:uiPriority w:val="99"/>
    <w:rPr>
      <w:rFonts w:cs="Cambria"/>
      <w:color w:val="000000"/>
      <w:sz w:val="19"/>
      <w:szCs w:val="19"/>
    </w:rPr>
  </w:style>
  <w:style w:type="character" w:customStyle="1" w:styleId="Heading5Char1">
    <w:name w:val="Heading 5 Char1"/>
    <w:basedOn w:val="DefaultParagraphFont"/>
    <w:uiPriority w:val="9"/>
    <w:semiHidden/>
    <w:rPr>
      <w:rFonts w:asciiTheme="majorHAnsi" w:eastAsiaTheme="majorEastAsia" w:hAnsiTheme="majorHAnsi" w:cstheme="majorBidi"/>
      <w:color w:val="365F91" w:themeColor="accent1" w:themeShade="BF"/>
    </w:rPr>
  </w:style>
  <w:style w:type="character" w:customStyle="1" w:styleId="IntenseQuoteChar1">
    <w:name w:val="Intense Quote Char1"/>
    <w:basedOn w:val="DefaultParagraphFont"/>
    <w:uiPriority w:val="30"/>
    <w:rPr>
      <w:i/>
      <w:iCs/>
      <w:color w:val="4F81BD" w:themeColor="accent1"/>
    </w:rPr>
  </w:style>
  <w:style w:type="paragraph" w:customStyle="1" w:styleId="EYBulletPoints">
    <w:name w:val="EY Bullet Points"/>
    <w:basedOn w:val="Bullet2"/>
    <w:qFormat/>
    <w:pPr>
      <w:numPr>
        <w:numId w:val="0"/>
      </w:numPr>
      <w:spacing w:after="120"/>
      <w:ind w:left="1080" w:hanging="360"/>
    </w:pPr>
    <w:rPr>
      <w:b/>
    </w:rPr>
  </w:style>
  <w:style w:type="character" w:customStyle="1" w:styleId="TablebulletChar">
    <w:name w:val="Table bullet Char"/>
    <w:basedOn w:val="BodyChar"/>
    <w:link w:val="Tablebullet"/>
    <w:rPr>
      <w:rFonts w:ascii="EYInterstate Light" w:eastAsia="Times New Roman" w:hAnsi="EYInterstate Light" w:cs="Times New Roman"/>
      <w:sz w:val="18"/>
      <w:szCs w:val="20"/>
      <w:lang w:val="en-US"/>
    </w:rPr>
  </w:style>
  <w:style w:type="paragraph" w:customStyle="1" w:styleId="Heading40">
    <w:name w:val="Heading 4!"/>
    <w:basedOn w:val="Heading3"/>
    <w:link w:val="Heading4Char0"/>
    <w:qFormat/>
    <w:pPr>
      <w:tabs>
        <w:tab w:val="left" w:pos="1026"/>
      </w:tabs>
      <w:spacing w:before="240"/>
    </w:pPr>
    <w:rPr>
      <w:rFonts w:ascii="Verdana" w:hAnsi="Verdana"/>
      <w:b/>
      <w:lang w:val="en-US"/>
    </w:rPr>
  </w:style>
  <w:style w:type="character" w:customStyle="1" w:styleId="Heading4Char0">
    <w:name w:val="Heading 4! Char"/>
    <w:basedOn w:val="Heading3Char"/>
    <w:link w:val="Heading40"/>
    <w:rPr>
      <w:rFonts w:ascii="Verdana" w:eastAsia="Times New Roman" w:hAnsi="Verdana" w:cs="Times New Roman"/>
      <w:b/>
      <w:i/>
      <w:sz w:val="24"/>
      <w:szCs w:val="20"/>
      <w:lang w:val="en-US"/>
    </w:rPr>
  </w:style>
  <w:style w:type="paragraph" w:customStyle="1" w:styleId="HH3">
    <w:name w:val="HH3"/>
    <w:basedOn w:val="ListParagraph"/>
    <w:next w:val="Body"/>
    <w:qFormat/>
    <w:pPr>
      <w:keepNext/>
      <w:numPr>
        <w:ilvl w:val="2"/>
        <w:numId w:val="61"/>
      </w:numPr>
      <w:spacing w:before="120" w:after="240"/>
      <w:jc w:val="both"/>
      <w:outlineLvl w:val="2"/>
    </w:pPr>
    <w:rPr>
      <w:rFonts w:eastAsiaTheme="minorHAnsi"/>
      <w:b/>
      <w:i/>
    </w:rPr>
  </w:style>
  <w:style w:type="paragraph" w:customStyle="1" w:styleId="Heading2N">
    <w:name w:val="Heading2N"/>
    <w:basedOn w:val="HH3"/>
    <w:link w:val="Heading2NChar"/>
    <w:qFormat/>
    <w:pPr>
      <w:numPr>
        <w:ilvl w:val="1"/>
        <w:numId w:val="52"/>
      </w:numPr>
      <w:outlineLvl w:val="1"/>
    </w:pPr>
    <w:rPr>
      <w:sz w:val="20"/>
    </w:rPr>
  </w:style>
  <w:style w:type="paragraph" w:customStyle="1" w:styleId="Heading3N">
    <w:name w:val="Heading3N"/>
    <w:basedOn w:val="Heading2N"/>
    <w:qFormat/>
    <w:pPr>
      <w:numPr>
        <w:ilvl w:val="2"/>
      </w:numPr>
      <w:ind w:left="2302" w:hanging="360"/>
      <w:outlineLvl w:val="2"/>
    </w:pPr>
    <w:rPr>
      <w:sz w:val="18"/>
    </w:rPr>
  </w:style>
  <w:style w:type="character" w:customStyle="1" w:styleId="Heading2NChar">
    <w:name w:val="Heading2N Char"/>
    <w:basedOn w:val="DefaultParagraphFont"/>
    <w:link w:val="Heading2N"/>
    <w:rPr>
      <w:rFonts w:ascii="Times New Roman" w:hAnsi="Times New Roman" w:cs="Times New Roman"/>
      <w:b/>
      <w:i/>
      <w:sz w:val="20"/>
      <w:szCs w:val="20"/>
    </w:rPr>
  </w:style>
  <w:style w:type="paragraph" w:customStyle="1" w:styleId="Heading4N">
    <w:name w:val="Heading4N"/>
    <w:basedOn w:val="Heading3N"/>
    <w:qFormat/>
    <w:pPr>
      <w:numPr>
        <w:ilvl w:val="3"/>
      </w:numPr>
      <w:ind w:left="3022" w:hanging="360"/>
    </w:pPr>
  </w:style>
  <w:style w:type="paragraph" w:customStyle="1" w:styleId="Body1">
    <w:name w:val="Body1"/>
    <w:basedOn w:val="Normal"/>
    <w:link w:val="Body1Char"/>
    <w:qFormat/>
    <w:pPr>
      <w:spacing w:after="240"/>
      <w:jc w:val="both"/>
    </w:pPr>
    <w:rPr>
      <w:noProof/>
    </w:rPr>
  </w:style>
  <w:style w:type="character" w:customStyle="1" w:styleId="Body1Char">
    <w:name w:val="Body1 Char"/>
    <w:basedOn w:val="DefaultParagraphFont"/>
    <w:link w:val="Body1"/>
    <w:rPr>
      <w:rFonts w:ascii="Times New Roman" w:eastAsia="Times New Roman" w:hAnsi="Times New Roman" w:cs="Times New Roman"/>
      <w:noProof/>
      <w:sz w:val="24"/>
      <w:szCs w:val="20"/>
    </w:rPr>
  </w:style>
  <w:style w:type="character" w:customStyle="1" w:styleId="Corpsdutexte">
    <w:name w:val="Corps du texte_"/>
    <w:basedOn w:val="DefaultParagraphFont"/>
    <w:qFormat/>
    <w:rPr>
      <w:b w:val="0"/>
      <w:bCs w:val="0"/>
      <w:i w:val="0"/>
      <w:iCs w:val="0"/>
      <w:caps w:val="0"/>
      <w:smallCaps w:val="0"/>
      <w:strike w:val="0"/>
      <w:dstrike w:val="0"/>
      <w:sz w:val="22"/>
      <w:szCs w:val="22"/>
      <w:u w:val="none"/>
    </w:rPr>
  </w:style>
  <w:style w:type="paragraph" w:customStyle="1" w:styleId="EvaluationQuestion">
    <w:name w:val="Evaluation Question"/>
    <w:basedOn w:val="Tabletext1"/>
    <w:link w:val="EvaluationQuestionChar"/>
    <w:qFormat/>
    <w:pPr>
      <w:keepNext/>
      <w:keepLines/>
      <w:pBdr>
        <w:top w:val="dotted" w:sz="4" w:space="1" w:color="auto"/>
        <w:left w:val="dotted" w:sz="4" w:space="4" w:color="auto"/>
        <w:bottom w:val="dotted" w:sz="4" w:space="1" w:color="auto"/>
        <w:right w:val="dotted" w:sz="4" w:space="4" w:color="auto"/>
      </w:pBdr>
      <w:shd w:val="clear" w:color="auto" w:fill="F2F2F2" w:themeFill="background1" w:themeFillShade="F2"/>
      <w:spacing w:before="120" w:after="120" w:line="360" w:lineRule="auto"/>
      <w:ind w:left="113" w:right="113"/>
    </w:pPr>
    <w:rPr>
      <w:b/>
    </w:rPr>
  </w:style>
  <w:style w:type="character" w:customStyle="1" w:styleId="EvaluationQuestionChar">
    <w:name w:val="Evaluation Question Char"/>
    <w:basedOn w:val="TabletextChar"/>
    <w:link w:val="EvaluationQuestion"/>
    <w:rPr>
      <w:rFonts w:ascii="Verdana" w:hAnsi="Verdana"/>
      <w:b/>
      <w:sz w:val="17"/>
      <w:szCs w:val="17"/>
      <w:shd w:val="clear" w:color="auto" w:fill="F2F2F2" w:themeFill="background1" w:themeFillShade="F2"/>
    </w:rPr>
  </w:style>
  <w:style w:type="character" w:customStyle="1" w:styleId="notranslate">
    <w:name w:val="notranslate"/>
    <w:basedOn w:val="DefaultParagraphFont"/>
  </w:style>
  <w:style w:type="paragraph" w:customStyle="1" w:styleId="Annex1">
    <w:name w:val="Annex 1"/>
    <w:basedOn w:val="HH1"/>
    <w:link w:val="Annex1Char"/>
    <w:qFormat/>
    <w:pPr>
      <w:numPr>
        <w:numId w:val="53"/>
      </w:numPr>
    </w:pPr>
    <w:rPr>
      <w:bCs/>
      <w:szCs w:val="28"/>
      <w:lang w:eastAsia="nl-BE"/>
    </w:rPr>
  </w:style>
  <w:style w:type="paragraph" w:customStyle="1" w:styleId="Annex2">
    <w:name w:val="Annex 2"/>
    <w:basedOn w:val="Annex1"/>
    <w:link w:val="Annex2Char"/>
    <w:qFormat/>
    <w:pPr>
      <w:numPr>
        <w:numId w:val="0"/>
      </w:numPr>
    </w:pPr>
  </w:style>
  <w:style w:type="character" w:customStyle="1" w:styleId="AnnexHeading1Char">
    <w:name w:val="Annex Heading 1 Char"/>
    <w:basedOn w:val="Heading1Char"/>
    <w:link w:val="AnnexHeading1"/>
    <w:rPr>
      <w:rFonts w:ascii="Verdana" w:eastAsia="Times New Roman" w:hAnsi="Verdana" w:cs="Times New Roman"/>
      <w:b/>
      <w:bCs/>
      <w:smallCaps w:val="0"/>
      <w:sz w:val="24"/>
      <w:szCs w:val="28"/>
      <w:lang w:eastAsia="nl-BE"/>
    </w:rPr>
  </w:style>
  <w:style w:type="character" w:customStyle="1" w:styleId="Annex1Char">
    <w:name w:val="Annex 1 Char"/>
    <w:basedOn w:val="AnnexHeading1Char"/>
    <w:link w:val="Annex1"/>
    <w:rPr>
      <w:rFonts w:ascii="Times New Roman" w:eastAsia="Times New Roman" w:hAnsi="Times New Roman" w:cs="Times New Roman"/>
      <w:b/>
      <w:bCs/>
      <w:smallCaps/>
      <w:color w:val="365F91" w:themeColor="accent1" w:themeShade="BF"/>
      <w:sz w:val="32"/>
      <w:szCs w:val="28"/>
      <w:lang w:eastAsia="nl-BE"/>
    </w:rPr>
  </w:style>
  <w:style w:type="paragraph" w:customStyle="1" w:styleId="Annex3">
    <w:name w:val="Annex 3"/>
    <w:basedOn w:val="FootnoteText"/>
    <w:link w:val="Annex3Char"/>
    <w:qFormat/>
    <w:pPr>
      <w:keepNext/>
      <w:widowControl w:val="0"/>
      <w:suppressLineNumbers/>
      <w:tabs>
        <w:tab w:val="left" w:pos="142"/>
        <w:tab w:val="left" w:pos="4536"/>
        <w:tab w:val="left" w:pos="7938"/>
      </w:tabs>
      <w:suppressAutoHyphens/>
      <w:spacing w:before="60"/>
      <w:ind w:left="0" w:firstLine="0"/>
    </w:pPr>
    <w:rPr>
      <w:rFonts w:ascii="Verdana" w:hAnsi="Verdana"/>
      <w:sz w:val="16"/>
      <w:szCs w:val="16"/>
      <w:lang w:val="en-US"/>
    </w:rPr>
  </w:style>
  <w:style w:type="character" w:customStyle="1" w:styleId="Annex2Char">
    <w:name w:val="Annex 2 Char"/>
    <w:basedOn w:val="Annex1Char"/>
    <w:link w:val="Annex2"/>
    <w:rPr>
      <w:rFonts w:ascii="Times New Roman" w:eastAsia="Times New Roman" w:hAnsi="Times New Roman" w:cs="Times New Roman"/>
      <w:b/>
      <w:bCs/>
      <w:smallCaps/>
      <w:color w:val="365F91" w:themeColor="accent1" w:themeShade="BF"/>
      <w:sz w:val="32"/>
      <w:szCs w:val="28"/>
      <w:lang w:eastAsia="nl-BE"/>
    </w:rPr>
  </w:style>
  <w:style w:type="character" w:customStyle="1" w:styleId="Annex3Char">
    <w:name w:val="Annex 3 Char"/>
    <w:basedOn w:val="DefaultParagraphFont"/>
    <w:link w:val="Annex3"/>
    <w:rPr>
      <w:rFonts w:ascii="Verdana" w:eastAsia="Times New Roman" w:hAnsi="Verdana" w:cs="Times New Roman"/>
      <w:sz w:val="16"/>
      <w:szCs w:val="16"/>
      <w:lang w:val="en-US"/>
    </w:rPr>
  </w:style>
  <w:style w:type="paragraph" w:customStyle="1" w:styleId="Bodytext20">
    <w:name w:val="Body text (2)"/>
    <w:basedOn w:val="Normal"/>
    <w:qFormat/>
    <w:pPr>
      <w:keepNext/>
      <w:widowControl w:val="0"/>
      <w:shd w:val="clear" w:color="auto" w:fill="FFFFFF"/>
      <w:spacing w:before="560" w:after="560" w:line="244" w:lineRule="exact"/>
      <w:ind w:hanging="300"/>
      <w:jc w:val="center"/>
    </w:pPr>
    <w:rPr>
      <w:color w:val="000000"/>
      <w:sz w:val="22"/>
      <w:szCs w:val="22"/>
      <w:lang w:val="fi-FI" w:eastAsia="fi-FI" w:bidi="fi-FI"/>
    </w:rPr>
  </w:style>
  <w:style w:type="character" w:customStyle="1" w:styleId="HeaderorfooterArial23ptBold">
    <w:name w:val="Header or footer + Arial.23 pt.Bold"/>
    <w:basedOn w:val="DefaultParagraphFont"/>
    <w:qFormat/>
    <w:rPr>
      <w:rFonts w:ascii="Arial" w:eastAsia="Arial" w:hAnsi="Arial" w:cs="Arial"/>
      <w:b/>
      <w:bCs/>
      <w:i w:val="0"/>
      <w:iCs w:val="0"/>
      <w:caps w:val="0"/>
      <w:smallCaps w:val="0"/>
      <w:strike w:val="0"/>
      <w:dstrike w:val="0"/>
      <w:color w:val="000000"/>
      <w:spacing w:val="0"/>
      <w:w w:val="100"/>
      <w:sz w:val="46"/>
      <w:szCs w:val="46"/>
      <w:u w:val="none"/>
      <w:lang w:val="fi-FI" w:eastAsia="fi-FI" w:bidi="fi-FI"/>
    </w:rPr>
  </w:style>
  <w:style w:type="character" w:customStyle="1" w:styleId="Headerorfooter">
    <w:name w:val="Header or footer"/>
    <w:basedOn w:val="DefaultParagraphFont"/>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fi-FI" w:eastAsia="fi-FI" w:bidi="fi-F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TitleChar"/>
    <w:link w:val="FooterCoverPage"/>
    <w:rPr>
      <w:rFonts w:ascii="Times New Roman" w:eastAsia="Times New Roman" w:hAnsi="Times New Roman" w:cs="Times New Roman"/>
      <w:b w:val="0"/>
      <w:kern w:val="28"/>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itleChar"/>
    <w:link w:val="FooterSensitivity"/>
    <w:rPr>
      <w:rFonts w:ascii="Times New Roman" w:eastAsia="Times New Roman" w:hAnsi="Times New Roman" w:cs="Times New Roman"/>
      <w:b/>
      <w:kern w:val="28"/>
      <w:sz w:val="32"/>
      <w:szCs w:val="20"/>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itleChar"/>
    <w:link w:val="HeaderCoverPage"/>
    <w:rPr>
      <w:rFonts w:ascii="Times New Roman" w:eastAsia="Times New Roman" w:hAnsi="Times New Roman" w:cs="Times New Roman"/>
      <w:b w:val="0"/>
      <w:kern w:val="28"/>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itleChar"/>
    <w:link w:val="HeaderSensitivity"/>
    <w:rPr>
      <w:rFonts w:ascii="Times New Roman" w:eastAsia="Times New Roman" w:hAnsi="Times New Roman" w:cs="Times New Roman"/>
      <w:b/>
      <w:kern w:val="28"/>
      <w:sz w:val="32"/>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BulletBoxFindings">
    <w:name w:val="BulletBoxFindings"/>
    <w:basedOn w:val="Bullet10"/>
    <w:link w:val="BulletBoxFindingsChar"/>
    <w:qFormat/>
    <w:pPr>
      <w:numPr>
        <w:numId w:val="0"/>
      </w:numPr>
      <w:tabs>
        <w:tab w:val="num" w:pos="1492"/>
      </w:tabs>
      <w:spacing w:after="60"/>
      <w:ind w:left="499" w:hanging="181"/>
      <w:jc w:val="both"/>
    </w:pPr>
    <w:rPr>
      <w:rFonts w:eastAsia="Calibri"/>
      <w:sz w:val="18"/>
    </w:rPr>
  </w:style>
  <w:style w:type="character" w:customStyle="1" w:styleId="BulletBoxFindingsChar">
    <w:name w:val="BulletBoxFindings Char"/>
    <w:basedOn w:val="DefaultParagraphFont"/>
    <w:link w:val="BulletBoxFindings"/>
    <w:rPr>
      <w:rFonts w:ascii="Verdana" w:eastAsia="Calibri" w:hAnsi="Verdana"/>
      <w:sz w:val="18"/>
    </w:rPr>
  </w:style>
  <w:style w:type="paragraph" w:customStyle="1" w:styleId="bullet">
    <w:name w:val="bullet"/>
    <w:basedOn w:val="Bulletpoint1"/>
    <w:link w:val="bulletChar"/>
    <w:qFormat/>
    <w:pPr>
      <w:numPr>
        <w:numId w:val="57"/>
      </w:numPr>
      <w:spacing w:before="0" w:after="0" w:line="240" w:lineRule="auto"/>
      <w:jc w:val="both"/>
    </w:pPr>
    <w:rPr>
      <w:sz w:val="24"/>
      <w:lang w:eastAsia="de-DE"/>
    </w:rPr>
  </w:style>
  <w:style w:type="character" w:customStyle="1" w:styleId="bulletChar">
    <w:name w:val="bullet Char"/>
    <w:basedOn w:val="Bulletpoint1Char"/>
    <w:link w:val="bullet"/>
    <w:rPr>
      <w:rFonts w:ascii="Verdana" w:hAnsi="Verdana"/>
      <w:sz w:val="24"/>
      <w:lang w:eastAsia="de-DE"/>
    </w:rPr>
  </w:style>
  <w:style w:type="paragraph" w:customStyle="1" w:styleId="Pa10">
    <w:name w:val="Pa10"/>
    <w:basedOn w:val="Default"/>
    <w:next w:val="Default"/>
    <w:uiPriority w:val="99"/>
    <w:pPr>
      <w:spacing w:line="181" w:lineRule="atLeast"/>
    </w:pPr>
    <w:rPr>
      <w:rFonts w:ascii="EC Square Sans Pro" w:hAnsi="EC Square Sans Pro" w:cs="Times New Roman"/>
      <w:color w:val="auto"/>
      <w:lang w:val="en-GB"/>
    </w:r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ne1">
    <w:name w:val="none1"/>
    <w:basedOn w:val="TableNormal"/>
    <w:next w:val="TableGrid"/>
    <w:uiPriority w:val="3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Georgia" w:hAnsi="Georgia"/>
        <w:b/>
        <w:color w:val="FFFFFF"/>
        <w:sz w:val="18"/>
      </w:rPr>
      <w:tblPr/>
      <w:tcPr>
        <w:shd w:val="clear" w:color="auto" w:fill="00AEF0"/>
      </w:tcPr>
    </w:tblStylePr>
    <w:tblStylePr w:type="band1Horz">
      <w:rPr>
        <w:sz w:val="18"/>
      </w:rPr>
    </w:tblStylePr>
  </w:style>
  <w:style w:type="character" w:customStyle="1" w:styleId="StyleFootnoteReference9ptGreen">
    <w:name w:val="Style Footnote Reference + 9 pt Green"/>
    <w:basedOn w:val="FootnoteReference"/>
    <w:autoRedefine/>
    <w:qFormat/>
    <w:rPr>
      <w:sz w:val="20"/>
      <w:vertAlign w:val="superscript"/>
    </w:rPr>
  </w:style>
  <w:style w:type="paragraph" w:customStyle="1" w:styleId="normalirstline0cm">
    <w:name w:val="normalirst line:  0 cm"/>
    <w:aliases w:val="Before:  0 pt,After:  0 pt"/>
    <w:basedOn w:val="HH1"/>
    <w:pPr>
      <w:numPr>
        <w:numId w:val="0"/>
      </w:numPr>
      <w:spacing w:before="0" w:after="0"/>
      <w:ind w:left="360"/>
      <w:contextualSpacing w:val="0"/>
    </w:pPr>
  </w:style>
  <w:style w:type="paragraph" w:customStyle="1" w:styleId="Foot-Ref">
    <w:name w:val="Foot-Ref"/>
    <w:basedOn w:val="Normal"/>
    <w:uiPriority w:val="99"/>
    <w:pPr>
      <w:spacing w:after="160" w:line="240" w:lineRule="exact"/>
    </w:pPr>
    <w:rPr>
      <w:sz w:val="20"/>
      <w:vertAlign w:val="superscript"/>
      <w:lang w:eastAsia="en-GB"/>
    </w:rPr>
  </w:style>
  <w:style w:type="paragraph" w:customStyle="1" w:styleId="Bulletpointslist">
    <w:name w:val="Bullet points list"/>
    <w:basedOn w:val="Default"/>
    <w:link w:val="BulletpointslistChar"/>
    <w:qFormat/>
    <w:pPr>
      <w:spacing w:after="120"/>
      <w:jc w:val="both"/>
    </w:pPr>
    <w:rPr>
      <w:rFonts w:ascii="Times New Roman" w:hAnsi="Times New Roman" w:cs="Times New Roman"/>
      <w:szCs w:val="23"/>
      <w:lang w:val="en-GB"/>
    </w:rPr>
  </w:style>
  <w:style w:type="character" w:customStyle="1" w:styleId="BulletpointslistChar">
    <w:name w:val="Bullet points list Char"/>
    <w:basedOn w:val="DefaultParagraphFont"/>
    <w:link w:val="Bulletpointslist"/>
    <w:rPr>
      <w:rFonts w:ascii="Times New Roman" w:eastAsia="Times New Roman" w:hAnsi="Times New Roman" w:cs="Times New Roman"/>
      <w:color w:val="000000"/>
      <w:sz w:val="24"/>
      <w:szCs w:val="23"/>
      <w:lang w:eastAsia="en-GB"/>
    </w:rPr>
  </w:style>
  <w:style w:type="table" w:customStyle="1" w:styleId="TabelaRenova1">
    <w:name w:val="Tabela Renova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
    <w:lsdException w:name="index heading" w:uiPriority="0"/>
    <w:lsdException w:name="caption" w:uiPriority="35" w:qFormat="1"/>
    <w:lsdException w:name="envelope address" w:uiPriority="0"/>
    <w:lsdException w:name="envelope return" w:uiPriority="0"/>
    <w:lsdException w:name="footnote reference" w:qFormat="1"/>
    <w:lsdException w:name="annotation reference" w:uiPriority="9"/>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HTML Address" w:uiPriority="0"/>
    <w:lsdException w:name="Table Elegan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69"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paragraph" w:styleId="Heading1">
    <w:name w:val="heading 1"/>
    <w:aliases w:val="(Section),cover1,intoduction,head1,h1,Heading 1a,H1,1,Header 1,Heading 1 CFMU,Para 1,OS1,Numbered 1 (SBC),Arial 14 Fett,Arial 14 Fett1,Arial 14 Fett2,Heading 1- SBC,l1,Head1,Heading apps,Opening,BMS Heading 1,Heading 0,VIS"/>
    <w:basedOn w:val="Normal"/>
    <w:next w:val="Text1"/>
    <w:link w:val="Heading1Char"/>
    <w:autoRedefine/>
    <w:uiPriority w:val="9"/>
    <w:qFormat/>
    <w:pPr>
      <w:keepNext/>
      <w:pageBreakBefore/>
      <w:spacing w:before="240"/>
      <w:outlineLvl w:val="0"/>
    </w:pPr>
    <w:rPr>
      <w:b/>
      <w:smallCaps/>
      <w:szCs w:val="24"/>
    </w:rPr>
  </w:style>
  <w:style w:type="paragraph" w:styleId="Heading2">
    <w:name w:val="heading 2"/>
    <w:aliases w:val="Contrat 2,Sub Topic,Body text 2,Chapter Number/Appendix Letter,chn,h2,2,Header 2,l2,H2,Punt 2,Normal 2,Subheading,2 headline,Heading 2 CFMU,Para 2,head 2,header2,h21,head 21,header21,h22,head 22,header22,h23,head 23,header23,h211,H21"/>
    <w:basedOn w:val="Normal"/>
    <w:next w:val="Text2"/>
    <w:link w:val="Heading2Char"/>
    <w:uiPriority w:val="9"/>
    <w:qFormat/>
    <w:pPr>
      <w:keepNext/>
      <w:outlineLvl w:val="1"/>
    </w:pPr>
    <w:rPr>
      <w:b/>
    </w:rPr>
  </w:style>
  <w:style w:type="paragraph" w:styleId="Heading3">
    <w:name w:val="heading 3"/>
    <w:aliases w:val="h3,Punt 3,H3,Heading 3 CFMU,Para 3,Punt 3 Char,Arial 12 Fett,1.1.1 Heading 3,Numbered 3 (SBC),Sub-Title,Heading 3 - SBC,V_Head3,Podkapitola2,h3 sub heading,(Alt+3),Table Attribute Heading,Heading C,sub Italic,proj3,proj31,H31,l3"/>
    <w:basedOn w:val="Normal"/>
    <w:next w:val="Text3"/>
    <w:link w:val="Heading3Char"/>
    <w:uiPriority w:val="9"/>
    <w:qFormat/>
    <w:pPr>
      <w:keepNext/>
      <w:outlineLvl w:val="2"/>
    </w:pPr>
    <w:rPr>
      <w:i/>
    </w:rPr>
  </w:style>
  <w:style w:type="paragraph" w:styleId="Heading4">
    <w:name w:val="heading 4"/>
    <w:aliases w:val="Figures Only,Heading 4 CFMU,h4,Header 4,Numbered 4 (SBC),Heading 4 - SBC,dash,Map Title,H4,Topic Major,RFQ3,l4,4,4heading,heading4,heading,Subhead C,FigureHead,Level 2 - a,Sub Sub Paragraph,Titre 4-esis,mh,subhead 3,subhead 31,h41,subhead 32"/>
    <w:basedOn w:val="Normal"/>
    <w:next w:val="Text4"/>
    <w:link w:val="Heading4Char"/>
    <w:uiPriority w:val="9"/>
    <w:qFormat/>
    <w:pPr>
      <w:keepNext/>
      <w:outlineLvl w:val="3"/>
    </w:pPr>
  </w:style>
  <w:style w:type="paragraph" w:styleId="Heading5">
    <w:name w:val="heading 5"/>
    <w:aliases w:val="sub1,Roman list,5,H5,Heading 5 CFMU,Para 5,h5,Header 5,Numbered 5 (SBC),UEH5,Subhead 1"/>
    <w:basedOn w:val="Normal"/>
    <w:next w:val="Normal"/>
    <w:link w:val="Heading5Char"/>
    <w:uiPriority w:val="9"/>
    <w:qFormat/>
    <w:pPr>
      <w:spacing w:before="240" w:after="60"/>
      <w:outlineLvl w:val="4"/>
    </w:pPr>
    <w:rPr>
      <w:rFonts w:ascii="Arial" w:hAnsi="Arial"/>
      <w:sz w:val="22"/>
    </w:rPr>
  </w:style>
  <w:style w:type="paragraph" w:styleId="Heading6">
    <w:name w:val="heading 6"/>
    <w:aliases w:val="sub2,b,Heading 6 CFMU,h6,Header 6,UEH6,Heading 6 CFMU1,Heading 6 CFMU2,Heading 6 CFMU3,Heading 6 CFMU4,Heading 6 CFMU5,Para 6,H6,Legal Level 1.,Heading 6  Appendix Y &amp; Z"/>
    <w:basedOn w:val="Normal"/>
    <w:next w:val="Normal"/>
    <w:link w:val="Heading6Char"/>
    <w:uiPriority w:val="9"/>
    <w:qFormat/>
    <w:pPr>
      <w:spacing w:before="240" w:after="60"/>
      <w:outlineLvl w:val="5"/>
    </w:pPr>
    <w:rPr>
      <w:rFonts w:ascii="Arial" w:hAnsi="Arial"/>
      <w:i/>
      <w:sz w:val="22"/>
    </w:rPr>
  </w:style>
  <w:style w:type="paragraph" w:styleId="Heading7">
    <w:name w:val="heading 7"/>
    <w:aliases w:val="letter list,lettered list,Heading 7 CFMU,h7,Header 7,Legal Level 1.1.,sub3,Heading 7 (do not use),Para 7,H7,TITRE PARTIE"/>
    <w:basedOn w:val="Normal"/>
    <w:next w:val="Normal"/>
    <w:link w:val="Heading7Char"/>
    <w:uiPriority w:val="9"/>
    <w:qFormat/>
    <w:pPr>
      <w:spacing w:before="240" w:after="60"/>
      <w:outlineLvl w:val="6"/>
    </w:pPr>
    <w:rPr>
      <w:rFonts w:ascii="Arial" w:hAnsi="Arial"/>
      <w:sz w:val="20"/>
    </w:rPr>
  </w:style>
  <w:style w:type="paragraph" w:styleId="Heading8">
    <w:name w:val="heading 8"/>
    <w:aliases w:val="sub4,Heading 8 (do not use),Heading 8 CFMU,h8,Header 8,ASAPHeading 8,8,Titolo8,action,action1,action2,action11,action3,action4,action5,action6,action7,action12,action21,action111,action31,action8,action13,action22,action112,action32"/>
    <w:basedOn w:val="Normal"/>
    <w:next w:val="Normal"/>
    <w:link w:val="Heading8Char"/>
    <w:uiPriority w:val="9"/>
    <w:qFormat/>
    <w:pPr>
      <w:spacing w:before="240" w:after="60"/>
      <w:outlineLvl w:val="7"/>
    </w:pPr>
    <w:rPr>
      <w:rFonts w:ascii="Arial" w:hAnsi="Arial"/>
      <w:i/>
      <w:sz w:val="20"/>
    </w:rPr>
  </w:style>
  <w:style w:type="paragraph" w:styleId="Heading9">
    <w:name w:val="heading 9"/>
    <w:aliases w:val="sub5,Heading 9 (do not use),App Heading,Heading 9 CFMU,h9,Header 9,ASAPHeading 9,Appendix,9,Titolo9,progress,progress1,progress2,progress11,progress3,progress4,progress5,progress6,progress7,progress12,progress21,progress111,progress31,App1"/>
    <w:basedOn w:val="Normal"/>
    <w:next w:val="Normal"/>
    <w:link w:val="Heading9Char"/>
    <w:uiPriority w:val="9"/>
    <w:qFormat/>
    <w:p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cover1 Char,intoduction Char,head1 Char,h1 Char,Heading 1a Char,H1 Char,1 Char,Header 1 Char,Heading 1 CFMU Char,Para 1 Char,OS1 Char,Numbered 1 (SBC) Char,Arial 14 Fett Char,Arial 14 Fett1 Char,Arial 14 Fett2 Char,l1 Char"/>
    <w:basedOn w:val="DefaultParagraphFont"/>
    <w:link w:val="Heading1"/>
    <w:uiPriority w:val="9"/>
    <w:rPr>
      <w:rFonts w:ascii="Times New Roman" w:eastAsia="Times New Roman" w:hAnsi="Times New Roman" w:cs="Times New Roman"/>
      <w:b/>
      <w:smallCaps/>
      <w:sz w:val="24"/>
      <w:szCs w:val="24"/>
    </w:rPr>
  </w:style>
  <w:style w:type="character" w:customStyle="1" w:styleId="Heading2Char">
    <w:name w:val="Heading 2 Char"/>
    <w:aliases w:val="Contrat 2 Char,Sub Topic Char,Body text 2 Char,Chapter Number/Appendix Letter Char,chn Char,h2 Char,2 Char,Header 2 Char,l2 Char,H2 Char,Punt 2 Char,Normal 2 Char,Subheading Char,2 headline Char,Heading 2 CFMU Char,Para 2 Char,head 2 Char"/>
    <w:basedOn w:val="DefaultParagraphFont"/>
    <w:link w:val="Heading2"/>
    <w:uiPriority w:val="9"/>
    <w:rPr>
      <w:rFonts w:ascii="Times New Roman" w:eastAsia="Times New Roman" w:hAnsi="Times New Roman" w:cs="Times New Roman"/>
      <w:b/>
      <w:sz w:val="24"/>
      <w:szCs w:val="20"/>
    </w:rPr>
  </w:style>
  <w:style w:type="character" w:customStyle="1" w:styleId="Heading3Char">
    <w:name w:val="Heading 3 Char"/>
    <w:aliases w:val="h3 Char,Punt 3 Char1,H3 Char,Heading 3 CFMU Char,Para 3 Char,Punt 3 Char Char,Arial 12 Fett Char,1.1.1 Heading 3 Char,Numbered 3 (SBC) Char,Sub-Title Char,Heading 3 - SBC Char,V_Head3 Char,Podkapitola2 Char,h3 sub heading Char,proj3 Char"/>
    <w:basedOn w:val="DefaultParagraphFont"/>
    <w:link w:val="Heading3"/>
    <w:uiPriority w:val="9"/>
    <w:rPr>
      <w:rFonts w:ascii="Times New Roman" w:eastAsia="Times New Roman" w:hAnsi="Times New Roman" w:cs="Times New Roman"/>
      <w:i/>
      <w:sz w:val="24"/>
      <w:szCs w:val="20"/>
    </w:rPr>
  </w:style>
  <w:style w:type="character" w:customStyle="1" w:styleId="Heading4Char">
    <w:name w:val="Heading 4 Char"/>
    <w:aliases w:val="Figures Only Char,Heading 4 CFMU Char,h4 Char,Header 4 Char,Numbered 4 (SBC) Char,Heading 4 - SBC Char,dash Char,Map Title Char,H4 Char,Topic Major Char,RFQ3 Char,l4 Char,4 Char,4heading Char,heading4 Char,heading Char,Subhead C Char"/>
    <w:basedOn w:val="DefaultParagraphFont"/>
    <w:link w:val="Heading4"/>
    <w:uiPriority w:val="9"/>
    <w:rPr>
      <w:rFonts w:ascii="Times New Roman" w:eastAsia="Times New Roman" w:hAnsi="Times New Roman" w:cs="Times New Roman"/>
      <w:sz w:val="24"/>
      <w:szCs w:val="20"/>
    </w:rPr>
  </w:style>
  <w:style w:type="character" w:customStyle="1" w:styleId="Heading5Char">
    <w:name w:val="Heading 5 Char"/>
    <w:aliases w:val="sub1 Char,Roman list Char,5 Char,H5 Char,Heading 5 CFMU Char,Para 5 Char,h5 Char,Header 5 Char,Numbered 5 (SBC) Char,UEH5 Char,Subhead 1 Char"/>
    <w:basedOn w:val="DefaultParagraphFont"/>
    <w:link w:val="Heading5"/>
    <w:uiPriority w:val="9"/>
    <w:rPr>
      <w:rFonts w:ascii="Arial" w:eastAsia="Times New Roman" w:hAnsi="Arial" w:cs="Times New Roman"/>
      <w:szCs w:val="20"/>
    </w:rPr>
  </w:style>
  <w:style w:type="character" w:customStyle="1" w:styleId="Heading6Char">
    <w:name w:val="Heading 6 Char"/>
    <w:aliases w:val="sub2 Char,b Char,Heading 6 CFMU Char,h6 Char,Header 6 Char,UEH6 Char,Heading 6 CFMU1 Char,Heading 6 CFMU2 Char,Heading 6 CFMU3 Char,Heading 6 CFMU4 Char,Heading 6 CFMU5 Char,Para 6 Char,H6 Char,Legal Level 1. Char"/>
    <w:basedOn w:val="DefaultParagraphFont"/>
    <w:link w:val="Heading6"/>
    <w:uiPriority w:val="9"/>
    <w:rPr>
      <w:rFonts w:ascii="Arial" w:eastAsia="Times New Roman" w:hAnsi="Arial" w:cs="Times New Roman"/>
      <w:i/>
      <w:szCs w:val="20"/>
    </w:rPr>
  </w:style>
  <w:style w:type="character" w:customStyle="1" w:styleId="Heading7Char">
    <w:name w:val="Heading 7 Char"/>
    <w:aliases w:val="letter list Char,lettered list Char,Heading 7 CFMU Char,h7 Char,Header 7 Char,Legal Level 1.1. Char,sub3 Char,Heading 7 (do not use) Char,Para 7 Char,H7 Char,TITRE PARTIE Char"/>
    <w:basedOn w:val="DefaultParagraphFont"/>
    <w:link w:val="Heading7"/>
    <w:uiPriority w:val="9"/>
    <w:rPr>
      <w:rFonts w:ascii="Arial" w:eastAsia="Times New Roman" w:hAnsi="Arial" w:cs="Times New Roman"/>
      <w:sz w:val="20"/>
      <w:szCs w:val="20"/>
    </w:rPr>
  </w:style>
  <w:style w:type="character" w:customStyle="1" w:styleId="Heading8Char">
    <w:name w:val="Heading 8 Char"/>
    <w:aliases w:val="sub4 Char,Heading 8 (do not use) Char,Heading 8 CFMU Char,h8 Char,Header 8 Char,ASAPHeading 8 Char,8 Char,Titolo8 Char,action Char,action1 Char,action2 Char,action11 Char,action3 Char,action4 Char,action5 Char,action6 Char,action7 Char"/>
    <w:basedOn w:val="DefaultParagraphFont"/>
    <w:link w:val="Heading8"/>
    <w:uiPriority w:val="9"/>
    <w:rPr>
      <w:rFonts w:ascii="Arial" w:eastAsia="Times New Roman" w:hAnsi="Arial" w:cs="Times New Roman"/>
      <w:i/>
      <w:sz w:val="20"/>
      <w:szCs w:val="20"/>
    </w:rPr>
  </w:style>
  <w:style w:type="character" w:customStyle="1" w:styleId="Heading9Char">
    <w:name w:val="Heading 9 Char"/>
    <w:aliases w:val="sub5 Char,Heading 9 (do not use) Char,App Heading Char,Heading 9 CFMU Char,h9 Char,Header 9 Char,ASAPHeading 9 Char,Appendix Char,9 Char,Titolo9 Char,progress Char,progress1 Char,progress2 Char,progress11 Char,progress3 Char,App1 Char"/>
    <w:basedOn w:val="DefaultParagraphFont"/>
    <w:link w:val="Heading9"/>
    <w:uiPriority w:val="9"/>
    <w:rPr>
      <w:rFonts w:ascii="Arial" w:eastAsia="Times New Roman" w:hAnsi="Arial" w:cs="Times New Roman"/>
      <w:i/>
      <w:sz w:val="18"/>
      <w:szCs w:val="20"/>
    </w:rPr>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t??? ?e??t??"/>
    <w:basedOn w:val="Normal"/>
    <w:link w:val="BodyTextChar"/>
    <w:uiPriority w:val="99"/>
    <w:pPr>
      <w:spacing w:after="120"/>
    </w:p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uiPriority w:val="99"/>
    <w:rPr>
      <w:rFonts w:ascii="Times New Roman" w:eastAsia="Times New Roman" w:hAnsi="Times New Roman" w:cs="Times New Roman"/>
      <w:sz w:val="24"/>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Normal"/>
    <w:link w:val="BodyText3Char"/>
    <w:pPr>
      <w:spacing w:after="120"/>
    </w:pPr>
    <w:rPr>
      <w:sz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20"/>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283"/>
    </w:pPr>
    <w:rPr>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rPr>
  </w:style>
  <w:style w:type="paragraph" w:styleId="Caption">
    <w:name w:val="caption"/>
    <w:aliases w:val="Char Char Char,Caption1 Char Char Char Char Char Char Char Char Tegn Tegn Tegn Tegn Tegn,Caption1 Char Char Char Char Char Char Char Char Tegn Tegn Tegn,Caption1 Char Char Char Char Char Char Char Char Tegn Tegn,Ch,Inscription,C,Cha,c"/>
    <w:basedOn w:val="Normal"/>
    <w:next w:val="Normal"/>
    <w:link w:val="CaptionChar"/>
    <w:uiPriority w:val="35"/>
    <w:qFormat/>
    <w:pPr>
      <w:spacing w:before="120" w:after="120"/>
    </w:pPr>
    <w:rPr>
      <w:b/>
    </w:rPr>
  </w:style>
  <w:style w:type="paragraph" w:customStyle="1" w:styleId="ChapterTitle">
    <w:name w:val="ChapterTitle"/>
    <w:basedOn w:val="Normal"/>
    <w:next w:val="SectionTitle"/>
    <w:link w:val="ChapterTitleChar"/>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link w:val="ClosingChar"/>
    <w:pPr>
      <w:ind w:left="4252"/>
    </w:pPr>
  </w:style>
  <w:style w:type="character" w:customStyle="1" w:styleId="ClosingChar">
    <w:name w:val="Closing Char"/>
    <w:basedOn w:val="DefaultParagraphFont"/>
    <w:link w:val="Closing"/>
    <w:rPr>
      <w:rFonts w:ascii="Times New Roman" w:eastAsia="Times New Roman" w:hAnsi="Times New Roman" w:cs="Times New Roman"/>
      <w:sz w:val="24"/>
      <w:szCs w:val="20"/>
    </w:rPr>
  </w:style>
  <w:style w:type="paragraph" w:styleId="CommentText">
    <w:name w:val="annotation text"/>
    <w:basedOn w:val="Normal"/>
    <w:link w:val="CommentTextChar"/>
    <w:uiPriority w:val="9"/>
    <w:rPr>
      <w:sz w:val="20"/>
    </w:rPr>
  </w:style>
  <w:style w:type="character" w:customStyle="1" w:styleId="CommentTextChar">
    <w:name w:val="Comment Text Char"/>
    <w:basedOn w:val="DefaultParagraphFont"/>
    <w:link w:val="CommentText"/>
    <w:uiPriority w:val="9"/>
    <w:rPr>
      <w:rFonts w:ascii="Times New Roman" w:eastAsia="Times New Roman" w:hAnsi="Times New Roman" w:cs="Times New Roman"/>
      <w:sz w:val="20"/>
      <w:szCs w:val="20"/>
    </w:rPr>
  </w:style>
  <w:style w:type="paragraph" w:styleId="Date">
    <w:name w:val="Date"/>
    <w:basedOn w:val="Normal"/>
    <w:next w:val="References"/>
    <w:link w:val="DateChar"/>
    <w:pPr>
      <w:ind w:left="5103" w:right="-567"/>
    </w:pPr>
  </w:style>
  <w:style w:type="character" w:customStyle="1" w:styleId="DateChar">
    <w:name w:val="Date Char"/>
    <w:basedOn w:val="DefaultParagraphFont"/>
    <w:link w:val="Date"/>
    <w:rPr>
      <w:rFonts w:ascii="Times New Roman" w:eastAsia="Times New Roman" w:hAnsi="Times New Roman" w:cs="Times New Roman"/>
      <w:sz w:val="24"/>
      <w:szCs w:val="20"/>
    </w:rPr>
  </w:style>
  <w:style w:type="paragraph" w:customStyle="1" w:styleId="References">
    <w:name w:val="References"/>
    <w:basedOn w:val="Normal"/>
    <w:next w:val="AddressTR"/>
    <w:pPr>
      <w:ind w:left="5103"/>
    </w:pPr>
    <w:rPr>
      <w:sz w:val="20"/>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0"/>
      <w:shd w:val="clear" w:color="auto" w:fill="000080"/>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styleId="EndnoteText">
    <w:name w:val="endnote text"/>
    <w:basedOn w:val="Normal"/>
    <w:link w:val="EndnoteTextChar"/>
    <w:rPr>
      <w:sz w:val="20"/>
    </w:rPr>
  </w:style>
  <w:style w:type="character" w:customStyle="1" w:styleId="EndnoteTextChar">
    <w:name w:val="Endnote Text Char"/>
    <w:basedOn w:val="DefaultParagraphFont"/>
    <w:link w:val="EndnoteText"/>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rPr>
      <w:sz w:val="20"/>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rPr>
      <w:rFonts w:ascii="Arial" w:eastAsia="Times New Roman" w:hAnsi="Arial" w:cs="Times New Roman"/>
      <w:sz w:val="16"/>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iPriority w:val="99"/>
    <w:qFormat/>
    <w:pPr>
      <w:ind w:left="357" w:hanging="357"/>
    </w:pPr>
    <w:rPr>
      <w:sz w:val="18"/>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18"/>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aliases w:val="First Tier Bullet,résumé,UL,List Bullet2,List Bullet Char1 Char,List Bullet Char Char Char,List Bullet Char1 Char Char Char,List Bullet Char Char Char Char Char,List Bullet Char Char1"/>
    <w:basedOn w:val="Normal"/>
    <w:link w:val="ListBulletChar"/>
    <w:pPr>
      <w:numPr>
        <w:numId w:val="3"/>
      </w:numPr>
    </w:pPr>
  </w:style>
  <w:style w:type="paragraph" w:styleId="ListBullet2">
    <w:name w:val="List Bullet 2"/>
    <w:basedOn w:val="Text2"/>
    <w:uiPriority w:val="99"/>
    <w:pPr>
      <w:numPr>
        <w:numId w:val="5"/>
      </w:numPr>
      <w:tabs>
        <w:tab w:val="clear" w:pos="2302"/>
      </w:tabs>
    </w:pPr>
  </w:style>
  <w:style w:type="paragraph" w:styleId="ListBullet3">
    <w:name w:val="List Bullet 3"/>
    <w:basedOn w:val="Text3"/>
    <w:uiPriority w:val="99"/>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rPr>
  </w:style>
  <w:style w:type="paragraph" w:styleId="NormalIndent">
    <w:name w:val="Normal Indent"/>
    <w:basedOn w:val="Normal"/>
    <w:link w:val="NormalIndentChar"/>
    <w:uiPriority w:val="99"/>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Times New Roman" w:eastAsia="Times New Roman" w:hAnsi="Times New Roman" w:cs="Times New Roman"/>
      <w:sz w:val="24"/>
      <w:szCs w:val="20"/>
    </w:r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rPr>
      <w:rFonts w:ascii="Courier New" w:eastAsia="Times New Roman" w:hAnsi="Courier New" w:cs="Times New Roman"/>
      <w:sz w:val="20"/>
      <w:szCs w:val="20"/>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eastAsia="Times New Roman" w:hAnsi="Times New Roman" w:cs="Times New Roman"/>
      <w:sz w:val="24"/>
      <w:szCs w:val="20"/>
    </w:rPr>
  </w:style>
  <w:style w:type="paragraph" w:styleId="Signature">
    <w:name w:val="Signature"/>
    <w:basedOn w:val="Normal"/>
    <w:next w:val="Enclosures"/>
    <w:link w:val="SignatureChar"/>
    <w:pPr>
      <w:tabs>
        <w:tab w:val="left" w:pos="5103"/>
      </w:tabs>
      <w:spacing w:before="1200"/>
      <w:ind w:left="5103"/>
      <w:jc w:val="center"/>
    </w:pPr>
  </w:style>
  <w:style w:type="character" w:customStyle="1" w:styleId="SignatureChar">
    <w:name w:val="Signature Char"/>
    <w:basedOn w:val="DefaultParagraphFont"/>
    <w:link w:val="Signature"/>
    <w:rPr>
      <w:rFonts w:ascii="Times New Roman" w:eastAsia="Times New Roman" w:hAnsi="Times New Roman" w:cs="Times New Roman"/>
      <w:sz w:val="24"/>
      <w:szCs w:val="20"/>
    </w:r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Arial" w:eastAsia="Times New Roman" w:hAnsi="Arial" w:cs="Times New Roman"/>
      <w:sz w:val="24"/>
      <w:szCs w:val="20"/>
    </w:rPr>
  </w:style>
  <w:style w:type="paragraph" w:customStyle="1" w:styleId="SubTitle1">
    <w:name w:val="SubTitle 1"/>
    <w:basedOn w:val="Normal"/>
    <w:next w:val="SubTitle20"/>
    <w:pPr>
      <w:jc w:val="center"/>
    </w:pPr>
    <w:rPr>
      <w:b/>
      <w:sz w:val="40"/>
    </w:rPr>
  </w:style>
  <w:style w:type="paragraph" w:customStyle="1" w:styleId="SubTitle20">
    <w:name w:val="SubTitle 2"/>
    <w:basedOn w:val="Normal"/>
    <w:pPr>
      <w:jc w:val="center"/>
    </w:pPr>
    <w:rPr>
      <w:b/>
      <w:sz w:val="32"/>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next w:val="SubTitle1"/>
    <w:link w:val="TitleChar"/>
    <w:uiPriority w:val="10"/>
    <w:qFormat/>
    <w:pPr>
      <w:spacing w:after="480"/>
      <w:jc w:val="center"/>
    </w:pPr>
    <w:rPr>
      <w:b/>
      <w:kern w:val="28"/>
      <w:sz w:val="48"/>
    </w:rPr>
  </w:style>
  <w:style w:type="character" w:customStyle="1" w:styleId="TitleChar">
    <w:name w:val="Title Char"/>
    <w:basedOn w:val="DefaultParagraphFont"/>
    <w:link w:val="Title"/>
    <w:uiPriority w:val="10"/>
    <w:rPr>
      <w:rFonts w:ascii="Times New Roman" w:eastAsia="Times New Roman" w:hAnsi="Times New Roman" w:cs="Times New Roman"/>
      <w:b/>
      <w:kern w:val="28"/>
      <w:sz w:val="48"/>
      <w:szCs w:val="20"/>
    </w:rPr>
  </w:style>
  <w:style w:type="paragraph" w:styleId="TOAHeading">
    <w:name w:val="toa heading"/>
    <w:basedOn w:val="Normal"/>
    <w:next w:val="Normal"/>
    <w:pPr>
      <w:spacing w:before="120"/>
    </w:pPr>
    <w:rPr>
      <w:rFonts w:ascii="Arial" w:hAnsi="Arial"/>
      <w:b/>
    </w:rPr>
  </w:style>
  <w:style w:type="paragraph" w:styleId="TOC1">
    <w:name w:val="toc 1"/>
    <w:basedOn w:val="Normal"/>
    <w:next w:val="Normal"/>
    <w:link w:val="TOC1Char"/>
    <w:uiPriority w:val="39"/>
    <w:qFormat/>
    <w:rPr>
      <w:bCs/>
      <w:smallCaps/>
      <w:color w:val="365F91" w:themeColor="accent1" w:themeShade="BF"/>
      <w:sz w:val="20"/>
    </w:rPr>
  </w:style>
  <w:style w:type="paragraph" w:styleId="TOC2">
    <w:name w:val="toc 2"/>
    <w:basedOn w:val="Normal"/>
    <w:next w:val="Normal"/>
    <w:uiPriority w:val="39"/>
    <w:qFormat/>
    <w:pPr>
      <w:ind w:left="238"/>
    </w:pPr>
    <w:rPr>
      <w:iCs/>
      <w:sz w:val="20"/>
    </w:rPr>
  </w:style>
  <w:style w:type="paragraph" w:styleId="TOC3">
    <w:name w:val="toc 3"/>
    <w:basedOn w:val="HH3"/>
    <w:next w:val="Normal"/>
    <w:uiPriority w:val="39"/>
    <w:qFormat/>
    <w:pPr>
      <w:keepNext w:val="0"/>
      <w:numPr>
        <w:ilvl w:val="0"/>
        <w:numId w:val="0"/>
      </w:numPr>
      <w:spacing w:before="0" w:after="0"/>
      <w:ind w:left="480"/>
      <w:contextualSpacing w:val="0"/>
      <w:jc w:val="left"/>
      <w:outlineLvl w:val="9"/>
    </w:pPr>
    <w:rPr>
      <w:rFonts w:asciiTheme="minorHAnsi" w:eastAsia="Times New Roman" w:hAnsiTheme="minorHAnsi"/>
      <w:b w:val="0"/>
      <w:i w:val="0"/>
      <w:sz w:val="20"/>
    </w:rPr>
  </w:style>
  <w:style w:type="paragraph" w:styleId="TOC4">
    <w:name w:val="toc 4"/>
    <w:basedOn w:val="Normal"/>
    <w:next w:val="Normal"/>
    <w:uiPriority w:val="39"/>
    <w:pPr>
      <w:ind w:left="720"/>
    </w:pPr>
    <w:rPr>
      <w:rFonts w:asciiTheme="minorHAnsi" w:hAnsiTheme="minorHAnsi"/>
      <w:sz w:val="20"/>
    </w:rPr>
  </w:style>
  <w:style w:type="paragraph" w:styleId="TOC5">
    <w:name w:val="toc 5"/>
    <w:basedOn w:val="Normal"/>
    <w:next w:val="Normal"/>
    <w:uiPriority w:val="39"/>
    <w:pPr>
      <w:ind w:left="960"/>
    </w:pPr>
    <w:rPr>
      <w:rFonts w:asciiTheme="minorHAnsi" w:hAnsiTheme="minorHAnsi"/>
      <w:sz w:val="20"/>
    </w:rPr>
  </w:style>
  <w:style w:type="paragraph" w:styleId="TOC6">
    <w:name w:val="toc 6"/>
    <w:basedOn w:val="Normal"/>
    <w:next w:val="Normal"/>
    <w:autoRedefine/>
    <w:uiPriority w:val="39"/>
    <w:pPr>
      <w:ind w:left="1200"/>
    </w:pPr>
    <w:rPr>
      <w:rFonts w:asciiTheme="minorHAnsi" w:hAnsiTheme="minorHAnsi"/>
      <w:sz w:val="20"/>
    </w:rPr>
  </w:style>
  <w:style w:type="paragraph" w:styleId="TOC7">
    <w:name w:val="toc 7"/>
    <w:basedOn w:val="Normal"/>
    <w:next w:val="Normal"/>
    <w:autoRedefine/>
    <w:uiPriority w:val="39"/>
    <w:pPr>
      <w:ind w:left="1440"/>
    </w:pPr>
    <w:rPr>
      <w:rFonts w:asciiTheme="minorHAnsi" w:hAnsiTheme="minorHAnsi"/>
      <w:sz w:val="20"/>
    </w:rPr>
  </w:style>
  <w:style w:type="paragraph" w:styleId="TOC8">
    <w:name w:val="toc 8"/>
    <w:basedOn w:val="Normal"/>
    <w:next w:val="Normal"/>
    <w:autoRedefine/>
    <w:uiPriority w:val="39"/>
    <w:pPr>
      <w:ind w:left="1680"/>
    </w:pPr>
    <w:rPr>
      <w:rFonts w:asciiTheme="minorHAnsi" w:hAnsiTheme="minorHAnsi"/>
      <w:sz w:val="20"/>
    </w:rPr>
  </w:style>
  <w:style w:type="paragraph" w:styleId="TOC9">
    <w:name w:val="toc 9"/>
    <w:basedOn w:val="Normal"/>
    <w:next w:val="Normal"/>
    <w:autoRedefine/>
    <w:uiPriority w:val="39"/>
    <w:pPr>
      <w:ind w:left="1920"/>
    </w:pPr>
    <w:rPr>
      <w:rFonts w:asciiTheme="minorHAnsi" w:hAnsiTheme="minorHAnsi"/>
      <w:sz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pPr>
  </w:style>
  <w:style w:type="paragraph" w:customStyle="1" w:styleId="Designator">
    <w:name w:val="Designator"/>
    <w:basedOn w:val="Normal"/>
    <w:pPr>
      <w:jc w:val="center"/>
    </w:pPr>
    <w:rPr>
      <w:b/>
      <w:caps/>
      <w:sz w:val="32"/>
    </w:rPr>
  </w:style>
  <w:style w:type="paragraph" w:customStyle="1" w:styleId="Releasable">
    <w:name w:val="Releasable"/>
    <w:basedOn w:val="Normal"/>
    <w:qFormat/>
    <w:pPr>
      <w:jc w:val="center"/>
    </w:pPr>
    <w:rPr>
      <w:b/>
      <w:caps/>
      <w:sz w:val="32"/>
      <w:lang w:val="de-DE"/>
    </w:rPr>
  </w:style>
  <w:style w:type="paragraph" w:customStyle="1" w:styleId="RUE">
    <w:name w:val="RUE"/>
    <w:basedOn w:val="Normal"/>
    <w:pPr>
      <w:jc w:val="center"/>
    </w:pPr>
    <w:rPr>
      <w:b/>
      <w:caps/>
      <w:sz w:val="32"/>
      <w:bdr w:val="single" w:sz="18" w:space="0" w:color="auto"/>
      <w:lang w:val="de-DE"/>
    </w:rPr>
  </w:style>
  <w:style w:type="paragraph" w:customStyle="1" w:styleId="ConfidentialUE">
    <w:name w:val="Confidential UE"/>
    <w:basedOn w:val="Normal"/>
    <w:pPr>
      <w:jc w:val="center"/>
    </w:pPr>
    <w:rPr>
      <w:b/>
      <w:caps/>
      <w:sz w:val="32"/>
      <w:bdr w:val="single" w:sz="18" w:space="0" w:color="auto"/>
    </w:rPr>
  </w:style>
  <w:style w:type="paragraph" w:customStyle="1" w:styleId="SecretUE">
    <w:name w:val="Secret UE"/>
    <w:basedOn w:val="Normal"/>
    <w:pPr>
      <w:jc w:val="center"/>
    </w:pPr>
    <w:rPr>
      <w:b/>
      <w:caps/>
      <w:color w:val="FF0000"/>
      <w:sz w:val="32"/>
      <w:bdr w:val="single" w:sz="18" w:space="0" w:color="FF0000"/>
    </w:rPr>
  </w:style>
  <w:style w:type="paragraph" w:customStyle="1" w:styleId="TrsSecretUE">
    <w:name w:val="Très Secret UE"/>
    <w:basedOn w:val="Normal"/>
    <w:pPr>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pPr>
    <w:rPr>
      <w:rFonts w:eastAsiaTheme="minorHAnsi"/>
      <w:szCs w:val="22"/>
    </w:rPr>
  </w:style>
  <w:style w:type="paragraph" w:customStyle="1" w:styleId="LegalNumPar2">
    <w:name w:val="LegalNumPar2"/>
    <w:basedOn w:val="Normal"/>
    <w:pPr>
      <w:numPr>
        <w:ilvl w:val="1"/>
        <w:numId w:val="18"/>
      </w:numPr>
      <w:spacing w:line="360" w:lineRule="auto"/>
      <w:ind w:left="952" w:hanging="476"/>
    </w:pPr>
    <w:rPr>
      <w:rFonts w:eastAsiaTheme="minorHAnsi"/>
      <w:szCs w:val="22"/>
    </w:rPr>
  </w:style>
  <w:style w:type="paragraph" w:customStyle="1" w:styleId="LegalNumPar3">
    <w:name w:val="LegalNumPar3"/>
    <w:basedOn w:val="Normal"/>
    <w:pPr>
      <w:numPr>
        <w:ilvl w:val="2"/>
        <w:numId w:val="18"/>
      </w:numPr>
      <w:spacing w:line="360" w:lineRule="auto"/>
    </w:pPr>
    <w:rPr>
      <w:rFonts w:eastAsiaTheme="minorHAnsi"/>
      <w:szCs w:val="22"/>
    </w:rPr>
  </w:style>
  <w:style w:type="paragraph" w:customStyle="1" w:styleId="IAToolChapterHeading">
    <w:name w:val="IA Tool Chapter Heading"/>
    <w:basedOn w:val="Normal"/>
    <w:next w:val="Normal"/>
    <w:qFormat/>
    <w:pPr>
      <w:numPr>
        <w:numId w:val="19"/>
      </w:numPr>
      <w:tabs>
        <w:tab w:val="left" w:pos="391"/>
      </w:tabs>
    </w:pPr>
    <w:rPr>
      <w:rFonts w:ascii="Times New Roman Bold" w:hAnsi="Times New Roman Bold"/>
      <w:b/>
      <w:smallCaps/>
      <w:color w:val="548DD4"/>
      <w:sz w:val="28"/>
      <w:szCs w:val="28"/>
    </w:rPr>
  </w:style>
  <w:style w:type="table" w:styleId="TableGrid">
    <w:name w:val="Table Grid"/>
    <w:aliases w:val="Document Table,CV1,HTG,Table Format 1,TabelEcorys,CV table,Deloitte,Table Grid IDEA,Table EY,none,Tabela Renova"/>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ChapterTitle"/>
    <w:next w:val="Normal"/>
    <w:link w:val="AnnexTitleChar"/>
    <w:qFormat/>
  </w:style>
  <w:style w:type="character" w:styleId="Hyperlink">
    <w:name w:val="Hyperlink"/>
    <w:basedOn w:val="DefaultParagraphFont"/>
    <w:uiPriority w:val="99"/>
    <w:unhideWhenUsed/>
    <w:rPr>
      <w:color w:val="0000FF" w:themeColor="hyperlink"/>
      <w:u w:val="single"/>
    </w:rPr>
  </w:style>
  <w:style w:type="character" w:customStyle="1" w:styleId="ChapterTitleChar">
    <w:name w:val="ChapterTitle Char"/>
    <w:basedOn w:val="DefaultParagraphFont"/>
    <w:link w:val="ChapterTitle"/>
    <w:rPr>
      <w:rFonts w:ascii="Times New Roman" w:eastAsia="Times New Roman" w:hAnsi="Times New Roman" w:cs="Times New Roman"/>
      <w:b/>
      <w:sz w:val="32"/>
      <w:szCs w:val="20"/>
    </w:rPr>
  </w:style>
  <w:style w:type="character" w:customStyle="1" w:styleId="AnnexTitleChar">
    <w:name w:val="Annex Title Char"/>
    <w:basedOn w:val="ChapterTitleChar"/>
    <w:link w:val="AnnexTitle"/>
    <w:rPr>
      <w:rFonts w:ascii="Times New Roman" w:eastAsia="Times New Roman" w:hAnsi="Times New Roman" w:cs="Times New Roman"/>
      <w:b/>
      <w:sz w:val="32"/>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SUPERSCharCharCharCharCharCharCharChar"/>
    <w:uiPriority w:val="99"/>
    <w:unhideWhenUsed/>
    <w:qFormat/>
    <w:rPr>
      <w:sz w:val="20"/>
      <w:vertAlign w:val="superscript"/>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CommentReference">
    <w:name w:val="annotation reference"/>
    <w:basedOn w:val="DefaultParagraphFont"/>
    <w:uiPriority w:val="9"/>
    <w:unhideWhenUsed/>
    <w:rPr>
      <w:sz w:val="16"/>
      <w:szCs w:val="16"/>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paragraph" w:styleId="ListParagraph">
    <w:name w:val="List Paragraph"/>
    <w:aliases w:val="List Paragraph2,Numbered List,1st level - Bullet List Paragraph,Lettre d'introduction,Paragraph,Bullet EY,Bullet point 1,Bullets,Paragrafo elenco,Medium Grid 1 - Accent 21"/>
    <w:basedOn w:val="Normal"/>
    <w:uiPriority w:val="34"/>
    <w:qFormat/>
    <w:pPr>
      <w:ind w:left="720"/>
      <w:contextualSpacing/>
    </w:p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Revision">
    <w:name w:val="Revision"/>
    <w:hidden/>
    <w:uiPriority w:val="99"/>
    <w:pPr>
      <w:spacing w:after="0" w:line="240" w:lineRule="auto"/>
    </w:pPr>
    <w:rPr>
      <w:rFonts w:ascii="Times New Roman" w:eastAsia="Times New Roman" w:hAnsi="Times New Roman" w:cs="Times New Roman"/>
      <w:sz w:val="24"/>
      <w:szCs w:val="20"/>
    </w:rPr>
  </w:style>
  <w:style w:type="character" w:customStyle="1" w:styleId="Bulletpoint1Char">
    <w:name w:val="Bullet point1 Char"/>
    <w:basedOn w:val="DefaultParagraphFont"/>
    <w:link w:val="Bulletpoint1"/>
    <w:locked/>
    <w:rPr>
      <w:rFonts w:ascii="Verdana" w:hAnsi="Verdana"/>
    </w:rPr>
  </w:style>
  <w:style w:type="paragraph" w:customStyle="1" w:styleId="Bulletpoint1">
    <w:name w:val="Bullet point1"/>
    <w:basedOn w:val="NormalIndent"/>
    <w:link w:val="Bulletpoint1Char"/>
    <w:qFormat/>
    <w:pPr>
      <w:numPr>
        <w:numId w:val="20"/>
      </w:numPr>
      <w:spacing w:before="60" w:after="120" w:line="276" w:lineRule="auto"/>
    </w:pPr>
    <w:rPr>
      <w:rFonts w:ascii="Verdana" w:eastAsiaTheme="minorHAnsi" w:hAnsi="Verdana" w:cstheme="minorBidi"/>
      <w:sz w:val="22"/>
      <w:szCs w:val="22"/>
    </w:rPr>
  </w:style>
  <w:style w:type="character" w:customStyle="1" w:styleId="BodyChar">
    <w:name w:val="Body Char"/>
    <w:link w:val="Body"/>
    <w:locked/>
    <w:rPr>
      <w:rFonts w:ascii="Verdana" w:hAnsi="Verdana"/>
    </w:rPr>
  </w:style>
  <w:style w:type="paragraph" w:customStyle="1" w:styleId="Body">
    <w:name w:val="Body"/>
    <w:basedOn w:val="Normal"/>
    <w:link w:val="BodyChar"/>
    <w:qFormat/>
    <w:pPr>
      <w:spacing w:before="120" w:after="120" w:line="276" w:lineRule="auto"/>
    </w:pPr>
    <w:rPr>
      <w:rFonts w:ascii="Verdana" w:eastAsiaTheme="minorHAnsi" w:hAnsi="Verdana" w:cstheme="minorBidi"/>
      <w:sz w:val="22"/>
      <w:szCs w:val="22"/>
    </w:rPr>
  </w:style>
  <w:style w:type="paragraph" w:customStyle="1" w:styleId="Bullet10">
    <w:name w:val="Bullet 1"/>
    <w:basedOn w:val="Bulletpoint1"/>
    <w:next w:val="ListBullet2"/>
    <w:qFormat/>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before="60" w:after="160" w:line="240" w:lineRule="exact"/>
    </w:pPr>
    <w:rPr>
      <w:rFonts w:asciiTheme="minorHAnsi" w:eastAsiaTheme="minorHAnsi" w:hAnsiTheme="minorHAnsi" w:cstheme="minorBidi"/>
      <w:sz w:val="20"/>
      <w:szCs w:val="22"/>
      <w:vertAlign w:val="superscript"/>
    </w:rPr>
  </w:style>
  <w:style w:type="paragraph" w:styleId="NormalWeb">
    <w:name w:val="Normal (Web)"/>
    <w:aliases w:val="Normal (Web) Char,Normal (Web) Char1 Char,Normal (Web) Char Char Char,Normal (Web) Char1 Char Char Char,Normal (Web) Char Char1 Char Char Char Char Char,Normal (Web) Char Char Char Char Char Char Char Char Char Char"/>
    <w:basedOn w:val="Normal"/>
    <w:uiPriority w:val="99"/>
    <w:unhideWhenUsed/>
    <w:pPr>
      <w:spacing w:before="100" w:beforeAutospacing="1" w:after="100" w:afterAutospacing="1"/>
    </w:pPr>
    <w:rPr>
      <w:szCs w:val="24"/>
      <w:lang w:eastAsia="en-GB"/>
    </w:rPr>
  </w:style>
  <w:style w:type="character" w:customStyle="1" w:styleId="NormalIndentChar">
    <w:name w:val="Normal Indent Char"/>
    <w:link w:val="NormalIndent"/>
    <w:uiPriority w:val="99"/>
    <w:rPr>
      <w:rFonts w:ascii="Times New Roman" w:eastAsia="Times New Roman" w:hAnsi="Times New Roman" w:cs="Times New Roman"/>
      <w:sz w:val="24"/>
      <w:szCs w:val="20"/>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pPr>
      <w:spacing w:after="160" w:line="240" w:lineRule="exact"/>
      <w:ind w:right="140"/>
    </w:pPr>
    <w:rPr>
      <w:rFonts w:asciiTheme="minorHAnsi" w:eastAsiaTheme="minorHAnsi" w:hAnsiTheme="minorHAnsi" w:cstheme="minorBidi"/>
      <w:sz w:val="22"/>
      <w:szCs w:val="22"/>
      <w:vertAlign w:val="superscript"/>
    </w:rPr>
  </w:style>
  <w:style w:type="paragraph" w:customStyle="1" w:styleId="AnnexHeading1">
    <w:name w:val="Annex Heading 1"/>
    <w:basedOn w:val="Heading1"/>
    <w:next w:val="Normal"/>
    <w:link w:val="AnnexHeading1Char"/>
    <w:qFormat/>
    <w:pPr>
      <w:keepLines/>
      <w:numPr>
        <w:numId w:val="22"/>
      </w:numPr>
      <w:spacing w:before="120"/>
    </w:pPr>
    <w:rPr>
      <w:rFonts w:ascii="Verdana" w:hAnsi="Verdana"/>
      <w:bCs/>
      <w:smallCaps w:val="0"/>
      <w:szCs w:val="28"/>
      <w:lang w:eastAsia="nl-BE"/>
    </w:rPr>
  </w:style>
  <w:style w:type="table" w:customStyle="1" w:styleId="DocumentTable11">
    <w:name w:val="Document Table11"/>
    <w:basedOn w:val="TableNormal"/>
    <w:next w:val="TableGrid"/>
    <w:uiPriority w:val="3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Georgia" w:hAnsi="Georgia"/>
        <w:b/>
        <w:color w:val="FFFFFF"/>
        <w:sz w:val="18"/>
      </w:rPr>
      <w:tblPr/>
      <w:tcPr>
        <w:shd w:val="clear" w:color="auto" w:fill="00AEF0"/>
      </w:tcPr>
    </w:tblStylePr>
    <w:tblStylePr w:type="band1Horz">
      <w:rPr>
        <w:sz w:val="18"/>
      </w:rPr>
    </w:tblStylePr>
  </w:style>
  <w:style w:type="character" w:customStyle="1" w:styleId="CaptionChar">
    <w:name w:val="Caption Char"/>
    <w:aliases w:val="Char Char Char Char,Caption1 Char Char Char Char Char Char Char Char Tegn Tegn Tegn Tegn Tegn Char,Caption1 Char Char Char Char Char Char Char Char Tegn Tegn Tegn Char,Caption1 Char Char Char Char Char Char Char Char Tegn Tegn Char,Ch Char"/>
    <w:basedOn w:val="DefaultParagraphFont"/>
    <w:link w:val="Caption"/>
    <w:uiPriority w:val="35"/>
    <w:rPr>
      <w:rFonts w:ascii="Times New Roman" w:eastAsia="Times New Roman" w:hAnsi="Times New Roman" w:cs="Times New Roman"/>
      <w:b/>
      <w:sz w:val="24"/>
      <w:szCs w:val="20"/>
    </w:rPr>
  </w:style>
  <w:style w:type="character" w:customStyle="1" w:styleId="ListBulletChar">
    <w:name w:val="List Bullet Char"/>
    <w:aliases w:val="First Tier Bullet Char,résumé Char,UL Char,List Bullet2 Char,List Bullet Char1 Char Char,List Bullet Char Char Char Char,List Bullet Char1 Char Char Char Char,List Bullet Char Char Char Char Char Char,List Bullet Char Char1 Char"/>
    <w:basedOn w:val="BodyTextChar"/>
    <w:link w:val="ListBullet"/>
    <w:rPr>
      <w:rFonts w:ascii="Times New Roman" w:eastAsia="Times New Roman" w:hAnsi="Times New Roman" w:cs="Times New Roman"/>
      <w:sz w:val="24"/>
      <w:szCs w:val="20"/>
    </w:rPr>
  </w:style>
  <w:style w:type="paragraph" w:customStyle="1" w:styleId="TOCHeading1">
    <w:name w:val="TOC Heading1"/>
    <w:basedOn w:val="Normal"/>
    <w:next w:val="Normal"/>
    <w:pPr>
      <w:keepNext/>
      <w:spacing w:before="240"/>
      <w:jc w:val="center"/>
    </w:pPr>
    <w:rPr>
      <w:b/>
    </w:rPr>
  </w:style>
  <w:style w:type="paragraph" w:customStyle="1" w:styleId="ZCom">
    <w:name w:val="Z_Com"/>
    <w:basedOn w:val="Normal"/>
    <w:next w:val="ZDGName"/>
    <w:uiPriority w:val="99"/>
    <w:pPr>
      <w:widowControl w:val="0"/>
      <w:autoSpaceDE w:val="0"/>
      <w:autoSpaceDN w:val="0"/>
      <w:ind w:right="85"/>
    </w:pPr>
    <w:rPr>
      <w:rFonts w:ascii="Arial" w:hAnsi="Arial" w:cs="Arial"/>
      <w:szCs w:val="24"/>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table" w:styleId="ColorfulGrid-Accent3">
    <w:name w:val="Colorful Grid Accent 3"/>
    <w:basedOn w:val="TableNormal"/>
    <w:uiPriority w:val="69"/>
    <w:pPr>
      <w:spacing w:after="0" w:line="240" w:lineRule="auto"/>
    </w:pPr>
    <w:rPr>
      <w:rFonts w:ascii="Verdana" w:eastAsia="Times New Roman" w:hAnsi="Verdana" w:cs="Times New Roman"/>
      <w:sz w:val="18"/>
      <w:szCs w:val="20"/>
      <w:lang w:val="nl-BE" w:eastAsia="nl-B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BalloonTextChar1">
    <w:name w:val="Balloon Text Char1"/>
    <w:basedOn w:val="DefaultParagraphFont"/>
    <w:uiPriority w:val="99"/>
    <w:rPr>
      <w:rFonts w:ascii="Tahoma" w:hAnsi="Tahoma" w:cs="Tahoma"/>
      <w:sz w:val="16"/>
      <w:szCs w:val="16"/>
      <w:lang w:val="fr-FR" w:eastAsia="en-US"/>
    </w:rPr>
  </w:style>
  <w:style w:type="paragraph" w:customStyle="1" w:styleId="DocumentTitle">
    <w:name w:val="Document Title"/>
    <w:basedOn w:val="Normal"/>
    <w:link w:val="DocumentTitleChar"/>
    <w:qFormat/>
    <w:pPr>
      <w:jc w:val="center"/>
    </w:pPr>
    <w:rPr>
      <w:rFonts w:ascii="Verdana" w:hAnsi="Verdana"/>
      <w:b/>
      <w:sz w:val="52"/>
    </w:rPr>
  </w:style>
  <w:style w:type="character" w:customStyle="1" w:styleId="DocumentTitleChar">
    <w:name w:val="Document Title Char"/>
    <w:link w:val="DocumentTitle"/>
    <w:rPr>
      <w:rFonts w:ascii="Verdana" w:eastAsia="Times New Roman" w:hAnsi="Verdana" w:cs="Times New Roman"/>
      <w:b/>
      <w:sz w:val="52"/>
      <w:szCs w:val="20"/>
    </w:rPr>
  </w:style>
  <w:style w:type="paragraph" w:customStyle="1" w:styleId="Footerapproval">
    <w:name w:val="Footer approval"/>
    <w:basedOn w:val="Footer"/>
    <w:link w:val="ApprovalfooterChar"/>
    <w:pPr>
      <w:tabs>
        <w:tab w:val="left" w:pos="6804"/>
      </w:tabs>
    </w:pPr>
    <w:rPr>
      <w:rFonts w:ascii="Verdana" w:hAnsi="Verdana"/>
      <w:sz w:val="13"/>
      <w:lang w:val="fr-BE"/>
    </w:rPr>
  </w:style>
  <w:style w:type="character" w:customStyle="1" w:styleId="ApprovalfooterChar">
    <w:name w:val="Approval_footer Char"/>
    <w:basedOn w:val="FooterChar"/>
    <w:link w:val="Footerapproval"/>
    <w:rPr>
      <w:rFonts w:ascii="Verdana" w:eastAsia="Times New Roman" w:hAnsi="Verdana" w:cs="Times New Roman"/>
      <w:sz w:val="13"/>
      <w:szCs w:val="20"/>
      <w:lang w:val="fr-BE"/>
    </w:rPr>
  </w:style>
  <w:style w:type="paragraph" w:customStyle="1" w:styleId="FooterDate">
    <w:name w:val="Footer Date"/>
    <w:basedOn w:val="Footer"/>
    <w:link w:val="FooterDateChar"/>
    <w:uiPriority w:val="99"/>
    <w:pPr>
      <w:tabs>
        <w:tab w:val="right" w:pos="9240"/>
      </w:tabs>
    </w:pPr>
    <w:rPr>
      <w:rFonts w:ascii="Verdana" w:hAnsi="Verdana"/>
      <w:lang w:val="it-IT"/>
    </w:rPr>
  </w:style>
  <w:style w:type="character" w:customStyle="1" w:styleId="FooterDateChar">
    <w:name w:val="Footer Date Char"/>
    <w:link w:val="FooterDate"/>
    <w:uiPriority w:val="99"/>
    <w:rPr>
      <w:rFonts w:ascii="Verdana" w:eastAsia="Times New Roman" w:hAnsi="Verdana" w:cs="Times New Roman"/>
      <w:sz w:val="16"/>
      <w:szCs w:val="20"/>
      <w:lang w:val="it-IT"/>
    </w:rPr>
  </w:style>
  <w:style w:type="paragraph" w:customStyle="1" w:styleId="PageNumber1">
    <w:name w:val="Page Number1"/>
    <w:basedOn w:val="Footer"/>
    <w:link w:val="PagenumberChar"/>
    <w:pPr>
      <w:tabs>
        <w:tab w:val="right" w:pos="9240"/>
      </w:tabs>
      <w:ind w:right="-622"/>
    </w:pPr>
    <w:rPr>
      <w:rFonts w:ascii="Verdana" w:hAnsi="Verdana"/>
      <w:lang w:val="fr-BE"/>
    </w:rPr>
  </w:style>
  <w:style w:type="character" w:customStyle="1" w:styleId="PagenumberChar">
    <w:name w:val="Page number Char"/>
    <w:link w:val="PageNumber1"/>
    <w:rPr>
      <w:rFonts w:ascii="Verdana" w:eastAsia="Times New Roman" w:hAnsi="Verdana" w:cs="Times New Roman"/>
      <w:sz w:val="16"/>
      <w:szCs w:val="20"/>
      <w:lang w:val="fr-BE"/>
    </w:rPr>
  </w:style>
  <w:style w:type="paragraph" w:customStyle="1" w:styleId="DocumentSubtitle">
    <w:name w:val="Document Subtitle"/>
    <w:basedOn w:val="DocumentTitle"/>
    <w:link w:val="DocumentSubtitleChar"/>
    <w:uiPriority w:val="99"/>
    <w:qFormat/>
    <w:rPr>
      <w:b w:val="0"/>
      <w:sz w:val="32"/>
      <w:szCs w:val="36"/>
    </w:rPr>
  </w:style>
  <w:style w:type="character" w:customStyle="1" w:styleId="DocumentSubtitleChar">
    <w:name w:val="Document Subtitle Char"/>
    <w:link w:val="DocumentSubtitle"/>
    <w:uiPriority w:val="99"/>
    <w:rPr>
      <w:rFonts w:ascii="Verdana" w:eastAsia="Times New Roman" w:hAnsi="Verdana" w:cs="Times New Roman"/>
      <w:sz w:val="32"/>
      <w:szCs w:val="36"/>
    </w:rPr>
  </w:style>
  <w:style w:type="paragraph" w:customStyle="1" w:styleId="HeaderTitle">
    <w:name w:val="Header Title"/>
    <w:basedOn w:val="Normal"/>
    <w:link w:val="HeaderTitleChar"/>
    <w:uiPriority w:val="99"/>
    <w:pPr>
      <w:jc w:val="center"/>
    </w:pPr>
    <w:rPr>
      <w:rFonts w:ascii="Verdana" w:hAnsi="Verdana"/>
      <w:b/>
      <w:color w:val="808080"/>
      <w:sz w:val="18"/>
      <w:szCs w:val="18"/>
    </w:rPr>
  </w:style>
  <w:style w:type="character" w:customStyle="1" w:styleId="HeaderTitleChar">
    <w:name w:val="Header Title Char"/>
    <w:link w:val="HeaderTitle"/>
    <w:uiPriority w:val="99"/>
    <w:rPr>
      <w:rFonts w:ascii="Verdana" w:eastAsia="Times New Roman" w:hAnsi="Verdana" w:cs="Times New Roman"/>
      <w:b/>
      <w:color w:val="808080"/>
      <w:sz w:val="18"/>
      <w:szCs w:val="18"/>
    </w:rPr>
  </w:style>
  <w:style w:type="paragraph" w:customStyle="1" w:styleId="Heading">
    <w:name w:val="Heading"/>
    <w:basedOn w:val="TOC1"/>
    <w:link w:val="HeadingChar"/>
    <w:pPr>
      <w:widowControl w:val="0"/>
      <w:autoSpaceDE w:val="0"/>
      <w:autoSpaceDN w:val="0"/>
      <w:adjustRightInd w:val="0"/>
    </w:pPr>
    <w:rPr>
      <w:rFonts w:ascii="Verdana" w:hAnsi="Verdana"/>
      <w:b/>
      <w:u w:val="single"/>
    </w:rPr>
  </w:style>
  <w:style w:type="character" w:customStyle="1" w:styleId="HeadingChar">
    <w:name w:val="Heading Char"/>
    <w:link w:val="Heading"/>
    <w:rPr>
      <w:rFonts w:ascii="Verdana" w:eastAsia="Times New Roman" w:hAnsi="Verdana" w:cs="Times New Roman"/>
      <w:b/>
      <w:bCs/>
      <w:smallCaps/>
      <w:color w:val="365F91" w:themeColor="accent1" w:themeShade="BF"/>
      <w:sz w:val="20"/>
      <w:szCs w:val="20"/>
      <w:u w:val="single"/>
    </w:rPr>
  </w:style>
  <w:style w:type="paragraph" w:customStyle="1" w:styleId="BulletPoint2">
    <w:name w:val="Bullet Point 2"/>
    <w:basedOn w:val="NormalIndent"/>
    <w:link w:val="BulletPoint2Char"/>
    <w:qFormat/>
    <w:pPr>
      <w:numPr>
        <w:numId w:val="23"/>
      </w:numPr>
      <w:ind w:left="521" w:hanging="357"/>
    </w:pPr>
    <w:rPr>
      <w:rFonts w:ascii="Verdana" w:hAnsi="Verdana"/>
      <w:sz w:val="18"/>
      <w:lang w:eastAsia="ar-SA"/>
    </w:rPr>
  </w:style>
  <w:style w:type="character" w:customStyle="1" w:styleId="BulletPoint2Char">
    <w:name w:val="Bullet Point 2 Char"/>
    <w:link w:val="BulletPoint2"/>
    <w:rPr>
      <w:rFonts w:ascii="Verdana" w:eastAsia="Times New Roman" w:hAnsi="Verdana" w:cs="Times New Roman"/>
      <w:sz w:val="18"/>
      <w:szCs w:val="20"/>
      <w:lang w:eastAsia="ar-SA"/>
    </w:rPr>
  </w:style>
  <w:style w:type="paragraph" w:customStyle="1" w:styleId="Heading20">
    <w:name w:val="Heading2"/>
    <w:basedOn w:val="Title2"/>
    <w:link w:val="Heading2Char0"/>
    <w:pPr>
      <w:numPr>
        <w:numId w:val="0"/>
      </w:numPr>
    </w:pPr>
    <w:rPr>
      <w:rFonts w:ascii="Verdana" w:hAnsi="Verdana"/>
      <w:b/>
      <w:i/>
    </w:rPr>
  </w:style>
  <w:style w:type="paragraph" w:customStyle="1" w:styleId="Title2">
    <w:name w:val="Title 2"/>
    <w:basedOn w:val="Normal"/>
    <w:pPr>
      <w:numPr>
        <w:numId w:val="24"/>
      </w:numPr>
    </w:pPr>
  </w:style>
  <w:style w:type="character" w:customStyle="1" w:styleId="Heading2Char0">
    <w:name w:val="Heading2 Char"/>
    <w:link w:val="Heading20"/>
    <w:rPr>
      <w:rFonts w:ascii="Verdana" w:eastAsia="Times New Roman" w:hAnsi="Verdana" w:cs="Times New Roman"/>
      <w:b/>
      <w:i/>
      <w:sz w:val="24"/>
      <w:szCs w:val="20"/>
    </w:rPr>
  </w:style>
  <w:style w:type="table" w:customStyle="1" w:styleId="Style1">
    <w:name w:val="Style1"/>
    <w:basedOn w:val="TableNormal"/>
    <w:pPr>
      <w:spacing w:after="0" w:line="240" w:lineRule="auto"/>
    </w:pPr>
    <w:rPr>
      <w:rFonts w:ascii="Times New Roman" w:eastAsia="Times New Roman" w:hAnsi="Times New Roman" w:cs="Times New Roman"/>
      <w:sz w:val="20"/>
      <w:szCs w:val="20"/>
      <w:lang w:val="nl-BE" w:eastAsia="nl-BE"/>
    </w:rPr>
    <w:tblPr/>
  </w:style>
  <w:style w:type="table" w:styleId="TableElegant">
    <w:name w:val="Table Elegant"/>
    <w:basedOn w:val="TableNormal"/>
    <w:pPr>
      <w:spacing w:after="240" w:line="240" w:lineRule="auto"/>
      <w:jc w:val="both"/>
    </w:pPr>
    <w:rPr>
      <w:rFonts w:ascii="Times New Roman" w:eastAsia="Times New Roman" w:hAnsi="Times New Roman" w:cs="Times New Roman"/>
      <w:sz w:val="20"/>
      <w:szCs w:val="20"/>
      <w:lang w:val="nl-BE"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lang w:val="en-US"/>
    </w:rPr>
  </w:style>
  <w:style w:type="character" w:customStyle="1" w:styleId="FooterDocumentChar">
    <w:name w:val="Footer Document Char"/>
    <w:link w:val="FooterDocument"/>
    <w:rPr>
      <w:rFonts w:ascii="Verdana" w:hAnsi="Verdana"/>
      <w:i/>
      <w:noProof/>
      <w:sz w:val="13"/>
      <w:lang w:val="en-US"/>
    </w:rPr>
  </w:style>
  <w:style w:type="paragraph" w:customStyle="1" w:styleId="Subtitle0">
    <w:name w:val="Subtitle_"/>
    <w:basedOn w:val="TOC2"/>
    <w:link w:val="SubtitleChar0"/>
    <w:uiPriority w:val="99"/>
    <w:qFormat/>
    <w:pPr>
      <w:ind w:left="0"/>
    </w:pPr>
    <w:rPr>
      <w:rFonts w:ascii="Verdana" w:hAnsi="Verdana"/>
      <w:b/>
      <w:i/>
    </w:rPr>
  </w:style>
  <w:style w:type="character" w:customStyle="1" w:styleId="SubtitleChar0">
    <w:name w:val="Subtitle_ Char"/>
    <w:basedOn w:val="Heading2Char0"/>
    <w:link w:val="Subtitle0"/>
    <w:uiPriority w:val="99"/>
    <w:rPr>
      <w:rFonts w:ascii="Verdana" w:eastAsia="Times New Roman" w:hAnsi="Verdana" w:cs="Times New Roman"/>
      <w:b/>
      <w:i/>
      <w:iCs/>
      <w:sz w:val="20"/>
      <w:szCs w:val="20"/>
    </w:rPr>
  </w:style>
  <w:style w:type="paragraph" w:customStyle="1" w:styleId="HeadingBody">
    <w:name w:val="Heading Body"/>
    <w:basedOn w:val="Normal"/>
    <w:link w:val="HeadingBodyChar"/>
    <w:pPr>
      <w:spacing w:after="120"/>
    </w:pPr>
    <w:rPr>
      <w:rFonts w:ascii="Verdana" w:hAnsi="Verdana"/>
      <w:b/>
      <w:sz w:val="20"/>
      <w:szCs w:val="18"/>
    </w:rPr>
  </w:style>
  <w:style w:type="character" w:customStyle="1" w:styleId="HeadingBodyChar">
    <w:name w:val="Heading Body Char"/>
    <w:basedOn w:val="DefaultParagraphFont"/>
    <w:link w:val="HeadingBody"/>
    <w:rPr>
      <w:rFonts w:ascii="Verdana" w:eastAsia="Times New Roman" w:hAnsi="Verdana" w:cs="Times New Roman"/>
      <w:b/>
      <w:sz w:val="20"/>
      <w:szCs w:val="18"/>
    </w:rPr>
  </w:style>
  <w:style w:type="paragraph" w:customStyle="1" w:styleId="Titlepublication">
    <w:name w:val="Title publication"/>
    <w:basedOn w:val="Normal"/>
    <w:link w:val="TitlepublicationChar"/>
    <w:qFormat/>
    <w:pPr>
      <w:jc w:val="center"/>
    </w:pPr>
    <w:rPr>
      <w:rFonts w:ascii="Verdana" w:hAnsi="Verdana"/>
      <w:b/>
      <w:color w:val="FF0000"/>
      <w:sz w:val="52"/>
      <w:szCs w:val="52"/>
    </w:rPr>
  </w:style>
  <w:style w:type="character" w:customStyle="1" w:styleId="TitlepublicationChar">
    <w:name w:val="Title publication Char"/>
    <w:basedOn w:val="DefaultParagraphFont"/>
    <w:link w:val="Titlepublication"/>
    <w:rPr>
      <w:rFonts w:ascii="Verdana" w:eastAsia="Times New Roman" w:hAnsi="Verdana" w:cs="Times New Roman"/>
      <w:b/>
      <w:color w:val="FF0000"/>
      <w:sz w:val="52"/>
      <w:szCs w:val="52"/>
    </w:rPr>
  </w:style>
  <w:style w:type="paragraph" w:customStyle="1" w:styleId="Subtitlepublication">
    <w:name w:val="Subtitle publication"/>
    <w:basedOn w:val="Normal"/>
    <w:link w:val="SubtitlepublicationChar"/>
    <w:qFormat/>
    <w:pPr>
      <w:jc w:val="center"/>
    </w:pPr>
    <w:rPr>
      <w:rFonts w:ascii="Verdana" w:hAnsi="Verdana"/>
      <w:b/>
      <w:i/>
      <w:color w:val="FF0000"/>
      <w:sz w:val="32"/>
    </w:rPr>
  </w:style>
  <w:style w:type="character" w:customStyle="1" w:styleId="SubtitlepublicationChar">
    <w:name w:val="Subtitle publication Char"/>
    <w:basedOn w:val="DefaultParagraphFont"/>
    <w:link w:val="Subtitlepublication"/>
    <w:rPr>
      <w:rFonts w:ascii="Verdana" w:eastAsia="Times New Roman" w:hAnsi="Verdana" w:cs="Times New Roman"/>
      <w:b/>
      <w:i/>
      <w:color w:val="FF0000"/>
      <w:sz w:val="32"/>
      <w:szCs w:val="20"/>
    </w:rPr>
  </w:style>
  <w:style w:type="paragraph" w:customStyle="1" w:styleId="Editorname">
    <w:name w:val="Editor name"/>
    <w:basedOn w:val="Normal"/>
    <w:link w:val="EditornameChar"/>
    <w:qFormat/>
    <w:pPr>
      <w:jc w:val="center"/>
    </w:pPr>
    <w:rPr>
      <w:rFonts w:ascii="Verdana" w:hAnsi="Verdana"/>
      <w:color w:val="FF0000"/>
    </w:rPr>
  </w:style>
  <w:style w:type="character" w:customStyle="1" w:styleId="EditornameChar">
    <w:name w:val="Editor name Char"/>
    <w:basedOn w:val="DefaultParagraphFont"/>
    <w:link w:val="Editorname"/>
    <w:rPr>
      <w:rFonts w:ascii="Verdana" w:eastAsia="Times New Roman" w:hAnsi="Verdana" w:cs="Times New Roman"/>
      <w:color w:val="FF0000"/>
      <w:sz w:val="24"/>
      <w:szCs w:val="20"/>
    </w:rPr>
  </w:style>
  <w:style w:type="paragraph" w:customStyle="1" w:styleId="Backcoversummary">
    <w:name w:val="Backcover_summary"/>
    <w:basedOn w:val="Normal"/>
    <w:link w:val="BackcoversummaryChar"/>
    <w:qFormat/>
    <w:rPr>
      <w:rFonts w:ascii="Verdana" w:hAnsi="Verdana"/>
      <w:color w:val="FF0000"/>
    </w:rPr>
  </w:style>
  <w:style w:type="character" w:customStyle="1" w:styleId="BackcoversummaryChar">
    <w:name w:val="Backcover_summary Char"/>
    <w:basedOn w:val="DefaultParagraphFont"/>
    <w:link w:val="Backcoversummary"/>
    <w:rPr>
      <w:rFonts w:ascii="Verdana" w:eastAsia="Times New Roman" w:hAnsi="Verdana" w:cs="Times New Roman"/>
      <w:color w:val="FF0000"/>
      <w:sz w:val="24"/>
      <w:szCs w:val="20"/>
    </w:rPr>
  </w:style>
  <w:style w:type="paragraph" w:customStyle="1" w:styleId="Backcovercategory">
    <w:name w:val="Backcover_category"/>
    <w:basedOn w:val="Normal"/>
    <w:link w:val="BackcovercategoryChar"/>
    <w:qFormat/>
    <w:pPr>
      <w:ind w:right="28"/>
    </w:pPr>
    <w:rPr>
      <w:rFonts w:ascii="Verdana" w:hAnsi="Verdana"/>
      <w:i/>
      <w:color w:val="FF0000"/>
      <w:sz w:val="18"/>
    </w:rPr>
  </w:style>
  <w:style w:type="character" w:customStyle="1" w:styleId="BackcovercategoryChar">
    <w:name w:val="Backcover_category Char"/>
    <w:basedOn w:val="DefaultParagraphFont"/>
    <w:link w:val="Backcovercategory"/>
    <w:rPr>
      <w:rFonts w:ascii="Verdana" w:eastAsia="Times New Roman" w:hAnsi="Verdana" w:cs="Times New Roman"/>
      <w:i/>
      <w:color w:val="FF0000"/>
      <w:sz w:val="18"/>
      <w:szCs w:val="20"/>
    </w:rPr>
  </w:style>
  <w:style w:type="paragraph" w:customStyle="1" w:styleId="Title1">
    <w:name w:val="Title 1"/>
    <w:basedOn w:val="NormalIndent"/>
    <w:link w:val="Title1Char"/>
    <w:pPr>
      <w:numPr>
        <w:numId w:val="27"/>
      </w:numPr>
      <w:spacing w:before="360" w:after="120"/>
    </w:pPr>
    <w:rPr>
      <w:rFonts w:ascii="Verdana" w:hAnsi="Verdana"/>
      <w:b/>
      <w:caps/>
    </w:rPr>
  </w:style>
  <w:style w:type="character" w:customStyle="1" w:styleId="Title1Char">
    <w:name w:val="Title 1 Char"/>
    <w:basedOn w:val="NormalIndentChar"/>
    <w:link w:val="Title1"/>
    <w:rPr>
      <w:rFonts w:ascii="Verdana" w:eastAsia="Times New Roman" w:hAnsi="Verdana" w:cs="Times New Roman"/>
      <w:b/>
      <w:caps/>
      <w:sz w:val="24"/>
      <w:szCs w:val="20"/>
    </w:rPr>
  </w:style>
  <w:style w:type="paragraph" w:customStyle="1" w:styleId="Subtitle10">
    <w:name w:val="Subtitle 1"/>
    <w:basedOn w:val="Body"/>
    <w:link w:val="Subtitle1Char"/>
    <w:qFormat/>
    <w:rPr>
      <w:b/>
      <w:i/>
    </w:rPr>
  </w:style>
  <w:style w:type="character" w:customStyle="1" w:styleId="Subtitle1Char">
    <w:name w:val="Subtitle 1 Char"/>
    <w:basedOn w:val="BodyChar"/>
    <w:link w:val="Subtitle10"/>
    <w:rPr>
      <w:rFonts w:ascii="Verdana" w:hAnsi="Verdana"/>
      <w:b/>
      <w:i/>
    </w:rPr>
  </w:style>
  <w:style w:type="paragraph" w:customStyle="1" w:styleId="Style2">
    <w:name w:val="Style2"/>
    <w:basedOn w:val="ListBullet"/>
    <w:link w:val="Style2Char"/>
    <w:pPr>
      <w:tabs>
        <w:tab w:val="clear" w:pos="283"/>
        <w:tab w:val="num" w:pos="360"/>
      </w:tabs>
      <w:spacing w:after="120" w:line="276" w:lineRule="auto"/>
      <w:ind w:left="360" w:hanging="360"/>
    </w:pPr>
    <w:rPr>
      <w:rFonts w:ascii="Georgia" w:hAnsi="Georgia"/>
      <w:sz w:val="20"/>
      <w:szCs w:val="24"/>
    </w:rPr>
  </w:style>
  <w:style w:type="character" w:customStyle="1" w:styleId="Style2Char">
    <w:name w:val="Style2 Char"/>
    <w:basedOn w:val="DefaultParagraphFont"/>
    <w:link w:val="Style2"/>
    <w:rPr>
      <w:rFonts w:ascii="Georgia" w:eastAsia="Times New Roman" w:hAnsi="Georgia" w:cs="Times New Roman"/>
      <w:sz w:val="20"/>
      <w:szCs w:val="24"/>
    </w:rPr>
  </w:style>
  <w:style w:type="character" w:styleId="PageNumber">
    <w:name w:val="page number"/>
    <w:basedOn w:val="DefaultParagraphFont"/>
    <w:rPr>
      <w:rFonts w:ascii="Georgia" w:hAnsi="Georgia"/>
      <w:color w:val="333333"/>
      <w:sz w:val="20"/>
      <w:lang w:val="en-GB"/>
    </w:rPr>
  </w:style>
  <w:style w:type="paragraph" w:customStyle="1" w:styleId="ListParagraph1">
    <w:name w:val="List Paragraph1"/>
    <w:aliases w:val="List Paragraph3,Normal bullet 2,List Paragraph11,Bullet list,Normal bullet 21,List Paragraph111,Bullet list1"/>
    <w:basedOn w:val="Normal"/>
    <w:link w:val="ListParagraph1Char"/>
    <w:uiPriority w:val="34"/>
    <w:pPr>
      <w:spacing w:after="120" w:line="276" w:lineRule="auto"/>
    </w:pPr>
    <w:rPr>
      <w:rFonts w:ascii="Arial" w:eastAsia="Calibri" w:hAnsi="Arial"/>
      <w:sz w:val="20"/>
      <w:szCs w:val="22"/>
      <w:lang w:eastAsia="nl-BE"/>
    </w:rPr>
  </w:style>
  <w:style w:type="character" w:customStyle="1" w:styleId="ListParagraph1Char">
    <w:name w:val="List Paragraph1 Char"/>
    <w:aliases w:val="Normal bullet 2 Char,Bullet list Char,List Paragraph Char,Numbered List Char,1st level - Bullet List Paragraph Char,Lettre d'introduction Char,Paragraph Char,Bullet EY Char,Bullets Char,Bullet 1 Char,Paragrafo elenco Char"/>
    <w:link w:val="ListParagraph1"/>
    <w:uiPriority w:val="34"/>
    <w:qFormat/>
    <w:rPr>
      <w:rFonts w:ascii="Arial" w:eastAsia="Calibri" w:hAnsi="Arial" w:cs="Times New Roman"/>
      <w:sz w:val="20"/>
      <w:lang w:eastAsia="nl-BE"/>
    </w:rPr>
  </w:style>
  <w:style w:type="paragraph" w:customStyle="1" w:styleId="footer1">
    <w:name w:val="footer 1"/>
    <w:basedOn w:val="FootnoteText"/>
    <w:link w:val="footer1Char"/>
    <w:pPr>
      <w:keepNext/>
      <w:widowControl w:val="0"/>
      <w:suppressLineNumbers/>
      <w:tabs>
        <w:tab w:val="left" w:pos="142"/>
        <w:tab w:val="left" w:pos="4536"/>
        <w:tab w:val="left" w:pos="7938"/>
      </w:tabs>
      <w:suppressAutoHyphens/>
      <w:spacing w:before="60"/>
      <w:ind w:left="0" w:firstLine="0"/>
    </w:pPr>
    <w:rPr>
      <w:rFonts w:ascii="Georgia" w:eastAsiaTheme="minorHAnsi" w:hAnsi="Georgia" w:cstheme="minorBidi"/>
      <w:color w:val="548DD4" w:themeColor="text2" w:themeTint="99"/>
      <w:sz w:val="16"/>
      <w:szCs w:val="16"/>
      <w:lang w:val="en-US"/>
    </w:rPr>
  </w:style>
  <w:style w:type="character" w:customStyle="1" w:styleId="footer1Char">
    <w:name w:val="footer 1 Char"/>
    <w:basedOn w:val="DefaultParagraphFont"/>
    <w:link w:val="footer1"/>
    <w:rPr>
      <w:rFonts w:ascii="Georgia" w:hAnsi="Georgia"/>
      <w:color w:val="548DD4" w:themeColor="text2" w:themeTint="99"/>
      <w:sz w:val="16"/>
      <w:szCs w:val="16"/>
      <w:lang w:val="en-US"/>
    </w:rPr>
  </w:style>
  <w:style w:type="paragraph" w:customStyle="1" w:styleId="footer10">
    <w:name w:val="footer1"/>
    <w:basedOn w:val="FootnoteText"/>
    <w:link w:val="footer1Char0"/>
    <w:pPr>
      <w:keepNext/>
      <w:widowControl w:val="0"/>
      <w:suppressLineNumbers/>
      <w:tabs>
        <w:tab w:val="left" w:pos="142"/>
        <w:tab w:val="left" w:pos="4536"/>
        <w:tab w:val="left" w:pos="7938"/>
      </w:tabs>
      <w:suppressAutoHyphens/>
      <w:spacing w:before="60"/>
      <w:ind w:left="164" w:hanging="164"/>
    </w:pPr>
    <w:rPr>
      <w:rFonts w:ascii="Georgia" w:eastAsiaTheme="minorHAnsi" w:hAnsi="Georgia" w:cstheme="minorBidi"/>
      <w:color w:val="548DD4" w:themeColor="text2" w:themeTint="99"/>
      <w:sz w:val="16"/>
      <w:szCs w:val="16"/>
      <w:lang w:val="en-US"/>
    </w:rPr>
  </w:style>
  <w:style w:type="character" w:customStyle="1" w:styleId="footer1Char0">
    <w:name w:val="footer1 Char"/>
    <w:basedOn w:val="DefaultParagraphFont"/>
    <w:link w:val="footer10"/>
    <w:rPr>
      <w:rFonts w:ascii="Georgia" w:hAnsi="Georgia"/>
      <w:color w:val="548DD4" w:themeColor="text2" w:themeTint="99"/>
      <w:sz w:val="16"/>
      <w:szCs w:val="16"/>
      <w:lang w:val="en-US"/>
    </w:rPr>
  </w:style>
  <w:style w:type="paragraph" w:customStyle="1" w:styleId="footnote3F">
    <w:name w:val="footnote3F"/>
    <w:basedOn w:val="FootnoteText"/>
    <w:link w:val="footnote3FChar"/>
    <w:pPr>
      <w:keepNext/>
      <w:widowControl w:val="0"/>
      <w:suppressLineNumbers/>
      <w:tabs>
        <w:tab w:val="left" w:pos="142"/>
        <w:tab w:val="left" w:pos="4536"/>
        <w:tab w:val="left" w:pos="7938"/>
      </w:tabs>
      <w:suppressAutoHyphens/>
      <w:spacing w:before="60"/>
      <w:ind w:left="0" w:firstLine="0"/>
    </w:pPr>
    <w:rPr>
      <w:rFonts w:ascii="Georgia" w:hAnsi="Georgia"/>
      <w:color w:val="548DD4" w:themeColor="text2" w:themeTint="99"/>
      <w:sz w:val="16"/>
      <w:szCs w:val="24"/>
      <w:lang w:val="en-US"/>
    </w:rPr>
  </w:style>
  <w:style w:type="character" w:customStyle="1" w:styleId="footnote3FChar">
    <w:name w:val="footnote3F Char"/>
    <w:basedOn w:val="DefaultParagraphFont"/>
    <w:link w:val="footnote3F"/>
    <w:rPr>
      <w:rFonts w:ascii="Georgia" w:eastAsia="Times New Roman" w:hAnsi="Georgia" w:cs="Times New Roman"/>
      <w:color w:val="548DD4" w:themeColor="text2" w:themeTint="99"/>
      <w:sz w:val="16"/>
      <w:szCs w:val="24"/>
      <w:lang w:val="en-US"/>
    </w:rPr>
  </w:style>
  <w:style w:type="paragraph" w:customStyle="1" w:styleId="Bullet3">
    <w:name w:val="Bullet 3"/>
    <w:basedOn w:val="BodyText"/>
    <w:link w:val="Bullet3Char"/>
    <w:pPr>
      <w:numPr>
        <w:numId w:val="25"/>
      </w:numPr>
      <w:spacing w:line="276" w:lineRule="auto"/>
    </w:pPr>
    <w:rPr>
      <w:rFonts w:ascii="Georgia" w:hAnsi="Georgia"/>
      <w:sz w:val="20"/>
      <w:szCs w:val="24"/>
    </w:rPr>
  </w:style>
  <w:style w:type="character" w:customStyle="1" w:styleId="Bullet3Char">
    <w:name w:val="Bullet 3 Char"/>
    <w:basedOn w:val="DefaultParagraphFont"/>
    <w:link w:val="Bullet3"/>
    <w:rPr>
      <w:rFonts w:ascii="Georgia" w:eastAsia="Times New Roman" w:hAnsi="Georgia" w:cs="Times New Roman"/>
      <w:sz w:val="20"/>
      <w:szCs w:val="24"/>
    </w:rPr>
  </w:style>
  <w:style w:type="paragraph" w:customStyle="1" w:styleId="finding">
    <w:name w:val="finding"/>
    <w:basedOn w:val="Normal"/>
    <w:link w:val="findingChar"/>
    <w:autoRedefine/>
    <w:pPr>
      <w:numPr>
        <w:numId w:val="26"/>
      </w:numPr>
      <w:spacing w:before="240" w:line="276" w:lineRule="auto"/>
    </w:pPr>
    <w:rPr>
      <w:rFonts w:ascii="Verdana" w:hAnsi="Verdana"/>
      <w:b/>
      <w:i/>
      <w:sz w:val="20"/>
    </w:rPr>
  </w:style>
  <w:style w:type="character" w:customStyle="1" w:styleId="findingChar">
    <w:name w:val="finding Char"/>
    <w:basedOn w:val="DefaultParagraphFont"/>
    <w:link w:val="finding"/>
    <w:rPr>
      <w:rFonts w:ascii="Verdana" w:eastAsia="Times New Roman" w:hAnsi="Verdana" w:cs="Times New Roman"/>
      <w:b/>
      <w:i/>
      <w:sz w:val="20"/>
      <w:szCs w:val="20"/>
    </w:rPr>
  </w:style>
  <w:style w:type="paragraph" w:customStyle="1" w:styleId="Heading21">
    <w:name w:val="Heading 21"/>
    <w:basedOn w:val="Title1"/>
    <w:link w:val="heading2Char1"/>
    <w:pPr>
      <w:numPr>
        <w:numId w:val="0"/>
      </w:numPr>
      <w:tabs>
        <w:tab w:val="left" w:pos="993"/>
      </w:tabs>
      <w:ind w:left="567" w:hanging="567"/>
      <w:jc w:val="both"/>
    </w:pPr>
    <w:rPr>
      <w:caps w:val="0"/>
    </w:rPr>
  </w:style>
  <w:style w:type="character" w:customStyle="1" w:styleId="heading2Char1">
    <w:name w:val="heading 2 Char"/>
    <w:basedOn w:val="Title1Char"/>
    <w:link w:val="Heading21"/>
    <w:rPr>
      <w:rFonts w:ascii="Verdana" w:eastAsia="Times New Roman" w:hAnsi="Verdana" w:cs="Times New Roman"/>
      <w:b/>
      <w:caps w:val="0"/>
      <w:sz w:val="24"/>
      <w:szCs w:val="20"/>
    </w:rPr>
  </w:style>
  <w:style w:type="paragraph" w:customStyle="1" w:styleId="Caption1">
    <w:name w:val="Caption1"/>
    <w:basedOn w:val="BodyText"/>
    <w:link w:val="captionChar0"/>
    <w:pPr>
      <w:jc w:val="center"/>
    </w:pPr>
    <w:rPr>
      <w:rFonts w:ascii="Verdana" w:hAnsi="Verdana"/>
      <w:color w:val="595959" w:themeColor="text1" w:themeTint="A6"/>
      <w:sz w:val="18"/>
      <w:szCs w:val="18"/>
      <w:lang w:val="en-US"/>
    </w:rPr>
  </w:style>
  <w:style w:type="character" w:customStyle="1" w:styleId="captionChar0">
    <w:name w:val="caption Char"/>
    <w:basedOn w:val="BodyTextChar"/>
    <w:link w:val="Caption1"/>
    <w:rPr>
      <w:rFonts w:ascii="Verdana" w:eastAsia="Times New Roman" w:hAnsi="Verdana" w:cs="Times New Roman"/>
      <w:color w:val="595959" w:themeColor="text1" w:themeTint="A6"/>
      <w:sz w:val="18"/>
      <w:szCs w:val="18"/>
      <w:lang w:val="en-US"/>
    </w:rPr>
  </w:style>
  <w:style w:type="character" w:customStyle="1" w:styleId="Style1Char">
    <w:name w:val="Style1 Char"/>
    <w:basedOn w:val="DefaultParagraphFont"/>
    <w:rPr>
      <w:rFonts w:ascii="Georgia" w:hAnsi="Georgia"/>
      <w:sz w:val="16"/>
      <w:szCs w:val="24"/>
      <w:lang w:eastAsia="en-US"/>
    </w:rPr>
  </w:style>
  <w:style w:type="paragraph" w:customStyle="1" w:styleId="source">
    <w:name w:val="source"/>
    <w:basedOn w:val="Normal"/>
    <w:link w:val="sourceChar"/>
    <w:pPr>
      <w:spacing w:before="120" w:after="120" w:line="276" w:lineRule="auto"/>
      <w:jc w:val="center"/>
    </w:pPr>
    <w:rPr>
      <w:rFonts w:ascii="Georgia" w:hAnsi="Georgia"/>
      <w:sz w:val="16"/>
      <w:szCs w:val="24"/>
    </w:rPr>
  </w:style>
  <w:style w:type="paragraph" w:customStyle="1" w:styleId="Footer11">
    <w:name w:val="Footer1"/>
    <w:basedOn w:val="FootnoteText"/>
    <w:link w:val="Footer1Char1"/>
    <w:pPr>
      <w:keepNext/>
      <w:widowControl w:val="0"/>
      <w:suppressLineNumbers/>
      <w:tabs>
        <w:tab w:val="left" w:pos="142"/>
        <w:tab w:val="left" w:pos="4536"/>
        <w:tab w:val="left" w:pos="7938"/>
      </w:tabs>
      <w:suppressAutoHyphens/>
      <w:spacing w:before="60"/>
      <w:ind w:left="0" w:firstLine="0"/>
    </w:pPr>
    <w:rPr>
      <w:rFonts w:ascii="Georgia" w:eastAsiaTheme="minorHAnsi" w:hAnsi="Georgia" w:cstheme="minorBidi"/>
      <w:color w:val="548DD4" w:themeColor="text2" w:themeTint="99"/>
      <w:sz w:val="16"/>
      <w:szCs w:val="16"/>
      <w:lang w:val="en-US"/>
    </w:rPr>
  </w:style>
  <w:style w:type="character" w:customStyle="1" w:styleId="Footer1Char1">
    <w:name w:val="Footer1 Char"/>
    <w:basedOn w:val="DefaultParagraphFont"/>
    <w:link w:val="Footer11"/>
    <w:rPr>
      <w:rFonts w:ascii="Georgia" w:hAnsi="Georgia"/>
      <w:color w:val="548DD4" w:themeColor="text2" w:themeTint="99"/>
      <w:sz w:val="16"/>
      <w:szCs w:val="16"/>
      <w:lang w:val="en-US"/>
    </w:rPr>
  </w:style>
  <w:style w:type="character" w:styleId="SubtleEmphasis">
    <w:name w:val="Subtle Emphasis"/>
    <w:aliases w:val="Subtitle 2"/>
    <w:basedOn w:val="DefaultParagraphFont"/>
    <w:uiPriority w:val="19"/>
    <w:qFormat/>
    <w:rPr>
      <w:rFonts w:ascii="Verdana" w:hAnsi="Verdana"/>
      <w:i/>
      <w:iCs/>
      <w:color w:val="808080" w:themeColor="text1" w:themeTint="7F"/>
      <w:sz w:val="18"/>
    </w:rPr>
  </w:style>
  <w:style w:type="paragraph" w:customStyle="1" w:styleId="astandard3520normal">
    <w:name w:val="a_standard__35__20_normal"/>
    <w:basedOn w:val="Normal"/>
    <w:pPr>
      <w:spacing w:before="100" w:beforeAutospacing="1" w:after="100" w:afterAutospacing="1"/>
    </w:pPr>
    <w:rPr>
      <w:szCs w:val="24"/>
      <w:lang w:eastAsia="en-GB"/>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val="en-US" w:eastAsia="en-GB"/>
    </w:rPr>
  </w:style>
  <w:style w:type="character" w:customStyle="1" w:styleId="BalloonTextChar7">
    <w:name w:val="Balloon Text Char7"/>
    <w:basedOn w:val="DefaultParagraphFont"/>
    <w:uiPriority w:val="99"/>
    <w:semiHidden/>
    <w:rPr>
      <w:rFonts w:ascii="Lucida Grande" w:hAnsi="Lucida Grande"/>
      <w:sz w:val="18"/>
      <w:szCs w:val="18"/>
    </w:rPr>
  </w:style>
  <w:style w:type="character" w:customStyle="1" w:styleId="BalloonTextChar6">
    <w:name w:val="Balloon Text Char6"/>
    <w:basedOn w:val="DefaultParagraphFont"/>
    <w:uiPriority w:val="99"/>
    <w:semiHidden/>
    <w:rPr>
      <w:rFonts w:ascii="Lucida Grande" w:hAnsi="Lucida Grande"/>
      <w:sz w:val="18"/>
      <w:szCs w:val="18"/>
    </w:rPr>
  </w:style>
  <w:style w:type="character" w:customStyle="1" w:styleId="BalloonTextChar5">
    <w:name w:val="Balloon Text Char5"/>
    <w:basedOn w:val="DefaultParagraphFont"/>
    <w:uiPriority w:val="99"/>
    <w:semiHidden/>
    <w:rPr>
      <w:rFonts w:ascii="Lucida Grande" w:hAnsi="Lucida Grande" w:cs="Lucida Grande"/>
      <w:sz w:val="18"/>
      <w:szCs w:val="18"/>
    </w:rPr>
  </w:style>
  <w:style w:type="character" w:customStyle="1" w:styleId="BalloonTextChar4">
    <w:name w:val="Balloon Text Char4"/>
    <w:basedOn w:val="DefaultParagraphFont"/>
    <w:uiPriority w:val="99"/>
    <w:semiHidden/>
    <w:rPr>
      <w:rFonts w:ascii="Lucida Grande" w:hAnsi="Lucida Grande"/>
      <w:sz w:val="18"/>
      <w:szCs w:val="18"/>
    </w:rPr>
  </w:style>
  <w:style w:type="character" w:customStyle="1" w:styleId="BalloonTextChar3">
    <w:name w:val="Balloon Text Char3"/>
    <w:basedOn w:val="DefaultParagraphFont"/>
    <w:uiPriority w:val="99"/>
    <w:semiHidden/>
    <w:rPr>
      <w:rFonts w:ascii="Lucida Grande" w:hAnsi="Lucida Grande"/>
      <w:sz w:val="18"/>
      <w:szCs w:val="18"/>
    </w:rPr>
  </w:style>
  <w:style w:type="character" w:customStyle="1" w:styleId="BalloonTextChar2">
    <w:name w:val="Balloon Text Char2"/>
    <w:basedOn w:val="DefaultParagraphFont"/>
    <w:uiPriority w:val="99"/>
    <w:semiHidden/>
    <w:rPr>
      <w:rFonts w:ascii="Lucida Grande" w:hAnsi="Lucida Grande"/>
      <w:sz w:val="18"/>
      <w:szCs w:val="18"/>
    </w:rPr>
  </w:style>
  <w:style w:type="paragraph" w:customStyle="1" w:styleId="0Title1">
    <w:name w:val="0 Title 1"/>
    <w:basedOn w:val="BodyText"/>
    <w:next w:val="BodyText"/>
    <w:pPr>
      <w:keepNext/>
      <w:spacing w:before="400" w:after="200" w:line="720" w:lineRule="atLeast"/>
    </w:pPr>
    <w:rPr>
      <w:rFonts w:ascii="Georgia" w:hAnsi="Georgia"/>
      <w:color w:val="000000"/>
      <w:sz w:val="48"/>
      <w:szCs w:val="40"/>
    </w:rPr>
  </w:style>
  <w:style w:type="paragraph" w:customStyle="1" w:styleId="Source0">
    <w:name w:val="Source"/>
    <w:aliases w:val="Quote1,Source1"/>
    <w:basedOn w:val="BodyText"/>
    <w:next w:val="BodyText"/>
    <w:link w:val="SourceChar0"/>
    <w:qFormat/>
    <w:pPr>
      <w:spacing w:line="276" w:lineRule="auto"/>
    </w:pPr>
    <w:rPr>
      <w:rFonts w:ascii="Georgia" w:hAnsi="Georgia"/>
      <w:color w:val="333333"/>
      <w:sz w:val="18"/>
      <w:szCs w:val="24"/>
    </w:rPr>
  </w:style>
  <w:style w:type="paragraph" w:customStyle="1" w:styleId="CoverTitle">
    <w:name w:val="Cover Title"/>
    <w:basedOn w:val="BodyText"/>
    <w:next w:val="BodyText"/>
    <w:pPr>
      <w:widowControl w:val="0"/>
      <w:autoSpaceDE w:val="0"/>
      <w:autoSpaceDN w:val="0"/>
      <w:adjustRightInd w:val="0"/>
      <w:spacing w:before="240" w:after="400" w:line="264" w:lineRule="auto"/>
      <w:textAlignment w:val="center"/>
    </w:pPr>
    <w:rPr>
      <w:rFonts w:ascii="Georgia" w:hAnsi="Georgia"/>
      <w:b/>
      <w:noProof/>
      <w:color w:val="000000"/>
      <w:sz w:val="54"/>
      <w:szCs w:val="44"/>
    </w:rPr>
  </w:style>
  <w:style w:type="paragraph" w:customStyle="1" w:styleId="CoverVersiondate">
    <w:name w:val="Cover Version date"/>
    <w:basedOn w:val="BodyText"/>
    <w:next w:val="BodyText"/>
    <w:pPr>
      <w:widowControl w:val="0"/>
      <w:autoSpaceDE w:val="0"/>
      <w:autoSpaceDN w:val="0"/>
      <w:adjustRightInd w:val="0"/>
      <w:spacing w:before="2000" w:after="240" w:line="288" w:lineRule="auto"/>
      <w:textAlignment w:val="center"/>
    </w:pPr>
    <w:rPr>
      <w:rFonts w:ascii="Georgia" w:hAnsi="Georgia"/>
      <w:b/>
      <w:i/>
      <w:color w:val="000000"/>
      <w:sz w:val="28"/>
      <w:szCs w:val="36"/>
    </w:rPr>
  </w:style>
  <w:style w:type="paragraph" w:customStyle="1" w:styleId="CoverSubtitle">
    <w:name w:val="Cover Subtitle"/>
    <w:basedOn w:val="BodyText"/>
    <w:next w:val="BodyText"/>
    <w:pPr>
      <w:widowControl w:val="0"/>
      <w:autoSpaceDE w:val="0"/>
      <w:autoSpaceDN w:val="0"/>
      <w:adjustRightInd w:val="0"/>
      <w:spacing w:line="264" w:lineRule="auto"/>
      <w:textAlignment w:val="center"/>
    </w:pPr>
    <w:rPr>
      <w:rFonts w:ascii="Georgia" w:hAnsi="Georgia" w:cs="Arial"/>
      <w:color w:val="000000"/>
      <w:sz w:val="28"/>
      <w:szCs w:val="30"/>
    </w:rPr>
  </w:style>
  <w:style w:type="paragraph" w:customStyle="1" w:styleId="Tabletext0">
    <w:name w:val="Table text"/>
    <w:basedOn w:val="BodyText"/>
    <w:pPr>
      <w:spacing w:after="0" w:line="276" w:lineRule="auto"/>
    </w:pPr>
    <w:rPr>
      <w:rFonts w:ascii="Georgia" w:hAnsi="Georgia"/>
      <w:sz w:val="16"/>
      <w:szCs w:val="24"/>
    </w:rPr>
  </w:style>
  <w:style w:type="paragraph" w:customStyle="1" w:styleId="Tablecolumnheader">
    <w:name w:val="Table column header"/>
    <w:basedOn w:val="BodyText"/>
    <w:pPr>
      <w:spacing w:after="0" w:line="276" w:lineRule="auto"/>
      <w:jc w:val="center"/>
    </w:pPr>
    <w:rPr>
      <w:rFonts w:ascii="Georgia" w:hAnsi="Georgia"/>
      <w:b/>
      <w:sz w:val="16"/>
      <w:szCs w:val="24"/>
    </w:rPr>
  </w:style>
  <w:style w:type="paragraph" w:customStyle="1" w:styleId="Tablerowheader">
    <w:name w:val="Table row header"/>
    <w:basedOn w:val="Tablecolumnheader"/>
    <w:pPr>
      <w:jc w:val="left"/>
    </w:pPr>
    <w:rPr>
      <w:color w:val="000000"/>
    </w:rPr>
  </w:style>
  <w:style w:type="paragraph" w:customStyle="1" w:styleId="AppendixHeading1">
    <w:name w:val="Appendix Heading 1"/>
    <w:basedOn w:val="BodyText"/>
    <w:next w:val="BodyText"/>
    <w:pPr>
      <w:numPr>
        <w:numId w:val="28"/>
      </w:numPr>
      <w:spacing w:after="720" w:line="276" w:lineRule="auto"/>
      <w:outlineLvl w:val="0"/>
    </w:pPr>
    <w:rPr>
      <w:rFonts w:ascii="Georgia" w:hAnsi="Georgia"/>
      <w:sz w:val="28"/>
      <w:szCs w:val="24"/>
    </w:rPr>
  </w:style>
  <w:style w:type="paragraph" w:customStyle="1" w:styleId="AppendixHeading2">
    <w:name w:val="Appendix Heading 2"/>
    <w:basedOn w:val="BodyText"/>
    <w:next w:val="BodyText"/>
    <w:pPr>
      <w:keepNext/>
      <w:numPr>
        <w:ilvl w:val="1"/>
        <w:numId w:val="28"/>
      </w:numPr>
      <w:spacing w:line="276" w:lineRule="auto"/>
    </w:pPr>
    <w:rPr>
      <w:rFonts w:ascii="Georgia" w:hAnsi="Georgia"/>
      <w:color w:val="FF0000"/>
      <w:sz w:val="22"/>
      <w:szCs w:val="24"/>
    </w:rPr>
  </w:style>
  <w:style w:type="paragraph" w:customStyle="1" w:styleId="AppendixHeading3">
    <w:name w:val="Appendix Heading 3"/>
    <w:basedOn w:val="BodyText"/>
    <w:next w:val="BodyText"/>
    <w:pPr>
      <w:keepNext/>
      <w:numPr>
        <w:ilvl w:val="2"/>
        <w:numId w:val="28"/>
      </w:numPr>
      <w:spacing w:line="276" w:lineRule="auto"/>
    </w:pPr>
    <w:rPr>
      <w:rFonts w:ascii="Georgia" w:hAnsi="Georgia"/>
      <w:color w:val="333333"/>
      <w:sz w:val="20"/>
      <w:szCs w:val="24"/>
    </w:rPr>
  </w:style>
  <w:style w:type="paragraph" w:styleId="Quote">
    <w:name w:val="Quote"/>
    <w:basedOn w:val="BodyText"/>
    <w:next w:val="BodyText"/>
    <w:link w:val="QuoteChar"/>
    <w:qFormat/>
    <w:pPr>
      <w:spacing w:line="276" w:lineRule="auto"/>
      <w:ind w:left="567" w:right="565"/>
    </w:pPr>
    <w:rPr>
      <w:rFonts w:ascii="Georgia" w:hAnsi="Georgia"/>
      <w:i/>
      <w:sz w:val="20"/>
      <w:szCs w:val="24"/>
      <w:lang w:val="en-US"/>
    </w:rPr>
  </w:style>
  <w:style w:type="character" w:customStyle="1" w:styleId="QuoteChar">
    <w:name w:val="Quote Char"/>
    <w:basedOn w:val="DefaultParagraphFont"/>
    <w:link w:val="Quote"/>
    <w:rPr>
      <w:rFonts w:ascii="Georgia" w:eastAsia="Times New Roman" w:hAnsi="Georgia" w:cs="Times New Roman"/>
      <w:i/>
      <w:sz w:val="20"/>
      <w:szCs w:val="24"/>
      <w:lang w:val="en-US"/>
    </w:rPr>
  </w:style>
  <w:style w:type="paragraph" w:customStyle="1" w:styleId="Notes">
    <w:name w:val="Notes"/>
    <w:basedOn w:val="BodyText"/>
    <w:link w:val="NotesCharChar"/>
    <w:autoRedefine/>
    <w:pPr>
      <w:framePr w:w="2165" w:h="2707" w:hSpace="187" w:wrap="around" w:vAnchor="text" w:hAnchor="page" w:x="9262" w:y="-23" w:anchorLock="1"/>
      <w:pBdr>
        <w:top w:val="single" w:sz="6" w:space="7" w:color="FF0000"/>
      </w:pBdr>
      <w:shd w:val="solid" w:color="FFFFFF" w:fill="FFFFFF"/>
      <w:spacing w:line="276" w:lineRule="auto"/>
    </w:pPr>
    <w:rPr>
      <w:rFonts w:ascii="Georgia" w:hAnsi="Georgia"/>
      <w:color w:val="FF0000"/>
      <w:sz w:val="20"/>
      <w:szCs w:val="24"/>
    </w:rPr>
  </w:style>
  <w:style w:type="character" w:customStyle="1" w:styleId="NotesCharChar">
    <w:name w:val="Notes Char Char"/>
    <w:basedOn w:val="DefaultParagraphFont"/>
    <w:link w:val="Notes"/>
    <w:locked/>
    <w:rPr>
      <w:rFonts w:ascii="Georgia" w:eastAsia="Times New Roman" w:hAnsi="Georgia" w:cs="Times New Roman"/>
      <w:color w:val="FF0000"/>
      <w:sz w:val="20"/>
      <w:szCs w:val="24"/>
      <w:shd w:val="solid" w:color="FFFFFF" w:fill="FFFFFF"/>
    </w:rPr>
  </w:style>
  <w:style w:type="paragraph" w:customStyle="1" w:styleId="Notesleft">
    <w:name w:val="Notes left"/>
    <w:basedOn w:val="Notes"/>
    <w:pPr>
      <w:framePr w:wrap="around" w:x="492" w:y="9"/>
    </w:pPr>
  </w:style>
  <w:style w:type="paragraph" w:customStyle="1" w:styleId="Headline">
    <w:name w:val="Headline"/>
    <w:basedOn w:val="BodyText"/>
    <w:next w:val="BodyText"/>
    <w:pPr>
      <w:spacing w:line="276" w:lineRule="auto"/>
    </w:pPr>
    <w:rPr>
      <w:rFonts w:ascii="Georgia" w:hAnsi="Georgia"/>
      <w:b/>
      <w:szCs w:val="24"/>
    </w:rPr>
  </w:style>
  <w:style w:type="character" w:styleId="EndnoteReference">
    <w:name w:val="endnote reference"/>
    <w:basedOn w:val="DefaultParagraphFont"/>
    <w:rPr>
      <w:vertAlign w:val="superscript"/>
    </w:rPr>
  </w:style>
  <w:style w:type="paragraph" w:customStyle="1" w:styleId="AppendixTitle">
    <w:name w:val="Appendix Title"/>
    <w:basedOn w:val="BodyText"/>
    <w:next w:val="BodyText"/>
    <w:pPr>
      <w:spacing w:after="720" w:line="276" w:lineRule="auto"/>
    </w:pPr>
    <w:rPr>
      <w:rFonts w:ascii="Georgia" w:hAnsi="Georgia"/>
      <w:sz w:val="28"/>
      <w:szCs w:val="24"/>
      <w:lang w:val="en-US"/>
    </w:rPr>
  </w:style>
  <w:style w:type="paragraph" w:customStyle="1" w:styleId="FooterAddressEven">
    <w:name w:val="FooterAddressEven"/>
    <w:basedOn w:val="Footer"/>
    <w:pPr>
      <w:tabs>
        <w:tab w:val="right" w:pos="7655"/>
      </w:tabs>
      <w:spacing w:line="276" w:lineRule="auto"/>
      <w:ind w:left="-1750" w:right="0"/>
    </w:pPr>
    <w:rPr>
      <w:rFonts w:ascii="Georgia" w:hAnsi="Georgia"/>
      <w:color w:val="333333"/>
      <w:sz w:val="18"/>
      <w:szCs w:val="24"/>
    </w:rPr>
  </w:style>
  <w:style w:type="paragraph" w:customStyle="1" w:styleId="TableListBullet">
    <w:name w:val="Table List Bullet"/>
    <w:basedOn w:val="BodyText"/>
    <w:pPr>
      <w:numPr>
        <w:numId w:val="29"/>
      </w:numPr>
      <w:spacing w:after="60" w:line="276" w:lineRule="auto"/>
    </w:pPr>
    <w:rPr>
      <w:rFonts w:ascii="Georgia" w:hAnsi="Georgia"/>
      <w:sz w:val="16"/>
      <w:szCs w:val="24"/>
    </w:rPr>
  </w:style>
  <w:style w:type="paragraph" w:customStyle="1" w:styleId="TableListBullet2">
    <w:name w:val="Table List Bullet 2"/>
    <w:basedOn w:val="BodyText"/>
    <w:pPr>
      <w:numPr>
        <w:numId w:val="30"/>
      </w:numPr>
      <w:spacing w:after="60" w:line="276" w:lineRule="auto"/>
    </w:pPr>
    <w:rPr>
      <w:rFonts w:ascii="Georgia" w:hAnsi="Georgia"/>
      <w:sz w:val="16"/>
      <w:szCs w:val="24"/>
    </w:rPr>
  </w:style>
  <w:style w:type="paragraph" w:customStyle="1" w:styleId="InsertFigure">
    <w:name w:val="InsertFigure"/>
    <w:basedOn w:val="BodyText"/>
    <w:pPr>
      <w:spacing w:line="276" w:lineRule="auto"/>
      <w:jc w:val="center"/>
    </w:pPr>
    <w:rPr>
      <w:rFonts w:ascii="Georgia" w:hAnsi="Georgia"/>
      <w:color w:val="333333"/>
      <w:sz w:val="18"/>
      <w:szCs w:val="24"/>
      <w:lang w:val="de-DE"/>
    </w:rPr>
  </w:style>
  <w:style w:type="paragraph" w:customStyle="1" w:styleId="TableListNumber">
    <w:name w:val="Table List Number"/>
    <w:basedOn w:val="BodyText"/>
    <w:pPr>
      <w:numPr>
        <w:numId w:val="31"/>
      </w:numPr>
      <w:spacing w:after="60" w:line="276" w:lineRule="auto"/>
    </w:pPr>
    <w:rPr>
      <w:rFonts w:ascii="Georgia" w:hAnsi="Georgia"/>
      <w:sz w:val="16"/>
      <w:szCs w:val="24"/>
    </w:rPr>
  </w:style>
  <w:style w:type="paragraph" w:customStyle="1" w:styleId="TableListNumber2">
    <w:name w:val="Table List Number 2"/>
    <w:basedOn w:val="BodyText"/>
    <w:pPr>
      <w:numPr>
        <w:numId w:val="32"/>
      </w:numPr>
      <w:spacing w:after="60" w:line="276" w:lineRule="auto"/>
    </w:pPr>
    <w:rPr>
      <w:rFonts w:ascii="Georgia" w:hAnsi="Georgia"/>
      <w:sz w:val="16"/>
      <w:szCs w:val="24"/>
    </w:rPr>
  </w:style>
  <w:style w:type="paragraph" w:customStyle="1" w:styleId="TOCTitle">
    <w:name w:val="TOC Title"/>
    <w:basedOn w:val="0Title1"/>
    <w:next w:val="BodyText"/>
  </w:style>
  <w:style w:type="table" w:customStyle="1" w:styleId="TechnopolisTable">
    <w:name w:val="Technopolis Table"/>
    <w:basedOn w:val="TableGrid"/>
    <w:pPr>
      <w:jc w:val="both"/>
    </w:pPr>
    <w:rPr>
      <w:rFonts w:ascii="Georgia" w:hAnsi="Georgia"/>
      <w:color w:val="000000"/>
      <w:sz w:val="18"/>
      <w:szCs w:val="24"/>
    </w:rPr>
    <w:tblPr>
      <w:tblStyleRowBandSize w:val="1"/>
    </w:tblPr>
    <w:tcPr>
      <w:shd w:val="clear" w:color="auto" w:fill="F2F2F2"/>
    </w:tcPr>
    <w:tblStylePr w:type="firstRow">
      <w:pPr>
        <w:jc w:val="center"/>
      </w:pPr>
      <w:rPr>
        <w:rFonts w:ascii="Times New Roman" w:hAnsi="Times New Roman" w:cs="Times New Roman"/>
        <w:b/>
        <w:color w:val="333333"/>
        <w:sz w:val="18"/>
      </w:rPr>
      <w:tblPr/>
      <w:tcPr>
        <w:tcBorders>
          <w:bottom w:val="single" w:sz="6" w:space="0" w:color="FF0000"/>
        </w:tcBorders>
        <w:shd w:val="clear" w:color="auto" w:fill="00AEF0"/>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tblStylePr w:type="band1Horz">
      <w:rPr>
        <w:sz w:val="18"/>
      </w:rPr>
    </w:tblStylePr>
  </w:style>
  <w:style w:type="paragraph" w:customStyle="1" w:styleId="SecondBullet">
    <w:name w:val="Second Bullet"/>
    <w:basedOn w:val="Normal"/>
    <w:next w:val="Normal"/>
    <w:autoRedefine/>
    <w:pPr>
      <w:numPr>
        <w:numId w:val="33"/>
      </w:numPr>
      <w:spacing w:line="276" w:lineRule="auto"/>
    </w:pPr>
    <w:rPr>
      <w:rFonts w:ascii="Georgia" w:hAnsi="Georgia"/>
      <w:color w:val="000000"/>
      <w:sz w:val="22"/>
      <w:szCs w:val="24"/>
    </w:rPr>
  </w:style>
  <w:style w:type="character" w:styleId="FollowedHyperlink">
    <w:name w:val="FollowedHyperlink"/>
    <w:basedOn w:val="DefaultParagraphFont"/>
    <w:uiPriority w:val="99"/>
    <w:rPr>
      <w:color w:val="800080" w:themeColor="followedHyperlink"/>
      <w:u w:val="single"/>
    </w:rPr>
  </w:style>
  <w:style w:type="character" w:customStyle="1" w:styleId="apple-converted-space">
    <w:name w:val="apple-converted-space"/>
    <w:basedOn w:val="DefaultParagraphFont"/>
  </w:style>
  <w:style w:type="character" w:styleId="HTMLAcronym">
    <w:name w:val="HTML Acronym"/>
    <w:basedOn w:val="DefaultParagraphFont"/>
    <w:uiPriority w:val="99"/>
  </w:style>
  <w:style w:type="character" w:styleId="Emphasis">
    <w:name w:val="Emphasis"/>
    <w:basedOn w:val="DefaultParagraphFont"/>
    <w:uiPriority w:val="20"/>
    <w:qFormat/>
    <w:rPr>
      <w:i/>
    </w:rPr>
  </w:style>
  <w:style w:type="character" w:customStyle="1" w:styleId="portlet-title-text">
    <w:name w:val="portlet-title-text"/>
    <w:basedOn w:val="DefaultParagraphFont"/>
  </w:style>
  <w:style w:type="table" w:customStyle="1" w:styleId="TableGrid1">
    <w:name w:val="Table Grid1"/>
    <w:basedOn w:val="TableNormal"/>
    <w:next w:val="TableGrid"/>
    <w:uiPriority w:val="59"/>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uces1">
    <w:name w:val="Liste à puces 1"/>
    <w:basedOn w:val="Normal"/>
    <w:link w:val="Listepuces1CharChar"/>
    <w:pPr>
      <w:numPr>
        <w:numId w:val="34"/>
      </w:numPr>
      <w:spacing w:before="120" w:after="120" w:line="240" w:lineRule="exact"/>
    </w:pPr>
    <w:rPr>
      <w:rFonts w:ascii="Arial" w:hAnsi="Arial"/>
      <w:color w:val="000000"/>
      <w:sz w:val="20"/>
      <w:szCs w:val="18"/>
    </w:rPr>
  </w:style>
  <w:style w:type="character" w:customStyle="1" w:styleId="Listepuces1CharChar">
    <w:name w:val="Liste à puces 1 Char Char"/>
    <w:basedOn w:val="DefaultParagraphFont"/>
    <w:link w:val="Listepuces1"/>
    <w:rPr>
      <w:rFonts w:ascii="Arial" w:eastAsia="Times New Roman" w:hAnsi="Arial" w:cs="Times New Roman"/>
      <w:color w:val="000000"/>
      <w:sz w:val="20"/>
      <w:szCs w:val="18"/>
    </w:rPr>
  </w:style>
  <w:style w:type="paragraph" w:customStyle="1" w:styleId="Tableboxtext">
    <w:name w:val="Table/box text"/>
    <w:basedOn w:val="Normal"/>
    <w:link w:val="TableboxtextChar"/>
    <w:uiPriority w:val="99"/>
    <w:pPr>
      <w:spacing w:after="120" w:line="240" w:lineRule="exact"/>
    </w:pPr>
    <w:rPr>
      <w:rFonts w:ascii="Georgia" w:eastAsia="Calibri" w:hAnsi="Georgia"/>
      <w:sz w:val="18"/>
      <w:szCs w:val="22"/>
    </w:rPr>
  </w:style>
  <w:style w:type="paragraph" w:customStyle="1" w:styleId="Style4">
    <w:name w:val="Style4"/>
    <w:basedOn w:val="Heading6"/>
    <w:link w:val="Style4Char"/>
    <w:qFormat/>
    <w:pPr>
      <w:keepNext/>
      <w:spacing w:after="120" w:line="240" w:lineRule="atLeast"/>
      <w:ind w:left="1800" w:hanging="360"/>
    </w:pPr>
    <w:rPr>
      <w:rFonts w:ascii="Verdana" w:hAnsi="Verdana"/>
      <w:bCs/>
      <w:iCs/>
      <w:noProof/>
      <w:sz w:val="20"/>
      <w:lang w:eastAsia="nl-BE"/>
    </w:rPr>
  </w:style>
  <w:style w:type="character" w:customStyle="1" w:styleId="ListParagraph1Char1">
    <w:name w:val="List Paragraph1 Char1"/>
    <w:aliases w:val="Normal bullet 2 Char1,Bullet list Char1,List Paragraph11 Char,Normal bullet 21 Char,List Paragraph111 Char,Bullet list1 Char"/>
    <w:uiPriority w:val="99"/>
    <w:rPr>
      <w:rFonts w:ascii="EYInterstate Light" w:hAnsi="EYInterstate Light"/>
      <w:szCs w:val="22"/>
      <w:lang w:val="en-GB" w:eastAsia="en-US"/>
    </w:rPr>
  </w:style>
  <w:style w:type="paragraph" w:customStyle="1" w:styleId="Style3">
    <w:name w:val="Style3"/>
    <w:basedOn w:val="ListBullet"/>
    <w:link w:val="Style3Char"/>
    <w:qFormat/>
    <w:pPr>
      <w:numPr>
        <w:numId w:val="0"/>
      </w:numPr>
      <w:tabs>
        <w:tab w:val="num" w:pos="1191"/>
      </w:tabs>
      <w:spacing w:after="120" w:line="276" w:lineRule="auto"/>
      <w:ind w:left="1191" w:hanging="709"/>
    </w:pPr>
    <w:rPr>
      <w:rFonts w:ascii="Georgia" w:hAnsi="Georgia"/>
      <w:szCs w:val="24"/>
    </w:rPr>
  </w:style>
  <w:style w:type="character" w:customStyle="1" w:styleId="Style3Char">
    <w:name w:val="Style3 Char"/>
    <w:basedOn w:val="ListBulletChar"/>
    <w:link w:val="Style3"/>
    <w:rPr>
      <w:rFonts w:ascii="Georgia" w:eastAsia="Times New Roman" w:hAnsi="Georgia" w:cs="Times New Roman"/>
      <w:sz w:val="24"/>
      <w:szCs w:val="24"/>
    </w:rPr>
  </w:style>
  <w:style w:type="paragraph" w:customStyle="1" w:styleId="Style6">
    <w:name w:val="Style6"/>
    <w:basedOn w:val="TOC1"/>
    <w:link w:val="Style6Char"/>
    <w:uiPriority w:val="99"/>
    <w:qFormat/>
    <w:pPr>
      <w:numPr>
        <w:numId w:val="35"/>
      </w:numPr>
      <w:tabs>
        <w:tab w:val="left" w:pos="442"/>
      </w:tabs>
      <w:overflowPunct w:val="0"/>
      <w:autoSpaceDE w:val="0"/>
      <w:autoSpaceDN w:val="0"/>
      <w:adjustRightInd w:val="0"/>
      <w:spacing w:line="260" w:lineRule="atLeast"/>
      <w:textAlignment w:val="baseline"/>
    </w:pPr>
    <w:rPr>
      <w:rFonts w:ascii="EYInterstate Light" w:hAnsi="EYInterstate Light"/>
      <w:bCs w:val="0"/>
      <w:caps/>
      <w:noProof/>
      <w:szCs w:val="18"/>
      <w:lang w:eastAsia="nl-BE"/>
    </w:rPr>
  </w:style>
  <w:style w:type="character" w:customStyle="1" w:styleId="Style6Char">
    <w:name w:val="Style6 Char"/>
    <w:basedOn w:val="DefaultParagraphFont"/>
    <w:link w:val="Style6"/>
    <w:uiPriority w:val="99"/>
    <w:rPr>
      <w:rFonts w:ascii="EYInterstate Light" w:eastAsia="Times New Roman" w:hAnsi="EYInterstate Light" w:cs="Times New Roman"/>
      <w:caps/>
      <w:smallCaps/>
      <w:noProof/>
      <w:color w:val="365F91" w:themeColor="accent1" w:themeShade="BF"/>
      <w:sz w:val="20"/>
      <w:szCs w:val="18"/>
      <w:lang w:eastAsia="nl-BE"/>
    </w:rPr>
  </w:style>
  <w:style w:type="paragraph" w:customStyle="1" w:styleId="Caption11">
    <w:name w:val="Caption11"/>
    <w:basedOn w:val="Tableboxtext"/>
    <w:pPr>
      <w:jc w:val="center"/>
    </w:pPr>
    <w:rPr>
      <w:sz w:val="16"/>
    </w:rPr>
  </w:style>
  <w:style w:type="character" w:customStyle="1" w:styleId="hps">
    <w:name w:val="hps"/>
    <w:basedOn w:val="DefaultParagraphFont"/>
  </w:style>
  <w:style w:type="character" w:customStyle="1" w:styleId="highlightedsearchterm">
    <w:name w:val="highlightedsearchterm"/>
    <w:basedOn w:val="DefaultParagraphFont"/>
  </w:style>
  <w:style w:type="character" w:customStyle="1" w:styleId="link-external">
    <w:name w:val="link-external"/>
    <w:basedOn w:val="DefaultParagraphFont"/>
  </w:style>
  <w:style w:type="table" w:customStyle="1" w:styleId="LightList-Accent31">
    <w:name w:val="Light List - Accent 31"/>
    <w:basedOn w:val="TableNormal"/>
    <w:next w:val="LightList-Accent3"/>
    <w:uiPriority w:val="61"/>
    <w:pPr>
      <w:spacing w:after="0" w:line="240" w:lineRule="auto"/>
    </w:pPr>
    <w:rPr>
      <w:rFonts w:ascii="EYInterstate Light" w:eastAsia="EYInterstate Light" w:hAnsi="EYInterstate Light" w:cs="Times New Roman"/>
      <w:lang w:val="it-IT"/>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LightList-Accent3">
    <w:name w:val="Light List Accent 3"/>
    <w:basedOn w:val="TableNormal"/>
    <w:uiPriority w:val="61"/>
    <w:pPr>
      <w:spacing w:after="0" w:line="240" w:lineRule="auto"/>
    </w:pPr>
    <w:rPr>
      <w:rFonts w:ascii="Times New Roman" w:eastAsia="Times New Roman" w:hAnsi="Times New Roman" w:cs="Times New Roman"/>
      <w:sz w:val="24"/>
      <w:szCs w:val="24"/>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Style12">
    <w:name w:val="Style12"/>
    <w:basedOn w:val="ListParagraph1"/>
    <w:pPr>
      <w:ind w:left="1068" w:hanging="360"/>
    </w:pPr>
  </w:style>
  <w:style w:type="paragraph" w:customStyle="1" w:styleId="000">
    <w:name w:val="000"/>
    <w:aliases w:val="standaard,standaard uitvullen,standaard (alt-s),stan084daard,standaard 04...,standaard 155,standaard uitv042ullen,sta550ndaard,standaard 040,standaard81,0001,standaard 042,standaard1,standaard uitvullen1,standaard (alt-s)1,stan084daard1,standaard811"/>
    <w:basedOn w:val="Normal"/>
    <w:link w:val="000Char"/>
    <w:pPr>
      <w:overflowPunct w:val="0"/>
      <w:autoSpaceDE w:val="0"/>
      <w:autoSpaceDN w:val="0"/>
      <w:adjustRightInd w:val="0"/>
      <w:spacing w:line="260" w:lineRule="atLeast"/>
      <w:textAlignment w:val="baseline"/>
    </w:pPr>
    <w:rPr>
      <w:rFonts w:ascii="Arial" w:hAnsi="Arial"/>
      <w:sz w:val="18"/>
      <w:lang w:val="nl-NL" w:eastAsia="nl-BE"/>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tabelbullet">
    <w:name w:val="tabel bullet"/>
    <w:basedOn w:val="Style2"/>
    <w:link w:val="tabelbulletChar"/>
    <w:autoRedefine/>
    <w:pPr>
      <w:numPr>
        <w:numId w:val="0"/>
      </w:numPr>
      <w:tabs>
        <w:tab w:val="num" w:pos="1191"/>
      </w:tabs>
      <w:spacing w:after="0"/>
      <w:ind w:left="1191" w:hanging="709"/>
    </w:pPr>
    <w:rPr>
      <w:color w:val="333333"/>
      <w:sz w:val="18"/>
    </w:rPr>
  </w:style>
  <w:style w:type="character" w:customStyle="1" w:styleId="tabelbulletChar">
    <w:name w:val="tabel bullet Char"/>
    <w:basedOn w:val="Style2Char"/>
    <w:link w:val="tabelbullet"/>
    <w:rPr>
      <w:rFonts w:ascii="Georgia" w:eastAsia="Times New Roman" w:hAnsi="Georgia" w:cs="Times New Roman"/>
      <w:color w:val="333333"/>
      <w:sz w:val="18"/>
      <w:szCs w:val="24"/>
    </w:rPr>
  </w:style>
  <w:style w:type="paragraph" w:customStyle="1" w:styleId="1tabletbullet">
    <w:name w:val="1. tablet bullet"/>
    <w:basedOn w:val="tabelbullet"/>
    <w:link w:val="1tabletbulletChar"/>
    <w:pPr>
      <w:keepNext/>
      <w:numPr>
        <w:numId w:val="36"/>
      </w:numPr>
      <w:spacing w:before="120"/>
      <w:ind w:left="714" w:hanging="357"/>
    </w:pPr>
    <w:rPr>
      <w:b/>
    </w:rPr>
  </w:style>
  <w:style w:type="character" w:customStyle="1" w:styleId="1tabletbulletChar">
    <w:name w:val="1. tablet bullet Char"/>
    <w:basedOn w:val="tabelbulletChar"/>
    <w:link w:val="1tabletbullet"/>
    <w:rPr>
      <w:rFonts w:ascii="Georgia" w:eastAsia="Times New Roman" w:hAnsi="Georgia" w:cs="Times New Roman"/>
      <w:b/>
      <w:color w:val="333333"/>
      <w:sz w:val="18"/>
      <w:szCs w:val="24"/>
    </w:rPr>
  </w:style>
  <w:style w:type="paragraph" w:customStyle="1" w:styleId="font5">
    <w:name w:val="font5"/>
    <w:basedOn w:val="Normal"/>
    <w:pPr>
      <w:spacing w:before="100" w:beforeAutospacing="1" w:after="100" w:afterAutospacing="1" w:line="276" w:lineRule="auto"/>
    </w:pPr>
    <w:rPr>
      <w:rFonts w:ascii="Tahoma" w:hAnsi="Tahoma" w:cs="Tahoma"/>
      <w:color w:val="000000"/>
      <w:sz w:val="18"/>
      <w:szCs w:val="18"/>
      <w:lang w:val="en-US"/>
    </w:rPr>
  </w:style>
  <w:style w:type="paragraph" w:customStyle="1" w:styleId="font6">
    <w:name w:val="font6"/>
    <w:basedOn w:val="Normal"/>
    <w:pPr>
      <w:spacing w:before="100" w:beforeAutospacing="1" w:after="100" w:afterAutospacing="1" w:line="276" w:lineRule="auto"/>
    </w:pPr>
    <w:rPr>
      <w:rFonts w:ascii="Tahoma" w:hAnsi="Tahoma" w:cs="Tahoma"/>
      <w:b/>
      <w:bCs/>
      <w:color w:val="000000"/>
      <w:sz w:val="18"/>
      <w:szCs w:val="18"/>
      <w:lang w:val="en-US"/>
    </w:rPr>
  </w:style>
  <w:style w:type="paragraph" w:customStyle="1" w:styleId="xl65">
    <w:name w:val="xl65"/>
    <w:basedOn w:val="Normal"/>
    <w:pPr>
      <w:spacing w:before="100" w:beforeAutospacing="1" w:after="100" w:afterAutospacing="1" w:line="276" w:lineRule="auto"/>
      <w:textAlignment w:val="center"/>
    </w:pPr>
    <w:rPr>
      <w:rFonts w:ascii="Georgia" w:hAnsi="Georgia"/>
      <w:color w:val="000000"/>
      <w:sz w:val="20"/>
      <w:lang w:val="en-US"/>
    </w:rPr>
  </w:style>
  <w:style w:type="paragraph" w:customStyle="1" w:styleId="xl66">
    <w:name w:val="xl66"/>
    <w:basedOn w:val="Normal"/>
    <w:pPr>
      <w:spacing w:before="100" w:beforeAutospacing="1" w:after="100" w:afterAutospacing="1" w:line="276" w:lineRule="auto"/>
      <w:textAlignment w:val="center"/>
    </w:pPr>
    <w:rPr>
      <w:rFonts w:ascii="Georgia" w:hAnsi="Georgia"/>
      <w:color w:val="000000"/>
      <w:sz w:val="20"/>
      <w:lang w:val="en-US"/>
    </w:rPr>
  </w:style>
  <w:style w:type="paragraph" w:customStyle="1" w:styleId="xl67">
    <w:name w:val="xl67"/>
    <w:basedOn w:val="Normal"/>
    <w:pPr>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68">
    <w:name w:val="xl68"/>
    <w:basedOn w:val="Normal"/>
    <w:pPr>
      <w:pBdr>
        <w:top w:val="single" w:sz="4" w:space="0" w:color="BFBFBF"/>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69">
    <w:name w:val="xl69"/>
    <w:basedOn w:val="Normal"/>
    <w:pPr>
      <w:pBdr>
        <w:top w:val="single" w:sz="4" w:space="0" w:color="BFBFBF"/>
        <w:bottom w:val="single" w:sz="12" w:space="0" w:color="FF0000"/>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0">
    <w:name w:val="xl70"/>
    <w:basedOn w:val="Normal"/>
    <w:pPr>
      <w:pBdr>
        <w:top w:val="single" w:sz="12" w:space="0" w:color="FF0000"/>
        <w:left w:val="single" w:sz="12" w:space="0" w:color="FFFFFF"/>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1">
    <w:name w:val="xl71"/>
    <w:basedOn w:val="Normal"/>
    <w:pPr>
      <w:pBdr>
        <w:top w:val="single" w:sz="12" w:space="0" w:color="FF0000"/>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2">
    <w:name w:val="xl72"/>
    <w:basedOn w:val="Normal"/>
    <w:pPr>
      <w:pBdr>
        <w:top w:val="single" w:sz="12" w:space="0" w:color="FF0000"/>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3">
    <w:name w:val="xl73"/>
    <w:basedOn w:val="Normal"/>
    <w:pPr>
      <w:pBdr>
        <w:top w:val="single" w:sz="4" w:space="0" w:color="BFBFBF"/>
        <w:left w:val="single" w:sz="12" w:space="0" w:color="FFFFFF"/>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4">
    <w:name w:val="xl74"/>
    <w:basedOn w:val="Normal"/>
    <w:pPr>
      <w:pBdr>
        <w:top w:val="single" w:sz="4" w:space="0" w:color="BFBFBF"/>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5">
    <w:name w:val="xl75"/>
    <w:basedOn w:val="Normal"/>
    <w:pPr>
      <w:pBdr>
        <w:top w:val="single" w:sz="4" w:space="0" w:color="BFBFBF"/>
        <w:bottom w:val="single" w:sz="12" w:space="0" w:color="FF0000"/>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76">
    <w:name w:val="xl76"/>
    <w:basedOn w:val="Normal"/>
    <w:pPr>
      <w:pBdr>
        <w:top w:val="single" w:sz="12" w:space="0" w:color="FF0000"/>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77">
    <w:name w:val="xl77"/>
    <w:basedOn w:val="Normal"/>
    <w:pPr>
      <w:pBdr>
        <w:top w:val="single" w:sz="4" w:space="0" w:color="BFBFBF"/>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78">
    <w:name w:val="xl78"/>
    <w:basedOn w:val="Normal"/>
    <w:pPr>
      <w:pBdr>
        <w:top w:val="single" w:sz="4" w:space="0" w:color="BFBFBF"/>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79">
    <w:name w:val="xl79"/>
    <w:basedOn w:val="Normal"/>
    <w:pPr>
      <w:pBdr>
        <w:top w:val="single" w:sz="4" w:space="0" w:color="BFBFBF"/>
        <w:bottom w:val="single" w:sz="12" w:space="0" w:color="FF0000"/>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0">
    <w:name w:val="xl80"/>
    <w:basedOn w:val="Normal"/>
    <w:pPr>
      <w:pBdr>
        <w:top w:val="single" w:sz="12" w:space="0" w:color="FF0000"/>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1">
    <w:name w:val="xl81"/>
    <w:basedOn w:val="Normal"/>
    <w:pPr>
      <w:pBdr>
        <w:top w:val="single" w:sz="4" w:space="0" w:color="BFBFBF"/>
        <w:bottom w:val="single" w:sz="12" w:space="0" w:color="FF0000"/>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2">
    <w:name w:val="xl82"/>
    <w:basedOn w:val="Normal"/>
    <w:pPr>
      <w:pBdr>
        <w:top w:val="single" w:sz="12" w:space="0" w:color="FFFFFF"/>
        <w:left w:val="single" w:sz="12" w:space="0" w:color="FFFFFF"/>
        <w:right w:val="single" w:sz="12" w:space="0" w:color="FFFFFF"/>
      </w:pBdr>
      <w:shd w:val="clear" w:color="000000" w:fill="D9D9D9"/>
      <w:spacing w:before="100" w:beforeAutospacing="1" w:after="100" w:afterAutospacing="1" w:line="276" w:lineRule="auto"/>
      <w:jc w:val="center"/>
      <w:textAlignment w:val="center"/>
    </w:pPr>
    <w:rPr>
      <w:rFonts w:ascii="Georgia" w:hAnsi="Georgia"/>
      <w:b/>
      <w:bCs/>
      <w:sz w:val="20"/>
      <w:lang w:val="en-US"/>
    </w:rPr>
  </w:style>
  <w:style w:type="paragraph" w:customStyle="1" w:styleId="xl83">
    <w:name w:val="xl83"/>
    <w:basedOn w:val="Normal"/>
    <w:pPr>
      <w:pBdr>
        <w:bottom w:val="single" w:sz="12" w:space="0" w:color="FF0000"/>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84">
    <w:name w:val="xl84"/>
    <w:basedOn w:val="Normal"/>
    <w:pPr>
      <w:pBdr>
        <w:bottom w:val="single" w:sz="12" w:space="0" w:color="FF0000"/>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85">
    <w:name w:val="xl85"/>
    <w:basedOn w:val="Normal"/>
    <w:pPr>
      <w:pBdr>
        <w:bottom w:val="single" w:sz="12" w:space="0" w:color="FF0000"/>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6">
    <w:name w:val="xl86"/>
    <w:basedOn w:val="Normal"/>
    <w:pPr>
      <w:pBdr>
        <w:top w:val="single" w:sz="4" w:space="0" w:color="BFBFBF"/>
        <w:bottom w:val="single" w:sz="4" w:space="0" w:color="D9D9D9"/>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87">
    <w:name w:val="xl87"/>
    <w:basedOn w:val="Normal"/>
    <w:pPr>
      <w:pBdr>
        <w:top w:val="single" w:sz="4" w:space="0" w:color="BFBFBF"/>
        <w:bottom w:val="single" w:sz="4" w:space="0" w:color="D9D9D9"/>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88">
    <w:name w:val="xl88"/>
    <w:basedOn w:val="Normal"/>
    <w:pPr>
      <w:pBdr>
        <w:top w:val="single" w:sz="4" w:space="0" w:color="BFBFBF"/>
        <w:bottom w:val="single" w:sz="4" w:space="0" w:color="D9D9D9"/>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89">
    <w:name w:val="xl89"/>
    <w:basedOn w:val="Normal"/>
    <w:pPr>
      <w:pBdr>
        <w:top w:val="single" w:sz="4" w:space="0" w:color="D9D9D9"/>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90">
    <w:name w:val="xl90"/>
    <w:basedOn w:val="Normal"/>
    <w:pPr>
      <w:pBdr>
        <w:top w:val="single" w:sz="4" w:space="0" w:color="D9D9D9"/>
        <w:bottom w:val="single" w:sz="4" w:space="0" w:color="BFBFBF"/>
      </w:pBd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91">
    <w:name w:val="xl91"/>
    <w:basedOn w:val="Normal"/>
    <w:pPr>
      <w:pBdr>
        <w:top w:val="single" w:sz="4" w:space="0" w:color="D9D9D9"/>
        <w:bottom w:val="single" w:sz="4" w:space="0" w:color="BFBFBF"/>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92">
    <w:name w:val="xl92"/>
    <w:basedOn w:val="Normal"/>
    <w:pPr>
      <w:pBdr>
        <w:top w:val="single" w:sz="4" w:space="0" w:color="BFBFBF"/>
        <w:bottom w:val="single" w:sz="4" w:space="0" w:color="D9D9D9"/>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93">
    <w:name w:val="xl93"/>
    <w:basedOn w:val="Normal"/>
    <w:pPr>
      <w:pBdr>
        <w:top w:val="single" w:sz="12" w:space="0" w:color="FFFFFF"/>
        <w:left w:val="single" w:sz="12" w:space="0" w:color="FFFFFF"/>
      </w:pBdr>
      <w:shd w:val="clear" w:color="000000" w:fill="D9D9D9"/>
      <w:spacing w:before="100" w:beforeAutospacing="1" w:after="100" w:afterAutospacing="1" w:line="276" w:lineRule="auto"/>
      <w:jc w:val="center"/>
      <w:textAlignment w:val="center"/>
    </w:pPr>
    <w:rPr>
      <w:rFonts w:ascii="Georgia" w:hAnsi="Georgia"/>
      <w:b/>
      <w:bCs/>
      <w:sz w:val="20"/>
      <w:lang w:val="en-US"/>
    </w:rPr>
  </w:style>
  <w:style w:type="paragraph" w:customStyle="1" w:styleId="xl94">
    <w:name w:val="xl94"/>
    <w:basedOn w:val="Normal"/>
    <w:pPr>
      <w:pBdr>
        <w:bottom w:val="single" w:sz="12" w:space="0" w:color="FF0000"/>
      </w:pBdr>
      <w:shd w:val="clear" w:color="000000" w:fill="FFFFFF"/>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95">
    <w:name w:val="xl95"/>
    <w:basedOn w:val="Normal"/>
    <w:pPr>
      <w:shd w:val="clear" w:color="000000" w:fill="FFFFFF"/>
      <w:spacing w:before="100" w:beforeAutospacing="1" w:after="100" w:afterAutospacing="1" w:line="276" w:lineRule="auto"/>
      <w:textAlignment w:val="center"/>
    </w:pPr>
    <w:rPr>
      <w:rFonts w:ascii="Georgia" w:hAnsi="Georgia"/>
      <w:color w:val="000000"/>
      <w:sz w:val="20"/>
      <w:lang w:val="en-US"/>
    </w:rPr>
  </w:style>
  <w:style w:type="paragraph" w:customStyle="1" w:styleId="xl96">
    <w:name w:val="xl96"/>
    <w:basedOn w:val="Normal"/>
    <w:pPr>
      <w:pBdr>
        <w:top w:val="single" w:sz="4" w:space="0" w:color="BFBFBF"/>
        <w:bottom w:val="single" w:sz="4" w:space="0" w:color="BFBFBF"/>
      </w:pBdr>
      <w:spacing w:before="100" w:beforeAutospacing="1" w:after="100" w:afterAutospacing="1" w:line="276" w:lineRule="auto"/>
      <w:textAlignment w:val="center"/>
    </w:pPr>
    <w:rPr>
      <w:rFonts w:ascii="Georgia" w:hAnsi="Georgia"/>
      <w:color w:val="000000"/>
      <w:sz w:val="20"/>
      <w:lang w:val="en-US"/>
    </w:rPr>
  </w:style>
  <w:style w:type="paragraph" w:customStyle="1" w:styleId="xl97">
    <w:name w:val="xl97"/>
    <w:basedOn w:val="Normal"/>
    <w:pPr>
      <w:pBdr>
        <w:top w:val="single" w:sz="4" w:space="0" w:color="BFBFBF"/>
        <w:bottom w:val="single" w:sz="4" w:space="0" w:color="BFBFBF"/>
      </w:pBdr>
      <w:spacing w:before="100" w:beforeAutospacing="1" w:after="100" w:afterAutospacing="1" w:line="276" w:lineRule="auto"/>
      <w:textAlignment w:val="center"/>
    </w:pPr>
    <w:rPr>
      <w:rFonts w:ascii="Georgia" w:hAnsi="Georgia"/>
      <w:color w:val="000000"/>
      <w:sz w:val="20"/>
      <w:lang w:val="en-US"/>
    </w:rPr>
  </w:style>
  <w:style w:type="paragraph" w:customStyle="1" w:styleId="xl98">
    <w:name w:val="xl98"/>
    <w:basedOn w:val="Normal"/>
    <w:pPr>
      <w:pBdr>
        <w:top w:val="single" w:sz="4" w:space="0" w:color="BFBFBF"/>
        <w:bottom w:val="single" w:sz="4" w:space="0" w:color="BFBFBF"/>
      </w:pBdr>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99">
    <w:name w:val="xl99"/>
    <w:basedOn w:val="Normal"/>
    <w:pPr>
      <w:pBdr>
        <w:top w:val="single" w:sz="4" w:space="0" w:color="BFBFBF"/>
        <w:bottom w:val="single" w:sz="4" w:space="0" w:color="BFBFBF"/>
      </w:pBdr>
      <w:spacing w:before="100" w:beforeAutospacing="1" w:after="100" w:afterAutospacing="1" w:line="276" w:lineRule="auto"/>
      <w:jc w:val="center"/>
      <w:textAlignment w:val="center"/>
    </w:pPr>
    <w:rPr>
      <w:rFonts w:ascii="Georgia" w:hAnsi="Georgia"/>
      <w:color w:val="000000"/>
      <w:sz w:val="20"/>
      <w:lang w:val="en-US"/>
    </w:rPr>
  </w:style>
  <w:style w:type="paragraph" w:customStyle="1" w:styleId="xl100">
    <w:name w:val="xl100"/>
    <w:basedOn w:val="Normal"/>
    <w:pPr>
      <w:pBdr>
        <w:top w:val="single" w:sz="12" w:space="0" w:color="FF0000"/>
        <w:left w:val="single" w:sz="12" w:space="0" w:color="FFFFFF"/>
        <w:bottom w:val="single" w:sz="12" w:space="0" w:color="FF0000"/>
      </w:pBdr>
      <w:shd w:val="clear" w:color="000000" w:fill="FFFFFF"/>
      <w:spacing w:before="100" w:beforeAutospacing="1" w:after="100" w:afterAutospacing="1" w:line="276" w:lineRule="auto"/>
      <w:jc w:val="center"/>
      <w:textAlignment w:val="center"/>
    </w:pPr>
    <w:rPr>
      <w:rFonts w:ascii="Georgia" w:hAnsi="Georgia"/>
      <w:b/>
      <w:bCs/>
      <w:sz w:val="20"/>
      <w:lang w:val="en-US"/>
    </w:rPr>
  </w:style>
  <w:style w:type="paragraph" w:customStyle="1" w:styleId="xl101">
    <w:name w:val="xl101"/>
    <w:basedOn w:val="Normal"/>
    <w:pPr>
      <w:pBdr>
        <w:top w:val="single" w:sz="12" w:space="0" w:color="FF0000"/>
        <w:bottom w:val="single" w:sz="12" w:space="0" w:color="FF0000"/>
      </w:pBdr>
      <w:shd w:val="clear" w:color="000000" w:fill="FFFFFF"/>
      <w:spacing w:before="100" w:beforeAutospacing="1" w:after="100" w:afterAutospacing="1" w:line="276" w:lineRule="auto"/>
      <w:jc w:val="center"/>
      <w:textAlignment w:val="center"/>
    </w:pPr>
    <w:rPr>
      <w:rFonts w:ascii="Georgia" w:hAnsi="Georgia"/>
      <w:b/>
      <w:bCs/>
      <w:sz w:val="20"/>
      <w:lang w:val="en-US"/>
    </w:rPr>
  </w:style>
  <w:style w:type="paragraph" w:customStyle="1" w:styleId="CM4">
    <w:name w:val="CM4"/>
    <w:basedOn w:val="Default"/>
    <w:next w:val="Default"/>
    <w:uiPriority w:val="99"/>
    <w:rPr>
      <w:rFonts w:ascii="Times New Roman" w:hAnsi="Times New Roman" w:cs="Times New Roman"/>
      <w:color w:val="auto"/>
      <w:lang w:val="it-IT"/>
    </w:rPr>
  </w:style>
  <w:style w:type="paragraph" w:customStyle="1" w:styleId="Pa0">
    <w:name w:val="Pa0"/>
    <w:basedOn w:val="Default"/>
    <w:next w:val="Default"/>
    <w:uiPriority w:val="99"/>
    <w:pPr>
      <w:spacing w:line="241" w:lineRule="atLeast"/>
    </w:pPr>
    <w:rPr>
      <w:rFonts w:ascii="HelveticaRounded LT Std Blk" w:hAnsi="HelveticaRounded LT Std Blk" w:cs="Times New Roman"/>
      <w:color w:val="auto"/>
      <w:lang w:val="it-IT"/>
    </w:rPr>
  </w:style>
  <w:style w:type="character" w:customStyle="1" w:styleId="A0">
    <w:name w:val="A0"/>
    <w:uiPriority w:val="99"/>
    <w:rPr>
      <w:rFonts w:cs="HelveticaRounded LT Std Blk"/>
      <w:b/>
      <w:bCs/>
      <w:color w:val="000000"/>
      <w:sz w:val="58"/>
      <w:szCs w:val="58"/>
    </w:rPr>
  </w:style>
  <w:style w:type="character" w:customStyle="1" w:styleId="A5">
    <w:name w:val="A5"/>
    <w:uiPriority w:val="99"/>
    <w:rPr>
      <w:rFonts w:cs="Myriad Pro Cond"/>
      <w:b/>
      <w:bCs/>
      <w:color w:val="000000"/>
      <w:sz w:val="56"/>
      <w:szCs w:val="56"/>
    </w:rPr>
  </w:style>
  <w:style w:type="character" w:customStyle="1" w:styleId="A1">
    <w:name w:val="A1"/>
    <w:uiPriority w:val="99"/>
    <w:rPr>
      <w:rFonts w:cs="HelveticaRounded LT Std Blk"/>
      <w:b/>
      <w:bCs/>
      <w:color w:val="000000"/>
      <w:sz w:val="32"/>
      <w:szCs w:val="32"/>
    </w:rPr>
  </w:style>
  <w:style w:type="character" w:styleId="PlaceholderText">
    <w:name w:val="Placeholder Text"/>
    <w:basedOn w:val="DefaultParagraphFont"/>
    <w:rPr>
      <w:color w:val="808080"/>
    </w:rPr>
  </w:style>
  <w:style w:type="paragraph" w:customStyle="1" w:styleId="caption10">
    <w:name w:val="caption1"/>
    <w:basedOn w:val="BodyText"/>
    <w:link w:val="caption1Char"/>
    <w:qFormat/>
    <w:pPr>
      <w:keepNext/>
      <w:spacing w:before="240"/>
      <w:jc w:val="center"/>
    </w:pPr>
    <w:rPr>
      <w:rFonts w:ascii="Verdana" w:hAnsi="Verdana"/>
      <w:b/>
      <w:sz w:val="18"/>
      <w:szCs w:val="18"/>
      <w:lang w:val="en-US"/>
    </w:rPr>
  </w:style>
  <w:style w:type="character" w:customStyle="1" w:styleId="caption1Char">
    <w:name w:val="caption1 Char"/>
    <w:basedOn w:val="BodyTextChar"/>
    <w:link w:val="caption10"/>
    <w:rPr>
      <w:rFonts w:ascii="Verdana" w:eastAsia="Times New Roman" w:hAnsi="Verdana" w:cs="Times New Roman"/>
      <w:b/>
      <w:sz w:val="18"/>
      <w:szCs w:val="18"/>
      <w:lang w:val="en-US"/>
    </w:rPr>
  </w:style>
  <w:style w:type="paragraph" w:customStyle="1" w:styleId="footnote3fig">
    <w:name w:val="footnote3fig"/>
    <w:basedOn w:val="FootnoteText"/>
    <w:link w:val="footnote3figChar"/>
    <w:qFormat/>
    <w:pPr>
      <w:keepNext/>
      <w:widowControl w:val="0"/>
      <w:suppressLineNumbers/>
      <w:tabs>
        <w:tab w:val="left" w:pos="142"/>
        <w:tab w:val="left" w:pos="4536"/>
        <w:tab w:val="left" w:pos="7938"/>
      </w:tabs>
      <w:suppressAutoHyphens/>
      <w:spacing w:before="60"/>
      <w:ind w:left="255" w:hanging="255"/>
    </w:pPr>
    <w:rPr>
      <w:rFonts w:ascii="Verdana" w:hAnsi="Verdana"/>
      <w:color w:val="548DD4" w:themeColor="text2" w:themeTint="99"/>
      <w:sz w:val="16"/>
      <w:szCs w:val="16"/>
      <w:lang w:val="en-US"/>
    </w:rPr>
  </w:style>
  <w:style w:type="character" w:customStyle="1" w:styleId="footnote3figChar">
    <w:name w:val="footnote3fig Char"/>
    <w:basedOn w:val="DefaultParagraphFont"/>
    <w:link w:val="footnote3fig"/>
    <w:rPr>
      <w:rFonts w:ascii="Verdana" w:eastAsia="Times New Roman" w:hAnsi="Verdana" w:cs="Times New Roman"/>
      <w:color w:val="548DD4" w:themeColor="text2" w:themeTint="99"/>
      <w:sz w:val="16"/>
      <w:szCs w:val="16"/>
      <w:lang w:val="en-US"/>
    </w:rPr>
  </w:style>
  <w:style w:type="character" w:customStyle="1" w:styleId="cit-source">
    <w:name w:val="cit-source"/>
    <w:basedOn w:val="DefaultParagraphFont"/>
  </w:style>
  <w:style w:type="character" w:customStyle="1" w:styleId="cit-pub-date">
    <w:name w:val="cit-pub-date"/>
    <w:basedOn w:val="DefaultParagraphFont"/>
  </w:style>
  <w:style w:type="character" w:customStyle="1" w:styleId="cit-vol">
    <w:name w:val="cit-vol"/>
    <w:basedOn w:val="DefaultParagraphFont"/>
  </w:style>
  <w:style w:type="character" w:customStyle="1" w:styleId="cit-fpage">
    <w:name w:val="cit-fpage"/>
    <w:basedOn w:val="DefaultParagraphFont"/>
  </w:style>
  <w:style w:type="character" w:customStyle="1" w:styleId="cit">
    <w:name w:val="cit"/>
    <w:basedOn w:val="DefaultParagraphFont"/>
  </w:style>
  <w:style w:type="character" w:customStyle="1" w:styleId="oneclick-link">
    <w:name w:val="oneclick-link"/>
    <w:basedOn w:val="DefaultParagraphFont"/>
  </w:style>
  <w:style w:type="character" w:customStyle="1" w:styleId="SourceChar0">
    <w:name w:val="Source Char"/>
    <w:link w:val="Source0"/>
    <w:rPr>
      <w:rFonts w:ascii="Georgia" w:eastAsia="Times New Roman" w:hAnsi="Georgia" w:cs="Times New Roman"/>
      <w:color w:val="333333"/>
      <w:sz w:val="18"/>
      <w:szCs w:val="24"/>
    </w:rPr>
  </w:style>
  <w:style w:type="paragraph" w:customStyle="1" w:styleId="footer1fig">
    <w:name w:val="footer1fig"/>
    <w:basedOn w:val="FootnoteText"/>
    <w:link w:val="footer1figChar"/>
    <w:qFormat/>
    <w:pPr>
      <w:keepNext/>
      <w:widowControl w:val="0"/>
      <w:suppressLineNumbers/>
      <w:tabs>
        <w:tab w:val="left" w:pos="142"/>
        <w:tab w:val="left" w:pos="4536"/>
        <w:tab w:val="left" w:pos="7938"/>
      </w:tabs>
      <w:suppressAutoHyphens/>
      <w:spacing w:before="60"/>
      <w:ind w:left="198" w:hanging="198"/>
    </w:pPr>
    <w:rPr>
      <w:rFonts w:ascii="Verdana" w:hAnsi="Verdana"/>
      <w:color w:val="548DD4" w:themeColor="text2" w:themeTint="99"/>
      <w:sz w:val="16"/>
      <w:szCs w:val="16"/>
      <w:lang w:val="en-US"/>
    </w:rPr>
  </w:style>
  <w:style w:type="character" w:customStyle="1" w:styleId="footer1figChar">
    <w:name w:val="footer1fig Char"/>
    <w:basedOn w:val="DefaultParagraphFont"/>
    <w:link w:val="footer1fig"/>
    <w:rPr>
      <w:rFonts w:ascii="Verdana" w:eastAsia="Times New Roman" w:hAnsi="Verdana" w:cs="Times New Roman"/>
      <w:color w:val="548DD4" w:themeColor="text2" w:themeTint="99"/>
      <w:sz w:val="16"/>
      <w:szCs w:val="16"/>
      <w:lang w:val="en-US"/>
    </w:rPr>
  </w:style>
  <w:style w:type="paragraph" w:customStyle="1" w:styleId="Tablebody">
    <w:name w:val="Table_body"/>
    <w:basedOn w:val="Body"/>
    <w:link w:val="TablebodyChar"/>
    <w:qFormat/>
    <w:rPr>
      <w:sz w:val="18"/>
      <w:szCs w:val="18"/>
      <w:lang w:val="it-IT"/>
    </w:rPr>
  </w:style>
  <w:style w:type="character" w:customStyle="1" w:styleId="TablebodyChar">
    <w:name w:val="Table_body Char"/>
    <w:basedOn w:val="BodyChar"/>
    <w:link w:val="Tablebody"/>
    <w:rPr>
      <w:rFonts w:ascii="Verdana" w:hAnsi="Verdana"/>
      <w:sz w:val="18"/>
      <w:szCs w:val="18"/>
      <w:lang w:val="it-IT"/>
    </w:rPr>
  </w:style>
  <w:style w:type="character" w:customStyle="1" w:styleId="TabletextChar">
    <w:name w:val="Table_text Char"/>
    <w:basedOn w:val="DefaultParagraphFont"/>
    <w:link w:val="Tabletext1"/>
    <w:locked/>
    <w:rPr>
      <w:rFonts w:ascii="Verdana" w:hAnsi="Verdana"/>
      <w:sz w:val="17"/>
      <w:szCs w:val="17"/>
    </w:rPr>
  </w:style>
  <w:style w:type="paragraph" w:customStyle="1" w:styleId="Tabletext1">
    <w:name w:val="Table_text"/>
    <w:basedOn w:val="Normal"/>
    <w:link w:val="TabletextChar"/>
    <w:qFormat/>
    <w:rPr>
      <w:rFonts w:ascii="Verdana" w:eastAsiaTheme="minorHAnsi" w:hAnsi="Verdana" w:cstheme="minorBidi"/>
      <w:sz w:val="17"/>
      <w:szCs w:val="17"/>
    </w:rPr>
  </w:style>
  <w:style w:type="paragraph" w:customStyle="1" w:styleId="Bullet3n">
    <w:name w:val="Bullet3n"/>
    <w:basedOn w:val="ListParagraph"/>
    <w:link w:val="Bullet3nChar"/>
    <w:uiPriority w:val="99"/>
    <w:pPr>
      <w:numPr>
        <w:numId w:val="38"/>
      </w:numPr>
    </w:pPr>
    <w:rPr>
      <w:rFonts w:ascii="Verdana" w:hAnsi="Verdana" w:cs="Calibri"/>
      <w:color w:val="000000" w:themeColor="text1"/>
      <w:sz w:val="15"/>
      <w:szCs w:val="15"/>
    </w:rPr>
  </w:style>
  <w:style w:type="character" w:customStyle="1" w:styleId="Bullet3nChar">
    <w:name w:val="Bullet3n Char"/>
    <w:basedOn w:val="DefaultParagraphFont"/>
    <w:link w:val="Bullet3n"/>
    <w:uiPriority w:val="99"/>
    <w:locked/>
    <w:rPr>
      <w:rFonts w:ascii="Verdana" w:eastAsia="Times New Roman" w:hAnsi="Verdana" w:cs="Calibri"/>
      <w:color w:val="000000" w:themeColor="text1"/>
      <w:sz w:val="15"/>
      <w:szCs w:val="15"/>
    </w:rPr>
  </w:style>
  <w:style w:type="paragraph" w:customStyle="1" w:styleId="Heading1HOME">
    <w:name w:val="Heading1HOME"/>
    <w:basedOn w:val="Heading1"/>
    <w:next w:val="Body"/>
    <w:link w:val="Heading1HOMEChar"/>
    <w:uiPriority w:val="99"/>
    <w:rPr>
      <w:rFonts w:ascii="Verdana" w:hAnsi="Verdana"/>
    </w:rPr>
  </w:style>
  <w:style w:type="paragraph" w:customStyle="1" w:styleId="Heading2HOME">
    <w:name w:val="Heading2HOME"/>
    <w:basedOn w:val="Heading2"/>
    <w:next w:val="Body"/>
    <w:link w:val="Heading2HOMEChar"/>
    <w:uiPriority w:val="99"/>
    <w:pPr>
      <w:numPr>
        <w:numId w:val="37"/>
      </w:numPr>
      <w:tabs>
        <w:tab w:val="left" w:pos="1026"/>
      </w:tabs>
    </w:pPr>
    <w:rPr>
      <w:rFonts w:ascii="Verdana" w:hAnsi="Verdana"/>
    </w:rPr>
  </w:style>
  <w:style w:type="character" w:customStyle="1" w:styleId="Heading1HOMEChar">
    <w:name w:val="Heading1HOME Char"/>
    <w:basedOn w:val="Heading1Char"/>
    <w:link w:val="Heading1HOME"/>
    <w:uiPriority w:val="99"/>
    <w:locked/>
    <w:rPr>
      <w:rFonts w:ascii="Verdana" w:eastAsia="Times New Roman" w:hAnsi="Verdana" w:cs="Times New Roman"/>
      <w:b/>
      <w:smallCaps/>
      <w:sz w:val="24"/>
      <w:szCs w:val="24"/>
    </w:rPr>
  </w:style>
  <w:style w:type="character" w:customStyle="1" w:styleId="Heading2HOMEChar">
    <w:name w:val="Heading2HOME Char"/>
    <w:basedOn w:val="Heading2Char"/>
    <w:link w:val="Heading2HOME"/>
    <w:uiPriority w:val="99"/>
    <w:locked/>
    <w:rPr>
      <w:rFonts w:ascii="Verdana" w:eastAsia="Times New Roman" w:hAnsi="Verdana" w:cs="Times New Roman"/>
      <w:b/>
      <w:sz w:val="24"/>
      <w:szCs w:val="20"/>
    </w:rPr>
  </w:style>
  <w:style w:type="table" w:customStyle="1" w:styleId="DocumentTable1">
    <w:name w:val="Document Table1"/>
    <w:basedOn w:val="TableNormal"/>
    <w:next w:val="TableGrid"/>
    <w:uiPriority w:val="5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Tahoma" w:hAnsi="Tahoma"/>
        <w:b/>
        <w:color w:val="FFFFFF" w:themeColor="background1"/>
        <w:sz w:val="18"/>
      </w:rPr>
      <w:tblPr/>
      <w:tcPr>
        <w:shd w:val="clear" w:color="auto" w:fill="00AEF0"/>
      </w:tcPr>
    </w:tblStylePr>
    <w:tblStylePr w:type="band1Horz">
      <w:rPr>
        <w:sz w:val="18"/>
      </w:rPr>
    </w:tblStylePr>
  </w:style>
  <w:style w:type="paragraph" w:customStyle="1" w:styleId="CharCharCharCharChar">
    <w:name w:val="Char Char Char Char Char"/>
    <w:basedOn w:val="Normal"/>
    <w:next w:val="Normal"/>
    <w:pPr>
      <w:spacing w:after="160" w:line="240" w:lineRule="exact"/>
    </w:pPr>
    <w:rPr>
      <w:rFonts w:ascii="Tahoma" w:hAnsi="Tahoma"/>
      <w:lang w:val="en-US" w:eastAsia="zh-CN"/>
    </w:rPr>
  </w:style>
  <w:style w:type="table" w:customStyle="1" w:styleId="TableGridLight1">
    <w:name w:val="Table Grid Light1"/>
    <w:basedOn w:val="TableNormal"/>
    <w:uiPriority w:val="40"/>
    <w:pPr>
      <w:spacing w:after="0" w:line="240" w:lineRule="auto"/>
    </w:pPr>
    <w:rPr>
      <w:rFonts w:ascii="Times New Roman" w:eastAsia="Times New Roman" w:hAnsi="Times New Roman" w:cs="Times New Roman"/>
      <w:sz w:val="20"/>
      <w:szCs w:val="20"/>
      <w:lang w:val="nl-BE" w:eastAsia="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text">
    <w:name w:val="Box text"/>
    <w:basedOn w:val="Body"/>
    <w:link w:val="BoxtextChar"/>
    <w:qFormat/>
    <w:pPr>
      <w:contextualSpacing/>
    </w:pPr>
    <w:rPr>
      <w:rFonts w:cstheme="minorHAnsi"/>
      <w:b/>
      <w:color w:val="000000" w:themeColor="text1"/>
      <w:sz w:val="18"/>
    </w:rPr>
  </w:style>
  <w:style w:type="character" w:customStyle="1" w:styleId="BoxtextChar">
    <w:name w:val="Box text Char"/>
    <w:basedOn w:val="BodyChar"/>
    <w:link w:val="Boxtext"/>
    <w:rPr>
      <w:rFonts w:ascii="Verdana" w:hAnsi="Verdana" w:cstheme="minorHAnsi"/>
      <w:b/>
      <w:color w:val="000000" w:themeColor="text1"/>
      <w:sz w:val="18"/>
    </w:rPr>
  </w:style>
  <w:style w:type="paragraph" w:customStyle="1" w:styleId="Footnotestyle">
    <w:name w:val="Footnote style"/>
    <w:basedOn w:val="Normal"/>
    <w:link w:val="FootnotestyleChar"/>
    <w:uiPriority w:val="99"/>
    <w:qFormat/>
    <w:rPr>
      <w:rFonts w:ascii="Verdana" w:hAnsi="Verdana"/>
      <w:sz w:val="16"/>
      <w:szCs w:val="16"/>
    </w:rPr>
  </w:style>
  <w:style w:type="character" w:customStyle="1" w:styleId="FootnotestyleChar">
    <w:name w:val="Footnote style Char"/>
    <w:basedOn w:val="DefaultParagraphFont"/>
    <w:link w:val="Footnotestyle"/>
    <w:uiPriority w:val="99"/>
    <w:rPr>
      <w:rFonts w:ascii="Verdana" w:eastAsia="Times New Roman" w:hAnsi="Verdana" w:cs="Times New Roman"/>
      <w:sz w:val="16"/>
      <w:szCs w:val="16"/>
    </w:rPr>
  </w:style>
  <w:style w:type="paragraph" w:styleId="Bibliography">
    <w:name w:val="Bibliography"/>
    <w:basedOn w:val="Normal"/>
    <w:next w:val="Normal"/>
    <w:uiPriority w:val="37"/>
    <w:unhideWhenUsed/>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ascii="Times New Roman" w:eastAsia="Times New Roman" w:hAnsi="Times New Roman" w:cs="Times New Roman"/>
      <w:sz w:val="24"/>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ascii="Times New Roman" w:eastAsia="Times New Roman" w:hAnsi="Times New Roman" w:cs="Times New Roman"/>
      <w:i/>
      <w:iCs/>
      <w:sz w:val="24"/>
      <w:szCs w:val="20"/>
    </w:rPr>
  </w:style>
  <w:style w:type="paragraph" w:styleId="HTMLPreformatted">
    <w:name w:val="HTML Preformatted"/>
    <w:basedOn w:val="Normal"/>
    <w:link w:val="HTMLPreformattedChar"/>
    <w:uiPriority w:val="99"/>
    <w:unhideWhenUsed/>
    <w:rPr>
      <w:rFonts w:ascii="Consolas" w:hAnsi="Consolas"/>
      <w:sz w:val="20"/>
    </w:rPr>
  </w:style>
  <w:style w:type="character" w:customStyle="1" w:styleId="HTMLPreformattedChar">
    <w:name w:val="HTML Preformatted Char"/>
    <w:basedOn w:val="DefaultParagraphFont"/>
    <w:link w:val="HTMLPreformatted"/>
    <w:uiPriority w:val="99"/>
    <w:rPr>
      <w:rFonts w:ascii="Consolas" w:eastAsia="Times New Roman" w:hAnsi="Consolas" w:cs="Times New Roman"/>
      <w:sz w:val="20"/>
      <w:szCs w:val="20"/>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F81BD" w:themeColor="accent1"/>
      <w:sz w:val="24"/>
      <w:szCs w:val="20"/>
    </w:rPr>
  </w:style>
  <w:style w:type="paragraph" w:styleId="NoSpacing">
    <w:name w:val="No Spacing"/>
    <w:uiPriority w:val="1"/>
    <w:qFormat/>
    <w:pPr>
      <w:spacing w:after="0" w:line="240" w:lineRule="auto"/>
      <w:jc w:val="both"/>
    </w:pPr>
    <w:rPr>
      <w:rFonts w:ascii="Times New Roman" w:eastAsia="Times New Roman" w:hAnsi="Times New Roman" w:cs="Times New Roman"/>
      <w:sz w:val="24"/>
      <w:szCs w:val="20"/>
      <w:lang w:val="fr-FR"/>
    </w:rPr>
  </w:style>
  <w:style w:type="paragraph" w:customStyle="1" w:styleId="subtitle2">
    <w:name w:val="subtitle 2"/>
    <w:basedOn w:val="Normal"/>
    <w:next w:val="Body"/>
    <w:pPr>
      <w:numPr>
        <w:ilvl w:val="1"/>
        <w:numId w:val="39"/>
      </w:numPr>
      <w:spacing w:before="240" w:after="120" w:line="276" w:lineRule="auto"/>
    </w:pPr>
    <w:rPr>
      <w:rFonts w:ascii="Verdana" w:hAnsi="Verdana"/>
      <w:b/>
      <w:sz w:val="18"/>
      <w:lang w:eastAsia="en-GB"/>
    </w:rPr>
  </w:style>
  <w:style w:type="paragraph" w:customStyle="1" w:styleId="AnnexHeading2">
    <w:name w:val="Annex Heading 2"/>
    <w:basedOn w:val="Normal"/>
    <w:next w:val="Normal"/>
    <w:autoRedefine/>
    <w:qFormat/>
    <w:pPr>
      <w:keepNext/>
      <w:keepLines/>
      <w:spacing w:before="120"/>
      <w:ind w:left="360" w:hanging="360"/>
      <w:outlineLvl w:val="1"/>
    </w:pPr>
    <w:rPr>
      <w:rFonts w:ascii="Verdana" w:hAnsi="Verdana" w:cs="Arial"/>
      <w:b/>
      <w:bCs/>
      <w:sz w:val="22"/>
      <w:szCs w:val="28"/>
      <w:lang w:eastAsia="nl-BE"/>
    </w:rPr>
  </w:style>
  <w:style w:type="paragraph" w:customStyle="1" w:styleId="Char3CharCharCharCharChar">
    <w:name w:val="Char3 Char Char Char Char Char"/>
    <w:basedOn w:val="Normal"/>
    <w:next w:val="Normal"/>
    <w:pPr>
      <w:spacing w:after="160" w:line="240" w:lineRule="exact"/>
    </w:pPr>
    <w:rPr>
      <w:rFonts w:ascii="Tahoma" w:hAnsi="Tahoma"/>
      <w:lang w:val="en-US" w:eastAsia="zh-CN"/>
    </w:rPr>
  </w:style>
  <w:style w:type="paragraph" w:customStyle="1" w:styleId="TableText">
    <w:name w:val="Table Text"/>
    <w:basedOn w:val="Normal"/>
    <w:qFormat/>
    <w:pPr>
      <w:numPr>
        <w:numId w:val="41"/>
      </w:numPr>
      <w:tabs>
        <w:tab w:val="left" w:pos="907"/>
      </w:tabs>
      <w:suppressAutoHyphens/>
      <w:spacing w:before="60" w:after="60"/>
      <w:contextualSpacing/>
    </w:pPr>
    <w:rPr>
      <w:rFonts w:ascii="EYInterstate Light" w:hAnsi="EYInterstate Light"/>
      <w:kern w:val="12"/>
      <w:sz w:val="18"/>
      <w:lang w:val="en-US" w:eastAsia="ar-SA"/>
    </w:rPr>
  </w:style>
  <w:style w:type="paragraph" w:customStyle="1" w:styleId="Bulletcoretext">
    <w:name w:val="Bullet core text"/>
    <w:basedOn w:val="ListParagraph"/>
    <w:link w:val="BulletcoretextChar"/>
    <w:pPr>
      <w:numPr>
        <w:numId w:val="40"/>
      </w:numPr>
      <w:spacing w:after="120"/>
    </w:pPr>
    <w:rPr>
      <w:rFonts w:ascii="EYInterstate Light" w:eastAsiaTheme="minorHAnsi" w:hAnsi="EYInterstate Light" w:cstheme="minorBidi"/>
      <w:sz w:val="20"/>
      <w:szCs w:val="22"/>
    </w:rPr>
  </w:style>
  <w:style w:type="character" w:customStyle="1" w:styleId="BulletcoretextChar">
    <w:name w:val="Bullet core text Char"/>
    <w:basedOn w:val="DefaultParagraphFont"/>
    <w:link w:val="Bulletcoretext"/>
    <w:rPr>
      <w:rFonts w:ascii="EYInterstate Light" w:hAnsi="EYInterstate Light"/>
      <w:sz w:val="20"/>
    </w:rPr>
  </w:style>
  <w:style w:type="paragraph" w:customStyle="1" w:styleId="EQ">
    <w:name w:val="EQ"/>
    <w:basedOn w:val="Body"/>
    <w:link w:val="EQChar"/>
    <w:qFormat/>
    <w:pPr>
      <w:shd w:val="clear" w:color="auto" w:fill="F2F2F2" w:themeFill="background1" w:themeFillShade="F2"/>
    </w:pPr>
    <w:rPr>
      <w:i/>
      <w:sz w:val="18"/>
    </w:rPr>
  </w:style>
  <w:style w:type="character" w:customStyle="1" w:styleId="EQChar">
    <w:name w:val="EQ Char"/>
    <w:basedOn w:val="BodyChar"/>
    <w:link w:val="EQ"/>
    <w:rPr>
      <w:rFonts w:ascii="Verdana" w:hAnsi="Verdana"/>
      <w:i/>
      <w:sz w:val="18"/>
      <w:shd w:val="clear" w:color="auto" w:fill="F2F2F2" w:themeFill="background1" w:themeFillShade="F2"/>
    </w:rPr>
  </w:style>
  <w:style w:type="paragraph" w:customStyle="1" w:styleId="StyleStyle4Left0cmFirstline0cm">
    <w:name w:val="Style Style4 + Left:  0 cm First line:  0 cm"/>
    <w:basedOn w:val="Heading3"/>
    <w:pPr>
      <w:tabs>
        <w:tab w:val="left" w:pos="1026"/>
      </w:tabs>
      <w:spacing w:before="240"/>
    </w:pPr>
    <w:rPr>
      <w:rFonts w:ascii="Verdana" w:hAnsi="Verdana"/>
      <w:b/>
      <w:iCs/>
      <w:sz w:val="20"/>
      <w:lang w:val="en-US"/>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style>
  <w:style w:type="table" w:customStyle="1" w:styleId="LightShading1">
    <w:name w:val="Light Shading1"/>
    <w:basedOn w:val="TableNormal"/>
    <w:next w:val="LightShading"/>
    <w:uiPriority w:val="60"/>
    <w:pPr>
      <w:spacing w:after="0" w:line="240" w:lineRule="auto"/>
    </w:pPr>
    <w:rPr>
      <w:rFonts w:ascii="Calibri" w:eastAsia="Calibri" w:hAnsi="Calibri" w:cs="Times New Roman"/>
      <w:color w:val="000000"/>
      <w:sz w:val="16"/>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ndicator">
    <w:name w:val="Indicator"/>
    <w:basedOn w:val="Normal"/>
    <w:link w:val="IndicatorChar"/>
    <w:qFormat/>
    <w:pPr>
      <w:spacing w:before="120" w:after="120"/>
    </w:pPr>
    <w:rPr>
      <w:rFonts w:ascii="Verdana" w:eastAsia="Calibri" w:hAnsi="Verdana"/>
      <w:b/>
      <w:color w:val="4F81BD"/>
      <w:sz w:val="18"/>
      <w:szCs w:val="18"/>
      <w:lang w:eastAsia="en-GB"/>
    </w:rPr>
  </w:style>
  <w:style w:type="character" w:customStyle="1" w:styleId="IndicatorChar">
    <w:name w:val="Indicator Char"/>
    <w:basedOn w:val="DefaultParagraphFont"/>
    <w:link w:val="Indicator"/>
    <w:rPr>
      <w:rFonts w:ascii="Verdana" w:eastAsia="Calibri" w:hAnsi="Verdana" w:cs="Times New Roman"/>
      <w:b/>
      <w:color w:val="4F81BD"/>
      <w:sz w:val="18"/>
      <w:szCs w:val="18"/>
      <w:lang w:eastAsia="en-GB"/>
    </w:rPr>
  </w:style>
  <w:style w:type="table" w:customStyle="1" w:styleId="Style11">
    <w:name w:val="Style11"/>
    <w:basedOn w:val="TableNormal"/>
    <w:uiPriority w:val="99"/>
    <w:pPr>
      <w:spacing w:after="0" w:line="240" w:lineRule="auto"/>
    </w:pPr>
    <w:rPr>
      <w:rFonts w:ascii="Calibri" w:eastAsia="Calibri" w:hAnsi="Calibri" w:cs="Times New Roman"/>
    </w:rPr>
    <w:tblPr/>
  </w:style>
  <w:style w:type="paragraph" w:customStyle="1" w:styleId="CharCharCharCharChar0">
    <w:name w:val="Char Char Char Char Char0"/>
    <w:basedOn w:val="Normal"/>
    <w:next w:val="Normal"/>
    <w:pPr>
      <w:spacing w:after="160" w:line="240" w:lineRule="exact"/>
    </w:pPr>
    <w:rPr>
      <w:rFonts w:ascii="Tahoma" w:hAnsi="Tahoma"/>
      <w:lang w:val="en-US" w:eastAsia="zh-CN"/>
    </w:rPr>
  </w:style>
  <w:style w:type="paragraph" w:customStyle="1" w:styleId="CharCharCharCharChar1">
    <w:name w:val="Char Char Char Char Char1"/>
    <w:basedOn w:val="Normal"/>
    <w:next w:val="Normal"/>
    <w:pPr>
      <w:spacing w:after="160" w:line="240" w:lineRule="exact"/>
    </w:pPr>
    <w:rPr>
      <w:rFonts w:ascii="Tahoma" w:hAnsi="Tahoma"/>
      <w:lang w:val="en-US" w:eastAsia="zh-CN"/>
    </w:rPr>
  </w:style>
  <w:style w:type="paragraph" w:customStyle="1" w:styleId="CharCharCharCharChar2">
    <w:name w:val="Char Char Char Char Char2"/>
    <w:basedOn w:val="Normal"/>
    <w:next w:val="Normal"/>
    <w:pPr>
      <w:spacing w:after="160" w:line="240" w:lineRule="exact"/>
    </w:pPr>
    <w:rPr>
      <w:rFonts w:ascii="Tahoma" w:hAnsi="Tahoma"/>
      <w:lang w:val="en-US" w:eastAsia="zh-CN"/>
    </w:rPr>
  </w:style>
  <w:style w:type="table" w:customStyle="1" w:styleId="TableGridLight2">
    <w:name w:val="Table Grid Light2"/>
    <w:basedOn w:val="TableNormal"/>
    <w:uiPriority w:val="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
    <w:name w:val="subhead"/>
    <w:basedOn w:val="Normal"/>
    <w:autoRedefine/>
    <w:qFormat/>
    <w:pPr>
      <w:widowControl w:val="0"/>
      <w:tabs>
        <w:tab w:val="left" w:pos="4536"/>
      </w:tabs>
      <w:suppressAutoHyphens/>
      <w:autoSpaceDE w:val="0"/>
      <w:autoSpaceDN w:val="0"/>
      <w:adjustRightInd w:val="0"/>
      <w:spacing w:before="320" w:line="240" w:lineRule="atLeast"/>
      <w:textAlignment w:val="center"/>
    </w:pPr>
    <w:rPr>
      <w:rFonts w:ascii="Arial" w:eastAsia="Cambria" w:hAnsi="Arial" w:cs="ArialMT"/>
      <w:b/>
      <w:color w:val="000000"/>
      <w:sz w:val="28"/>
      <w:szCs w:val="28"/>
    </w:rPr>
  </w:style>
  <w:style w:type="paragraph" w:customStyle="1" w:styleId="Reporttitle">
    <w:name w:val="Report title"/>
    <w:basedOn w:val="Normal"/>
    <w:autoRedefine/>
    <w:qFormat/>
    <w:pPr>
      <w:tabs>
        <w:tab w:val="left" w:pos="4536"/>
      </w:tabs>
      <w:spacing w:before="120" w:after="120" w:line="276" w:lineRule="auto"/>
      <w:ind w:right="-101"/>
    </w:pPr>
    <w:rPr>
      <w:rFonts w:ascii="Arial" w:eastAsia="Cambria" w:hAnsi="Arial"/>
      <w:b/>
      <w:sz w:val="76"/>
    </w:rPr>
  </w:style>
  <w:style w:type="paragraph" w:customStyle="1" w:styleId="name">
    <w:name w:val="name"/>
    <w:basedOn w:val="Normal"/>
    <w:autoRedefine/>
    <w:qFormat/>
    <w:pPr>
      <w:widowControl w:val="0"/>
      <w:shd w:val="solid" w:color="FFFFFF" w:fill="auto"/>
      <w:tabs>
        <w:tab w:val="left" w:pos="4536"/>
      </w:tabs>
      <w:suppressAutoHyphens/>
      <w:autoSpaceDE w:val="0"/>
      <w:autoSpaceDN w:val="0"/>
      <w:adjustRightInd w:val="0"/>
      <w:spacing w:before="2800" w:line="240" w:lineRule="atLeast"/>
      <w:textAlignment w:val="center"/>
    </w:pPr>
    <w:rPr>
      <w:rFonts w:ascii="Arial" w:eastAsia="Cambria" w:hAnsi="Arial" w:cs="ArialMT"/>
      <w:b/>
      <w:color w:val="000000"/>
      <w:sz w:val="20"/>
    </w:rPr>
  </w:style>
  <w:style w:type="paragraph" w:customStyle="1" w:styleId="Dash1">
    <w:name w:val="Dash 1"/>
    <w:basedOn w:val="Normal"/>
    <w:pPr>
      <w:numPr>
        <w:numId w:val="42"/>
      </w:numPr>
      <w:spacing w:before="120" w:after="120" w:line="360" w:lineRule="auto"/>
      <w:outlineLvl w:val="0"/>
    </w:pPr>
    <w:rPr>
      <w:szCs w:val="24"/>
    </w:rPr>
  </w:style>
  <w:style w:type="paragraph" w:customStyle="1" w:styleId="Dash2">
    <w:name w:val="Dash 2"/>
    <w:basedOn w:val="Normal"/>
    <w:pPr>
      <w:tabs>
        <w:tab w:val="num" w:pos="1701"/>
      </w:tabs>
      <w:spacing w:before="120" w:after="120" w:line="360" w:lineRule="auto"/>
      <w:ind w:left="1701" w:hanging="567"/>
      <w:outlineLvl w:val="1"/>
    </w:pPr>
    <w:rPr>
      <w:szCs w:val="24"/>
    </w:rPr>
  </w:style>
  <w:style w:type="character" w:customStyle="1" w:styleId="FunotentextfChar1">
    <w:name w:val="Fußnotentextf Char1"/>
    <w:aliases w:val="Footnote Text Char Char1,Note de bas de page Car Car Car Car Car Car Car Car Car Car Char1,Note de bas de page Car Car Car Car Char1,Note de bas de page Car Car Car Car Car Car Car Car Car Char1"/>
    <w:basedOn w:val="DefaultParagraphFont"/>
    <w:uiPriority w:val="99"/>
    <w:rPr>
      <w:rFonts w:ascii="Verdana" w:hAnsi="Verdana"/>
    </w:rPr>
  </w:style>
  <w:style w:type="table" w:customStyle="1" w:styleId="TableGrid2">
    <w:name w:val="Table Grid2"/>
    <w:basedOn w:val="TableNormal"/>
    <w:next w:val="TableGrid"/>
    <w:uiPriority w:val="39"/>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11">
    <w:name w:val="CV111"/>
    <w:basedOn w:val="TableNormal"/>
    <w:next w:val="TableGrid"/>
    <w:uiPriority w:val="59"/>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color w:val="FFFFFF"/>
      </w:rPr>
      <w:tblPr/>
      <w:tcPr>
        <w:shd w:val="clear" w:color="auto" w:fill="00AEF0"/>
      </w:tcPr>
    </w:tblStylePr>
  </w:style>
  <w:style w:type="paragraph" w:customStyle="1" w:styleId="HH1">
    <w:name w:val="HH1"/>
    <w:basedOn w:val="ListParagraph"/>
    <w:link w:val="HH1Char"/>
    <w:qFormat/>
    <w:pPr>
      <w:keepNext/>
      <w:numPr>
        <w:numId w:val="61"/>
      </w:numPr>
      <w:spacing w:before="240" w:after="240"/>
      <w:jc w:val="both"/>
      <w:outlineLvl w:val="0"/>
    </w:pPr>
    <w:rPr>
      <w:b/>
      <w:smallCaps/>
      <w:color w:val="365F91" w:themeColor="accent1" w:themeShade="BF"/>
      <w:sz w:val="32"/>
      <w:szCs w:val="32"/>
    </w:rPr>
  </w:style>
  <w:style w:type="paragraph" w:customStyle="1" w:styleId="HH2">
    <w:name w:val="HH2"/>
    <w:basedOn w:val="ListParagraph"/>
    <w:link w:val="HH2Char"/>
    <w:qFormat/>
    <w:pPr>
      <w:keepNext/>
      <w:numPr>
        <w:ilvl w:val="1"/>
        <w:numId w:val="61"/>
      </w:numPr>
      <w:spacing w:before="240" w:after="240"/>
      <w:jc w:val="both"/>
      <w:outlineLvl w:val="1"/>
    </w:pPr>
    <w:rPr>
      <w:b/>
      <w:sz w:val="28"/>
      <w:szCs w:val="28"/>
      <w:u w:val="single"/>
    </w:rPr>
  </w:style>
  <w:style w:type="character" w:customStyle="1" w:styleId="HH1Char">
    <w:name w:val="HH1 Char"/>
    <w:basedOn w:val="Heading1Char"/>
    <w:link w:val="HH1"/>
    <w:rPr>
      <w:rFonts w:ascii="Times New Roman" w:eastAsia="Times New Roman" w:hAnsi="Times New Roman" w:cs="Times New Roman"/>
      <w:b/>
      <w:smallCaps/>
      <w:color w:val="365F91" w:themeColor="accent1" w:themeShade="BF"/>
      <w:sz w:val="32"/>
      <w:szCs w:val="32"/>
    </w:rPr>
  </w:style>
  <w:style w:type="character" w:customStyle="1" w:styleId="HH2Char">
    <w:name w:val="HH2 Char"/>
    <w:basedOn w:val="Heading2Char"/>
    <w:link w:val="HH2"/>
    <w:rPr>
      <w:rFonts w:ascii="Times New Roman" w:eastAsia="Times New Roman" w:hAnsi="Times New Roman" w:cs="Times New Roman"/>
      <w:b/>
      <w:sz w:val="28"/>
      <w:szCs w:val="28"/>
      <w:u w:val="single"/>
    </w:rPr>
  </w:style>
  <w:style w:type="paragraph" w:customStyle="1" w:styleId="CharCharCharCharChar7">
    <w:name w:val="Char Char Char Char Char7"/>
    <w:basedOn w:val="Normal"/>
    <w:next w:val="Normal"/>
    <w:pPr>
      <w:spacing w:after="160" w:line="240" w:lineRule="exact"/>
    </w:pPr>
    <w:rPr>
      <w:rFonts w:ascii="Tahoma" w:hAnsi="Tahoma"/>
      <w:lang w:val="en-US" w:eastAsia="zh-CN"/>
    </w:rPr>
  </w:style>
  <w:style w:type="paragraph" w:customStyle="1" w:styleId="CharCharCharCharChar6">
    <w:name w:val="Char Char Char Char Char6"/>
    <w:basedOn w:val="Normal"/>
    <w:next w:val="Normal"/>
    <w:pPr>
      <w:spacing w:after="160" w:line="240" w:lineRule="exact"/>
    </w:pPr>
    <w:rPr>
      <w:rFonts w:ascii="Tahoma" w:hAnsi="Tahoma"/>
      <w:lang w:val="en-US" w:eastAsia="zh-CN"/>
    </w:rPr>
  </w:style>
  <w:style w:type="paragraph" w:customStyle="1" w:styleId="CharCharCharCharChar5">
    <w:name w:val="Char Char Char Char Char5"/>
    <w:basedOn w:val="Normal"/>
    <w:next w:val="Normal"/>
    <w:pPr>
      <w:spacing w:after="160" w:line="240" w:lineRule="exact"/>
    </w:pPr>
    <w:rPr>
      <w:rFonts w:ascii="Tahoma" w:hAnsi="Tahoma"/>
      <w:lang w:val="en-US" w:eastAsia="zh-CN"/>
    </w:rPr>
  </w:style>
  <w:style w:type="paragraph" w:customStyle="1" w:styleId="CharCharCharCharChar4">
    <w:name w:val="Char Char Char Char Char4"/>
    <w:basedOn w:val="Normal"/>
    <w:next w:val="Normal"/>
    <w:pPr>
      <w:spacing w:after="160" w:line="240" w:lineRule="exact"/>
    </w:pPr>
    <w:rPr>
      <w:rFonts w:ascii="Tahoma" w:hAnsi="Tahoma"/>
      <w:lang w:val="en-US" w:eastAsia="zh-CN"/>
    </w:rPr>
  </w:style>
  <w:style w:type="paragraph" w:customStyle="1" w:styleId="CharCharCharCharChar3">
    <w:name w:val="Char Char Char Char Char3"/>
    <w:basedOn w:val="Normal"/>
    <w:next w:val="Normal"/>
    <w:pPr>
      <w:spacing w:after="160" w:line="240" w:lineRule="exact"/>
    </w:pPr>
    <w:rPr>
      <w:rFonts w:ascii="Tahoma" w:hAnsi="Tahoma"/>
      <w:lang w:val="en-US" w:eastAsia="zh-CN"/>
    </w:rPr>
  </w:style>
  <w:style w:type="paragraph" w:customStyle="1" w:styleId="BoxTextvero">
    <w:name w:val="Box Text vero"/>
    <w:basedOn w:val="Boxtext"/>
    <w:link w:val="BoxTextveroChar"/>
    <w:rPr>
      <w:b w:val="0"/>
    </w:rPr>
  </w:style>
  <w:style w:type="character" w:customStyle="1" w:styleId="BoxTextveroChar">
    <w:name w:val="Box Text vero Char"/>
    <w:basedOn w:val="BoxtextChar"/>
    <w:link w:val="BoxTextvero"/>
    <w:rPr>
      <w:rFonts w:ascii="Verdana" w:hAnsi="Verdana" w:cstheme="minorHAnsi"/>
      <w:b w:val="0"/>
      <w:color w:val="000000" w:themeColor="text1"/>
      <w:sz w:val="18"/>
    </w:rPr>
  </w:style>
  <w:style w:type="table" w:customStyle="1" w:styleId="TableEY1">
    <w:name w:val="Table EY1"/>
    <w:basedOn w:val="TableNormal"/>
    <w:next w:val="TableGrid"/>
    <w:uiPriority w:val="39"/>
    <w:pPr>
      <w:spacing w:after="0" w:line="240" w:lineRule="auto"/>
    </w:pPr>
    <w:rPr>
      <w:rFonts w:ascii="EYInterstate Light" w:eastAsia="Calibri" w:hAnsi="EYInterstate Light" w:cs="Times New Roman"/>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pPr>
      <w:numPr>
        <w:numId w:val="43"/>
      </w:numPr>
      <w:spacing w:after="60"/>
      <w:ind w:left="924" w:hanging="357"/>
    </w:pPr>
    <w:rPr>
      <w:rFonts w:ascii="EYInterstate Light" w:eastAsiaTheme="minorHAnsi" w:hAnsi="EYInterstate Light" w:cstheme="minorBidi"/>
      <w:sz w:val="20"/>
      <w:szCs w:val="22"/>
    </w:rPr>
  </w:style>
  <w:style w:type="character" w:customStyle="1" w:styleId="Style4Char">
    <w:name w:val="Style4 Char"/>
    <w:link w:val="Style4"/>
    <w:rPr>
      <w:rFonts w:ascii="Verdana" w:eastAsia="Times New Roman" w:hAnsi="Verdana" w:cs="Times New Roman"/>
      <w:bCs/>
      <w:i/>
      <w:iCs/>
      <w:noProof/>
      <w:sz w:val="20"/>
      <w:szCs w:val="20"/>
      <w:lang w:eastAsia="nl-BE"/>
    </w:rPr>
  </w:style>
  <w:style w:type="paragraph" w:customStyle="1" w:styleId="bullet1">
    <w:name w:val="bullet 1"/>
    <w:basedOn w:val="Normal"/>
    <w:link w:val="bullet1Char"/>
    <w:pPr>
      <w:numPr>
        <w:numId w:val="44"/>
      </w:numPr>
      <w:spacing w:after="120"/>
      <w:ind w:left="357" w:hanging="357"/>
    </w:pPr>
    <w:rPr>
      <w:rFonts w:ascii="EYInterstate Light" w:hAnsi="EYInterstate Light"/>
      <w:sz w:val="20"/>
      <w:szCs w:val="24"/>
    </w:rPr>
  </w:style>
  <w:style w:type="character" w:customStyle="1" w:styleId="bullet1Char">
    <w:name w:val="bullet 1 Char"/>
    <w:link w:val="bullet1"/>
    <w:rPr>
      <w:rFonts w:ascii="EYInterstate Light" w:eastAsia="Times New Roman" w:hAnsi="EYInterstate Light" w:cs="Times New Roman"/>
      <w:sz w:val="20"/>
      <w:szCs w:val="24"/>
    </w:rPr>
  </w:style>
  <w:style w:type="paragraph" w:customStyle="1" w:styleId="EYHeading1">
    <w:name w:val="EY Heading 1"/>
    <w:basedOn w:val="Normal"/>
    <w:next w:val="Normal"/>
    <w:pPr>
      <w:pageBreakBefore/>
      <w:numPr>
        <w:numId w:val="45"/>
      </w:numPr>
      <w:spacing w:after="360"/>
      <w:outlineLvl w:val="0"/>
    </w:pPr>
    <w:rPr>
      <w:rFonts w:ascii="EYInterstate Light" w:hAnsi="EYInterstate Light" w:cs="Arial"/>
      <w:b/>
      <w:color w:val="7F7E82"/>
      <w:kern w:val="12"/>
      <w:sz w:val="32"/>
      <w:szCs w:val="24"/>
    </w:rPr>
  </w:style>
  <w:style w:type="paragraph" w:customStyle="1" w:styleId="EYHeading2">
    <w:name w:val="EY Heading 2"/>
    <w:basedOn w:val="EYHeading1"/>
    <w:next w:val="Normal"/>
    <w:pPr>
      <w:keepNext/>
      <w:pageBreakBefore w:val="0"/>
      <w:numPr>
        <w:ilvl w:val="1"/>
      </w:numPr>
      <w:spacing w:before="120" w:after="120"/>
    </w:pPr>
    <w:rPr>
      <w:color w:val="auto"/>
      <w:sz w:val="28"/>
    </w:rPr>
  </w:style>
  <w:style w:type="paragraph" w:customStyle="1" w:styleId="EYHeading3">
    <w:name w:val="EY Heading 3"/>
    <w:basedOn w:val="EYHeading1"/>
    <w:next w:val="Normal"/>
    <w:link w:val="EYHeading3Char"/>
    <w:pPr>
      <w:keepNext/>
      <w:pageBreakBefore w:val="0"/>
      <w:numPr>
        <w:ilvl w:val="2"/>
      </w:numPr>
      <w:spacing w:before="120" w:after="120"/>
    </w:pPr>
    <w:rPr>
      <w:color w:val="auto"/>
      <w:sz w:val="24"/>
    </w:rPr>
  </w:style>
  <w:style w:type="paragraph" w:customStyle="1" w:styleId="EYHeading4">
    <w:name w:val="EY Heading 4"/>
    <w:basedOn w:val="EYHeading3"/>
    <w:next w:val="Normal"/>
    <w:pPr>
      <w:numPr>
        <w:ilvl w:val="3"/>
      </w:numPr>
      <w:tabs>
        <w:tab w:val="clear" w:pos="0"/>
      </w:tabs>
      <w:ind w:left="1945" w:hanging="360"/>
    </w:pPr>
    <w:rPr>
      <w:sz w:val="20"/>
    </w:rPr>
  </w:style>
  <w:style w:type="numbering" w:customStyle="1" w:styleId="NoList2">
    <w:name w:val="No List2"/>
    <w:next w:val="NoList"/>
    <w:uiPriority w:val="99"/>
    <w:semiHidden/>
    <w:unhideWhenUsed/>
  </w:style>
  <w:style w:type="paragraph" w:customStyle="1" w:styleId="FootnoteReference1">
    <w:name w:val="Footnote Reference1"/>
    <w:basedOn w:val="EndnoteText"/>
    <w:qFormat/>
    <w:rPr>
      <w:rFonts w:ascii="EYInterstate Light" w:eastAsia="Calibri" w:hAnsi="EYInterstate Light"/>
      <w:vertAlign w:val="superscript"/>
    </w:rPr>
  </w:style>
  <w:style w:type="table" w:customStyle="1" w:styleId="TableEY2">
    <w:name w:val="Table EY2"/>
    <w:basedOn w:val="TableNormal"/>
    <w:next w:val="TableGrid"/>
    <w:uiPriority w:val="39"/>
    <w:pPr>
      <w:spacing w:after="0" w:line="240" w:lineRule="auto"/>
    </w:pPr>
    <w:rPr>
      <w:rFonts w:ascii="EYInterstate Light" w:eastAsia="Calibri" w:hAnsi="EYInterstate Light" w:cs="Times New Roman"/>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basedOn w:val="TableNormal"/>
    <w:next w:val="LightShading-Accent3"/>
    <w:uiPriority w:val="60"/>
    <w:pPr>
      <w:spacing w:before="40" w:after="40" w:line="240" w:lineRule="auto"/>
    </w:pPr>
    <w:rPr>
      <w:rFonts w:ascii="EYInterstate Light" w:eastAsia="Calibri" w:hAnsi="EYInterstate Light" w:cs="Times New Roman"/>
      <w:color w:val="727272"/>
      <w:sz w:val="18"/>
      <w:szCs w:val="20"/>
      <w:lang w:val="nl-BE"/>
    </w:rPr>
    <w:tblPr>
      <w:tblStyleRowBandSize w:val="1"/>
      <w:tblStyleColBandSize w:val="1"/>
      <w:tblBorders>
        <w:top w:val="single" w:sz="18" w:space="0" w:color="7F7E82"/>
      </w:tblBorders>
    </w:tblPr>
    <w:tblStylePr w:type="firstRow">
      <w:pPr>
        <w:spacing w:before="0" w:after="0" w:line="240" w:lineRule="auto"/>
      </w:pPr>
      <w:rPr>
        <w:rFonts w:ascii="ArialMT" w:hAnsi="ArialMT"/>
        <w:b/>
        <w:bCs/>
        <w:sz w:val="18"/>
      </w:rPr>
      <w:tblPr/>
      <w:tcPr>
        <w:shd w:val="clear" w:color="auto" w:fill="FFC000"/>
      </w:tcPr>
    </w:tblStylePr>
    <w:tblStylePr w:type="lastRow">
      <w:pPr>
        <w:spacing w:before="0" w:after="0" w:line="240" w:lineRule="auto"/>
      </w:pPr>
      <w:rPr>
        <w:rFonts w:ascii="ArialMT" w:hAnsi="ArialMT"/>
        <w:b/>
        <w:bCs/>
      </w:rPr>
      <w:tblPr/>
      <w:tcPr>
        <w:tcBorders>
          <w:top w:val="single" w:sz="4" w:space="0" w:color="FFFFFF"/>
          <w:left w:val="single" w:sz="4" w:space="0" w:color="FFFFFF"/>
          <w:bottom w:val="single" w:sz="12" w:space="0" w:color="646464"/>
          <w:right w:val="single" w:sz="4" w:space="0" w:color="FFFFFF"/>
          <w:insideH w:val="single" w:sz="4" w:space="0" w:color="FFFFFF"/>
          <w:insideV w:val="single" w:sz="4" w:space="0" w:color="FFFFFF"/>
        </w:tcBorders>
      </w:tcPr>
    </w:tblStylePr>
    <w:tblStylePr w:type="firstCol">
      <w:rPr>
        <w:b/>
        <w:bCs/>
      </w:rPr>
    </w:tblStylePr>
    <w:tblStylePr w:type="lastCol">
      <w:rPr>
        <w:b/>
        <w:bCs/>
      </w:rPr>
    </w:tblStylePr>
    <w:tblStylePr w:type="band2Vert">
      <w:rPr>
        <w:rFonts w:ascii="ArialMT" w:hAnsi="ArialMT"/>
      </w:rPr>
    </w:tblStylePr>
    <w:tblStylePr w:type="band1Horz">
      <w:tblPr/>
      <w:tcPr>
        <w:tcBorders>
          <w:left w:val="nil"/>
          <w:right w:val="nil"/>
          <w:insideH w:val="nil"/>
          <w:insideV w:val="nil"/>
        </w:tcBorders>
        <w:shd w:val="clear" w:color="auto" w:fill="E5E5E5"/>
      </w:tcPr>
    </w:tblStylePr>
  </w:style>
  <w:style w:type="table" w:customStyle="1" w:styleId="LightList-Accent32">
    <w:name w:val="Light List - Accent 32"/>
    <w:basedOn w:val="TableNormal"/>
    <w:next w:val="LightList-Accent3"/>
    <w:uiPriority w:val="61"/>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646464"/>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customStyle="1" w:styleId="MediumShading1-Accent21">
    <w:name w:val="Medium Shading 1 - Accent 21"/>
    <w:basedOn w:val="TableNormal"/>
    <w:next w:val="MediumShading1-Accent2"/>
    <w:uiPriority w:val="63"/>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FFEC40"/>
        <w:left w:val="single" w:sz="8" w:space="0" w:color="FFEC40"/>
        <w:bottom w:val="single" w:sz="8" w:space="0" w:color="FFEC40"/>
        <w:right w:val="single" w:sz="8" w:space="0" w:color="FFEC40"/>
        <w:insideH w:val="single" w:sz="8" w:space="0" w:color="FFEC40"/>
      </w:tblBorders>
    </w:tblPr>
    <w:tblStylePr w:type="firstRow">
      <w:pPr>
        <w:spacing w:before="0" w:after="0" w:line="240" w:lineRule="auto"/>
      </w:pPr>
      <w:rPr>
        <w:b/>
        <w:bCs/>
        <w:color w:val="646464"/>
      </w:rPr>
      <w:tblPr/>
      <w:tcPr>
        <w:tcBorders>
          <w:top w:val="single" w:sz="8" w:space="0" w:color="FFEC40"/>
          <w:left w:val="single" w:sz="8" w:space="0" w:color="FFEC40"/>
          <w:bottom w:val="single" w:sz="8" w:space="0" w:color="FFEC40"/>
          <w:right w:val="single" w:sz="8" w:space="0" w:color="FFEC40"/>
          <w:insideH w:val="nil"/>
          <w:insideV w:val="nil"/>
        </w:tcBorders>
        <w:shd w:val="clear" w:color="auto" w:fill="FFE600"/>
      </w:tcPr>
    </w:tblStylePr>
    <w:tblStylePr w:type="lastRow">
      <w:pPr>
        <w:spacing w:before="0" w:after="0" w:line="240" w:lineRule="auto"/>
      </w:pPr>
      <w:rPr>
        <w:b/>
        <w:bCs/>
      </w:rPr>
      <w:tblPr/>
      <w:tcPr>
        <w:tcBorders>
          <w:top w:val="double" w:sz="6" w:space="0" w:color="FFEC40"/>
          <w:left w:val="single" w:sz="8" w:space="0" w:color="FFEC40"/>
          <w:bottom w:val="single" w:sz="8" w:space="0" w:color="FFEC40"/>
          <w:right w:val="single" w:sz="8" w:space="0" w:color="FFEC40"/>
          <w:insideH w:val="nil"/>
          <w:insideV w:val="nil"/>
        </w:tcBorders>
      </w:tcPr>
    </w:tblStylePr>
    <w:tblStylePr w:type="firstCol">
      <w:rPr>
        <w:b/>
        <w:bCs/>
      </w:rPr>
    </w:tblStylePr>
    <w:tblStylePr w:type="lastCol">
      <w:rPr>
        <w:b/>
        <w:bCs/>
      </w:rPr>
    </w:tblStylePr>
    <w:tblStylePr w:type="band1Vert">
      <w:tblPr/>
      <w:tcPr>
        <w:shd w:val="clear" w:color="auto" w:fill="FFF8C0"/>
      </w:tcPr>
    </w:tblStylePr>
    <w:tblStylePr w:type="band1Horz">
      <w:tblPr/>
      <w:tcPr>
        <w:tcBorders>
          <w:insideH w:val="nil"/>
          <w:insideV w:val="nil"/>
        </w:tcBorders>
        <w:shd w:val="clear" w:color="auto" w:fill="FFF8C0"/>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99"/>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646464"/>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customStyle="1" w:styleId="MediumList2-Accent21">
    <w:name w:val="Medium List 2 - Accent 21"/>
    <w:basedOn w:val="TableNormal"/>
    <w:next w:val="MediumList2-Accent2"/>
    <w:uiPriority w:val="99"/>
    <w:pPr>
      <w:spacing w:after="0" w:line="240" w:lineRule="auto"/>
    </w:pPr>
    <w:rPr>
      <w:rFonts w:ascii="Cambria" w:eastAsia="MS Gothic" w:hAnsi="Cambria" w:cs="Times New Roman"/>
      <w:color w:val="000000"/>
      <w:sz w:val="20"/>
      <w:szCs w:val="20"/>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rPr>
        <w:sz w:val="24"/>
        <w:szCs w:val="24"/>
      </w:rPr>
      <w:tblPr/>
      <w:tcPr>
        <w:tcBorders>
          <w:top w:val="nil"/>
          <w:left w:val="nil"/>
          <w:bottom w:val="single" w:sz="24" w:space="0" w:color="FFE600"/>
          <w:right w:val="nil"/>
          <w:insideH w:val="nil"/>
          <w:insideV w:val="nil"/>
        </w:tcBorders>
        <w:shd w:val="clear" w:color="auto" w:fill="646464"/>
      </w:tcPr>
    </w:tblStylePr>
    <w:tblStylePr w:type="lastRow">
      <w:tblPr/>
      <w:tcPr>
        <w:tcBorders>
          <w:top w:val="single" w:sz="8" w:space="0" w:color="FFE600"/>
          <w:left w:val="nil"/>
          <w:bottom w:val="nil"/>
          <w:right w:val="nil"/>
          <w:insideH w:val="nil"/>
          <w:insideV w:val="nil"/>
        </w:tcBorders>
        <w:shd w:val="clear" w:color="auto" w:fill="646464"/>
      </w:tcPr>
    </w:tblStylePr>
    <w:tblStylePr w:type="firstCol">
      <w:tblPr/>
      <w:tcPr>
        <w:tcBorders>
          <w:top w:val="nil"/>
          <w:left w:val="nil"/>
          <w:bottom w:val="nil"/>
          <w:right w:val="single" w:sz="8" w:space="0" w:color="FFE600"/>
          <w:insideH w:val="nil"/>
          <w:insideV w:val="nil"/>
        </w:tcBorders>
        <w:shd w:val="clear" w:color="auto" w:fill="646464"/>
      </w:tcPr>
    </w:tblStylePr>
    <w:tblStylePr w:type="lastCol">
      <w:tblPr/>
      <w:tcPr>
        <w:tcBorders>
          <w:top w:val="nil"/>
          <w:left w:val="single" w:sz="8" w:space="0" w:color="FFE600"/>
          <w:bottom w:val="nil"/>
          <w:right w:val="nil"/>
          <w:insideH w:val="nil"/>
          <w:insideV w:val="nil"/>
        </w:tcBorders>
        <w:shd w:val="clear" w:color="auto" w:fill="646464"/>
      </w:tcPr>
    </w:tblStylePr>
    <w:tblStylePr w:type="band1Vert">
      <w:tblPr/>
      <w:tcPr>
        <w:tcBorders>
          <w:left w:val="nil"/>
          <w:right w:val="nil"/>
          <w:insideH w:val="nil"/>
          <w:insideV w:val="nil"/>
        </w:tcBorders>
        <w:shd w:val="clear" w:color="auto" w:fill="FFF8C0"/>
      </w:tcPr>
    </w:tblStylePr>
    <w:tblStylePr w:type="band1Horz">
      <w:tblPr/>
      <w:tcPr>
        <w:tcBorders>
          <w:top w:val="nil"/>
          <w:bottom w:val="nil"/>
          <w:insideH w:val="nil"/>
          <w:insideV w:val="nil"/>
        </w:tcBorders>
        <w:shd w:val="clear" w:color="auto" w:fill="FFF8C0"/>
      </w:tcPr>
    </w:tblStylePr>
    <w:tblStylePr w:type="nwCell">
      <w:tblPr/>
      <w:tcPr>
        <w:shd w:val="clear" w:color="auto" w:fill="646464"/>
      </w:tcPr>
    </w:tblStylePr>
    <w:tblStylePr w:type="swCell">
      <w:tblPr/>
      <w:tcPr>
        <w:tcBorders>
          <w:top w:val="nil"/>
        </w:tcBorders>
      </w:tcPr>
    </w:tblStylePr>
  </w:style>
  <w:style w:type="character" w:customStyle="1" w:styleId="SubtleReference1">
    <w:name w:val="Subtle Reference1"/>
    <w:basedOn w:val="DefaultParagraphFont"/>
    <w:uiPriority w:val="31"/>
    <w:rPr>
      <w:smallCaps/>
      <w:color w:val="4A4A4A"/>
      <w:u w:val="single"/>
    </w:rPr>
  </w:style>
  <w:style w:type="character" w:customStyle="1" w:styleId="IntenseReference1">
    <w:name w:val="Intense Reference1"/>
    <w:basedOn w:val="DefaultParagraphFont"/>
    <w:uiPriority w:val="32"/>
    <w:qFormat/>
    <w:rPr>
      <w:rFonts w:ascii="Verdana" w:eastAsia="MS Gothic" w:hAnsi="Verdana"/>
      <w:b/>
      <w:bCs/>
      <w:spacing w:val="5"/>
      <w:sz w:val="20"/>
      <w:u w:val="single"/>
    </w:rPr>
  </w:style>
  <w:style w:type="table" w:customStyle="1" w:styleId="ColorfulList-Accent31">
    <w:name w:val="Colorful List - Accent 31"/>
    <w:basedOn w:val="TableNormal"/>
    <w:next w:val="ColorfulList-Accent3"/>
    <w:uiPriority w:val="72"/>
    <w:pPr>
      <w:spacing w:after="0" w:line="240" w:lineRule="auto"/>
    </w:pPr>
    <w:rPr>
      <w:rFonts w:ascii="EYInterstate Light" w:eastAsia="Calibri" w:hAnsi="EYInterstate Light" w:cs="Times New Roman"/>
      <w:color w:val="000000"/>
      <w:sz w:val="20"/>
      <w:szCs w:val="20"/>
      <w:lang w:val="nl-BE"/>
    </w:rPr>
    <w:tblPr>
      <w:tblStyleRowBandSize w:val="1"/>
      <w:tblStyleColBandSize w:val="1"/>
    </w:tblPr>
    <w:tcPr>
      <w:shd w:val="clear" w:color="auto" w:fill="F5F5F5"/>
    </w:tcPr>
    <w:tblStylePr w:type="firstRow">
      <w:rPr>
        <w:b/>
        <w:bCs/>
        <w:color w:val="646464"/>
      </w:rPr>
      <w:tblPr/>
      <w:tcPr>
        <w:tcBorders>
          <w:bottom w:val="single" w:sz="12" w:space="0" w:color="646464"/>
        </w:tcBorders>
        <w:shd w:val="clear" w:color="auto" w:fill="C0C0C0"/>
      </w:tcPr>
    </w:tblStylePr>
    <w:tblStylePr w:type="lastRow">
      <w:rPr>
        <w:b/>
        <w:bCs/>
        <w:color w:val="C0C0C0"/>
      </w:rPr>
      <w:tblPr/>
      <w:tcPr>
        <w:tcBorders>
          <w:top w:val="single" w:sz="12" w:space="0" w:color="000000"/>
        </w:tcBorders>
        <w:shd w:val="clear" w:color="auto" w:fill="64646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paragraph" w:customStyle="1" w:styleId="Tablebullet">
    <w:name w:val="Table bullet"/>
    <w:basedOn w:val="Normal"/>
    <w:link w:val="TablebulletChar"/>
    <w:qFormat/>
    <w:pPr>
      <w:widowControl w:val="0"/>
      <w:adjustRightInd w:val="0"/>
      <w:spacing w:before="120" w:after="120"/>
      <w:textAlignment w:val="baseline"/>
    </w:pPr>
    <w:rPr>
      <w:rFonts w:ascii="EYInterstate Light" w:hAnsi="EYInterstate Light"/>
      <w:sz w:val="18"/>
      <w:lang w:val="en-US"/>
    </w:rPr>
  </w:style>
  <w:style w:type="paragraph" w:customStyle="1" w:styleId="Style4bis-smallerparagraph">
    <w:name w:val="Style4 bis - smaller paragraph"/>
    <w:basedOn w:val="Normal"/>
    <w:link w:val="Style4bis-smallerparagraphChar"/>
    <w:uiPriority w:val="99"/>
    <w:qFormat/>
    <w:pPr>
      <w:keepNext/>
      <w:overflowPunct w:val="0"/>
      <w:autoSpaceDE w:val="0"/>
      <w:autoSpaceDN w:val="0"/>
      <w:adjustRightInd w:val="0"/>
      <w:spacing w:before="200" w:after="120"/>
      <w:textAlignment w:val="baseline"/>
    </w:pPr>
    <w:rPr>
      <w:rFonts w:ascii="EYInterstate" w:hAnsi="EYInterstate"/>
      <w:b/>
      <w:i/>
      <w:noProof/>
      <w:color w:val="808080"/>
      <w:lang w:eastAsia="nl-BE"/>
    </w:rPr>
  </w:style>
  <w:style w:type="character" w:customStyle="1" w:styleId="Style4bis-smallerparagraphChar">
    <w:name w:val="Style4 bis - smaller paragraph Char"/>
    <w:basedOn w:val="DefaultParagraphFont"/>
    <w:link w:val="Style4bis-smallerparagraph"/>
    <w:uiPriority w:val="99"/>
    <w:rPr>
      <w:rFonts w:ascii="EYInterstate" w:eastAsia="Times New Roman" w:hAnsi="EYInterstate" w:cs="Times New Roman"/>
      <w:b/>
      <w:i/>
      <w:noProof/>
      <w:color w:val="808080"/>
      <w:sz w:val="24"/>
      <w:szCs w:val="20"/>
      <w:lang w:eastAsia="nl-BE"/>
    </w:rPr>
  </w:style>
  <w:style w:type="paragraph" w:customStyle="1" w:styleId="Tableheading1">
    <w:name w:val="Table heading 1"/>
    <w:basedOn w:val="Normal"/>
    <w:next w:val="Normal"/>
    <w:qFormat/>
    <w:pPr>
      <w:keepNext/>
      <w:overflowPunct w:val="0"/>
      <w:autoSpaceDE w:val="0"/>
      <w:autoSpaceDN w:val="0"/>
      <w:adjustRightInd w:val="0"/>
      <w:spacing w:line="260" w:lineRule="atLeast"/>
      <w:textAlignment w:val="baseline"/>
    </w:pPr>
    <w:rPr>
      <w:rFonts w:ascii="EYInterstate Light" w:hAnsi="EYInterstate Light"/>
      <w:b/>
      <w:color w:val="646464"/>
      <w:kern w:val="12"/>
      <w:sz w:val="22"/>
      <w:lang w:val="nl-NL"/>
    </w:rPr>
  </w:style>
  <w:style w:type="table" w:customStyle="1" w:styleId="LightShading-Accent311">
    <w:name w:val="Light Shading - Accent 311"/>
    <w:basedOn w:val="TableNormal"/>
    <w:next w:val="LightShading-Accent3"/>
    <w:uiPriority w:val="60"/>
    <w:pPr>
      <w:spacing w:after="0" w:line="240" w:lineRule="auto"/>
    </w:pPr>
    <w:rPr>
      <w:rFonts w:ascii="EYInterstate Light" w:eastAsia="Calibri" w:hAnsi="EYInterstate Light" w:cs="Times New Roman"/>
      <w:color w:val="727272"/>
      <w:sz w:val="20"/>
      <w:szCs w:val="20"/>
      <w:lang w:val="nl-BE"/>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customStyle="1" w:styleId="BoxBullet0">
    <w:name w:val="Box Bullet"/>
    <w:basedOn w:val="ListParagraph"/>
    <w:link w:val="BoxBulletChar"/>
    <w:qFormat/>
    <w:pPr>
      <w:spacing w:after="120"/>
      <w:ind w:hanging="360"/>
    </w:pPr>
    <w:rPr>
      <w:rFonts w:ascii="EYInterstate Light" w:hAnsi="EYInterstate Light"/>
      <w:sz w:val="18"/>
      <w:szCs w:val="18"/>
      <w:lang w:val="en-US" w:eastAsia="en-GB"/>
    </w:rPr>
  </w:style>
  <w:style w:type="character" w:customStyle="1" w:styleId="BoxBulletChar">
    <w:name w:val="Box Bullet Char"/>
    <w:basedOn w:val="DefaultParagraphFont"/>
    <w:link w:val="BoxBullet0"/>
    <w:rPr>
      <w:rFonts w:ascii="EYInterstate Light" w:eastAsia="Times New Roman" w:hAnsi="EYInterstate Light" w:cs="Times New Roman"/>
      <w:sz w:val="18"/>
      <w:szCs w:val="18"/>
      <w:lang w:val="en-US" w:eastAsia="en-GB"/>
    </w:rPr>
  </w:style>
  <w:style w:type="character" w:customStyle="1" w:styleId="TableBox-txtChar">
    <w:name w:val="Table/Box - txt Char"/>
    <w:basedOn w:val="DefaultParagraphFont"/>
    <w:link w:val="TableBox-txt"/>
    <w:rPr>
      <w:sz w:val="18"/>
      <w:szCs w:val="18"/>
      <w:lang w:val="fr-FR"/>
    </w:rPr>
  </w:style>
  <w:style w:type="numbering" w:customStyle="1" w:styleId="NoList11">
    <w:name w:val="No List11"/>
    <w:next w:val="NoList"/>
    <w:uiPriority w:val="99"/>
    <w:semiHidden/>
    <w:unhideWhenUsed/>
  </w:style>
  <w:style w:type="table" w:customStyle="1" w:styleId="Style5">
    <w:name w:val="Style5"/>
    <w:basedOn w:val="TableNormal"/>
    <w:uiPriority w:val="99"/>
    <w:pPr>
      <w:spacing w:after="0" w:line="240" w:lineRule="auto"/>
    </w:pPr>
    <w:rPr>
      <w:rFonts w:ascii="EYInterstate Light" w:eastAsia="Calibri" w:hAnsi="EYInterstate Light" w:cs="Times New Roman"/>
      <w:sz w:val="20"/>
      <w:szCs w:val="20"/>
      <w:lang w:val="nl-BE"/>
    </w:rPr>
    <w:tblPr/>
    <w:tblStylePr w:type="firstRow">
      <w:rPr>
        <w:rFonts w:ascii="ArialMT" w:hAnsi="ArialMT"/>
        <w:sz w:val="18"/>
      </w:rPr>
      <w:tblPr/>
      <w:tcPr>
        <w:tcBorders>
          <w:top w:val="nil"/>
          <w:left w:val="nil"/>
          <w:bottom w:val="nil"/>
          <w:right w:val="nil"/>
          <w:insideH w:val="nil"/>
          <w:insideV w:val="nil"/>
          <w:tl2br w:val="nil"/>
          <w:tr2bl w:val="nil"/>
        </w:tcBorders>
      </w:tcPr>
    </w:tblStylePr>
  </w:style>
  <w:style w:type="paragraph" w:customStyle="1" w:styleId="TableBox-txt">
    <w:name w:val="Table/Box - txt"/>
    <w:basedOn w:val="Normal"/>
    <w:link w:val="TableBox-txtChar"/>
    <w:qFormat/>
    <w:pPr>
      <w:tabs>
        <w:tab w:val="left" w:pos="651"/>
        <w:tab w:val="left" w:pos="907"/>
      </w:tabs>
      <w:spacing w:before="60" w:after="60" w:line="200" w:lineRule="atLeast"/>
    </w:pPr>
    <w:rPr>
      <w:rFonts w:asciiTheme="minorHAnsi" w:eastAsiaTheme="minorHAnsi" w:hAnsiTheme="minorHAnsi" w:cstheme="minorBidi"/>
      <w:sz w:val="18"/>
      <w:szCs w:val="18"/>
      <w:lang w:val="fr-FR"/>
    </w:rPr>
  </w:style>
  <w:style w:type="table" w:customStyle="1" w:styleId="LightShading-Accent32">
    <w:name w:val="Light Shading - Accent 32"/>
    <w:basedOn w:val="TableNormal"/>
    <w:next w:val="LightShading-Accent3"/>
    <w:uiPriority w:val="99"/>
    <w:pPr>
      <w:spacing w:after="0" w:line="240" w:lineRule="auto"/>
    </w:pPr>
    <w:rPr>
      <w:rFonts w:ascii="Calibri" w:eastAsia="Calibri" w:hAnsi="Calibri" w:cs="Times New Roman"/>
      <w:color w:val="727272"/>
      <w:sz w:val="20"/>
      <w:szCs w:val="20"/>
      <w:lang w:eastAsia="en-GB"/>
    </w:rPr>
    <w:tblPr>
      <w:tblStyleRowBandSize w:val="1"/>
      <w:tblStyleColBandSize w:val="1"/>
      <w:tblBorders>
        <w:top w:val="single" w:sz="8" w:space="0" w:color="999999"/>
        <w:bottom w:val="single" w:sz="8" w:space="0" w:color="999999"/>
      </w:tblBorders>
    </w:tblPr>
    <w:tblStylePr w:type="firstRow">
      <w:pPr>
        <w:spacing w:before="0" w:after="0"/>
      </w:pPr>
      <w:rPr>
        <w:rFonts w:cs="Times New Roman"/>
        <w:b/>
        <w:bCs/>
      </w:rPr>
      <w:tblPr/>
      <w:tcPr>
        <w:tcBorders>
          <w:top w:val="single" w:sz="8" w:space="0" w:color="999999"/>
          <w:left w:val="nil"/>
          <w:bottom w:val="single" w:sz="8" w:space="0" w:color="999999"/>
          <w:right w:val="nil"/>
          <w:insideH w:val="nil"/>
          <w:insideV w:val="nil"/>
        </w:tcBorders>
      </w:tcPr>
    </w:tblStylePr>
    <w:tblStylePr w:type="lastRow">
      <w:pPr>
        <w:spacing w:before="0" w:after="0"/>
      </w:pPr>
      <w:rPr>
        <w:rFonts w:cs="Times New Roman"/>
        <w:b/>
        <w:bCs/>
      </w:rPr>
      <w:tblPr/>
      <w:tcPr>
        <w:tcBorders>
          <w:top w:val="single" w:sz="8" w:space="0" w:color="999999"/>
          <w:left w:val="nil"/>
          <w:bottom w:val="single" w:sz="8" w:space="0" w:color="99999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customStyle="1" w:styleId="LightList-Accent311">
    <w:name w:val="Light List - Accent 311"/>
    <w:basedOn w:val="TableNormal"/>
    <w:next w:val="LightList-Accent3"/>
    <w:uiPriority w:val="99"/>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pPr>
      <w:rPr>
        <w:rFonts w:cs="Times New Roman"/>
        <w:b/>
        <w:bCs/>
        <w:color w:val="646464"/>
      </w:rPr>
      <w:tblPr/>
      <w:tcPr>
        <w:shd w:val="clear" w:color="auto" w:fill="999999"/>
      </w:tcPr>
    </w:tblStylePr>
    <w:tblStylePr w:type="lastRow">
      <w:pPr>
        <w:spacing w:before="0" w:after="0"/>
      </w:pPr>
      <w:rPr>
        <w:rFonts w:cs="Times New Roman"/>
        <w:b/>
        <w:bCs/>
      </w:rPr>
      <w:tblPr/>
      <w:tcPr>
        <w:tcBorders>
          <w:top w:val="double" w:sz="6" w:space="0" w:color="999999"/>
          <w:left w:val="single" w:sz="8" w:space="0" w:color="999999"/>
          <w:bottom w:val="single" w:sz="8" w:space="0" w:color="999999"/>
          <w:right w:val="single" w:sz="8" w:space="0" w:color="99999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99999"/>
          <w:left w:val="single" w:sz="8" w:space="0" w:color="999999"/>
          <w:bottom w:val="single" w:sz="8" w:space="0" w:color="999999"/>
          <w:right w:val="single" w:sz="8" w:space="0" w:color="999999"/>
        </w:tcBorders>
      </w:tcPr>
    </w:tblStylePr>
    <w:tblStylePr w:type="band1Horz">
      <w:rPr>
        <w:rFonts w:cs="Times New Roman"/>
      </w:rPr>
      <w:tblPr/>
      <w:tcPr>
        <w:tcBorders>
          <w:top w:val="single" w:sz="8" w:space="0" w:color="999999"/>
          <w:left w:val="single" w:sz="8" w:space="0" w:color="999999"/>
          <w:bottom w:val="single" w:sz="8" w:space="0" w:color="999999"/>
          <w:right w:val="single" w:sz="8" w:space="0" w:color="999999"/>
        </w:tcBorders>
      </w:tcPr>
    </w:tblStylePr>
  </w:style>
  <w:style w:type="table" w:customStyle="1" w:styleId="MediumShading1-Accent311">
    <w:name w:val="Medium Shading 1 - Accent 311"/>
    <w:basedOn w:val="TableNormal"/>
    <w:next w:val="MediumShading1-Accent3"/>
    <w:uiPriority w:val="99"/>
    <w:pPr>
      <w:spacing w:after="0" w:line="240" w:lineRule="auto"/>
    </w:pPr>
    <w:rPr>
      <w:rFonts w:ascii="EYInterstate Light" w:eastAsia="Calibri" w:hAnsi="EYInterstate Light" w:cs="Times New Roman"/>
      <w:sz w:val="18"/>
      <w:szCs w:val="20"/>
      <w:lang w:eastAsia="en-GB"/>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pPr>
      <w:rPr>
        <w:rFonts w:cs="Times New Roman"/>
        <w:b/>
        <w:bCs/>
        <w:color w:val="646464"/>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pPr>
      <w:rPr>
        <w:rFonts w:cs="Times New Roman"/>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customStyle="1" w:styleId="MediumList2-Accent211">
    <w:name w:val="Medium List 2 - Accent 211"/>
    <w:basedOn w:val="TableNormal"/>
    <w:uiPriority w:val="99"/>
    <w:pPr>
      <w:spacing w:after="0" w:line="240" w:lineRule="auto"/>
    </w:pPr>
    <w:rPr>
      <w:rFonts w:ascii="EYInterstate Light" w:eastAsia="Times New Roman" w:hAnsi="EYInterstate Light" w:cs="Times New Roman"/>
      <w:color w:val="000000"/>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cs="Times New Roman"/>
        <w:sz w:val="24"/>
        <w:szCs w:val="24"/>
      </w:rPr>
      <w:tblPr/>
      <w:tcPr>
        <w:shd w:val="clear" w:color="auto" w:fill="C1C1C1"/>
      </w:tcPr>
    </w:tblStylePr>
    <w:tblStylePr w:type="lastRow">
      <w:rPr>
        <w:rFonts w:ascii="ArialMT" w:hAnsi="ArialMT" w:cs="Times New Roman"/>
        <w:color w:val="auto"/>
        <w:sz w:val="18"/>
      </w:rPr>
      <w:tblPr/>
      <w:tcPr>
        <w:shd w:val="clear" w:color="auto" w:fill="F0F0F0"/>
      </w:tcPr>
    </w:tblStylePr>
    <w:tblStylePr w:type="firstCol">
      <w:rPr>
        <w:rFonts w:ascii="ArialMT" w:hAnsi="ArialMT" w:cs="Times New Roman"/>
        <w:sz w:val="18"/>
      </w:rPr>
    </w:tblStylePr>
    <w:tblStylePr w:type="lastCol">
      <w:rPr>
        <w:rFonts w:ascii="ArialMT" w:hAnsi="ArialMT" w:cs="Times New Roman"/>
        <w:sz w:val="18"/>
      </w:rPr>
    </w:tblStylePr>
    <w:tblStylePr w:type="band1Vert">
      <w:rPr>
        <w:rFonts w:ascii="ArialMT" w:hAnsi="ArialMT" w:cs="Times New Roman"/>
        <w:sz w:val="18"/>
      </w:rPr>
    </w:tblStylePr>
    <w:tblStylePr w:type="band2Vert">
      <w:rPr>
        <w:rFonts w:ascii="ArialMT" w:hAnsi="ArialMT"/>
        <w:sz w:val="18"/>
      </w:rPr>
    </w:tblStylePr>
    <w:tblStylePr w:type="band1Horz">
      <w:rPr>
        <w:rFonts w:ascii="ArialMT" w:hAnsi="ArialMT" w:cs="Times New Roman"/>
        <w:sz w:val="18"/>
      </w:rPr>
      <w:tblPr/>
      <w:tcPr>
        <w:shd w:val="clear" w:color="auto" w:fill="E0E0E0"/>
      </w:tcPr>
    </w:tblStylePr>
    <w:tblStylePr w:type="band2Horz">
      <w:rPr>
        <w:rFonts w:ascii="ArialMT" w:hAnsi="ArialMT"/>
        <w:sz w:val="18"/>
      </w:rPr>
      <w:tblPr/>
      <w:tcPr>
        <w:shd w:val="clear" w:color="auto" w:fill="F0F0F0"/>
      </w:tcPr>
    </w:tblStylePr>
    <w:tblStylePr w:type="neCell">
      <w:rPr>
        <w:rFonts w:ascii="ArialMT" w:hAnsi="ArialMT"/>
        <w:sz w:val="18"/>
      </w:rPr>
      <w:tblPr/>
      <w:tcPr>
        <w:shd w:val="clear" w:color="auto" w:fill="C1C1C1"/>
      </w:tcPr>
    </w:tblStylePr>
    <w:tblStylePr w:type="nwCell">
      <w:rPr>
        <w:rFonts w:cs="Times New Roman"/>
      </w:rPr>
      <w:tblPr/>
      <w:tcPr>
        <w:shd w:val="clear" w:color="auto" w:fill="C1C1C1"/>
      </w:tcPr>
    </w:tblStylePr>
    <w:tblStylePr w:type="seCell">
      <w:rPr>
        <w:rFonts w:ascii="ArialMT" w:hAnsi="ArialMT"/>
        <w:sz w:val="18"/>
      </w:rPr>
    </w:tblStylePr>
    <w:tblStylePr w:type="swCell">
      <w:rPr>
        <w:rFonts w:ascii="ArialMT" w:hAnsi="ArialMT" w:cs="Times New Roman"/>
        <w:sz w:val="18"/>
      </w:rPr>
    </w:tblStylePr>
  </w:style>
  <w:style w:type="table" w:customStyle="1" w:styleId="ColorfulList-Accent32">
    <w:name w:val="Colorful List - Accent 32"/>
    <w:basedOn w:val="TableNormal"/>
    <w:next w:val="ColorfulList-Accent3"/>
    <w:uiPriority w:val="99"/>
    <w:pPr>
      <w:spacing w:after="0" w:line="240" w:lineRule="auto"/>
    </w:pPr>
    <w:rPr>
      <w:rFonts w:ascii="Calibri" w:eastAsia="Calibri" w:hAnsi="Calibri" w:cs="Times New Roman"/>
      <w:color w:val="000000"/>
      <w:sz w:val="20"/>
      <w:szCs w:val="20"/>
      <w:lang w:eastAsia="en-GB"/>
    </w:rPr>
    <w:tblPr>
      <w:tblStyleRowBandSize w:val="1"/>
      <w:tblStyleColBandSize w:val="1"/>
    </w:tblPr>
    <w:tcPr>
      <w:shd w:val="clear" w:color="auto" w:fill="F5F5F5"/>
    </w:tcPr>
    <w:tblStylePr w:type="firstRow">
      <w:rPr>
        <w:rFonts w:cs="Times New Roman"/>
        <w:b/>
        <w:bCs/>
        <w:color w:val="646464"/>
      </w:rPr>
      <w:tblPr/>
      <w:tcPr>
        <w:tcBorders>
          <w:bottom w:val="single" w:sz="12" w:space="0" w:color="646464"/>
        </w:tcBorders>
        <w:shd w:val="clear" w:color="auto" w:fill="C0C0C0"/>
      </w:tcPr>
    </w:tblStylePr>
    <w:tblStylePr w:type="lastRow">
      <w:rPr>
        <w:rFonts w:cs="Times New Roman"/>
        <w:b/>
        <w:bCs/>
        <w:color w:val="C0C0C0"/>
      </w:rPr>
      <w:tblPr/>
      <w:tcPr>
        <w:tcBorders>
          <w:top w:val="single" w:sz="12" w:space="0" w:color="000000"/>
        </w:tcBorders>
        <w:shd w:val="clear" w:color="auto" w:fill="646464"/>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paragraph" w:customStyle="1" w:styleId="Bullettabella">
    <w:name w:val="Bullet tabella"/>
    <w:basedOn w:val="ListParagraph"/>
    <w:uiPriority w:val="99"/>
    <w:qFormat/>
    <w:pPr>
      <w:widowControl w:val="0"/>
      <w:adjustRightInd w:val="0"/>
      <w:spacing w:before="120" w:after="120" w:line="276" w:lineRule="auto"/>
      <w:ind w:left="360" w:hanging="360"/>
      <w:contextualSpacing w:val="0"/>
      <w:textAlignment w:val="baseline"/>
    </w:pPr>
    <w:rPr>
      <w:rFonts w:ascii="EYInterstate Light" w:hAnsi="EYInterstate Light"/>
      <w:sz w:val="18"/>
      <w:szCs w:val="22"/>
    </w:rPr>
  </w:style>
  <w:style w:type="character" w:customStyle="1" w:styleId="CommentSubjectChar1">
    <w:name w:val="Comment Subject Char1"/>
    <w:basedOn w:val="DefaultParagraphFont"/>
    <w:uiPriority w:val="99"/>
    <w:semiHidden/>
    <w:locked/>
    <w:rPr>
      <w:rFonts w:ascii="EYInterstate Light" w:hAnsi="EYInterstate Light" w:cs="Times New Roman"/>
      <w:b/>
      <w:bCs/>
      <w:sz w:val="20"/>
      <w:szCs w:val="20"/>
      <w:lang w:val="en-GB" w:eastAsia="en-US"/>
    </w:rPr>
  </w:style>
  <w:style w:type="table" w:customStyle="1" w:styleId="LightShading-Accent111">
    <w:name w:val="Light Shading - Accent 111"/>
    <w:uiPriority w:val="99"/>
    <w:pPr>
      <w:spacing w:after="0" w:line="240" w:lineRule="auto"/>
    </w:pPr>
    <w:rPr>
      <w:rFonts w:ascii="Calibri" w:eastAsia="Calibri" w:hAnsi="Calibri" w:cs="Times New Roman"/>
      <w:color w:val="5F5E61"/>
      <w:sz w:val="20"/>
      <w:szCs w:val="20"/>
      <w:lang w:eastAsia="en-GB"/>
    </w:rPr>
    <w:tblPr>
      <w:tblStyleRowBandSize w:val="1"/>
      <w:tblStyleColBandSize w:val="1"/>
      <w:tblInd w:w="0" w:type="dxa"/>
      <w:tblBorders>
        <w:top w:val="single" w:sz="8" w:space="0" w:color="7F7E82"/>
        <w:bottom w:val="single" w:sz="8" w:space="0" w:color="7F7E82"/>
      </w:tblBorders>
      <w:tblCellMar>
        <w:top w:w="0" w:type="dxa"/>
        <w:left w:w="108" w:type="dxa"/>
        <w:bottom w:w="0" w:type="dxa"/>
        <w:right w:w="108" w:type="dxa"/>
      </w:tblCellMar>
    </w:tblPr>
  </w:style>
  <w:style w:type="paragraph" w:customStyle="1" w:styleId="Style9">
    <w:name w:val="Style9"/>
    <w:basedOn w:val="Normal"/>
    <w:link w:val="Style9Char"/>
    <w:qFormat/>
    <w:pPr>
      <w:spacing w:before="120" w:after="60" w:line="276" w:lineRule="auto"/>
      <w:ind w:left="1776" w:hanging="360"/>
    </w:pPr>
    <w:rPr>
      <w:rFonts w:ascii="EYInterstate Light" w:eastAsia="Calibri" w:hAnsi="EYInterstate Light"/>
      <w:sz w:val="20"/>
      <w:szCs w:val="22"/>
    </w:rPr>
  </w:style>
  <w:style w:type="table" w:customStyle="1" w:styleId="ColorfulShading-Accent21">
    <w:name w:val="Colorful Shading - Accent 21"/>
    <w:basedOn w:val="TableNormal"/>
    <w:next w:val="ColorfulShading-Accent2"/>
    <w:uiPriority w:val="71"/>
    <w:pPr>
      <w:spacing w:after="0" w:line="240" w:lineRule="auto"/>
    </w:pPr>
    <w:rPr>
      <w:rFonts w:ascii="EYInterstate Light" w:eastAsia="Calibri" w:hAnsi="EYInterstate Light" w:cs="Times New Roman"/>
      <w:color w:val="000000"/>
      <w:sz w:val="20"/>
      <w:szCs w:val="20"/>
      <w:lang w:val="nl-BE"/>
    </w:rPr>
    <w:tblPr>
      <w:tblStyleRowBandSize w:val="1"/>
      <w:tblStyleColBandSize w:val="1"/>
      <w:tblBorders>
        <w:top w:val="single" w:sz="24" w:space="0" w:color="FFE600"/>
        <w:left w:val="single" w:sz="4" w:space="0" w:color="FFE600"/>
        <w:bottom w:val="single" w:sz="4" w:space="0" w:color="FFE600"/>
        <w:right w:val="single" w:sz="4" w:space="0" w:color="FFE600"/>
        <w:insideH w:val="single" w:sz="4" w:space="0" w:color="646464"/>
        <w:insideV w:val="single" w:sz="4" w:space="0" w:color="646464"/>
      </w:tblBorders>
    </w:tblPr>
    <w:tcPr>
      <w:shd w:val="clear" w:color="auto" w:fill="FFE600"/>
    </w:tcPr>
    <w:tblStylePr w:type="firstRow">
      <w:rPr>
        <w:b/>
        <w:bCs/>
      </w:rPr>
      <w:tblPr/>
      <w:tcPr>
        <w:tcBorders>
          <w:top w:val="nil"/>
          <w:left w:val="nil"/>
          <w:bottom w:val="single" w:sz="24" w:space="0" w:color="FFE600"/>
          <w:right w:val="nil"/>
          <w:insideH w:val="nil"/>
          <w:insideV w:val="nil"/>
        </w:tcBorders>
        <w:shd w:val="clear" w:color="auto" w:fill="646464"/>
      </w:tcPr>
    </w:tblStylePr>
    <w:tblStylePr w:type="lastRow">
      <w:rPr>
        <w:b/>
        <w:bCs/>
        <w:color w:val="646464"/>
      </w:rPr>
      <w:tblPr/>
      <w:tcPr>
        <w:tcBorders>
          <w:top w:val="single" w:sz="6" w:space="0" w:color="646464"/>
        </w:tcBorders>
        <w:shd w:val="clear" w:color="auto" w:fill="998A00"/>
      </w:tcPr>
    </w:tblStylePr>
    <w:tblStylePr w:type="firstCol">
      <w:rPr>
        <w:color w:val="646464"/>
      </w:rPr>
      <w:tblPr/>
      <w:tcPr>
        <w:tcBorders>
          <w:top w:val="nil"/>
          <w:left w:val="nil"/>
          <w:bottom w:val="nil"/>
          <w:right w:val="nil"/>
          <w:insideH w:val="single" w:sz="4" w:space="0" w:color="998A00"/>
          <w:insideV w:val="nil"/>
        </w:tcBorders>
        <w:shd w:val="clear" w:color="auto" w:fill="998A00"/>
      </w:tcPr>
    </w:tblStylePr>
    <w:tblStylePr w:type="lastCol">
      <w:rPr>
        <w:color w:val="646464"/>
      </w:rPr>
      <w:tblPr/>
      <w:tcPr>
        <w:tcBorders>
          <w:top w:val="nil"/>
          <w:left w:val="nil"/>
          <w:bottom w:val="nil"/>
          <w:right w:val="nil"/>
          <w:insideH w:val="nil"/>
          <w:insideV w:val="nil"/>
        </w:tcBorders>
        <w:shd w:val="clear" w:color="auto" w:fill="998A00"/>
      </w:tcPr>
    </w:tblStylePr>
    <w:tblStylePr w:type="band1Vert">
      <w:tblPr/>
      <w:tcPr>
        <w:shd w:val="clear" w:color="auto" w:fill="FFF599"/>
      </w:tcPr>
    </w:tblStylePr>
    <w:tblStylePr w:type="band1Horz">
      <w:tblPr/>
      <w:tcPr>
        <w:shd w:val="clear" w:color="auto" w:fill="FFF280"/>
      </w:tcPr>
    </w:tblStylePr>
    <w:tblStylePr w:type="neCell">
      <w:rPr>
        <w:color w:val="000000"/>
      </w:rPr>
    </w:tblStylePr>
    <w:tblStylePr w:type="nwCell">
      <w:rPr>
        <w:color w:val="000000"/>
      </w:rPr>
    </w:tblStylePr>
  </w:style>
  <w:style w:type="table" w:customStyle="1" w:styleId="ColorfulShading-Accent41">
    <w:name w:val="Colorful Shading - Accent 41"/>
    <w:basedOn w:val="TableNormal"/>
    <w:next w:val="ColorfulShading-Accent4"/>
    <w:uiPriority w:val="71"/>
    <w:pPr>
      <w:spacing w:after="0" w:line="240" w:lineRule="auto"/>
    </w:pPr>
    <w:rPr>
      <w:rFonts w:ascii="EYInterstate Light" w:eastAsia="Calibri" w:hAnsi="EYInterstate Light" w:cs="Times New Roman"/>
      <w:color w:val="000000"/>
      <w:sz w:val="20"/>
      <w:szCs w:val="20"/>
      <w:lang w:val="nl-BE"/>
    </w:rPr>
    <w:tblPr>
      <w:tblStyleRowBandSize w:val="1"/>
      <w:tblStyleColBandSize w:val="1"/>
      <w:tblBorders>
        <w:top w:val="single" w:sz="24" w:space="0" w:color="999999"/>
        <w:left w:val="single" w:sz="4" w:space="0" w:color="F0F0F0"/>
        <w:bottom w:val="single" w:sz="4" w:space="0" w:color="F0F0F0"/>
        <w:right w:val="single" w:sz="4" w:space="0" w:color="F0F0F0"/>
        <w:insideH w:val="single" w:sz="4" w:space="0" w:color="646464"/>
        <w:insideV w:val="single" w:sz="4" w:space="0" w:color="646464"/>
      </w:tblBorders>
    </w:tblPr>
    <w:tcPr>
      <w:shd w:val="clear" w:color="auto" w:fill="FDFDFD"/>
    </w:tcPr>
    <w:tblStylePr w:type="firstRow">
      <w:rPr>
        <w:b/>
        <w:bCs/>
      </w:rPr>
      <w:tblPr/>
      <w:tcPr>
        <w:tcBorders>
          <w:top w:val="nil"/>
          <w:left w:val="nil"/>
          <w:bottom w:val="single" w:sz="24" w:space="0" w:color="999999"/>
          <w:right w:val="nil"/>
          <w:insideH w:val="nil"/>
          <w:insideV w:val="nil"/>
        </w:tcBorders>
        <w:shd w:val="clear" w:color="auto" w:fill="646464"/>
      </w:tcPr>
    </w:tblStylePr>
    <w:tblStylePr w:type="lastRow">
      <w:rPr>
        <w:b/>
        <w:bCs/>
        <w:color w:val="646464"/>
      </w:rPr>
      <w:tblPr/>
      <w:tcPr>
        <w:tcBorders>
          <w:top w:val="single" w:sz="6" w:space="0" w:color="646464"/>
        </w:tcBorders>
        <w:shd w:val="clear" w:color="auto" w:fill="909090"/>
      </w:tcPr>
    </w:tblStylePr>
    <w:tblStylePr w:type="firstCol">
      <w:rPr>
        <w:color w:val="646464"/>
      </w:rPr>
      <w:tblPr/>
      <w:tcPr>
        <w:tcBorders>
          <w:top w:val="nil"/>
          <w:left w:val="nil"/>
          <w:bottom w:val="nil"/>
          <w:right w:val="nil"/>
          <w:insideH w:val="single" w:sz="4" w:space="0" w:color="909090"/>
          <w:insideV w:val="nil"/>
        </w:tcBorders>
        <w:shd w:val="clear" w:color="auto" w:fill="909090"/>
      </w:tcPr>
    </w:tblStylePr>
    <w:tblStylePr w:type="lastCol">
      <w:rPr>
        <w:color w:val="646464"/>
      </w:rPr>
      <w:tblPr/>
      <w:tcPr>
        <w:tcBorders>
          <w:top w:val="nil"/>
          <w:left w:val="nil"/>
          <w:bottom w:val="nil"/>
          <w:right w:val="nil"/>
          <w:insideH w:val="nil"/>
          <w:insideV w:val="nil"/>
        </w:tcBorders>
        <w:shd w:val="clear" w:color="auto" w:fill="909090"/>
      </w:tcPr>
    </w:tblStylePr>
    <w:tblStylePr w:type="band1Vert">
      <w:tblPr/>
      <w:tcPr>
        <w:shd w:val="clear" w:color="auto" w:fill="F9F9F9"/>
      </w:tcPr>
    </w:tblStylePr>
    <w:tblStylePr w:type="band1Horz">
      <w:tblPr/>
      <w:tcPr>
        <w:shd w:val="clear" w:color="auto" w:fill="F7F7F7"/>
      </w:tcPr>
    </w:tblStylePr>
    <w:tblStylePr w:type="neCell">
      <w:rPr>
        <w:color w:val="000000"/>
      </w:rPr>
    </w:tblStylePr>
    <w:tblStylePr w:type="nwCell">
      <w:rPr>
        <w:color w:val="000000"/>
      </w:rPr>
    </w:tblStylePr>
  </w:style>
  <w:style w:type="table" w:customStyle="1" w:styleId="ColorfulList-Accent11">
    <w:name w:val="Colorful List - Accent 11"/>
    <w:basedOn w:val="TableNormal"/>
    <w:next w:val="ColorfulList-Accent1"/>
    <w:uiPriority w:val="72"/>
    <w:pPr>
      <w:spacing w:after="0" w:line="240" w:lineRule="auto"/>
    </w:pPr>
    <w:rPr>
      <w:rFonts w:ascii="EYInterstate Light" w:eastAsia="Calibri" w:hAnsi="EYInterstate Light" w:cs="Times New Roman"/>
      <w:color w:val="000000"/>
      <w:sz w:val="20"/>
      <w:szCs w:val="20"/>
      <w:lang w:val="nl-BE"/>
    </w:rPr>
    <w:tblPr>
      <w:tblStyleRowBandSize w:val="1"/>
      <w:tblStyleColBandSize w:val="1"/>
    </w:tblPr>
    <w:tcPr>
      <w:shd w:val="clear" w:color="auto" w:fill="F2F2F2"/>
    </w:tcPr>
    <w:tblStylePr w:type="firstRow">
      <w:rPr>
        <w:b/>
        <w:bCs/>
        <w:color w:val="646464"/>
      </w:rPr>
      <w:tblPr/>
      <w:tcPr>
        <w:tcBorders>
          <w:bottom w:val="single" w:sz="12" w:space="0" w:color="646464"/>
        </w:tcBorders>
        <w:shd w:val="clear" w:color="auto" w:fill="CCB800"/>
      </w:tcPr>
    </w:tblStylePr>
    <w:tblStylePr w:type="lastRow">
      <w:rPr>
        <w:b/>
        <w:bCs/>
        <w:color w:val="CCB800"/>
      </w:rPr>
      <w:tblPr/>
      <w:tcPr>
        <w:tcBorders>
          <w:top w:val="single" w:sz="12" w:space="0" w:color="000000"/>
        </w:tcBorders>
        <w:shd w:val="clear" w:color="auto" w:fill="64646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E0"/>
      </w:tcPr>
    </w:tblStylePr>
    <w:tblStylePr w:type="band1Horz">
      <w:tblPr/>
      <w:tcPr>
        <w:shd w:val="clear" w:color="auto" w:fill="E5E5E6"/>
      </w:tcPr>
    </w:tblStylePr>
  </w:style>
  <w:style w:type="table" w:customStyle="1" w:styleId="MediumGrid1-Accent41">
    <w:name w:val="Medium Grid 1 - Accent 41"/>
    <w:basedOn w:val="TableNormal"/>
    <w:next w:val="MediumGrid1-Accent4"/>
    <w:uiPriority w:val="67"/>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Pr>
    <w:tcPr>
      <w:shd w:val="clear" w:color="auto" w:fill="FBFBFB"/>
    </w:tcPr>
    <w:tblStylePr w:type="firstRow">
      <w:rPr>
        <w:b/>
        <w:bCs/>
      </w:rPr>
    </w:tblStylePr>
    <w:tblStylePr w:type="lastRow">
      <w:rPr>
        <w:b/>
        <w:bCs/>
      </w:rPr>
      <w:tblPr/>
      <w:tcPr>
        <w:tcBorders>
          <w:top w:val="single" w:sz="18" w:space="0" w:color="F3F3F3"/>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ghtList-Accent21">
    <w:name w:val="Light List - Accent 21"/>
    <w:basedOn w:val="TableNormal"/>
    <w:next w:val="LightList-Accent2"/>
    <w:uiPriority w:val="61"/>
    <w:pPr>
      <w:spacing w:after="0" w:line="240" w:lineRule="auto"/>
    </w:pPr>
    <w:rPr>
      <w:rFonts w:ascii="EYInterstate Light" w:eastAsia="Calibri" w:hAnsi="EYInterstate Light" w:cs="Times New Roman"/>
      <w:sz w:val="20"/>
      <w:szCs w:val="20"/>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paragraph" w:customStyle="1" w:styleId="Legende">
    <w:name w:val="Legende"/>
    <w:basedOn w:val="Normal"/>
    <w:pPr>
      <w:spacing w:before="120" w:after="120" w:line="320" w:lineRule="exact"/>
    </w:pPr>
    <w:rPr>
      <w:rFonts w:ascii="EYInterstate Light" w:hAnsi="EYInterstate Light"/>
      <w:i/>
      <w:color w:val="646464"/>
      <w:sz w:val="18"/>
      <w:szCs w:val="18"/>
    </w:rPr>
  </w:style>
  <w:style w:type="character" w:customStyle="1" w:styleId="TOC1Char">
    <w:name w:val="TOC 1 Char"/>
    <w:basedOn w:val="DefaultParagraphFont"/>
    <w:link w:val="TOC1"/>
    <w:uiPriority w:val="39"/>
    <w:rPr>
      <w:rFonts w:ascii="Times New Roman" w:eastAsia="Times New Roman" w:hAnsi="Times New Roman" w:cs="Times New Roman"/>
      <w:bCs/>
      <w:smallCaps/>
      <w:color w:val="365F91" w:themeColor="accent1" w:themeShade="BF"/>
      <w:sz w:val="20"/>
      <w:szCs w:val="20"/>
    </w:rPr>
  </w:style>
  <w:style w:type="table" w:customStyle="1" w:styleId="Table-standard">
    <w:name w:val="Table - standard"/>
    <w:basedOn w:val="TableNormal"/>
    <w:pPr>
      <w:spacing w:before="60" w:after="60" w:line="240" w:lineRule="auto"/>
    </w:pPr>
    <w:rPr>
      <w:rFonts w:ascii="EYInterstate Light" w:eastAsia="Times New Roman" w:hAnsi="EYInterstate Light" w:cs="Times New Roman"/>
      <w:sz w:val="18"/>
      <w:szCs w:val="20"/>
      <w:lang w:val="fr-FR" w:eastAsia="fr-FR"/>
    </w:rPr>
    <w:tblPr>
      <w:tblBorders>
        <w:insideH w:val="single" w:sz="4" w:space="0" w:color="auto"/>
      </w:tblBorders>
    </w:tblPr>
    <w:tcPr>
      <w:shd w:val="clear" w:color="auto" w:fill="auto"/>
    </w:tcPr>
    <w:tblStylePr w:type="firstRow">
      <w:rPr>
        <w:rFonts w:ascii="ArialMT" w:hAnsi="ArialMT"/>
        <w:sz w:val="18"/>
      </w:rPr>
      <w:tblPr/>
      <w:tcPr>
        <w:shd w:val="clear" w:color="auto" w:fill="FFE600"/>
      </w:tcPr>
    </w:tblStylePr>
    <w:tblStylePr w:type="lastRow">
      <w:rPr>
        <w:rFonts w:ascii="ArialMT" w:hAnsi="ArialMT"/>
      </w:rPr>
    </w:tblStylePr>
    <w:tblStylePr w:type="firstCol">
      <w:tblPr/>
      <w:tcPr>
        <w:tcBorders>
          <w:insideH w:val="single" w:sz="4" w:space="0" w:color="auto"/>
        </w:tcBorders>
        <w:shd w:val="clear" w:color="auto" w:fill="F2F2F2"/>
      </w:tcPr>
    </w:tblStylePr>
  </w:style>
  <w:style w:type="paragraph" w:customStyle="1" w:styleId="Imageplaceholder">
    <w:name w:val="Image placeholder"/>
    <w:qFormat/>
    <w:pPr>
      <w:spacing w:after="0" w:line="240" w:lineRule="auto"/>
      <w:jc w:val="center"/>
    </w:pPr>
    <w:rPr>
      <w:rFonts w:ascii="EYInterstate" w:eastAsia="Times New Roman" w:hAnsi="EYInterstate" w:cs="Times New Roman"/>
      <w:color w:val="FFFFFF"/>
      <w:sz w:val="28"/>
      <w:szCs w:val="24"/>
    </w:rPr>
  </w:style>
  <w:style w:type="paragraph" w:customStyle="1" w:styleId="TableContent">
    <w:name w:val="Table Content"/>
    <w:basedOn w:val="Normal"/>
    <w:pPr>
      <w:spacing w:before="60" w:after="60"/>
    </w:pPr>
    <w:rPr>
      <w:rFonts w:ascii="EYInterstate Light" w:hAnsi="EYInterstate Light"/>
      <w:sz w:val="18"/>
      <w:lang w:val="en-US"/>
    </w:rPr>
  </w:style>
  <w:style w:type="paragraph" w:customStyle="1" w:styleId="TableBullet0">
    <w:name w:val="Table Bullet"/>
    <w:basedOn w:val="Normal"/>
    <w:pPr>
      <w:tabs>
        <w:tab w:val="num" w:pos="0"/>
      </w:tabs>
      <w:suppressAutoHyphens/>
      <w:ind w:left="284" w:hanging="284"/>
    </w:pPr>
    <w:rPr>
      <w:rFonts w:ascii="EYInterstate Light" w:hAnsi="EYInterstate Light"/>
      <w:sz w:val="18"/>
      <w:lang w:val="en-US" w:eastAsia="ar-SA"/>
    </w:rPr>
  </w:style>
  <w:style w:type="table" w:customStyle="1" w:styleId="MediumShading2-Accent31">
    <w:name w:val="Medium Shading 2 - Accent 31"/>
    <w:basedOn w:val="TableNormal"/>
    <w:next w:val="MediumShading2-Accent3"/>
    <w:uiPriority w:val="64"/>
    <w:pP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646464"/>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646464"/>
      </w:tcPr>
    </w:tblStylePr>
    <w:tblStylePr w:type="firstCol">
      <w:rPr>
        <w:b/>
        <w:bCs/>
        <w:color w:val="646464"/>
      </w:rPr>
      <w:tblPr/>
      <w:tcPr>
        <w:tcBorders>
          <w:top w:val="nil"/>
          <w:left w:val="nil"/>
          <w:bottom w:val="single" w:sz="18" w:space="0" w:color="auto"/>
          <w:right w:val="nil"/>
          <w:insideH w:val="nil"/>
          <w:insideV w:val="nil"/>
        </w:tcBorders>
        <w:shd w:val="clear" w:color="auto" w:fill="999999"/>
      </w:tcPr>
    </w:tblStylePr>
    <w:tblStylePr w:type="lastCol">
      <w:rPr>
        <w:b/>
        <w:bCs/>
        <w:color w:val="646464"/>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545454"/>
      </w:tcPr>
    </w:tblStylePr>
    <w:tblStylePr w:type="band1Horz">
      <w:tblPr/>
      <w:tcPr>
        <w:shd w:val="clear" w:color="auto" w:fill="545454"/>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646464"/>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pPr>
      <w:spacing w:after="0" w:line="240" w:lineRule="auto"/>
    </w:pPr>
    <w:rPr>
      <w:rFonts w:ascii="Times New Roman" w:eastAsia="Times New Roman" w:hAnsi="Times New Roman" w:cs="Times New Roman"/>
      <w:sz w:val="20"/>
      <w:szCs w:val="20"/>
      <w:lang w:val="fr-FR" w:eastAsia="fr-FR"/>
    </w:rPr>
    <w:tblPr>
      <w:tblStyleRowBandSize w:val="1"/>
      <w:tblStyleColBandSize w:val="1"/>
      <w:tblBorders>
        <w:top w:val="single" w:sz="8" w:space="0" w:color="646464"/>
        <w:left w:val="single" w:sz="8" w:space="0" w:color="646464"/>
        <w:bottom w:val="single" w:sz="8" w:space="0" w:color="646464"/>
        <w:right w:val="single" w:sz="8" w:space="0" w:color="646464"/>
        <w:insideH w:val="single" w:sz="6" w:space="0" w:color="646464"/>
        <w:insideV w:val="single" w:sz="6" w:space="0" w:color="646464"/>
      </w:tblBorders>
    </w:tblPr>
    <w:tcPr>
      <w:shd w:val="clear" w:color="auto" w:fill="DFDFE0"/>
    </w:tcPr>
    <w:tblStylePr w:type="firstRow">
      <w:rPr>
        <w:b/>
        <w:bCs/>
        <w:i w:val="0"/>
        <w:iCs w:val="0"/>
        <w:color w:val="646464"/>
      </w:rPr>
      <w:tblPr/>
      <w:tcPr>
        <w:tcBorders>
          <w:top w:val="single" w:sz="8" w:space="0" w:color="646464"/>
          <w:left w:val="single" w:sz="8" w:space="0" w:color="646464"/>
          <w:bottom w:val="single" w:sz="24" w:space="0" w:color="646464"/>
          <w:right w:val="single" w:sz="8" w:space="0" w:color="646464"/>
          <w:insideH w:val="nil"/>
          <w:insideV w:val="single" w:sz="8" w:space="0" w:color="646464"/>
        </w:tcBorders>
        <w:shd w:val="clear" w:color="auto" w:fill="7F7E82"/>
      </w:tcPr>
    </w:tblStylePr>
    <w:tblStylePr w:type="lastRow">
      <w:rPr>
        <w:b/>
        <w:bCs/>
        <w:i w:val="0"/>
        <w:iCs w:val="0"/>
        <w:color w:val="646464"/>
      </w:rPr>
      <w:tblPr/>
      <w:tcPr>
        <w:tcBorders>
          <w:top w:val="single" w:sz="24" w:space="0" w:color="646464"/>
          <w:left w:val="single" w:sz="8" w:space="0" w:color="646464"/>
          <w:bottom w:val="single" w:sz="8" w:space="0" w:color="646464"/>
          <w:right w:val="single" w:sz="8" w:space="0" w:color="646464"/>
          <w:insideH w:val="nil"/>
          <w:insideV w:val="single" w:sz="8" w:space="0" w:color="646464"/>
        </w:tcBorders>
        <w:shd w:val="clear" w:color="auto" w:fill="7F7E82"/>
      </w:tcPr>
    </w:tblStylePr>
    <w:tblStylePr w:type="firstCol">
      <w:rPr>
        <w:b/>
        <w:bCs/>
        <w:i w:val="0"/>
        <w:iCs w:val="0"/>
        <w:color w:val="646464"/>
      </w:rPr>
      <w:tblPr/>
      <w:tcPr>
        <w:tcBorders>
          <w:left w:val="single" w:sz="8" w:space="0" w:color="646464"/>
          <w:right w:val="single" w:sz="24" w:space="0" w:color="646464"/>
          <w:insideH w:val="nil"/>
          <w:insideV w:val="nil"/>
        </w:tcBorders>
        <w:shd w:val="clear" w:color="auto" w:fill="7F7E82"/>
      </w:tcPr>
    </w:tblStylePr>
    <w:tblStylePr w:type="lastCol">
      <w:rPr>
        <w:b/>
        <w:bCs/>
        <w:i w:val="0"/>
        <w:iCs w:val="0"/>
        <w:color w:val="646464"/>
      </w:rPr>
      <w:tblPr/>
      <w:tcPr>
        <w:tcBorders>
          <w:top w:val="nil"/>
          <w:left w:val="single" w:sz="24" w:space="0" w:color="646464"/>
          <w:bottom w:val="nil"/>
          <w:right w:val="nil"/>
          <w:insideH w:val="nil"/>
          <w:insideV w:val="nil"/>
        </w:tcBorders>
        <w:shd w:val="clear" w:color="auto" w:fill="7F7E82"/>
      </w:tcPr>
    </w:tblStylePr>
    <w:tblStylePr w:type="band1Vert">
      <w:tblPr/>
      <w:tcPr>
        <w:tcBorders>
          <w:top w:val="single" w:sz="8" w:space="0" w:color="646464"/>
          <w:left w:val="single" w:sz="8" w:space="0" w:color="646464"/>
          <w:bottom w:val="single" w:sz="8" w:space="0" w:color="646464"/>
          <w:right w:val="single" w:sz="8" w:space="0" w:color="646464"/>
          <w:insideH w:val="nil"/>
          <w:insideV w:val="nil"/>
        </w:tcBorders>
        <w:shd w:val="clear" w:color="auto" w:fill="BFBEC0"/>
      </w:tcPr>
    </w:tblStylePr>
    <w:tblStylePr w:type="band1Horz">
      <w:tblPr/>
      <w:tcPr>
        <w:tcBorders>
          <w:top w:val="single" w:sz="8" w:space="0" w:color="646464"/>
          <w:left w:val="single" w:sz="8" w:space="0" w:color="646464"/>
          <w:bottom w:val="single" w:sz="8" w:space="0" w:color="646464"/>
          <w:right w:val="single" w:sz="8" w:space="0" w:color="646464"/>
          <w:insideH w:val="single" w:sz="8" w:space="0" w:color="646464"/>
          <w:insideV w:val="single" w:sz="8" w:space="0" w:color="646464"/>
        </w:tcBorders>
        <w:shd w:val="clear" w:color="auto" w:fill="BFBEC0"/>
      </w:tcPr>
    </w:tblStylePr>
  </w:style>
  <w:style w:type="character" w:customStyle="1" w:styleId="TableboxtextChar">
    <w:name w:val="Table/box text Char"/>
    <w:basedOn w:val="DefaultParagraphFont"/>
    <w:link w:val="Tableboxtext"/>
    <w:uiPriority w:val="99"/>
    <w:rPr>
      <w:rFonts w:ascii="Georgia" w:eastAsia="Calibri" w:hAnsi="Georgia" w:cs="Times New Roman"/>
      <w:sz w:val="18"/>
    </w:rPr>
  </w:style>
  <w:style w:type="character" w:customStyle="1" w:styleId="Style9Char">
    <w:name w:val="Style9 Char"/>
    <w:link w:val="Style9"/>
    <w:rPr>
      <w:rFonts w:ascii="EYInterstate Light" w:eastAsia="Calibri" w:hAnsi="EYInterstate Light" w:cs="Times New Roman"/>
      <w:sz w:val="20"/>
    </w:rPr>
  </w:style>
  <w:style w:type="table" w:customStyle="1" w:styleId="LightList-Accent211">
    <w:name w:val="Light List - Accent 211"/>
    <w:basedOn w:val="TableNormal"/>
    <w:next w:val="LightList-Accent2"/>
    <w:uiPriority w:val="61"/>
    <w:pPr>
      <w:spacing w:after="0" w:line="240" w:lineRule="auto"/>
    </w:pPr>
    <w:rPr>
      <w:rFonts w:ascii="Calibri" w:eastAsia="Calibri" w:hAnsi="Calibri" w:cs="Times New Roman"/>
      <w:sz w:val="20"/>
      <w:szCs w:val="20"/>
      <w:lang w:val="it-IT" w:eastAsia="it-IT"/>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numbering" w:customStyle="1" w:styleId="NoList21">
    <w:name w:val="No List21"/>
    <w:next w:val="NoList"/>
    <w:uiPriority w:val="99"/>
    <w:semiHidden/>
    <w:unhideWhenUsed/>
  </w:style>
  <w:style w:type="character" w:styleId="BookTitle">
    <w:name w:val="Book Title"/>
    <w:uiPriority w:val="33"/>
    <w:rPr>
      <w:i/>
      <w:iCs/>
      <w:smallCaps/>
      <w:spacing w:val="5"/>
    </w:rPr>
  </w:style>
  <w:style w:type="paragraph" w:customStyle="1" w:styleId="EYTableNormal">
    <w:name w:val="EY Table Normal"/>
    <w:basedOn w:val="Normal"/>
    <w:autoRedefine/>
    <w:pPr>
      <w:spacing w:before="40" w:after="40"/>
    </w:pPr>
    <w:rPr>
      <w:rFonts w:ascii="EYInterstate Light" w:hAnsi="EYInterstate Light"/>
      <w:color w:val="000000"/>
      <w:sz w:val="18"/>
      <w:szCs w:val="24"/>
      <w:lang w:val="en-US" w:eastAsia="en-GB"/>
    </w:rPr>
  </w:style>
  <w:style w:type="paragraph" w:customStyle="1" w:styleId="EYTableHeadingWhite">
    <w:name w:val="EY Table Heading (White)"/>
    <w:basedOn w:val="Normal"/>
    <w:pPr>
      <w:spacing w:before="60" w:after="60"/>
    </w:pPr>
    <w:rPr>
      <w:rFonts w:ascii="EYInterstate Regular" w:hAnsi="EYInterstate Regular"/>
      <w:bCs/>
      <w:color w:val="FFFFFF"/>
      <w:sz w:val="18"/>
      <w:szCs w:val="24"/>
      <w:lang w:val="en-US"/>
    </w:rPr>
  </w:style>
  <w:style w:type="table" w:customStyle="1" w:styleId="LightShading-Accent42">
    <w:name w:val="Light Shading - Accent 42"/>
    <w:basedOn w:val="TableNormal"/>
    <w:next w:val="LightShading-Accent4"/>
    <w:uiPriority w:val="60"/>
    <w:pPr>
      <w:spacing w:after="0" w:line="240" w:lineRule="auto"/>
    </w:pPr>
    <w:rPr>
      <w:rFonts w:ascii="EYInterstate Light" w:eastAsia="Calibri" w:hAnsi="EYInterstate Light" w:cs="Times New Roman"/>
      <w:color w:val="5F497A"/>
      <w:sz w:val="20"/>
      <w:szCs w:val="20"/>
      <w:lang w:val="it-IT"/>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
    <w:name w:val="Light Shading - Accent 41"/>
    <w:basedOn w:val="TableNormal"/>
    <w:next w:val="LightShading-Accent4"/>
    <w:uiPriority w:val="60"/>
    <w:pPr>
      <w:spacing w:after="0" w:line="240" w:lineRule="auto"/>
    </w:pPr>
    <w:rPr>
      <w:rFonts w:ascii="EYInterstate Light" w:eastAsia="Calibri" w:hAnsi="EYInterstate Light" w:cs="Times New Roman"/>
      <w:color w:val="B3B3B3"/>
      <w:sz w:val="20"/>
      <w:szCs w:val="20"/>
      <w:lang w:val="nl-BE"/>
    </w:rPr>
    <w:tblPr>
      <w:tblStyleRowBandSize w:val="1"/>
      <w:tblStyleColBandSize w:val="1"/>
      <w:tblBorders>
        <w:top w:val="single" w:sz="8" w:space="0" w:color="F0F0F0"/>
        <w:bottom w:val="single" w:sz="8" w:space="0" w:color="F0F0F0"/>
      </w:tblBorders>
    </w:tblPr>
    <w:tblStylePr w:type="firstRow">
      <w:pPr>
        <w:spacing w:before="0" w:after="0" w:line="240" w:lineRule="auto"/>
      </w:pPr>
      <w:rPr>
        <w:b/>
        <w:bCs/>
      </w:rPr>
      <w:tblPr/>
      <w:tcPr>
        <w:tcBorders>
          <w:top w:val="single" w:sz="8" w:space="0" w:color="F0F0F0"/>
          <w:left w:val="nil"/>
          <w:bottom w:val="single" w:sz="8" w:space="0" w:color="F0F0F0"/>
          <w:right w:val="nil"/>
          <w:insideH w:val="nil"/>
          <w:insideV w:val="nil"/>
        </w:tcBorders>
      </w:tcPr>
    </w:tblStylePr>
    <w:tblStylePr w:type="lastRow">
      <w:pPr>
        <w:spacing w:before="0" w:after="0" w:line="240" w:lineRule="auto"/>
      </w:pPr>
      <w:rPr>
        <w:b/>
        <w:bCs/>
      </w:rPr>
      <w:tblPr/>
      <w:tcPr>
        <w:tcBorders>
          <w:top w:val="single" w:sz="8" w:space="0" w:color="F0F0F0"/>
          <w:left w:val="nil"/>
          <w:bottom w:val="single" w:sz="8" w:space="0" w:color="F0F0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B"/>
      </w:tcPr>
    </w:tblStylePr>
    <w:tblStylePr w:type="band1Horz">
      <w:tblPr/>
      <w:tcPr>
        <w:tcBorders>
          <w:left w:val="nil"/>
          <w:right w:val="nil"/>
          <w:insideH w:val="nil"/>
          <w:insideV w:val="nil"/>
        </w:tcBorders>
        <w:shd w:val="clear" w:color="auto" w:fill="FBFBFB"/>
      </w:tcPr>
    </w:tblStylePr>
  </w:style>
  <w:style w:type="paragraph" w:customStyle="1" w:styleId="ListepuceCV">
    <w:name w:val="Liste puce CV"/>
    <w:basedOn w:val="Normal"/>
    <w:pPr>
      <w:numPr>
        <w:numId w:val="46"/>
      </w:numPr>
      <w:spacing w:before="20" w:after="120" w:line="276" w:lineRule="auto"/>
    </w:pPr>
    <w:rPr>
      <w:rFonts w:ascii="EYInterstate Light" w:hAnsi="EYInterstate Light"/>
      <w:color w:val="C00000"/>
      <w:sz w:val="20"/>
      <w:szCs w:val="24"/>
    </w:rPr>
  </w:style>
  <w:style w:type="table" w:customStyle="1" w:styleId="LightGrid-Accent41">
    <w:name w:val="Light Grid - Accent 41"/>
    <w:basedOn w:val="TableNormal"/>
    <w:next w:val="LightGrid-Accent4"/>
    <w:uiPriority w:val="62"/>
    <w:pPr>
      <w:spacing w:after="0" w:line="240" w:lineRule="auto"/>
    </w:pPr>
    <w:rPr>
      <w:rFonts w:ascii="EYInterstate Light" w:eastAsia="Calibri" w:hAnsi="EYInterstate Light" w:cs="Times New Roman"/>
      <w:sz w:val="18"/>
      <w:szCs w:val="20"/>
      <w:lang w:val="nl-BE"/>
    </w:rPr>
    <w:tblPr>
      <w:tblStyleRowBandSize w:val="1"/>
      <w:tblStyleColBandSize w:val="1"/>
      <w:tblBorders>
        <w:top w:val="single" w:sz="8" w:space="0" w:color="F0F0F0"/>
        <w:left w:val="single" w:sz="8" w:space="0" w:color="F0F0F0"/>
        <w:bottom w:val="single" w:sz="8" w:space="0" w:color="F0F0F0"/>
        <w:right w:val="single" w:sz="8" w:space="0" w:color="F0F0F0"/>
        <w:insideH w:val="single" w:sz="8" w:space="0" w:color="F0F0F0"/>
        <w:insideV w:val="single" w:sz="8" w:space="0" w:color="F0F0F0"/>
      </w:tblBorders>
    </w:tblPr>
    <w:tblStylePr w:type="firstRow">
      <w:pPr>
        <w:spacing w:before="0" w:after="0" w:line="240" w:lineRule="auto"/>
      </w:pPr>
      <w:rPr>
        <w:rFonts w:ascii="ArialMT" w:eastAsia="MS Gothic" w:hAnsi="ArialMT" w:cs="Times New Roman"/>
        <w:b/>
        <w:bCs/>
        <w:sz w:val="18"/>
      </w:rPr>
      <w:tblPr/>
      <w:tcPr>
        <w:tcBorders>
          <w:top w:val="single" w:sz="8" w:space="0" w:color="F0F0F0"/>
          <w:left w:val="single" w:sz="8" w:space="0" w:color="F0F0F0"/>
          <w:bottom w:val="single" w:sz="18" w:space="0" w:color="F0F0F0"/>
          <w:right w:val="single" w:sz="8" w:space="0" w:color="F0F0F0"/>
          <w:insideH w:val="nil"/>
          <w:insideV w:val="single" w:sz="8" w:space="0" w:color="F0F0F0"/>
        </w:tcBorders>
      </w:tcPr>
    </w:tblStylePr>
    <w:tblStylePr w:type="lastRow">
      <w:pPr>
        <w:spacing w:before="0" w:after="0" w:line="240" w:lineRule="auto"/>
      </w:pPr>
      <w:rPr>
        <w:rFonts w:ascii="ArialMT" w:eastAsia="MS Gothic" w:hAnsi="ArialMT" w:cs="Times New Roman"/>
        <w:b/>
        <w:bCs/>
        <w:sz w:val="18"/>
      </w:rPr>
      <w:tblPr/>
      <w:tcPr>
        <w:tcBorders>
          <w:top w:val="double" w:sz="6" w:space="0" w:color="F0F0F0"/>
          <w:left w:val="single" w:sz="8" w:space="0" w:color="F0F0F0"/>
          <w:bottom w:val="single" w:sz="8" w:space="0" w:color="F0F0F0"/>
          <w:right w:val="single" w:sz="8" w:space="0" w:color="F0F0F0"/>
          <w:insideH w:val="nil"/>
          <w:insideV w:val="single" w:sz="8" w:space="0" w:color="F0F0F0"/>
        </w:tcBorders>
      </w:tcPr>
    </w:tblStylePr>
    <w:tblStylePr w:type="firstCol">
      <w:rPr>
        <w:rFonts w:ascii="ArialMT" w:eastAsia="MS Gothic" w:hAnsi="ArialMT" w:cs="Times New Roman"/>
        <w:b/>
        <w:bCs/>
        <w:sz w:val="18"/>
      </w:rPr>
    </w:tblStylePr>
    <w:tblStylePr w:type="lastCol">
      <w:rPr>
        <w:rFonts w:ascii="ArialMT" w:eastAsia="MS Gothic" w:hAnsi="ArialMT" w:cs="Times New Roman"/>
        <w:b/>
        <w:bCs/>
      </w:rPr>
      <w:tblPr/>
      <w:tcPr>
        <w:tcBorders>
          <w:top w:val="single" w:sz="8" w:space="0" w:color="F0F0F0"/>
          <w:left w:val="single" w:sz="8" w:space="0" w:color="F0F0F0"/>
          <w:bottom w:val="single" w:sz="8" w:space="0" w:color="F0F0F0"/>
          <w:right w:val="single" w:sz="8" w:space="0" w:color="F0F0F0"/>
        </w:tcBorders>
      </w:tcPr>
    </w:tblStylePr>
    <w:tblStylePr w:type="band1Vert">
      <w:tblPr/>
      <w:tcPr>
        <w:tcBorders>
          <w:top w:val="single" w:sz="8" w:space="0" w:color="F0F0F0"/>
          <w:left w:val="single" w:sz="8" w:space="0" w:color="F0F0F0"/>
          <w:bottom w:val="single" w:sz="8" w:space="0" w:color="F0F0F0"/>
          <w:right w:val="single" w:sz="8" w:space="0" w:color="F0F0F0"/>
        </w:tcBorders>
        <w:shd w:val="clear" w:color="auto" w:fill="FBFBFB"/>
      </w:tcPr>
    </w:tblStylePr>
    <w:tblStylePr w:type="band2Vert">
      <w:rPr>
        <w:rFonts w:ascii="ArialMT" w:hAnsi="ArialMT"/>
        <w:sz w:val="18"/>
      </w:rPr>
    </w:tblStylePr>
    <w:tblStylePr w:type="band1Horz">
      <w:rPr>
        <w:rFonts w:ascii="ArialMT" w:hAnsi="ArialMT"/>
      </w:rPr>
      <w:tblPr/>
      <w:tcPr>
        <w:tcBorders>
          <w:top w:val="single" w:sz="8" w:space="0" w:color="F0F0F0"/>
          <w:left w:val="single" w:sz="8" w:space="0" w:color="F0F0F0"/>
          <w:bottom w:val="single" w:sz="8" w:space="0" w:color="F0F0F0"/>
          <w:right w:val="single" w:sz="8" w:space="0" w:color="F0F0F0"/>
          <w:insideV w:val="single" w:sz="8" w:space="0" w:color="F0F0F0"/>
        </w:tcBorders>
        <w:shd w:val="clear" w:color="auto" w:fill="FBFBFB"/>
      </w:tcPr>
    </w:tblStylePr>
    <w:tblStylePr w:type="band2Horz">
      <w:rPr>
        <w:rFonts w:ascii="ArialMT" w:hAnsi="ArialMT"/>
      </w:rPr>
      <w:tblPr/>
      <w:tcPr>
        <w:tcBorders>
          <w:top w:val="single" w:sz="8" w:space="0" w:color="F0F0F0"/>
          <w:left w:val="single" w:sz="8" w:space="0" w:color="F0F0F0"/>
          <w:bottom w:val="single" w:sz="8" w:space="0" w:color="F0F0F0"/>
          <w:right w:val="single" w:sz="8" w:space="0" w:color="F0F0F0"/>
          <w:insideV w:val="single" w:sz="8" w:space="0" w:color="F0F0F0"/>
        </w:tcBorders>
      </w:tcPr>
    </w:tblStylePr>
  </w:style>
  <w:style w:type="table" w:customStyle="1" w:styleId="CV2">
    <w:name w:val="CV2"/>
    <w:basedOn w:val="TableNormal"/>
    <w:pPr>
      <w:spacing w:after="0" w:line="240" w:lineRule="auto"/>
    </w:pPr>
    <w:rPr>
      <w:rFonts w:ascii="EYInterstate" w:eastAsia="Times New Roman" w:hAnsi="EYInterstate" w:cs="Times New Roman"/>
      <w:sz w:val="16"/>
      <w:szCs w:val="16"/>
      <w:lang w:val="fr-FR" w:eastAsia="fr-FR"/>
    </w:rPr>
    <w:tblPr>
      <w:tblBorders>
        <w:top w:val="single" w:sz="8" w:space="0" w:color="808080"/>
        <w:bottom w:val="single" w:sz="8" w:space="0" w:color="808080"/>
        <w:insideH w:val="single" w:sz="2" w:space="0" w:color="808080"/>
      </w:tblBorders>
      <w:tblCellMar>
        <w:top w:w="85" w:type="dxa"/>
      </w:tblCellMar>
    </w:tblPr>
    <w:tcPr>
      <w:shd w:val="clear" w:color="auto" w:fill="auto"/>
    </w:tcPr>
    <w:tblStylePr w:type="firstRow">
      <w:pPr>
        <w:wordWrap/>
        <w:spacing w:line="240" w:lineRule="auto"/>
      </w:pPr>
      <w:rPr>
        <w:rFonts w:ascii="Arial Narrow" w:hAnsi="Arial Narrow"/>
        <w:b w:val="0"/>
        <w:bCs/>
        <w:color w:val="auto"/>
        <w:sz w:val="16"/>
      </w:rPr>
      <w:tblPr/>
      <w:tcPr>
        <w:tcBorders>
          <w:top w:val="nil"/>
          <w:left w:val="nil"/>
          <w:bottom w:val="nil"/>
          <w:right w:val="nil"/>
          <w:insideH w:val="nil"/>
          <w:insideV w:val="nil"/>
          <w:tl2br w:val="nil"/>
          <w:tr2bl w:val="nil"/>
        </w:tcBorders>
        <w:shd w:val="clear" w:color="auto" w:fill="FFD200"/>
      </w:tcPr>
    </w:tblStylePr>
    <w:tblStylePr w:type="nwCell">
      <w:pPr>
        <w:wordWrap/>
        <w:spacing w:line="240" w:lineRule="auto"/>
      </w:pPr>
      <w:rPr>
        <w:rFonts w:ascii="Arial Narrow" w:hAnsi="Arial Narrow"/>
      </w:rPr>
      <w:tblPr/>
      <w:tcPr>
        <w:tcBorders>
          <w:top w:val="nil"/>
          <w:left w:val="nil"/>
          <w:bottom w:val="nil"/>
          <w:right w:val="nil"/>
          <w:insideH w:val="nil"/>
          <w:insideV w:val="nil"/>
          <w:tl2br w:val="nil"/>
          <w:tr2bl w:val="nil"/>
        </w:tcBorders>
        <w:shd w:val="clear" w:color="auto" w:fill="FFD200"/>
      </w:tcPr>
    </w:tblStylePr>
  </w:style>
  <w:style w:type="table" w:customStyle="1" w:styleId="LightShading2">
    <w:name w:val="Light Shading2"/>
    <w:basedOn w:val="TableNormal"/>
    <w:next w:val="LightShading"/>
    <w:uiPriority w:val="60"/>
    <w:pPr>
      <w:spacing w:after="0" w:line="240" w:lineRule="auto"/>
    </w:pPr>
    <w:rPr>
      <w:rFonts w:ascii="EYInterstate Light" w:eastAsia="Calibri" w:hAnsi="EYInterstate Light" w:cs="Times New Roman"/>
      <w:color w:val="000000"/>
      <w:sz w:val="20"/>
      <w:szCs w:val="20"/>
      <w:lang w:val="nl-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
    <w:name w:val="Light Shading - Accent 21"/>
    <w:basedOn w:val="TableNormal"/>
    <w:next w:val="LightShading-Accent2"/>
    <w:uiPriority w:val="60"/>
    <w:pPr>
      <w:spacing w:after="0" w:line="240" w:lineRule="auto"/>
    </w:pPr>
    <w:rPr>
      <w:rFonts w:ascii="EYInterstate Light" w:eastAsia="Calibri" w:hAnsi="EYInterstate Light" w:cs="Times New Roman"/>
      <w:color w:val="BFAC00"/>
      <w:sz w:val="18"/>
      <w:szCs w:val="20"/>
      <w:lang w:val="nl-BE"/>
    </w:rPr>
    <w:tblPr>
      <w:tblStyleRowBandSize w:val="1"/>
      <w:tblStyleColBandSize w:val="1"/>
      <w:tblBorders>
        <w:top w:val="single" w:sz="8" w:space="0" w:color="FFE600"/>
        <w:bottom w:val="single" w:sz="8" w:space="0" w:color="FFE600"/>
      </w:tblBorders>
    </w:tblPr>
    <w:tblStylePr w:type="firstRow">
      <w:pPr>
        <w:spacing w:before="0" w:after="0" w:line="240" w:lineRule="auto"/>
      </w:pPr>
      <w:rPr>
        <w:b/>
        <w:bCs/>
      </w:rPr>
      <w:tblPr/>
      <w:tcPr>
        <w:tcBorders>
          <w:top w:val="single" w:sz="8" w:space="0" w:color="FFE600"/>
          <w:left w:val="nil"/>
          <w:bottom w:val="single" w:sz="8" w:space="0" w:color="FFE600"/>
          <w:right w:val="nil"/>
          <w:insideH w:val="nil"/>
          <w:insideV w:val="nil"/>
        </w:tcBorders>
      </w:tcPr>
    </w:tblStylePr>
    <w:tblStylePr w:type="lastRow">
      <w:pPr>
        <w:spacing w:before="0" w:after="0" w:line="240" w:lineRule="auto"/>
      </w:pPr>
      <w:rPr>
        <w:b/>
        <w:bCs/>
      </w:rPr>
      <w:tblPr/>
      <w:tcPr>
        <w:tcBorders>
          <w:top w:val="single" w:sz="8" w:space="0" w:color="FFE600"/>
          <w:left w:val="nil"/>
          <w:bottom w:val="single" w:sz="8" w:space="0" w:color="FFE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C0"/>
      </w:tcPr>
    </w:tblStylePr>
    <w:tblStylePr w:type="band1Horz">
      <w:tblPr/>
      <w:tcPr>
        <w:tcBorders>
          <w:left w:val="nil"/>
          <w:right w:val="nil"/>
          <w:insideH w:val="nil"/>
          <w:insideV w:val="nil"/>
        </w:tcBorders>
        <w:shd w:val="clear" w:color="auto" w:fill="FFF8C0"/>
      </w:tcPr>
    </w:tblStylePr>
  </w:style>
  <w:style w:type="table" w:customStyle="1" w:styleId="LightShading-Accent11">
    <w:name w:val="Light Shading - Accent 11"/>
    <w:basedOn w:val="TableNormal"/>
    <w:next w:val="LightShading-Accent1"/>
    <w:uiPriority w:val="60"/>
    <w:pPr>
      <w:spacing w:after="0" w:line="240" w:lineRule="auto"/>
    </w:pPr>
    <w:rPr>
      <w:rFonts w:ascii="EYInterstate Light" w:eastAsia="Calibri" w:hAnsi="EYInterstate Light" w:cs="Times New Roman"/>
      <w:color w:val="5F5E61"/>
      <w:sz w:val="18"/>
      <w:szCs w:val="20"/>
      <w:lang w:val="nl-BE"/>
    </w:rPr>
    <w:tblPr>
      <w:tblStyleRowBandSize w:val="1"/>
      <w:tblStyleColBandSize w:val="1"/>
      <w:tblBorders>
        <w:top w:val="single" w:sz="8" w:space="0" w:color="7F7E82"/>
        <w:bottom w:val="single" w:sz="8" w:space="0" w:color="7F7E82"/>
      </w:tblBorders>
    </w:tblPr>
    <w:tblStylePr w:type="firstRow">
      <w:pPr>
        <w:spacing w:before="0" w:after="0" w:line="240" w:lineRule="auto"/>
      </w:pPr>
      <w:rPr>
        <w:b/>
        <w:bCs/>
      </w:rPr>
      <w:tblPr/>
      <w:tcPr>
        <w:tcBorders>
          <w:top w:val="single" w:sz="8" w:space="0" w:color="7F7E82"/>
          <w:left w:val="nil"/>
          <w:bottom w:val="single" w:sz="8" w:space="0" w:color="7F7E82"/>
          <w:right w:val="nil"/>
          <w:insideH w:val="nil"/>
          <w:insideV w:val="nil"/>
        </w:tcBorders>
      </w:tcPr>
    </w:tblStylePr>
    <w:tblStylePr w:type="lastRow">
      <w:pPr>
        <w:spacing w:before="0" w:after="0" w:line="240" w:lineRule="auto"/>
      </w:pPr>
      <w:rPr>
        <w:b/>
        <w:bCs/>
      </w:rPr>
      <w:tblPr/>
      <w:tcPr>
        <w:tcBorders>
          <w:top w:val="single" w:sz="8" w:space="0" w:color="7F7E82"/>
          <w:left w:val="nil"/>
          <w:bottom w:val="single" w:sz="8" w:space="0" w:color="7F7E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E0"/>
      </w:tcPr>
    </w:tblStylePr>
    <w:tblStylePr w:type="band1Horz">
      <w:tblPr/>
      <w:tcPr>
        <w:tcBorders>
          <w:left w:val="nil"/>
          <w:right w:val="nil"/>
          <w:insideH w:val="nil"/>
          <w:insideV w:val="nil"/>
        </w:tcBorders>
        <w:shd w:val="clear" w:color="auto" w:fill="DFDFE0"/>
      </w:tcPr>
    </w:tblStylePr>
  </w:style>
  <w:style w:type="paragraph" w:customStyle="1" w:styleId="Lettrepuce2">
    <w:name w:val="Lettre puce 2"/>
    <w:basedOn w:val="Normal"/>
    <w:uiPriority w:val="99"/>
    <w:pPr>
      <w:numPr>
        <w:numId w:val="47"/>
      </w:numPr>
      <w:tabs>
        <w:tab w:val="left" w:pos="560"/>
      </w:tabs>
      <w:spacing w:before="60" w:after="60" w:line="276" w:lineRule="auto"/>
    </w:pPr>
    <w:rPr>
      <w:rFonts w:ascii="EYInterstate Light" w:hAnsi="EYInterstate Light"/>
      <w:sz w:val="20"/>
      <w:szCs w:val="18"/>
    </w:rPr>
  </w:style>
  <w:style w:type="table" w:customStyle="1" w:styleId="ColorfulList-Accent311">
    <w:name w:val="Colorful List - Accent 311"/>
    <w:basedOn w:val="TableNormal"/>
    <w:uiPriority w:val="72"/>
    <w:pPr>
      <w:spacing w:after="0" w:line="240" w:lineRule="auto"/>
    </w:pPr>
    <w:rPr>
      <w:rFonts w:ascii="Calibri" w:eastAsia="Calibri" w:hAnsi="Calibri" w:cs="Times New Roman"/>
      <w:color w:val="000000"/>
      <w:lang w:val="nl-BE"/>
    </w:rPr>
    <w:tblPr>
      <w:tblStyleRowBandSize w:val="1"/>
      <w:tblStyleColBandSize w:val="1"/>
    </w:tblPr>
    <w:tcPr>
      <w:shd w:val="clear" w:color="auto" w:fill="F5F5F5"/>
    </w:tcPr>
    <w:tblStylePr w:type="firstRow">
      <w:rPr>
        <w:b/>
        <w:bCs/>
        <w:color w:val="646464"/>
      </w:rPr>
      <w:tblPr/>
      <w:tcPr>
        <w:tcBorders>
          <w:bottom w:val="single" w:sz="12" w:space="0" w:color="646464"/>
        </w:tcBorders>
        <w:shd w:val="clear" w:color="auto" w:fill="C0C0C0"/>
      </w:tcPr>
    </w:tblStylePr>
    <w:tblStylePr w:type="lastRow">
      <w:rPr>
        <w:b/>
        <w:bCs/>
        <w:color w:val="C0C0C0"/>
      </w:rPr>
      <w:tblPr/>
      <w:tcPr>
        <w:tcBorders>
          <w:top w:val="single" w:sz="12" w:space="0" w:color="000000"/>
        </w:tcBorders>
        <w:shd w:val="clear" w:color="auto" w:fill="646464"/>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customStyle="1" w:styleId="TabelEcorys1">
    <w:name w:val="TabelEcorys1"/>
    <w:basedOn w:val="TableNormal"/>
    <w:next w:val="TableGrid"/>
    <w:uiPriority w:val="59"/>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00Char">
    <w:name w:val="000 Char"/>
    <w:aliases w:val="standaard Char,standaard uitvullen Char,stan084daard Char,standaard (alt-s) Char,standaard uitvull0083 Char,standaard 040 Char,standaard 042 Char,standaard 155 Char,standaard81 Char,standaard uitv042ullen Char,standaard uitvulle045n Char"/>
    <w:basedOn w:val="DefaultParagraphFont"/>
    <w:link w:val="000"/>
    <w:rPr>
      <w:rFonts w:ascii="Arial" w:eastAsia="Times New Roman" w:hAnsi="Arial" w:cs="Times New Roman"/>
      <w:sz w:val="18"/>
      <w:szCs w:val="20"/>
      <w:lang w:val="nl-NL" w:eastAsia="nl-BE"/>
    </w:rPr>
  </w:style>
  <w:style w:type="paragraph" w:customStyle="1" w:styleId="EYBodytextnoparaspace">
    <w:name w:val="EY Body text (no para space)"/>
    <w:basedOn w:val="000"/>
    <w:link w:val="EYBodytextnoparaspaceChar"/>
    <w:qFormat/>
    <w:pPr>
      <w:tabs>
        <w:tab w:val="left" w:pos="907"/>
      </w:tabs>
      <w:spacing w:before="60" w:after="60"/>
    </w:pPr>
    <w:rPr>
      <w:rFonts w:ascii="EYInterstate Light" w:hAnsi="EYInterstate Light"/>
      <w:kern w:val="12"/>
      <w:lang w:val="en-US"/>
    </w:rPr>
  </w:style>
  <w:style w:type="character" w:customStyle="1" w:styleId="EYBodytextnoparaspaceChar">
    <w:name w:val="EY Body text (no para space) Char"/>
    <w:basedOn w:val="000Char"/>
    <w:link w:val="EYBodytextnoparaspace"/>
    <w:rPr>
      <w:rFonts w:ascii="EYInterstate Light" w:eastAsia="Times New Roman" w:hAnsi="EYInterstate Light" w:cs="Times New Roman"/>
      <w:kern w:val="12"/>
      <w:sz w:val="18"/>
      <w:szCs w:val="20"/>
      <w:lang w:val="en-US" w:eastAsia="nl-BE"/>
    </w:rPr>
  </w:style>
  <w:style w:type="paragraph" w:customStyle="1" w:styleId="table">
    <w:name w:val="table"/>
    <w:basedOn w:val="Normal"/>
    <w:qFormat/>
    <w:pPr>
      <w:spacing w:before="120" w:after="120"/>
      <w:contextualSpacing/>
    </w:pPr>
    <w:rPr>
      <w:rFonts w:ascii="EYInterstate Light" w:hAnsi="EYInterstate Light"/>
      <w:sz w:val="18"/>
      <w:szCs w:val="18"/>
      <w:lang w:val="en-US"/>
    </w:rPr>
  </w:style>
  <w:style w:type="paragraph" w:customStyle="1" w:styleId="Captiondghome">
    <w:name w:val="Caption dg home"/>
    <w:basedOn w:val="Normal"/>
    <w:link w:val="CaptiondghomeChar"/>
    <w:qFormat/>
    <w:pPr>
      <w:keepNext/>
      <w:spacing w:before="200" w:after="120"/>
      <w:jc w:val="center"/>
    </w:pPr>
    <w:rPr>
      <w:rFonts w:ascii="EYInterstate" w:eastAsia="Calibri" w:hAnsi="EYInterstate"/>
      <w:b/>
      <w:bCs/>
      <w:color w:val="7F7E82"/>
      <w:sz w:val="18"/>
      <w:szCs w:val="18"/>
    </w:rPr>
  </w:style>
  <w:style w:type="character" w:customStyle="1" w:styleId="CaptiondghomeChar">
    <w:name w:val="Caption dg home Char"/>
    <w:basedOn w:val="DefaultParagraphFont"/>
    <w:link w:val="Captiondghome"/>
    <w:rPr>
      <w:rFonts w:ascii="EYInterstate" w:eastAsia="Calibri" w:hAnsi="EYInterstate" w:cs="Times New Roman"/>
      <w:b/>
      <w:bCs/>
      <w:color w:val="7F7E82"/>
      <w:sz w:val="18"/>
      <w:szCs w:val="18"/>
    </w:rPr>
  </w:style>
  <w:style w:type="table" w:customStyle="1" w:styleId="CV13">
    <w:name w:val="CV13"/>
    <w:basedOn w:val="TableNormal"/>
    <w:next w:val="TableGrid"/>
    <w:uiPriority w:val="59"/>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EY">
    <w:name w:val="Tableau titre_EY"/>
    <w:basedOn w:val="Normal"/>
    <w:link w:val="TableautitreEYChar"/>
    <w:autoRedefine/>
    <w:pPr>
      <w:keepNext/>
      <w:spacing w:beforeLines="23" w:before="55" w:afterLines="23" w:after="55" w:line="276" w:lineRule="auto"/>
      <w:ind w:right="-108"/>
      <w:jc w:val="center"/>
    </w:pPr>
    <w:rPr>
      <w:rFonts w:ascii="EYInterstate Light" w:hAnsi="EYInterstate Light"/>
      <w:bCs/>
      <w:color w:val="595959"/>
      <w:sz w:val="20"/>
      <w:lang w:val="en-US"/>
    </w:rPr>
  </w:style>
  <w:style w:type="character" w:customStyle="1" w:styleId="TableautitreEYChar">
    <w:name w:val="Tableau titre_EY Char"/>
    <w:basedOn w:val="DefaultParagraphFont"/>
    <w:link w:val="TableautitreEY"/>
    <w:rPr>
      <w:rFonts w:ascii="EYInterstate Light" w:eastAsia="Times New Roman" w:hAnsi="EYInterstate Light" w:cs="Times New Roman"/>
      <w:bCs/>
      <w:color w:val="595959"/>
      <w:sz w:val="20"/>
      <w:szCs w:val="20"/>
      <w:lang w:val="en-US"/>
    </w:rPr>
  </w:style>
  <w:style w:type="paragraph" w:customStyle="1" w:styleId="Heading3EYEY">
    <w:name w:val="Heading 3 EY EY"/>
    <w:basedOn w:val="Heading1"/>
    <w:link w:val="Heading3EYEYChar"/>
    <w:autoRedefine/>
    <w:pPr>
      <w:keepLines/>
      <w:spacing w:before="360" w:after="120" w:line="276" w:lineRule="auto"/>
    </w:pPr>
    <w:rPr>
      <w:rFonts w:ascii="EYInterstate" w:eastAsia="MS Gothic" w:hAnsi="EYInterstate"/>
      <w:bCs/>
      <w:smallCaps w:val="0"/>
      <w:noProof/>
      <w:color w:val="646464"/>
      <w:sz w:val="32"/>
      <w:szCs w:val="32"/>
    </w:rPr>
  </w:style>
  <w:style w:type="paragraph" w:customStyle="1" w:styleId="Heading2EYEY">
    <w:name w:val="Heading 2 EY EY"/>
    <w:basedOn w:val="Heading1"/>
    <w:autoRedefine/>
    <w:pPr>
      <w:keepLines/>
      <w:ind w:left="1021" w:hanging="1021"/>
    </w:pPr>
    <w:rPr>
      <w:rFonts w:ascii="EYInterstate Light" w:eastAsia="MS Gothic" w:hAnsi="EYInterstate Light"/>
      <w:bCs/>
      <w:smallCaps w:val="0"/>
      <w:color w:val="646464"/>
      <w:sz w:val="22"/>
      <w:szCs w:val="44"/>
    </w:rPr>
  </w:style>
  <w:style w:type="character" w:customStyle="1" w:styleId="Heading3EYEYChar">
    <w:name w:val="Heading 3 EY EY Char"/>
    <w:basedOn w:val="Heading1Char"/>
    <w:link w:val="Heading3EYEY"/>
    <w:rPr>
      <w:rFonts w:ascii="EYInterstate" w:eastAsia="MS Gothic" w:hAnsi="EYInterstate" w:cs="Times New Roman"/>
      <w:b/>
      <w:bCs/>
      <w:smallCaps w:val="0"/>
      <w:noProof/>
      <w:color w:val="646464"/>
      <w:sz w:val="32"/>
      <w:szCs w:val="32"/>
    </w:rPr>
  </w:style>
  <w:style w:type="paragraph" w:customStyle="1" w:styleId="Heading4EYEY">
    <w:name w:val="Heading 4 EY EY"/>
    <w:basedOn w:val="Heading1"/>
    <w:link w:val="Heading4EYEYChar"/>
    <w:autoRedefine/>
    <w:pPr>
      <w:keepLines/>
      <w:spacing w:line="276" w:lineRule="auto"/>
      <w:ind w:left="709"/>
    </w:pPr>
    <w:rPr>
      <w:rFonts w:ascii="EYInterstate" w:eastAsia="MS Gothic" w:hAnsi="EYInterstate"/>
      <w:bCs/>
      <w:smallCaps w:val="0"/>
      <w:noProof/>
      <w:color w:val="646464"/>
      <w:sz w:val="48"/>
      <w:szCs w:val="28"/>
      <w:lang w:val="en"/>
    </w:rPr>
  </w:style>
  <w:style w:type="character" w:customStyle="1" w:styleId="Heading4EYEYChar">
    <w:name w:val="Heading 4 EY EY Char"/>
    <w:basedOn w:val="Heading1Char"/>
    <w:link w:val="Heading4EYEY"/>
    <w:rPr>
      <w:rFonts w:ascii="EYInterstate" w:eastAsia="MS Gothic" w:hAnsi="EYInterstate" w:cs="Times New Roman"/>
      <w:b/>
      <w:bCs/>
      <w:smallCaps w:val="0"/>
      <w:noProof/>
      <w:color w:val="646464"/>
      <w:sz w:val="48"/>
      <w:szCs w:val="28"/>
      <w:lang w:val="en"/>
    </w:rPr>
  </w:style>
  <w:style w:type="table" w:customStyle="1" w:styleId="MediumList2-Accent2111">
    <w:name w:val="Medium List 2 - Accent 2111"/>
    <w:basedOn w:val="TableNormal"/>
    <w:uiPriority w:val="99"/>
    <w:pPr>
      <w:spacing w:after="0" w:line="240" w:lineRule="auto"/>
    </w:pPr>
    <w:rPr>
      <w:rFonts w:ascii="EYInterstate Light" w:eastAsia="Times New Roman" w:hAnsi="EYInterstate Light" w:cs="Times New Roman"/>
      <w:color w:val="000000"/>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cs="Times New Roman"/>
        <w:sz w:val="24"/>
        <w:szCs w:val="24"/>
      </w:rPr>
      <w:tblPr/>
      <w:tcPr>
        <w:shd w:val="clear" w:color="auto" w:fill="C1C1C1"/>
      </w:tcPr>
    </w:tblStylePr>
    <w:tblStylePr w:type="lastRow">
      <w:rPr>
        <w:rFonts w:ascii="ArialMT" w:hAnsi="ArialMT" w:cs="Times New Roman"/>
        <w:color w:val="auto"/>
        <w:sz w:val="18"/>
      </w:rPr>
      <w:tblPr/>
      <w:tcPr>
        <w:shd w:val="clear" w:color="auto" w:fill="F0F0F0"/>
      </w:tcPr>
    </w:tblStylePr>
    <w:tblStylePr w:type="firstCol">
      <w:rPr>
        <w:rFonts w:ascii="ArialMT" w:hAnsi="ArialMT" w:cs="Times New Roman"/>
        <w:sz w:val="18"/>
      </w:rPr>
    </w:tblStylePr>
    <w:tblStylePr w:type="lastCol">
      <w:rPr>
        <w:rFonts w:ascii="ArialMT" w:hAnsi="ArialMT" w:cs="Times New Roman"/>
        <w:sz w:val="18"/>
      </w:rPr>
    </w:tblStylePr>
    <w:tblStylePr w:type="band1Vert">
      <w:rPr>
        <w:rFonts w:ascii="ArialMT" w:hAnsi="ArialMT" w:cs="Times New Roman"/>
        <w:sz w:val="18"/>
      </w:rPr>
    </w:tblStylePr>
    <w:tblStylePr w:type="band2Vert">
      <w:rPr>
        <w:rFonts w:ascii="ArialMT" w:hAnsi="ArialMT"/>
        <w:sz w:val="18"/>
      </w:rPr>
    </w:tblStylePr>
    <w:tblStylePr w:type="band1Horz">
      <w:rPr>
        <w:rFonts w:ascii="ArialMT" w:hAnsi="ArialMT" w:cs="Times New Roman"/>
        <w:sz w:val="18"/>
      </w:rPr>
      <w:tblPr/>
      <w:tcPr>
        <w:shd w:val="clear" w:color="auto" w:fill="E0E0E0"/>
      </w:tcPr>
    </w:tblStylePr>
    <w:tblStylePr w:type="band2Horz">
      <w:rPr>
        <w:rFonts w:ascii="ArialMT" w:hAnsi="ArialMT"/>
        <w:sz w:val="18"/>
      </w:rPr>
      <w:tblPr/>
      <w:tcPr>
        <w:shd w:val="clear" w:color="auto" w:fill="F0F0F0"/>
      </w:tcPr>
    </w:tblStylePr>
    <w:tblStylePr w:type="neCell">
      <w:rPr>
        <w:rFonts w:ascii="ArialMT" w:hAnsi="ArialMT"/>
        <w:sz w:val="18"/>
      </w:rPr>
      <w:tblPr/>
      <w:tcPr>
        <w:shd w:val="clear" w:color="auto" w:fill="C1C1C1"/>
      </w:tcPr>
    </w:tblStylePr>
    <w:tblStylePr w:type="nwCell">
      <w:rPr>
        <w:rFonts w:cs="Times New Roman"/>
      </w:rPr>
      <w:tblPr/>
      <w:tcPr>
        <w:shd w:val="clear" w:color="auto" w:fill="C1C1C1"/>
      </w:tcPr>
    </w:tblStylePr>
    <w:tblStylePr w:type="seCell">
      <w:rPr>
        <w:rFonts w:ascii="ArialMT" w:hAnsi="ArialMT"/>
        <w:sz w:val="18"/>
      </w:rPr>
    </w:tblStylePr>
    <w:tblStylePr w:type="swCell">
      <w:rPr>
        <w:rFonts w:ascii="ArialMT" w:hAnsi="ArialMT" w:cs="Times New Roman"/>
        <w:sz w:val="18"/>
      </w:rPr>
    </w:tblStylePr>
  </w:style>
  <w:style w:type="table" w:customStyle="1" w:styleId="Table-standard1">
    <w:name w:val="Table - standard1"/>
    <w:basedOn w:val="TableNormal"/>
    <w:pPr>
      <w:spacing w:after="0" w:line="240" w:lineRule="auto"/>
    </w:pPr>
    <w:rPr>
      <w:rFonts w:ascii="EYInterstate Light" w:eastAsia="Times New Roman" w:hAnsi="EYInterstate Light" w:cs="Times New Roman"/>
      <w:sz w:val="20"/>
      <w:szCs w:val="20"/>
      <w:lang w:val="fr-FR" w:eastAsia="fr-FR"/>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sz w:val="18"/>
      </w:rPr>
      <w:tblPr/>
      <w:tcPr>
        <w:shd w:val="clear" w:color="auto" w:fill="FFC000"/>
      </w:tcPr>
    </w:tblStylePr>
    <w:tblStylePr w:type="lastRow">
      <w:rPr>
        <w:rFonts w:ascii="ArialMT" w:hAnsi="ArialMT"/>
      </w:rPr>
    </w:tblStylePr>
  </w:style>
  <w:style w:type="paragraph" w:customStyle="1" w:styleId="CVNormal">
    <w:name w:val="CV Normal"/>
    <w:basedOn w:val="Normal"/>
    <w:pPr>
      <w:suppressAutoHyphens/>
      <w:ind w:left="113" w:right="113"/>
    </w:pPr>
    <w:rPr>
      <w:rFonts w:ascii="Arial Narrow" w:hAnsi="Arial Narrow"/>
      <w:sz w:val="20"/>
      <w:lang w:val="en-US" w:eastAsia="ar-SA"/>
    </w:rPr>
  </w:style>
  <w:style w:type="paragraph" w:customStyle="1" w:styleId="ECVSectionBullet">
    <w:name w:val="_ECV_SectionBullet"/>
    <w:basedOn w:val="Normal"/>
    <w:pPr>
      <w:widowControl w:val="0"/>
      <w:suppressLineNumbers/>
      <w:suppressAutoHyphens/>
      <w:autoSpaceDE w:val="0"/>
      <w:spacing w:line="100" w:lineRule="atLeast"/>
    </w:pPr>
    <w:rPr>
      <w:rFonts w:ascii="Arial" w:eastAsia="SimSun" w:hAnsi="Arial" w:cs="Mangal"/>
      <w:color w:val="3F3A38"/>
      <w:spacing w:val="-6"/>
      <w:kern w:val="1"/>
      <w:sz w:val="18"/>
      <w:szCs w:val="24"/>
      <w:lang w:eastAsia="zh-CN" w:bidi="hi-IN"/>
    </w:rPr>
  </w:style>
  <w:style w:type="paragraph" w:customStyle="1" w:styleId="TableParagraph">
    <w:name w:val="Table Paragraph"/>
    <w:basedOn w:val="Normal"/>
    <w:uiPriority w:val="1"/>
    <w:qFormat/>
    <w:pPr>
      <w:widowControl w:val="0"/>
    </w:pPr>
    <w:rPr>
      <w:rFonts w:ascii="Calibri" w:eastAsia="Calibri" w:hAnsi="Calibri"/>
      <w:sz w:val="22"/>
      <w:szCs w:val="22"/>
      <w:lang w:val="en-US"/>
    </w:rPr>
  </w:style>
  <w:style w:type="paragraph" w:customStyle="1" w:styleId="Tableboxlist">
    <w:name w:val="Table/box list"/>
    <w:basedOn w:val="Normal"/>
    <w:uiPriority w:val="99"/>
    <w:qFormat/>
    <w:pPr>
      <w:spacing w:beforeLines="20" w:before="48" w:afterLines="20" w:after="48" w:line="160" w:lineRule="exact"/>
      <w:ind w:left="360" w:hanging="360"/>
    </w:pPr>
    <w:rPr>
      <w:rFonts w:ascii="Verdana" w:hAnsi="Verdana"/>
      <w:color w:val="000000"/>
      <w:sz w:val="18"/>
      <w:szCs w:val="18"/>
      <w:lang w:val="en-US" w:eastAsia="en-GB"/>
    </w:rPr>
  </w:style>
  <w:style w:type="table" w:customStyle="1" w:styleId="CV1111">
    <w:name w:val="CV1111"/>
    <w:basedOn w:val="TableNormal"/>
    <w:next w:val="TableGrid"/>
    <w:pPr>
      <w:spacing w:after="120" w:line="240" w:lineRule="exact"/>
      <w:jc w:val="right"/>
    </w:pPr>
    <w:rPr>
      <w:rFonts w:ascii="EYInterstate" w:eastAsia="Times New Roman" w:hAnsi="EYInterstate" w:cs="Times New Roman"/>
      <w:sz w:val="16"/>
      <w:szCs w:val="20"/>
      <w:lang w:val="fr-FR" w:eastAsia="fr-FR"/>
    </w:rPr>
    <w:tblPr>
      <w:tblStyleRowBandSize w:val="1"/>
      <w:tblStyleColBandSize w:val="1"/>
      <w:tblBorders>
        <w:top w:val="single" w:sz="24" w:space="0" w:color="808080"/>
        <w:bottom w:val="single" w:sz="24" w:space="0" w:color="808080"/>
        <w:insideH w:val="single" w:sz="8" w:space="0" w:color="808080"/>
      </w:tblBorders>
    </w:tblPr>
    <w:tcPr>
      <w:noWrap/>
    </w:tcPr>
    <w:tblStylePr w:type="firstRow">
      <w:rPr>
        <w:rFonts w:ascii="Garamond" w:hAnsi="Garamond"/>
        <w:sz w:val="16"/>
      </w:rPr>
    </w:tblStylePr>
  </w:style>
  <w:style w:type="paragraph" w:customStyle="1" w:styleId="SmallNormal">
    <w:name w:val="Small Normal"/>
    <w:basedOn w:val="Normal"/>
    <w:link w:val="SmallNormalChar"/>
    <w:pPr>
      <w:tabs>
        <w:tab w:val="num" w:pos="720"/>
        <w:tab w:val="right" w:pos="6804"/>
      </w:tabs>
      <w:spacing w:beforeLines="23" w:before="120" w:afterLines="23" w:after="60" w:line="276" w:lineRule="auto"/>
    </w:pPr>
    <w:rPr>
      <w:rFonts w:ascii="EYInterstate Light" w:eastAsia="Calibri" w:hAnsi="EYInterstate Light"/>
      <w:sz w:val="20"/>
      <w:szCs w:val="18"/>
    </w:rPr>
  </w:style>
  <w:style w:type="character" w:customStyle="1" w:styleId="SmallNormalChar">
    <w:name w:val="Small Normal Char"/>
    <w:basedOn w:val="DefaultParagraphFont"/>
    <w:link w:val="SmallNormal"/>
    <w:rPr>
      <w:rFonts w:ascii="EYInterstate Light" w:eastAsia="Calibri" w:hAnsi="EYInterstate Light" w:cs="Times New Roman"/>
      <w:sz w:val="20"/>
      <w:szCs w:val="18"/>
    </w:rPr>
  </w:style>
  <w:style w:type="paragraph" w:customStyle="1" w:styleId="Lettrepuce1">
    <w:name w:val="Lettre puce 1"/>
    <w:basedOn w:val="Normal"/>
    <w:pPr>
      <w:numPr>
        <w:numId w:val="48"/>
      </w:numPr>
      <w:tabs>
        <w:tab w:val="left" w:pos="294"/>
      </w:tabs>
      <w:overflowPunct w:val="0"/>
      <w:autoSpaceDE w:val="0"/>
      <w:autoSpaceDN w:val="0"/>
      <w:adjustRightInd w:val="0"/>
      <w:spacing w:before="120" w:after="120" w:line="300" w:lineRule="exact"/>
      <w:ind w:right="-109"/>
      <w:textAlignment w:val="baseline"/>
    </w:pPr>
    <w:rPr>
      <w:rFonts w:ascii="EYInterstate Light" w:hAnsi="EYInterstate Light"/>
      <w:sz w:val="18"/>
      <w:szCs w:val="18"/>
    </w:rPr>
  </w:style>
  <w:style w:type="character" w:customStyle="1" w:styleId="MatrixnormalChar">
    <w:name w:val="Matrix normal Char"/>
    <w:basedOn w:val="DefaultParagraphFont"/>
    <w:link w:val="Matrixnormal"/>
    <w:locked/>
    <w:rPr>
      <w:rFonts w:ascii="Arial" w:hAnsi="Arial" w:cs="Arial"/>
      <w:color w:val="000000"/>
    </w:rPr>
  </w:style>
  <w:style w:type="paragraph" w:customStyle="1" w:styleId="Matrixnormal">
    <w:name w:val="Matrix normal"/>
    <w:basedOn w:val="Normal"/>
    <w:link w:val="MatrixnormalChar"/>
    <w:qFormat/>
    <w:pPr>
      <w:spacing w:line="280" w:lineRule="exact"/>
    </w:pPr>
    <w:rPr>
      <w:rFonts w:ascii="Arial" w:eastAsiaTheme="minorHAnsi" w:hAnsi="Arial" w:cs="Arial"/>
      <w:color w:val="000000"/>
      <w:sz w:val="22"/>
      <w:szCs w:val="22"/>
    </w:rPr>
  </w:style>
  <w:style w:type="paragraph" w:customStyle="1" w:styleId="subhead321">
    <w:name w:val="subhead 321"/>
    <w:basedOn w:val="Normal"/>
    <w:next w:val="Normal"/>
    <w:uiPriority w:val="99"/>
    <w:unhideWhenUsed/>
    <w:qFormat/>
    <w:pPr>
      <w:keepNext/>
      <w:keepLines/>
      <w:spacing w:before="200" w:after="120" w:line="276" w:lineRule="auto"/>
      <w:ind w:left="864" w:hanging="864"/>
      <w:outlineLvl w:val="3"/>
    </w:pPr>
    <w:rPr>
      <w:rFonts w:ascii="EYInterstate Light" w:hAnsi="EYInterstate Light"/>
      <w:b/>
      <w:bCs/>
      <w:i/>
      <w:iCs/>
      <w:szCs w:val="22"/>
    </w:rPr>
  </w:style>
  <w:style w:type="paragraph" w:customStyle="1" w:styleId="boxbullet">
    <w:name w:val="box bullet"/>
    <w:basedOn w:val="ListParagraph"/>
    <w:uiPriority w:val="99"/>
    <w:pPr>
      <w:numPr>
        <w:numId w:val="49"/>
      </w:numPr>
      <w:suppressAutoHyphens/>
      <w:spacing w:after="80"/>
      <w:ind w:left="436"/>
    </w:pPr>
    <w:rPr>
      <w:rFonts w:ascii="Garamond" w:hAnsi="Garamond"/>
      <w:sz w:val="18"/>
      <w:szCs w:val="18"/>
    </w:rPr>
  </w:style>
  <w:style w:type="character" w:customStyle="1" w:styleId="IntenseEmphasis1">
    <w:name w:val="Intense Emphasis1"/>
    <w:basedOn w:val="DefaultParagraphFont"/>
    <w:uiPriority w:val="21"/>
    <w:qFormat/>
    <w:rPr>
      <w:b/>
      <w:bCs/>
      <w:i/>
      <w:iCs/>
      <w:color w:val="7F7E82"/>
    </w:rPr>
  </w:style>
  <w:style w:type="character" w:customStyle="1" w:styleId="at1">
    <w:name w:val="a__t1"/>
    <w:basedOn w:val="DefaultParagraphFont"/>
  </w:style>
  <w:style w:type="character" w:customStyle="1" w:styleId="CommentTextChar1">
    <w:name w:val="Comment Text Char1"/>
    <w:basedOn w:val="DefaultParagraphFont"/>
    <w:uiPriority w:val="99"/>
    <w:rPr>
      <w:sz w:val="20"/>
      <w:szCs w:val="20"/>
    </w:rPr>
  </w:style>
  <w:style w:type="numbering" w:customStyle="1" w:styleId="NoList3">
    <w:name w:val="No List3"/>
    <w:next w:val="NoList"/>
    <w:uiPriority w:val="99"/>
    <w:semiHidden/>
    <w:unhideWhenUsed/>
  </w:style>
  <w:style w:type="paragraph" w:customStyle="1" w:styleId="CommentText1">
    <w:name w:val="Comment Text1"/>
    <w:basedOn w:val="Normal"/>
    <w:next w:val="CommentText"/>
    <w:uiPriority w:val="99"/>
    <w:pPr>
      <w:spacing w:after="80"/>
    </w:pPr>
    <w:rPr>
      <w:rFonts w:ascii="Calibri" w:eastAsia="Calibri" w:hAnsi="Calibri"/>
      <w:sz w:val="22"/>
      <w:szCs w:val="22"/>
    </w:rPr>
  </w:style>
  <w:style w:type="table" w:customStyle="1" w:styleId="MediumList2-Accent2112">
    <w:name w:val="Medium List 2 - Accent 2112"/>
    <w:basedOn w:val="TableNormal"/>
    <w:uiPriority w:val="99"/>
    <w:pPr>
      <w:spacing w:after="0" w:line="240" w:lineRule="auto"/>
    </w:pPr>
    <w:rPr>
      <w:rFonts w:ascii="EYInterstate Light" w:eastAsia="Times New Roman" w:hAnsi="EYInterstate Light" w:cs="Times New Roman"/>
      <w:color w:val="000000"/>
      <w:sz w:val="18"/>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0F0F0"/>
    </w:tcPr>
    <w:tblStylePr w:type="firstRow">
      <w:rPr>
        <w:rFonts w:ascii="ArialMT" w:hAnsi="ArialMT" w:cs="Times New Roman"/>
        <w:sz w:val="24"/>
        <w:szCs w:val="24"/>
      </w:rPr>
      <w:tblPr/>
      <w:tcPr>
        <w:shd w:val="clear" w:color="auto" w:fill="C1C1C1"/>
      </w:tcPr>
    </w:tblStylePr>
    <w:tblStylePr w:type="lastRow">
      <w:rPr>
        <w:rFonts w:ascii="ArialMT" w:hAnsi="ArialMT" w:cs="Times New Roman"/>
        <w:color w:val="auto"/>
        <w:sz w:val="18"/>
      </w:rPr>
      <w:tblPr/>
      <w:tcPr>
        <w:shd w:val="clear" w:color="auto" w:fill="F0F0F0"/>
      </w:tcPr>
    </w:tblStylePr>
    <w:tblStylePr w:type="firstCol">
      <w:rPr>
        <w:rFonts w:ascii="ArialMT" w:hAnsi="ArialMT" w:cs="Times New Roman"/>
        <w:sz w:val="18"/>
      </w:rPr>
    </w:tblStylePr>
    <w:tblStylePr w:type="lastCol">
      <w:rPr>
        <w:rFonts w:ascii="ArialMT" w:hAnsi="ArialMT" w:cs="Times New Roman"/>
        <w:sz w:val="18"/>
      </w:rPr>
    </w:tblStylePr>
    <w:tblStylePr w:type="band1Vert">
      <w:rPr>
        <w:rFonts w:ascii="ArialMT" w:hAnsi="ArialMT" w:cs="Times New Roman"/>
        <w:sz w:val="18"/>
      </w:rPr>
    </w:tblStylePr>
    <w:tblStylePr w:type="band2Vert">
      <w:rPr>
        <w:rFonts w:ascii="ArialMT" w:hAnsi="ArialMT"/>
        <w:sz w:val="18"/>
      </w:rPr>
    </w:tblStylePr>
    <w:tblStylePr w:type="band1Horz">
      <w:rPr>
        <w:rFonts w:ascii="ArialMT" w:hAnsi="ArialMT" w:cs="Times New Roman"/>
        <w:sz w:val="18"/>
      </w:rPr>
      <w:tblPr/>
      <w:tcPr>
        <w:shd w:val="clear" w:color="auto" w:fill="E0E0E0"/>
      </w:tcPr>
    </w:tblStylePr>
    <w:tblStylePr w:type="band2Horz">
      <w:rPr>
        <w:rFonts w:ascii="ArialMT" w:hAnsi="ArialMT"/>
        <w:sz w:val="18"/>
      </w:rPr>
      <w:tblPr/>
      <w:tcPr>
        <w:shd w:val="clear" w:color="auto" w:fill="F0F0F0"/>
      </w:tcPr>
    </w:tblStylePr>
    <w:tblStylePr w:type="neCell">
      <w:rPr>
        <w:rFonts w:ascii="ArialMT" w:hAnsi="ArialMT"/>
        <w:sz w:val="18"/>
      </w:rPr>
      <w:tblPr/>
      <w:tcPr>
        <w:shd w:val="clear" w:color="auto" w:fill="C1C1C1"/>
      </w:tcPr>
    </w:tblStylePr>
    <w:tblStylePr w:type="nwCell">
      <w:rPr>
        <w:rFonts w:cs="Times New Roman"/>
      </w:rPr>
      <w:tblPr/>
      <w:tcPr>
        <w:shd w:val="clear" w:color="auto" w:fill="C1C1C1"/>
      </w:tcPr>
    </w:tblStylePr>
    <w:tblStylePr w:type="seCell">
      <w:rPr>
        <w:rFonts w:ascii="ArialMT" w:hAnsi="ArialMT"/>
        <w:sz w:val="18"/>
      </w:rPr>
    </w:tblStylePr>
    <w:tblStylePr w:type="swCell">
      <w:rPr>
        <w:rFonts w:ascii="ArialMT" w:hAnsi="ArialMT" w:cs="Times New Roman"/>
        <w:sz w:val="18"/>
      </w:rPr>
    </w:tblStylePr>
  </w:style>
  <w:style w:type="character" w:customStyle="1" w:styleId="FunotentextfCarattere">
    <w:name w:val="Fußnotentextf Carattere"/>
    <w:aliases w:val="Note de bas de page Car Car Carattere,Note de bas de page Car Car Car Car Car Carattere,Note de bas de page Car Car Car Car Carattere,Note de bas de page Car Car Car Carattere"/>
    <w:basedOn w:val="DefaultParagraphFont"/>
    <w:uiPriority w:val="99"/>
    <w:locked/>
  </w:style>
  <w:style w:type="paragraph" w:customStyle="1" w:styleId="Testocommento1">
    <w:name w:val="Testo commento1"/>
    <w:basedOn w:val="Normal"/>
    <w:next w:val="CommentText"/>
    <w:link w:val="TestocommentoCarattere"/>
    <w:uiPriority w:val="99"/>
    <w:pPr>
      <w:spacing w:after="80"/>
    </w:pPr>
    <w:rPr>
      <w:rFonts w:ascii="Calibri" w:eastAsia="Calibri" w:hAnsi="Calibri"/>
      <w:sz w:val="22"/>
      <w:szCs w:val="22"/>
      <w:lang w:val="it-IT"/>
    </w:rPr>
  </w:style>
  <w:style w:type="character" w:customStyle="1" w:styleId="TestocommentoCarattere">
    <w:name w:val="Testo commento Carattere"/>
    <w:basedOn w:val="DefaultParagraphFont"/>
    <w:link w:val="Testocommento1"/>
    <w:uiPriority w:val="99"/>
    <w:rPr>
      <w:rFonts w:ascii="Calibri" w:eastAsia="Calibri" w:hAnsi="Calibri" w:cs="Times New Roman"/>
      <w:lang w:val="it-IT"/>
    </w:rPr>
  </w:style>
  <w:style w:type="character" w:customStyle="1" w:styleId="EYHeading3Char">
    <w:name w:val="EY Heading 3 Char"/>
    <w:basedOn w:val="DefaultParagraphFont"/>
    <w:link w:val="EYHeading3"/>
    <w:rPr>
      <w:rFonts w:ascii="EYInterstate Light" w:eastAsia="Times New Roman" w:hAnsi="EYInterstate Light" w:cs="Arial"/>
      <w:b/>
      <w:kern w:val="12"/>
      <w:sz w:val="24"/>
      <w:szCs w:val="24"/>
    </w:rPr>
  </w:style>
  <w:style w:type="table" w:customStyle="1" w:styleId="CVtable1">
    <w:name w:val="CV table1"/>
    <w:basedOn w:val="TableNormal"/>
    <w:next w:val="TableGrid"/>
    <w:uiPriority w:val="5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
    <w:name w:val="Tableau titre"/>
    <w:basedOn w:val="Normal"/>
    <w:link w:val="TableautitreChar"/>
    <w:pPr>
      <w:spacing w:line="240" w:lineRule="exact"/>
    </w:pPr>
    <w:rPr>
      <w:rFonts w:ascii="EYInterstate" w:hAnsi="EYInterstate"/>
      <w:sz w:val="16"/>
      <w:szCs w:val="16"/>
    </w:rPr>
  </w:style>
  <w:style w:type="character" w:customStyle="1" w:styleId="TableautitreChar">
    <w:name w:val="Tableau titre Char"/>
    <w:basedOn w:val="DefaultParagraphFont"/>
    <w:link w:val="Tableautitre"/>
    <w:locked/>
    <w:rPr>
      <w:rFonts w:ascii="EYInterstate" w:eastAsia="Times New Roman" w:hAnsi="EYInterstate" w:cs="Times New Roman"/>
      <w:sz w:val="16"/>
      <w:szCs w:val="16"/>
    </w:rPr>
  </w:style>
  <w:style w:type="paragraph" w:customStyle="1" w:styleId="Style8">
    <w:name w:val="Style8"/>
    <w:basedOn w:val="Heading6"/>
    <w:link w:val="Style8Char"/>
    <w:qFormat/>
    <w:pPr>
      <w:keepNext/>
      <w:keepLines/>
      <w:numPr>
        <w:ilvl w:val="5"/>
        <w:numId w:val="39"/>
      </w:numPr>
      <w:spacing w:before="200" w:after="120"/>
      <w:ind w:left="360" w:hanging="360"/>
    </w:pPr>
    <w:rPr>
      <w:rFonts w:ascii="EYInterstate Light" w:eastAsia="MS Gothic" w:hAnsi="EYInterstate Light"/>
      <w:b/>
      <w:iCs/>
      <w:color w:val="3F3E40"/>
    </w:rPr>
  </w:style>
  <w:style w:type="character" w:customStyle="1" w:styleId="Style8Char">
    <w:name w:val="Style8 Char"/>
    <w:basedOn w:val="Heading6Char"/>
    <w:link w:val="Style8"/>
    <w:rPr>
      <w:rFonts w:ascii="EYInterstate Light" w:eastAsia="MS Gothic" w:hAnsi="EYInterstate Light" w:cs="Times New Roman"/>
      <w:b/>
      <w:i/>
      <w:iCs/>
      <w:color w:val="3F3E40"/>
      <w:szCs w:val="20"/>
    </w:rPr>
  </w:style>
  <w:style w:type="paragraph" w:customStyle="1" w:styleId="Tableaupucebis">
    <w:name w:val="Tableau puce bis"/>
    <w:basedOn w:val="Normal"/>
    <w:link w:val="TableaupucebisChar"/>
    <w:pPr>
      <w:tabs>
        <w:tab w:val="left" w:pos="227"/>
        <w:tab w:val="num" w:pos="360"/>
      </w:tabs>
      <w:overflowPunct w:val="0"/>
      <w:autoSpaceDE w:val="0"/>
      <w:autoSpaceDN w:val="0"/>
      <w:adjustRightInd w:val="0"/>
      <w:spacing w:before="60" w:line="276" w:lineRule="auto"/>
      <w:ind w:left="360" w:right="113" w:hanging="360"/>
      <w:textAlignment w:val="baseline"/>
    </w:pPr>
    <w:rPr>
      <w:rFonts w:ascii="EY Gothic Comp Book" w:hAnsi="EY Gothic Comp Book"/>
      <w:noProof/>
      <w:sz w:val="20"/>
      <w:lang w:val="en-US"/>
    </w:rPr>
  </w:style>
  <w:style w:type="character" w:customStyle="1" w:styleId="TableaupucebisChar">
    <w:name w:val="Tableau puce bis Char"/>
    <w:basedOn w:val="DefaultParagraphFont"/>
    <w:link w:val="Tableaupucebis"/>
    <w:rPr>
      <w:rFonts w:ascii="EY Gothic Comp Book" w:eastAsia="Times New Roman" w:hAnsi="EY Gothic Comp Book" w:cs="Times New Roman"/>
      <w:noProof/>
      <w:sz w:val="20"/>
      <w:szCs w:val="20"/>
      <w:lang w:val="en-US"/>
    </w:rPr>
  </w:style>
  <w:style w:type="table" w:customStyle="1" w:styleId="ColorfulList-Accent3111">
    <w:name w:val="Colorful List - Accent 3111"/>
    <w:uiPriority w:val="72"/>
    <w:pPr>
      <w:spacing w:after="0" w:line="240" w:lineRule="auto"/>
    </w:pPr>
    <w:rPr>
      <w:rFonts w:ascii="Calibri" w:eastAsia="Calibri" w:hAnsi="Calibri" w:cs="Times New Roman"/>
      <w:color w:val="000000"/>
      <w:sz w:val="20"/>
      <w:szCs w:val="20"/>
      <w:lang w:eastAsia="en-GB"/>
    </w:rPr>
    <w:tblPr>
      <w:tblStyleRowBandSize w:val="1"/>
      <w:tblStyleColBandSize w:val="1"/>
      <w:tblInd w:w="0" w:type="dxa"/>
      <w:tblCellMar>
        <w:top w:w="0" w:type="dxa"/>
        <w:left w:w="108" w:type="dxa"/>
        <w:bottom w:w="0" w:type="dxa"/>
        <w:right w:w="108" w:type="dxa"/>
      </w:tblCellMar>
    </w:tblPr>
    <w:tcPr>
      <w:shd w:val="clear" w:color="auto" w:fill="F5F5F5"/>
    </w:tcPr>
  </w:style>
  <w:style w:type="table" w:customStyle="1" w:styleId="PlainTable32">
    <w:name w:val="Plain Table 32"/>
    <w:basedOn w:val="TableNormal"/>
    <w:uiPriority w:val="43"/>
    <w:pPr>
      <w:spacing w:after="0" w:line="240" w:lineRule="auto"/>
    </w:pPr>
    <w:rPr>
      <w:rFonts w:ascii="EYInterstate Light" w:eastAsia="Calibri" w:hAnsi="EYInterstate Light" w:cs="Times New Roman"/>
      <w:sz w:val="20"/>
      <w:szCs w:val="20"/>
      <w:lang w:val="nl-B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5E5E5E"/>
      </w:tcPr>
    </w:tblStylePr>
    <w:tblStylePr w:type="band1Horz">
      <w:tblPr/>
      <w:tcPr>
        <w:shd w:val="clear" w:color="auto" w:fill="5E5E5E"/>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leNormal"/>
    <w:next w:val="TableNormal"/>
    <w:uiPriority w:val="43"/>
    <w:pPr>
      <w:spacing w:after="0" w:line="240" w:lineRule="auto"/>
    </w:pPr>
    <w:rPr>
      <w:rFonts w:ascii="Calibri" w:eastAsia="Calibri" w:hAnsi="Calibri" w:cs="Times New Roman"/>
      <w:lang w:val="it-IT"/>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21">
    <w:name w:val="List Table 21"/>
    <w:basedOn w:val="TableNormal"/>
    <w:uiPriority w:val="47"/>
    <w:pPr>
      <w:spacing w:after="0" w:line="240" w:lineRule="auto"/>
    </w:pPr>
    <w:rPr>
      <w:rFonts w:ascii="Calibri" w:eastAsia="Calibri" w:hAnsi="Calibri" w:cs="Times New Roman"/>
      <w:lang w:val="it-IT"/>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uiPriority w:val="44"/>
    <w:pPr>
      <w:spacing w:after="0" w:line="240" w:lineRule="auto"/>
    </w:pPr>
    <w:rPr>
      <w:rFonts w:ascii="Calibri" w:eastAsia="Calibri" w:hAnsi="Calibri" w:cs="Times New Roman"/>
      <w:lang w:val="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5E5E5E"/>
      </w:tcPr>
    </w:tblStylePr>
    <w:tblStylePr w:type="band1Horz">
      <w:tblPr/>
      <w:tcPr>
        <w:shd w:val="clear" w:color="auto" w:fill="5E5E5E"/>
      </w:tcPr>
    </w:tblStylePr>
  </w:style>
  <w:style w:type="table" w:styleId="LightShading-Accent3">
    <w:name w:val="Light Shading Accent 3"/>
    <w:basedOn w:val="TableNormal"/>
    <w:uiPriority w:val="60"/>
    <w:unhideWhenUsed/>
    <w:pPr>
      <w:spacing w:after="0" w:line="240" w:lineRule="auto"/>
    </w:pPr>
    <w:rPr>
      <w:rFonts w:ascii="Times New Roman" w:eastAsia="Times New Roman" w:hAnsi="Times New Roman" w:cs="Times New Roman"/>
      <w:color w:val="76923C" w:themeColor="accent3" w:themeShade="BF"/>
      <w:sz w:val="20"/>
      <w:szCs w:val="20"/>
      <w:lang w:val="nl-BE" w:eastAsia="nl-B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2">
    <w:name w:val="Medium Shading 1 Accent 2"/>
    <w:basedOn w:val="TableNormal"/>
    <w:uiPriority w:val="63"/>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2">
    <w:name w:val="Medium List 2 Accent 2"/>
    <w:basedOn w:val="TableNormal"/>
    <w:uiPriority w:val="66"/>
    <w:unhideWhenUsed/>
    <w:pPr>
      <w:spacing w:after="0" w:line="240" w:lineRule="auto"/>
    </w:pPr>
    <w:rPr>
      <w:rFonts w:asciiTheme="majorHAnsi" w:eastAsiaTheme="majorEastAsia" w:hAnsiTheme="majorHAnsi" w:cstheme="majorBidi"/>
      <w:color w:val="000000" w:themeColor="text1"/>
      <w:sz w:val="20"/>
      <w:szCs w:val="20"/>
      <w:lang w:val="nl-BE" w:eastAsia="nl-B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rPr>
      <w:b/>
      <w:bCs/>
      <w:smallCaps/>
      <w:color w:val="4F81BD" w:themeColor="accent1"/>
      <w:spacing w:val="5"/>
    </w:rPr>
  </w:style>
  <w:style w:type="table" w:styleId="ColorfulList-Accent3">
    <w:name w:val="Colorful List Accent 3"/>
    <w:basedOn w:val="TableNormal"/>
    <w:uiPriority w:val="72"/>
    <w:unhideWhenUsed/>
    <w:pPr>
      <w:spacing w:after="0" w:line="240" w:lineRule="auto"/>
    </w:pPr>
    <w:rPr>
      <w:rFonts w:ascii="Times New Roman" w:eastAsia="Times New Roman" w:hAnsi="Times New Roman" w:cs="Times New Roman"/>
      <w:color w:val="000000" w:themeColor="text1"/>
      <w:sz w:val="20"/>
      <w:szCs w:val="20"/>
      <w:lang w:val="nl-BE" w:eastAsia="nl-B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2">
    <w:name w:val="Colorful Shading Accent 2"/>
    <w:basedOn w:val="TableNormal"/>
    <w:uiPriority w:val="71"/>
    <w:unhideWhenUsed/>
    <w:pPr>
      <w:spacing w:after="0" w:line="240" w:lineRule="auto"/>
    </w:pPr>
    <w:rPr>
      <w:rFonts w:ascii="Times New Roman" w:eastAsia="Times New Roman" w:hAnsi="Times New Roman" w:cs="Times New Roman"/>
      <w:color w:val="000000" w:themeColor="text1"/>
      <w:sz w:val="20"/>
      <w:szCs w:val="20"/>
      <w:lang w:val="nl-BE" w:eastAsia="nl-B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unhideWhenUsed/>
    <w:pPr>
      <w:spacing w:after="0" w:line="240" w:lineRule="auto"/>
    </w:pPr>
    <w:rPr>
      <w:rFonts w:ascii="Times New Roman" w:eastAsia="Times New Roman" w:hAnsi="Times New Roman" w:cs="Times New Roman"/>
      <w:color w:val="000000" w:themeColor="text1"/>
      <w:sz w:val="20"/>
      <w:szCs w:val="20"/>
      <w:lang w:val="nl-BE" w:eastAsia="nl-B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unhideWhenUsed/>
    <w:pPr>
      <w:spacing w:after="0" w:line="240" w:lineRule="auto"/>
    </w:pPr>
    <w:rPr>
      <w:rFonts w:ascii="Times New Roman" w:eastAsia="Times New Roman" w:hAnsi="Times New Roman" w:cs="Times New Roman"/>
      <w:color w:val="000000" w:themeColor="text1"/>
      <w:sz w:val="20"/>
      <w:szCs w:val="20"/>
      <w:lang w:val="nl-BE" w:eastAsia="nl-B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Grid1-Accent4">
    <w:name w:val="Medium Grid 1 Accent 4"/>
    <w:basedOn w:val="TableNormal"/>
    <w:uiPriority w:val="67"/>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2">
    <w:name w:val="Light List Accent 2"/>
    <w:basedOn w:val="TableNormal"/>
    <w:uiPriority w:val="61"/>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3">
    <w:name w:val="Medium Shading 2 Accent 3"/>
    <w:basedOn w:val="TableNormal"/>
    <w:uiPriority w:val="64"/>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4">
    <w:name w:val="Light Shading Accent 4"/>
    <w:basedOn w:val="TableNormal"/>
    <w:uiPriority w:val="60"/>
    <w:unhideWhenUsed/>
    <w:pPr>
      <w:spacing w:after="0" w:line="240" w:lineRule="auto"/>
    </w:pPr>
    <w:rPr>
      <w:rFonts w:ascii="Times New Roman" w:eastAsia="Times New Roman" w:hAnsi="Times New Roman" w:cs="Times New Roman"/>
      <w:color w:val="5F497A" w:themeColor="accent4" w:themeShade="BF"/>
      <w:sz w:val="20"/>
      <w:szCs w:val="20"/>
      <w:lang w:val="nl-BE" w:eastAsia="nl-B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4">
    <w:name w:val="Light Grid Accent 4"/>
    <w:basedOn w:val="TableNormal"/>
    <w:uiPriority w:val="62"/>
    <w:unhideWhenUsed/>
    <w:pPr>
      <w:spacing w:after="0" w:line="240" w:lineRule="auto"/>
    </w:pPr>
    <w:rPr>
      <w:rFonts w:ascii="Times New Roman" w:eastAsia="Times New Roman" w:hAnsi="Times New Roman" w:cs="Times New Roman"/>
      <w:sz w:val="20"/>
      <w:szCs w:val="20"/>
      <w:lang w:val="nl-BE" w:eastAsia="nl-B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2">
    <w:name w:val="Light Shading Accent 2"/>
    <w:basedOn w:val="TableNormal"/>
    <w:uiPriority w:val="60"/>
    <w:unhideWhenUsed/>
    <w:pPr>
      <w:spacing w:after="0" w:line="240" w:lineRule="auto"/>
    </w:pPr>
    <w:rPr>
      <w:rFonts w:ascii="Times New Roman" w:eastAsia="Times New Roman" w:hAnsi="Times New Roman" w:cs="Times New Roman"/>
      <w:color w:val="943634" w:themeColor="accent2" w:themeShade="BF"/>
      <w:sz w:val="20"/>
      <w:szCs w:val="20"/>
      <w:lang w:val="nl-BE" w:eastAsia="nl-B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unhideWhenUsed/>
    <w:pPr>
      <w:spacing w:after="0" w:line="240" w:lineRule="auto"/>
    </w:pPr>
    <w:rPr>
      <w:rFonts w:ascii="Times New Roman" w:eastAsia="Times New Roman" w:hAnsi="Times New Roman" w:cs="Times New Roman"/>
      <w:color w:val="365F91" w:themeColor="accent1" w:themeShade="BF"/>
      <w:sz w:val="20"/>
      <w:szCs w:val="20"/>
      <w:lang w:val="nl-BE" w:eastAsia="nl-B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IntenseEmphasis">
    <w:name w:val="Intense Emphasis"/>
    <w:basedOn w:val="DefaultParagraphFont"/>
    <w:uiPriority w:val="21"/>
    <w:qFormat/>
    <w:rPr>
      <w:i/>
      <w:iCs/>
      <w:color w:val="4F81BD" w:themeColor="accent1"/>
    </w:rPr>
  </w:style>
  <w:style w:type="character" w:customStyle="1" w:styleId="Bullet2ndlevelChar">
    <w:name w:val="Bullet_2nd level Char"/>
    <w:basedOn w:val="DefaultParagraphFont"/>
    <w:link w:val="Bullet2ndlevel"/>
    <w:uiPriority w:val="99"/>
    <w:locked/>
    <w:rPr>
      <w:rFonts w:ascii="Verdana" w:hAnsi="Verdana"/>
      <w:sz w:val="18"/>
      <w:lang w:val="fr-FR" w:eastAsia="nl-NL"/>
    </w:rPr>
  </w:style>
  <w:style w:type="paragraph" w:customStyle="1" w:styleId="Bullet2ndlevel">
    <w:name w:val="Bullet_2nd level"/>
    <w:basedOn w:val="Bulletpoint1"/>
    <w:link w:val="Bullet2ndlevelChar"/>
    <w:uiPriority w:val="99"/>
    <w:pPr>
      <w:numPr>
        <w:numId w:val="0"/>
      </w:numPr>
      <w:tabs>
        <w:tab w:val="num" w:pos="709"/>
      </w:tabs>
      <w:spacing w:before="0" w:line="240" w:lineRule="auto"/>
      <w:ind w:left="720" w:hanging="360"/>
    </w:pPr>
    <w:rPr>
      <w:sz w:val="18"/>
      <w:lang w:val="fr-FR" w:eastAsia="nl-NL"/>
    </w:rPr>
  </w:style>
  <w:style w:type="table" w:customStyle="1" w:styleId="Table-standard2">
    <w:name w:val="Table - standard2"/>
    <w:basedOn w:val="TableNormal"/>
    <w:pPr>
      <w:spacing w:before="60" w:after="60" w:line="240" w:lineRule="auto"/>
    </w:pPr>
    <w:rPr>
      <w:rFonts w:ascii="EYInterstate Light" w:eastAsia="Times New Roman" w:hAnsi="EYInterstate Light" w:cs="Times New Roman"/>
      <w:sz w:val="18"/>
      <w:szCs w:val="20"/>
      <w:lang w:val="fr-FR" w:eastAsia="fr-FR"/>
    </w:rPr>
    <w:tblPr>
      <w:tblBorders>
        <w:insideH w:val="single" w:sz="4" w:space="0" w:color="auto"/>
      </w:tblBorders>
    </w:tblPr>
    <w:tcPr>
      <w:shd w:val="clear" w:color="auto" w:fill="auto"/>
    </w:tcPr>
    <w:tblStylePr w:type="firstRow">
      <w:rPr>
        <w:rFonts w:ascii="ArialMT" w:hAnsi="ArialMT"/>
        <w:sz w:val="18"/>
      </w:rPr>
      <w:tblPr/>
      <w:tcPr>
        <w:shd w:val="clear" w:color="auto" w:fill="FFE600"/>
      </w:tcPr>
    </w:tblStylePr>
    <w:tblStylePr w:type="lastRow">
      <w:rPr>
        <w:rFonts w:ascii="ArialMT" w:hAnsi="ArialMT"/>
      </w:rPr>
    </w:tblStylePr>
    <w:tblStylePr w:type="firstCol">
      <w:tblPr/>
      <w:tcPr>
        <w:tcBorders>
          <w:insideH w:val="single" w:sz="4" w:space="0" w:color="auto"/>
        </w:tcBorders>
        <w:shd w:val="clear" w:color="auto" w:fill="F2F2F2"/>
      </w:tcPr>
    </w:tblStylePr>
  </w:style>
  <w:style w:type="table" w:customStyle="1" w:styleId="Table-standard3">
    <w:name w:val="Table - standard3"/>
    <w:basedOn w:val="TableNormal"/>
    <w:pPr>
      <w:spacing w:before="60" w:after="60" w:line="240" w:lineRule="auto"/>
    </w:pPr>
    <w:rPr>
      <w:rFonts w:ascii="EYInterstate Light" w:eastAsia="Times New Roman" w:hAnsi="EYInterstate Light" w:cs="Times New Roman"/>
      <w:sz w:val="18"/>
      <w:szCs w:val="20"/>
      <w:lang w:val="fr-FR" w:eastAsia="fr-FR"/>
    </w:rPr>
    <w:tblPr>
      <w:tblBorders>
        <w:insideH w:val="single" w:sz="4" w:space="0" w:color="auto"/>
      </w:tblBorders>
    </w:tblPr>
    <w:tcPr>
      <w:shd w:val="clear" w:color="auto" w:fill="auto"/>
    </w:tcPr>
    <w:tblStylePr w:type="firstRow">
      <w:rPr>
        <w:rFonts w:ascii="ArialMT" w:hAnsi="ArialMT"/>
        <w:sz w:val="18"/>
      </w:rPr>
      <w:tblPr/>
      <w:tcPr>
        <w:shd w:val="clear" w:color="auto" w:fill="FFE600"/>
      </w:tcPr>
    </w:tblStylePr>
    <w:tblStylePr w:type="lastRow">
      <w:rPr>
        <w:rFonts w:ascii="ArialMT" w:hAnsi="ArialMT"/>
      </w:rPr>
    </w:tblStylePr>
    <w:tblStylePr w:type="firstCol">
      <w:tblPr/>
      <w:tcPr>
        <w:tcBorders>
          <w:insideH w:val="single" w:sz="4" w:space="0" w:color="auto"/>
        </w:tcBorders>
        <w:shd w:val="clear" w:color="auto" w:fill="F2F2F2"/>
      </w:tcPr>
    </w:tblStylePr>
  </w:style>
  <w:style w:type="paragraph" w:customStyle="1" w:styleId="Style7">
    <w:name w:val="Style7"/>
    <w:basedOn w:val="Normal"/>
    <w:link w:val="Style7Char"/>
    <w:qFormat/>
    <w:pPr>
      <w:numPr>
        <w:ilvl w:val="1"/>
        <w:numId w:val="50"/>
      </w:numPr>
      <w:spacing w:after="60"/>
      <w:ind w:left="1068"/>
    </w:pPr>
    <w:rPr>
      <w:rFonts w:ascii="Verdana" w:eastAsia="Calibri" w:hAnsi="Verdana"/>
      <w:b/>
      <w:sz w:val="20"/>
      <w:szCs w:val="22"/>
      <w:lang w:val="en-US"/>
    </w:rPr>
  </w:style>
  <w:style w:type="paragraph" w:customStyle="1" w:styleId="font0">
    <w:name w:val="font0"/>
    <w:basedOn w:val="Normal"/>
    <w:pPr>
      <w:spacing w:before="100" w:beforeAutospacing="1" w:after="100" w:afterAutospacing="1"/>
    </w:pPr>
    <w:rPr>
      <w:rFonts w:ascii="Calibri" w:hAnsi="Calibri"/>
      <w:color w:val="000000"/>
      <w:sz w:val="22"/>
      <w:szCs w:val="22"/>
      <w:lang w:val="it-IT" w:eastAsia="it-IT"/>
    </w:rPr>
  </w:style>
  <w:style w:type="paragraph" w:customStyle="1" w:styleId="font7">
    <w:name w:val="font7"/>
    <w:basedOn w:val="Normal"/>
    <w:pPr>
      <w:spacing w:before="100" w:beforeAutospacing="1" w:after="100" w:afterAutospacing="1"/>
    </w:pPr>
    <w:rPr>
      <w:rFonts w:ascii="Tahoma" w:hAnsi="Tahoma" w:cs="Tahoma"/>
      <w:b/>
      <w:bCs/>
      <w:color w:val="000000"/>
      <w:sz w:val="18"/>
      <w:szCs w:val="18"/>
      <w:lang w:val="it-IT" w:eastAsia="it-IT"/>
    </w:rPr>
  </w:style>
  <w:style w:type="paragraph" w:customStyle="1" w:styleId="font8">
    <w:name w:val="font8"/>
    <w:basedOn w:val="Normal"/>
    <w:pPr>
      <w:spacing w:before="100" w:beforeAutospacing="1" w:after="100" w:afterAutospacing="1"/>
    </w:pPr>
    <w:rPr>
      <w:rFonts w:ascii="Tahoma" w:hAnsi="Tahoma" w:cs="Tahoma"/>
      <w:color w:val="000000"/>
      <w:sz w:val="18"/>
      <w:szCs w:val="18"/>
      <w:lang w:val="it-IT" w:eastAsia="it-IT"/>
    </w:rPr>
  </w:style>
  <w:style w:type="paragraph" w:customStyle="1" w:styleId="font9">
    <w:name w:val="font9"/>
    <w:basedOn w:val="Normal"/>
    <w:pPr>
      <w:spacing w:before="100" w:beforeAutospacing="1" w:after="100" w:afterAutospacing="1"/>
    </w:pPr>
    <w:rPr>
      <w:rFonts w:ascii="Tahoma" w:hAnsi="Tahoma" w:cs="Tahoma"/>
      <w:b/>
      <w:bCs/>
      <w:color w:val="000000"/>
      <w:sz w:val="18"/>
      <w:szCs w:val="18"/>
      <w:lang w:val="it-IT" w:eastAsia="it-IT"/>
    </w:rPr>
  </w:style>
  <w:style w:type="paragraph" w:customStyle="1" w:styleId="xl63">
    <w:name w:val="xl63"/>
    <w:basedOn w:val="Normal"/>
    <w:pPr>
      <w:spacing w:before="100" w:beforeAutospacing="1" w:after="100" w:afterAutospacing="1"/>
      <w:textAlignment w:val="top"/>
    </w:pPr>
    <w:rPr>
      <w:szCs w:val="24"/>
      <w:lang w:val="it-IT" w:eastAsia="it-IT"/>
    </w:rPr>
  </w:style>
  <w:style w:type="paragraph" w:customStyle="1" w:styleId="xl64">
    <w:name w:val="xl64"/>
    <w:basedOn w:val="Normal"/>
    <w:pPr>
      <w:spacing w:before="100" w:beforeAutospacing="1" w:after="100" w:afterAutospacing="1"/>
      <w:jc w:val="center"/>
      <w:textAlignment w:val="top"/>
    </w:pPr>
    <w:rPr>
      <w:szCs w:val="24"/>
      <w:lang w:val="it-IT" w:eastAsia="it-IT"/>
    </w:rPr>
  </w:style>
  <w:style w:type="character" w:customStyle="1" w:styleId="field-content6">
    <w:name w:val="field-content6"/>
    <w:basedOn w:val="DefaultParagraphFont"/>
  </w:style>
  <w:style w:type="paragraph" w:customStyle="1" w:styleId="TableBoxListParagraph">
    <w:name w:val="Table/Box List Paragraph"/>
    <w:basedOn w:val="Normal"/>
    <w:qFormat/>
    <w:pPr>
      <w:spacing w:after="120"/>
      <w:ind w:left="360" w:hanging="360"/>
      <w:contextualSpacing/>
    </w:pPr>
    <w:rPr>
      <w:rFonts w:ascii="Verdana" w:eastAsia="Calibri" w:hAnsi="Verdana"/>
      <w:bCs/>
      <w:sz w:val="18"/>
      <w:szCs w:val="18"/>
    </w:rPr>
  </w:style>
  <w:style w:type="paragraph" w:customStyle="1" w:styleId="Tableheading">
    <w:name w:val="Table heading"/>
    <w:basedOn w:val="Normal"/>
    <w:qFormat/>
    <w:pPr>
      <w:spacing w:before="20" w:after="20"/>
      <w:contextualSpacing/>
    </w:pPr>
    <w:rPr>
      <w:rFonts w:ascii="Verdana" w:eastAsia="Calibri" w:hAnsi="Verdana"/>
      <w:b/>
      <w:sz w:val="18"/>
      <w:szCs w:val="22"/>
      <w:lang w:eastAsia="nl-BE"/>
    </w:rPr>
  </w:style>
  <w:style w:type="paragraph" w:customStyle="1" w:styleId="Bulletpoint20">
    <w:name w:val="Bullet point 2"/>
    <w:basedOn w:val="Bulletpoint1"/>
    <w:qFormat/>
    <w:pPr>
      <w:numPr>
        <w:numId w:val="0"/>
      </w:numPr>
      <w:spacing w:before="0" w:after="0" w:line="240" w:lineRule="auto"/>
      <w:ind w:left="1440" w:hanging="360"/>
    </w:pPr>
    <w:rPr>
      <w:lang w:val="fr-FR"/>
    </w:rPr>
  </w:style>
  <w:style w:type="paragraph" w:customStyle="1" w:styleId="Bullettables">
    <w:name w:val="Bullet tables"/>
    <w:basedOn w:val="Bulletpoint1"/>
    <w:link w:val="BullettablesChar"/>
    <w:qFormat/>
    <w:pPr>
      <w:spacing w:before="0" w:after="0"/>
      <w:ind w:left="357" w:hanging="357"/>
    </w:pPr>
    <w:rPr>
      <w:sz w:val="18"/>
      <w:szCs w:val="18"/>
    </w:rPr>
  </w:style>
  <w:style w:type="character" w:customStyle="1" w:styleId="BullettablesChar">
    <w:name w:val="Bullet tables Char"/>
    <w:basedOn w:val="Bulletpoint1Char"/>
    <w:link w:val="Bullettables"/>
    <w:rPr>
      <w:rFonts w:ascii="Verdana" w:hAnsi="Verdana"/>
      <w:sz w:val="18"/>
      <w:szCs w:val="18"/>
    </w:rPr>
  </w:style>
  <w:style w:type="paragraph" w:customStyle="1" w:styleId="CharCharCharCharChar11">
    <w:name w:val="Char Char Char Char Char11"/>
    <w:basedOn w:val="Normal"/>
    <w:next w:val="Normal"/>
    <w:pPr>
      <w:spacing w:after="160" w:line="240" w:lineRule="exact"/>
    </w:pPr>
    <w:rPr>
      <w:rFonts w:ascii="Tahoma" w:hAnsi="Tahoma"/>
      <w:lang w:val="en-US" w:eastAsia="zh-CN"/>
    </w:rPr>
  </w:style>
  <w:style w:type="paragraph" w:customStyle="1" w:styleId="CharCharCharCharChar10">
    <w:name w:val="Char Char Char Char Char10"/>
    <w:basedOn w:val="Normal"/>
    <w:next w:val="Normal"/>
    <w:pPr>
      <w:spacing w:after="160" w:line="240" w:lineRule="exact"/>
    </w:pPr>
    <w:rPr>
      <w:rFonts w:ascii="Tahoma" w:hAnsi="Tahoma"/>
      <w:lang w:val="en-US" w:eastAsia="zh-CN"/>
    </w:rPr>
  </w:style>
  <w:style w:type="paragraph" w:customStyle="1" w:styleId="CharCharCharCharChar9">
    <w:name w:val="Char Char Char Char Char9"/>
    <w:basedOn w:val="Normal"/>
    <w:next w:val="Normal"/>
    <w:pPr>
      <w:spacing w:after="160" w:line="240" w:lineRule="exact"/>
    </w:pPr>
    <w:rPr>
      <w:rFonts w:ascii="Tahoma" w:hAnsi="Tahoma"/>
      <w:lang w:val="en-US" w:eastAsia="zh-CN"/>
    </w:rPr>
  </w:style>
  <w:style w:type="paragraph" w:customStyle="1" w:styleId="CharCharCharCharChar8">
    <w:name w:val="Char Char Char Char Char8"/>
    <w:basedOn w:val="Normal"/>
    <w:next w:val="Normal"/>
    <w:pPr>
      <w:spacing w:after="160" w:line="240" w:lineRule="exact"/>
    </w:pPr>
    <w:rPr>
      <w:rFonts w:ascii="Tahoma" w:hAnsi="Tahoma"/>
      <w:lang w:val="en-US" w:eastAsia="zh-CN"/>
    </w:rPr>
  </w:style>
  <w:style w:type="paragraph" w:customStyle="1" w:styleId="AFigure">
    <w:name w:val="A. Figure"/>
    <w:basedOn w:val="Caption"/>
    <w:link w:val="AFigureChar"/>
    <w:qFormat/>
    <w:pPr>
      <w:keepNext/>
    </w:pPr>
    <w:rPr>
      <w:rFonts w:ascii="Verdana" w:hAnsi="Verdana"/>
      <w:i/>
      <w:color w:val="A6A6A6" w:themeColor="background1" w:themeShade="A6"/>
      <w:sz w:val="18"/>
      <w:szCs w:val="18"/>
    </w:rPr>
  </w:style>
  <w:style w:type="character" w:customStyle="1" w:styleId="AFigureChar">
    <w:name w:val="A. Figure Char"/>
    <w:basedOn w:val="CaptionChar"/>
    <w:link w:val="AFigure"/>
    <w:rPr>
      <w:rFonts w:ascii="Verdana" w:eastAsia="Times New Roman" w:hAnsi="Verdana" w:cs="Times New Roman"/>
      <w:b/>
      <w:i/>
      <w:color w:val="A6A6A6" w:themeColor="background1" w:themeShade="A6"/>
      <w:sz w:val="18"/>
      <w:szCs w:val="18"/>
    </w:rPr>
  </w:style>
  <w:style w:type="table" w:customStyle="1" w:styleId="TechnopolisTable1">
    <w:name w:val="Technopolis Table1"/>
    <w:basedOn w:val="TableGrid"/>
    <w:pPr>
      <w:jc w:val="both"/>
    </w:pPr>
    <w:rPr>
      <w:rFonts w:ascii="Georgia" w:hAnsi="Georgia"/>
      <w:color w:val="000000"/>
      <w:sz w:val="18"/>
      <w:szCs w:val="24"/>
    </w:rPr>
    <w:tblPr>
      <w:tblStyleRowBandSize w:val="1"/>
    </w:tblPr>
    <w:tcPr>
      <w:shd w:val="clear" w:color="auto" w:fill="F2F2F2"/>
    </w:tcPr>
    <w:tblStylePr w:type="firstRow">
      <w:pPr>
        <w:jc w:val="center"/>
      </w:pPr>
      <w:rPr>
        <w:rFonts w:ascii="Times New Roman" w:hAnsi="Times New Roman" w:cs="Times New Roman"/>
        <w:b/>
        <w:color w:val="333333"/>
        <w:sz w:val="18"/>
      </w:rPr>
      <w:tblPr/>
      <w:tcPr>
        <w:tcBorders>
          <w:bottom w:val="single" w:sz="6" w:space="0" w:color="FF0000"/>
        </w:tcBorders>
        <w:shd w:val="clear" w:color="auto" w:fill="00AEF0"/>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tblStylePr w:type="band1Horz">
      <w:rPr>
        <w:sz w:val="18"/>
      </w:rPr>
    </w:tblStylePr>
  </w:style>
  <w:style w:type="table" w:customStyle="1" w:styleId="DocumentTable12">
    <w:name w:val="Document Table12"/>
    <w:basedOn w:val="TableNormal"/>
    <w:next w:val="TableGrid"/>
    <w:uiPriority w:val="5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Myriad Pro" w:hAnsi="Myriad Pro"/>
        <w:b/>
        <w:color w:val="FFFFFF" w:themeColor="background1"/>
        <w:sz w:val="18"/>
      </w:rPr>
      <w:tblPr/>
      <w:tcPr>
        <w:shd w:val="clear" w:color="auto" w:fill="00AEF0"/>
      </w:tcPr>
    </w:tblStylePr>
    <w:tblStylePr w:type="band1Horz">
      <w:rPr>
        <w:sz w:val="18"/>
      </w:rPr>
    </w:tblStylePr>
  </w:style>
  <w:style w:type="table" w:customStyle="1" w:styleId="DocumentTable111">
    <w:name w:val="Document Table111"/>
    <w:basedOn w:val="TableNormal"/>
    <w:next w:val="TableGrid"/>
    <w:uiPriority w:val="3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Tahoma" w:hAnsi="Tahoma"/>
        <w:b/>
        <w:color w:val="FFFFFF"/>
        <w:sz w:val="18"/>
      </w:rPr>
      <w:tblPr/>
      <w:tcPr>
        <w:shd w:val="clear" w:color="auto" w:fill="00AEF0"/>
      </w:tcPr>
    </w:tblStylePr>
    <w:tblStylePr w:type="band1Horz">
      <w:rPr>
        <w:sz w:val="18"/>
      </w:rPr>
    </w:tblStylePr>
  </w:style>
  <w:style w:type="table" w:customStyle="1" w:styleId="TechnopolisTable2">
    <w:name w:val="Technopolis Table2"/>
    <w:basedOn w:val="TableGrid"/>
    <w:pPr>
      <w:jc w:val="both"/>
    </w:pPr>
    <w:rPr>
      <w:rFonts w:ascii="Georgia" w:hAnsi="Georgia"/>
      <w:color w:val="000000"/>
      <w:sz w:val="18"/>
      <w:szCs w:val="24"/>
    </w:rPr>
    <w:tblPr>
      <w:tblStyleRowBandSize w:val="1"/>
    </w:tblPr>
    <w:tcPr>
      <w:shd w:val="clear" w:color="auto" w:fill="F2F2F2"/>
    </w:tcPr>
    <w:tblStylePr w:type="firstRow">
      <w:pPr>
        <w:jc w:val="center"/>
      </w:pPr>
      <w:rPr>
        <w:rFonts w:ascii="Times New Roman" w:hAnsi="Times New Roman" w:cs="Times New Roman"/>
        <w:b/>
        <w:color w:val="333333"/>
        <w:sz w:val="18"/>
      </w:rPr>
      <w:tblPr/>
      <w:tcPr>
        <w:tcBorders>
          <w:bottom w:val="single" w:sz="6" w:space="0" w:color="FF0000"/>
        </w:tcBorders>
        <w:shd w:val="clear" w:color="auto" w:fill="00AEF0"/>
      </w:tcPr>
    </w:tblStylePr>
    <w:tblStylePr w:type="lastRow">
      <w:pPr>
        <w:jc w:val="left"/>
      </w:pPr>
      <w:rPr>
        <w:rFonts w:ascii="Times New Roman" w:hAnsi="Times New Roman" w:cs="Times New Roman"/>
        <w:b/>
        <w:sz w:val="18"/>
      </w:rPr>
    </w:tblStylePr>
    <w:tblStylePr w:type="firstCol">
      <w:pPr>
        <w:jc w:val="left"/>
      </w:pPr>
      <w:rPr>
        <w:rFonts w:ascii="Times New Roman" w:hAnsi="Times New Roman" w:cs="Times New Roman"/>
        <w:b/>
        <w:sz w:val="18"/>
      </w:rPr>
    </w:tblStylePr>
    <w:tblStylePr w:type="band1Horz">
      <w:rPr>
        <w:sz w:val="18"/>
      </w:rPr>
    </w:tblStylePr>
  </w:style>
  <w:style w:type="table" w:customStyle="1" w:styleId="DocumentTable13">
    <w:name w:val="Document Table13"/>
    <w:basedOn w:val="TableNormal"/>
    <w:next w:val="TableGrid"/>
    <w:uiPriority w:val="5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Myriad Pro" w:hAnsi="Myriad Pro"/>
        <w:b/>
        <w:color w:val="FFFFFF" w:themeColor="background1"/>
        <w:sz w:val="18"/>
      </w:rPr>
      <w:tblPr/>
      <w:tcPr>
        <w:shd w:val="clear" w:color="auto" w:fill="00AEF0"/>
      </w:tcPr>
    </w:tblStylePr>
    <w:tblStylePr w:type="band1Horz">
      <w:rPr>
        <w:sz w:val="18"/>
      </w:rPr>
    </w:tblStylePr>
  </w:style>
  <w:style w:type="table" w:customStyle="1" w:styleId="DocumentTable112">
    <w:name w:val="Document Table112"/>
    <w:basedOn w:val="TableNormal"/>
    <w:next w:val="TableGrid"/>
    <w:uiPriority w:val="3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Tahoma" w:hAnsi="Tahoma"/>
        <w:b/>
        <w:color w:val="FFFFFF"/>
        <w:sz w:val="18"/>
      </w:rPr>
      <w:tblPr/>
      <w:tcPr>
        <w:shd w:val="clear" w:color="auto" w:fill="00AEF0"/>
      </w:tcPr>
    </w:tblStylePr>
    <w:tblStylePr w:type="band1Horz">
      <w:rPr>
        <w:sz w:val="18"/>
      </w:rPr>
    </w:tblStylePr>
  </w:style>
  <w:style w:type="paragraph" w:customStyle="1" w:styleId="Pa16">
    <w:name w:val="Pa16"/>
    <w:basedOn w:val="Normal"/>
    <w:next w:val="Normal"/>
    <w:uiPriority w:val="99"/>
    <w:pPr>
      <w:autoSpaceDE w:val="0"/>
      <w:autoSpaceDN w:val="0"/>
      <w:adjustRightInd w:val="0"/>
      <w:spacing w:line="181" w:lineRule="atLeast"/>
    </w:pPr>
    <w:rPr>
      <w:rFonts w:ascii="Myriad Pro" w:eastAsiaTheme="minorHAnsi" w:hAnsi="Myriad Pro" w:cstheme="minorBidi"/>
      <w:szCs w:val="24"/>
      <w:lang w:val="it-IT"/>
    </w:rPr>
  </w:style>
  <w:style w:type="character" w:customStyle="1" w:styleId="Style7Char">
    <w:name w:val="Style7 Char"/>
    <w:basedOn w:val="DefaultParagraphFont"/>
    <w:link w:val="Style7"/>
    <w:rPr>
      <w:rFonts w:ascii="Verdana" w:eastAsia="Calibri" w:hAnsi="Verdana" w:cs="Times New Roman"/>
      <w:b/>
      <w:sz w:val="20"/>
      <w:lang w:val="en-US"/>
    </w:rPr>
  </w:style>
  <w:style w:type="character" w:customStyle="1" w:styleId="shorttext">
    <w:name w:val="short_text"/>
    <w:basedOn w:val="DefaultParagraphFont"/>
  </w:style>
  <w:style w:type="character" w:customStyle="1" w:styleId="st1">
    <w:name w:val="st1"/>
    <w:basedOn w:val="DefaultParagraphFont"/>
  </w:style>
  <w:style w:type="paragraph" w:customStyle="1" w:styleId="Pa1">
    <w:name w:val="Pa1"/>
    <w:basedOn w:val="Default"/>
    <w:next w:val="Default"/>
    <w:uiPriority w:val="99"/>
    <w:pPr>
      <w:spacing w:line="221" w:lineRule="atLeast"/>
    </w:pPr>
    <w:rPr>
      <w:rFonts w:ascii="Cambria" w:eastAsiaTheme="minorHAnsi" w:hAnsi="Cambria" w:cstheme="minorBidi"/>
      <w:color w:val="auto"/>
      <w:lang w:eastAsia="en-US"/>
    </w:rPr>
  </w:style>
  <w:style w:type="numbering" w:customStyle="1" w:styleId="Style51">
    <w:name w:val="Style51"/>
    <w:uiPriority w:val="99"/>
  </w:style>
  <w:style w:type="paragraph" w:customStyle="1" w:styleId="Bodycopy">
    <w:name w:val="Body copy"/>
    <w:pPr>
      <w:spacing w:after="240" w:line="260" w:lineRule="exact"/>
    </w:pPr>
    <w:rPr>
      <w:rFonts w:ascii="EYInterstate Light" w:eastAsia="Times New Roman" w:hAnsi="EYInterstate Light" w:cs="Times New Roman"/>
      <w:color w:val="000000"/>
      <w:sz w:val="20"/>
      <w:szCs w:val="18"/>
      <w:lang w:val="en-US"/>
    </w:rPr>
  </w:style>
  <w:style w:type="character" w:customStyle="1" w:styleId="sourceChar">
    <w:name w:val="source Char"/>
    <w:link w:val="source"/>
    <w:rPr>
      <w:rFonts w:ascii="Georgia" w:eastAsia="Times New Roman" w:hAnsi="Georgia" w:cs="Times New Roman"/>
      <w:sz w:val="16"/>
      <w:szCs w:val="24"/>
    </w:rPr>
  </w:style>
  <w:style w:type="paragraph" w:customStyle="1" w:styleId="Normal1">
    <w:name w:val="Normal1"/>
    <w:basedOn w:val="Normal"/>
    <w:pPr>
      <w:autoSpaceDE w:val="0"/>
      <w:autoSpaceDN w:val="0"/>
      <w:adjustRightInd w:val="0"/>
      <w:spacing w:before="120"/>
    </w:pPr>
    <w:rPr>
      <w:szCs w:val="24"/>
      <w:lang w:val="en-US"/>
    </w:rPr>
  </w:style>
  <w:style w:type="paragraph" w:customStyle="1" w:styleId="sti-art">
    <w:name w:val="sti-art"/>
    <w:basedOn w:val="Normal"/>
    <w:pPr>
      <w:autoSpaceDE w:val="0"/>
      <w:autoSpaceDN w:val="0"/>
      <w:adjustRightInd w:val="0"/>
      <w:spacing w:before="40" w:after="120"/>
      <w:jc w:val="center"/>
    </w:pPr>
    <w:rPr>
      <w:b/>
      <w:bCs/>
      <w:szCs w:val="24"/>
      <w:lang w:val="en-US"/>
    </w:rPr>
  </w:style>
  <w:style w:type="paragraph" w:customStyle="1" w:styleId="ti-art">
    <w:name w:val="ti-art"/>
    <w:basedOn w:val="Normal"/>
    <w:pPr>
      <w:autoSpaceDE w:val="0"/>
      <w:autoSpaceDN w:val="0"/>
      <w:adjustRightInd w:val="0"/>
      <w:spacing w:before="360" w:after="120"/>
      <w:jc w:val="center"/>
    </w:pPr>
    <w:rPr>
      <w:i/>
      <w:iCs/>
      <w:szCs w:val="24"/>
      <w:lang w:val="en-US"/>
    </w:rPr>
  </w:style>
  <w:style w:type="paragraph" w:customStyle="1" w:styleId="006">
    <w:name w:val="006"/>
    <w:aliases w:val="Titel tekst"/>
    <w:basedOn w:val="Normal"/>
    <w:pPr>
      <w:tabs>
        <w:tab w:val="left" w:pos="907"/>
      </w:tabs>
      <w:autoSpaceDE w:val="0"/>
      <w:autoSpaceDN w:val="0"/>
      <w:adjustRightInd w:val="0"/>
      <w:spacing w:before="40" w:after="40"/>
    </w:pPr>
    <w:rPr>
      <w:rFonts w:ascii="EYInterstate Light" w:hAnsi="EYInterstate Light"/>
      <w:b/>
      <w:color w:val="808080"/>
      <w:kern w:val="12"/>
      <w:sz w:val="60"/>
      <w:szCs w:val="88"/>
      <w:lang w:val="en-US"/>
    </w:rPr>
  </w:style>
  <w:style w:type="table" w:customStyle="1" w:styleId="EYTable2">
    <w:name w:val="EY Table 2"/>
    <w:basedOn w:val="TableGrid"/>
    <w:next w:val="TableNormal"/>
    <w:rPr>
      <w:rFonts w:ascii="Verdana" w:hAnsi="Verdana"/>
      <w:sz w:val="18"/>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Georgia" w:hAnsi="Georgia"/>
        <w:b/>
        <w:color w:val="FFFFFF" w:themeColor="background1"/>
        <w:sz w:val="18"/>
      </w:rPr>
      <w:tblPr/>
      <w:tcPr>
        <w:shd w:val="clear" w:color="auto" w:fill="00AEF0"/>
      </w:tcPr>
    </w:tblStylePr>
    <w:tblStylePr w:type="band1Horz">
      <w:rPr>
        <w:sz w:val="18"/>
      </w:rPr>
    </w:tblStylePr>
  </w:style>
  <w:style w:type="paragraph" w:customStyle="1" w:styleId="ManualConsidrant">
    <w:name w:val="Manual Considérant"/>
    <w:basedOn w:val="Normal"/>
    <w:pPr>
      <w:autoSpaceDE w:val="0"/>
      <w:autoSpaceDN w:val="0"/>
      <w:adjustRightInd w:val="0"/>
      <w:spacing w:before="120" w:after="120"/>
      <w:ind w:left="709" w:hanging="709"/>
    </w:pPr>
    <w:rPr>
      <w:szCs w:val="24"/>
    </w:rPr>
  </w:style>
  <w:style w:type="paragraph" w:customStyle="1" w:styleId="Point0">
    <w:name w:val="Point 0"/>
    <w:basedOn w:val="Normal"/>
    <w:pPr>
      <w:autoSpaceDE w:val="0"/>
      <w:autoSpaceDN w:val="0"/>
      <w:adjustRightInd w:val="0"/>
      <w:spacing w:before="120" w:after="120"/>
      <w:ind w:left="850" w:hanging="850"/>
    </w:pPr>
    <w:rPr>
      <w:noProof/>
      <w:szCs w:val="24"/>
    </w:rPr>
  </w:style>
  <w:style w:type="paragraph" w:customStyle="1" w:styleId="Bullet0">
    <w:name w:val="Bullet 0"/>
    <w:basedOn w:val="Normal"/>
    <w:pPr>
      <w:tabs>
        <w:tab w:val="num" w:pos="850"/>
      </w:tabs>
      <w:autoSpaceDE w:val="0"/>
      <w:autoSpaceDN w:val="0"/>
      <w:adjustRightInd w:val="0"/>
      <w:spacing w:before="120" w:after="120"/>
      <w:ind w:left="850" w:hanging="850"/>
    </w:pPr>
    <w:rPr>
      <w:szCs w:val="24"/>
    </w:rPr>
  </w:style>
  <w:style w:type="paragraph" w:customStyle="1" w:styleId="LevelAssessment-Code">
    <w:name w:val="Level Assessment - Code"/>
    <w:basedOn w:val="Normal"/>
    <w:next w:val="Normal"/>
    <w:pPr>
      <w:suppressAutoHyphens/>
      <w:autoSpaceDE w:val="0"/>
      <w:autoSpaceDN w:val="0"/>
      <w:adjustRightInd w:val="0"/>
      <w:spacing w:before="40"/>
      <w:ind w:left="28"/>
      <w:jc w:val="center"/>
    </w:pPr>
    <w:rPr>
      <w:rFonts w:ascii="Arial Narrow" w:hAnsi="Arial Narrow"/>
      <w:sz w:val="20"/>
      <w:lang w:val="en-US" w:eastAsia="ar-SA"/>
    </w:rPr>
  </w:style>
  <w:style w:type="table" w:customStyle="1" w:styleId="TableGrid11">
    <w:name w:val="Table Grid11"/>
    <w:basedOn w:val="TableNormal"/>
    <w:next w:val="TableGrid"/>
    <w:uiPriority w:val="59"/>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able">
    <w:name w:val="Bullet table"/>
    <w:basedOn w:val="Style7"/>
    <w:link w:val="BullettableChar"/>
    <w:pPr>
      <w:numPr>
        <w:ilvl w:val="0"/>
        <w:numId w:val="0"/>
      </w:numPr>
      <w:tabs>
        <w:tab w:val="left" w:pos="907"/>
        <w:tab w:val="num" w:pos="1911"/>
      </w:tabs>
      <w:autoSpaceDE w:val="0"/>
      <w:autoSpaceDN w:val="0"/>
      <w:adjustRightInd w:val="0"/>
      <w:spacing w:after="0"/>
      <w:ind w:left="1911" w:hanging="709"/>
      <w:jc w:val="both"/>
    </w:pPr>
    <w:rPr>
      <w:rFonts w:ascii="EYInterstate Light" w:hAnsi="EYInterstate Light" w:cs="Arial"/>
      <w:b w:val="0"/>
      <w:color w:val="808080" w:themeColor="background1" w:themeShade="80"/>
      <w:kern w:val="12"/>
      <w:sz w:val="18"/>
      <w:szCs w:val="18"/>
      <w:lang w:eastAsia="it-IT"/>
    </w:rPr>
  </w:style>
  <w:style w:type="character" w:customStyle="1" w:styleId="BullettableChar">
    <w:name w:val="Bullet table Char"/>
    <w:basedOn w:val="Style7Char"/>
    <w:link w:val="Bullettable"/>
    <w:rPr>
      <w:rFonts w:ascii="EYInterstate Light" w:eastAsia="Calibri" w:hAnsi="EYInterstate Light" w:cs="Arial"/>
      <w:b w:val="0"/>
      <w:color w:val="808080" w:themeColor="background1" w:themeShade="80"/>
      <w:kern w:val="12"/>
      <w:sz w:val="18"/>
      <w:szCs w:val="18"/>
      <w:lang w:val="en-US" w:eastAsia="it-IT"/>
    </w:rPr>
  </w:style>
  <w:style w:type="paragraph" w:customStyle="1" w:styleId="Pa7">
    <w:name w:val="Pa7"/>
    <w:basedOn w:val="Default"/>
    <w:next w:val="Default"/>
    <w:uiPriority w:val="99"/>
  </w:style>
  <w:style w:type="paragraph" w:customStyle="1" w:styleId="Pa20">
    <w:name w:val="Pa20"/>
    <w:basedOn w:val="Default"/>
    <w:next w:val="Default"/>
    <w:uiPriority w:val="99"/>
  </w:style>
  <w:style w:type="paragraph" w:customStyle="1" w:styleId="Pa14">
    <w:name w:val="Pa14"/>
    <w:basedOn w:val="Default"/>
    <w:next w:val="Default"/>
    <w:uiPriority w:val="99"/>
  </w:style>
  <w:style w:type="character" w:customStyle="1" w:styleId="A13">
    <w:name w:val="A13"/>
    <w:uiPriority w:val="99"/>
    <w:rPr>
      <w:rFonts w:cs="KievitPro-Regular"/>
      <w:color w:val="000000"/>
      <w:sz w:val="11"/>
      <w:szCs w:val="11"/>
    </w:rPr>
  </w:style>
  <w:style w:type="character" w:customStyle="1" w:styleId="A12">
    <w:name w:val="A12"/>
    <w:uiPriority w:val="99"/>
    <w:rPr>
      <w:rFonts w:cs="KievitPro-Regular"/>
      <w:color w:val="000000"/>
    </w:rPr>
  </w:style>
  <w:style w:type="paragraph" w:customStyle="1" w:styleId="Tableaupuce">
    <w:name w:val="Tableau puce"/>
    <w:basedOn w:val="Normal"/>
    <w:link w:val="TableaupuceChar"/>
    <w:pPr>
      <w:tabs>
        <w:tab w:val="left" w:pos="227"/>
      </w:tabs>
      <w:overflowPunct w:val="0"/>
      <w:autoSpaceDE w:val="0"/>
      <w:autoSpaceDN w:val="0"/>
      <w:adjustRightInd w:val="0"/>
      <w:spacing w:before="40"/>
      <w:ind w:right="113"/>
      <w:textAlignment w:val="baseline"/>
    </w:pPr>
    <w:rPr>
      <w:rFonts w:ascii="EY Gothic Comp Book" w:hAnsi="EY Gothic Comp Book"/>
      <w:noProof/>
      <w:sz w:val="20"/>
    </w:rPr>
  </w:style>
  <w:style w:type="character" w:customStyle="1" w:styleId="TableaupuceChar">
    <w:name w:val="Tableau puce Char"/>
    <w:basedOn w:val="DefaultParagraphFont"/>
    <w:link w:val="Tableaupuce"/>
    <w:rPr>
      <w:rFonts w:ascii="EY Gothic Comp Book" w:eastAsia="Times New Roman" w:hAnsi="EY Gothic Comp Book" w:cs="Times New Roman"/>
      <w:noProof/>
      <w:sz w:val="20"/>
      <w:szCs w:val="20"/>
    </w:rPr>
  </w:style>
  <w:style w:type="paragraph" w:customStyle="1" w:styleId="Pa29">
    <w:name w:val="Pa29"/>
    <w:basedOn w:val="Default"/>
    <w:next w:val="Default"/>
    <w:uiPriority w:val="99"/>
  </w:style>
  <w:style w:type="character" w:customStyle="1" w:styleId="super">
    <w:name w:val="super"/>
    <w:basedOn w:val="DefaultParagraphFont"/>
    <w:rPr>
      <w:sz w:val="17"/>
      <w:szCs w:val="17"/>
      <w:vertAlign w:val="superscript"/>
    </w:rPr>
  </w:style>
  <w:style w:type="paragraph" w:customStyle="1" w:styleId="doc-ti">
    <w:name w:val="doc-ti"/>
    <w:basedOn w:val="Normal"/>
    <w:pPr>
      <w:autoSpaceDE w:val="0"/>
      <w:autoSpaceDN w:val="0"/>
      <w:adjustRightInd w:val="0"/>
      <w:spacing w:before="240" w:after="120"/>
      <w:jc w:val="center"/>
    </w:pPr>
    <w:rPr>
      <w:b/>
      <w:bCs/>
      <w:szCs w:val="24"/>
      <w:lang w:val="en-US"/>
    </w:rPr>
  </w:style>
  <w:style w:type="character" w:customStyle="1" w:styleId="blackgraphtx">
    <w:name w:val="blackgraphtx"/>
    <w:basedOn w:val="DefaultParagraphFont"/>
  </w:style>
  <w:style w:type="paragraph" w:customStyle="1" w:styleId="numbering">
    <w:name w:val="numbering"/>
    <w:basedOn w:val="Bulletcoretext"/>
    <w:link w:val="numberingChar"/>
    <w:qFormat/>
    <w:pPr>
      <w:numPr>
        <w:numId w:val="51"/>
      </w:numPr>
      <w:tabs>
        <w:tab w:val="left" w:pos="709"/>
      </w:tabs>
      <w:suppressAutoHyphens/>
      <w:autoSpaceDE w:val="0"/>
      <w:autoSpaceDN w:val="0"/>
      <w:adjustRightInd w:val="0"/>
      <w:spacing w:before="40" w:after="40"/>
      <w:contextualSpacing w:val="0"/>
    </w:pPr>
    <w:rPr>
      <w:rFonts w:ascii="Tahoma" w:eastAsia="Calibri" w:hAnsi="Tahoma"/>
      <w:kern w:val="12"/>
      <w:sz w:val="18"/>
      <w:lang w:val="en-US" w:eastAsia="ar-SA"/>
    </w:rPr>
  </w:style>
  <w:style w:type="character" w:customStyle="1" w:styleId="numberingChar">
    <w:name w:val="numbering Char"/>
    <w:basedOn w:val="BulletcoretextChar"/>
    <w:link w:val="numbering"/>
    <w:rPr>
      <w:rFonts w:ascii="Tahoma" w:eastAsia="Calibri" w:hAnsi="Tahoma"/>
      <w:kern w:val="12"/>
      <w:sz w:val="18"/>
      <w:lang w:val="en-US" w:eastAsia="ar-SA"/>
    </w:rPr>
  </w:style>
  <w:style w:type="paragraph" w:customStyle="1" w:styleId="Rfrenceinstitutionelle">
    <w:name w:val="Référence institutionelle"/>
    <w:basedOn w:val="Normal"/>
    <w:next w:val="Normal"/>
    <w:pPr>
      <w:autoSpaceDE w:val="0"/>
      <w:autoSpaceDN w:val="0"/>
      <w:adjustRightInd w:val="0"/>
      <w:ind w:left="5103"/>
    </w:pPr>
    <w:rPr>
      <w:szCs w:val="24"/>
      <w:lang w:eastAsia="de-DE"/>
    </w:rPr>
  </w:style>
  <w:style w:type="paragraph" w:customStyle="1" w:styleId="ManualHeading3">
    <w:name w:val="Manual Heading 3"/>
    <w:basedOn w:val="Normal"/>
    <w:next w:val="Normal"/>
    <w:pPr>
      <w:keepNext/>
      <w:tabs>
        <w:tab w:val="left" w:pos="850"/>
      </w:tabs>
      <w:autoSpaceDE w:val="0"/>
      <w:autoSpaceDN w:val="0"/>
      <w:adjustRightInd w:val="0"/>
      <w:spacing w:before="120" w:after="120"/>
      <w:ind w:left="850" w:hanging="850"/>
      <w:outlineLvl w:val="2"/>
    </w:pPr>
    <w:rPr>
      <w:i/>
      <w:szCs w:val="24"/>
      <w:lang w:eastAsia="de-DE"/>
    </w:rPr>
  </w:style>
  <w:style w:type="table" w:customStyle="1" w:styleId="GridTable5Dark-Accent21">
    <w:name w:val="Grid Table 5 Dark - Accent 21"/>
    <w:basedOn w:val="TableNormal"/>
    <w:uiPriority w:val="50"/>
    <w:pPr>
      <w:spacing w:after="0" w:line="240" w:lineRule="auto"/>
    </w:pPr>
    <w:rPr>
      <w:rFonts w:ascii="EYInterstate Light" w:hAnsi="EYInterstate Light"/>
      <w:sz w:val="20"/>
      <w:szCs w:val="20"/>
      <w:lang w:val="nl-B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7Colorful-Accent11">
    <w:name w:val="List Table 7 Colorful - Accent 11"/>
    <w:basedOn w:val="TableNormal"/>
    <w:uiPriority w:val="52"/>
    <w:pPr>
      <w:spacing w:after="0" w:line="240" w:lineRule="auto"/>
    </w:pPr>
    <w:rPr>
      <w:rFonts w:ascii="EYInterstate Light" w:hAnsi="EYInterstate Light"/>
      <w:color w:val="365F91" w:themeColor="accent1" w:themeShade="BF"/>
      <w:sz w:val="20"/>
      <w:szCs w:val="20"/>
      <w:lang w:val="nl-B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4-Accent11">
    <w:name w:val="List Table 4 - Accent 11"/>
    <w:basedOn w:val="TableNormal"/>
    <w:uiPriority w:val="49"/>
    <w:pPr>
      <w:spacing w:after="0" w:line="240" w:lineRule="auto"/>
    </w:pPr>
    <w:rPr>
      <w:rFonts w:ascii="EYInterstate Light" w:hAnsi="EYInterstate Light"/>
      <w:sz w:val="20"/>
      <w:szCs w:val="20"/>
      <w:lang w:val="nl-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3">
    <w:name w:val="Pa3"/>
    <w:basedOn w:val="Normal"/>
    <w:next w:val="Normal"/>
    <w:uiPriority w:val="99"/>
    <w:pPr>
      <w:autoSpaceDE w:val="0"/>
      <w:autoSpaceDN w:val="0"/>
      <w:adjustRightInd w:val="0"/>
      <w:spacing w:line="241" w:lineRule="atLeast"/>
    </w:pPr>
    <w:rPr>
      <w:rFonts w:ascii="Corbel" w:eastAsiaTheme="minorHAnsi" w:hAnsi="Corbel" w:cstheme="minorBidi"/>
      <w:szCs w:val="24"/>
      <w:lang w:val="en-US"/>
    </w:rPr>
  </w:style>
  <w:style w:type="character" w:customStyle="1" w:styleId="A7">
    <w:name w:val="A7"/>
    <w:uiPriority w:val="99"/>
    <w:rPr>
      <w:rFonts w:cs="Corbel"/>
      <w:color w:val="000000"/>
      <w:sz w:val="14"/>
      <w:szCs w:val="14"/>
    </w:rPr>
  </w:style>
  <w:style w:type="character" w:customStyle="1" w:styleId="A4">
    <w:name w:val="A4"/>
    <w:uiPriority w:val="99"/>
    <w:rPr>
      <w:rFonts w:cs="BankGothic Md BT"/>
      <w:color w:val="000000"/>
      <w:sz w:val="72"/>
      <w:szCs w:val="72"/>
    </w:rPr>
  </w:style>
  <w:style w:type="character" w:customStyle="1" w:styleId="bold">
    <w:name w:val="bold"/>
    <w:basedOn w:val="DefaultParagraphFont"/>
    <w:rPr>
      <w:b/>
      <w:bCs/>
    </w:rPr>
  </w:style>
  <w:style w:type="table" w:customStyle="1" w:styleId="GridTable4-Accent11">
    <w:name w:val="Grid Table 4 - Accent 11"/>
    <w:basedOn w:val="TableNormal"/>
    <w:uiPriority w:val="49"/>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10">
    <w:name w:val="normal10"/>
    <w:basedOn w:val="DefaultParagraphFont"/>
  </w:style>
  <w:style w:type="character" w:styleId="HTMLCite">
    <w:name w:val="HTML Cite"/>
    <w:basedOn w:val="DefaultParagraphFont"/>
    <w:uiPriority w:val="99"/>
    <w:semiHidden/>
    <w:unhideWhenUsed/>
    <w:rPr>
      <w:i/>
      <w:iCs/>
    </w:rPr>
  </w:style>
  <w:style w:type="character" w:customStyle="1" w:styleId="libraysubgroupname1">
    <w:name w:val="libraysubgroupname1"/>
    <w:basedOn w:val="DefaultParagraphFont"/>
    <w:rPr>
      <w:b/>
      <w:bCs/>
      <w:sz w:val="26"/>
      <w:szCs w:val="26"/>
    </w:rPr>
  </w:style>
  <w:style w:type="paragraph" w:customStyle="1" w:styleId="CharCharCharCharChar15">
    <w:name w:val="Char Char Char Char Char15"/>
    <w:basedOn w:val="Normal"/>
    <w:next w:val="Normal"/>
    <w:pPr>
      <w:spacing w:after="160" w:line="240" w:lineRule="exact"/>
    </w:pPr>
    <w:rPr>
      <w:rFonts w:ascii="Tahoma" w:hAnsi="Tahoma"/>
      <w:lang w:val="en-US" w:eastAsia="zh-CN"/>
    </w:rPr>
  </w:style>
  <w:style w:type="paragraph" w:customStyle="1" w:styleId="CharCharCharCharChar14">
    <w:name w:val="Char Char Char Char Char14"/>
    <w:basedOn w:val="Normal"/>
    <w:next w:val="Normal"/>
    <w:pPr>
      <w:spacing w:after="160" w:line="240" w:lineRule="exact"/>
    </w:pPr>
    <w:rPr>
      <w:rFonts w:ascii="Tahoma" w:hAnsi="Tahoma"/>
      <w:lang w:val="en-US" w:eastAsia="zh-CN"/>
    </w:rPr>
  </w:style>
  <w:style w:type="paragraph" w:customStyle="1" w:styleId="CharCharCharCharChar13">
    <w:name w:val="Char Char Char Char Char13"/>
    <w:basedOn w:val="Normal"/>
    <w:next w:val="Normal"/>
    <w:pPr>
      <w:spacing w:after="160" w:line="240" w:lineRule="exact"/>
    </w:pPr>
    <w:rPr>
      <w:rFonts w:ascii="Tahoma" w:hAnsi="Tahoma"/>
      <w:lang w:val="en-US" w:eastAsia="zh-CN"/>
    </w:rPr>
  </w:style>
  <w:style w:type="paragraph" w:customStyle="1" w:styleId="CharCharCharCharChar12">
    <w:name w:val="Char Char Char Char Char12"/>
    <w:basedOn w:val="Normal"/>
    <w:next w:val="Normal"/>
    <w:pPr>
      <w:spacing w:after="160" w:line="240" w:lineRule="exact"/>
    </w:pPr>
    <w:rPr>
      <w:rFonts w:ascii="Tahoma" w:hAnsi="Tahoma"/>
      <w:lang w:val="en-US" w:eastAsia="zh-CN"/>
    </w:rPr>
  </w:style>
  <w:style w:type="table" w:customStyle="1" w:styleId="ListTable3-Accent51">
    <w:name w:val="List Table 3 - Accent 51"/>
    <w:basedOn w:val="TableNormal"/>
    <w:uiPriority w:val="48"/>
    <w:pPr>
      <w:spacing w:after="0" w:line="240" w:lineRule="auto"/>
    </w:pPr>
    <w:rPr>
      <w:lang w:val="it-IT"/>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CharCharCharCharChar00">
    <w:name w:val="Char Char Char Char Char00"/>
    <w:basedOn w:val="Normal"/>
    <w:next w:val="Normal"/>
    <w:pPr>
      <w:spacing w:after="160" w:line="240" w:lineRule="exact"/>
    </w:pPr>
    <w:rPr>
      <w:rFonts w:ascii="Tahoma" w:hAnsi="Tahoma"/>
      <w:lang w:val="en-US" w:eastAsia="zh-CN"/>
    </w:rPr>
  </w:style>
  <w:style w:type="paragraph" w:customStyle="1" w:styleId="CharCharCharCharChar20">
    <w:name w:val="Char Char Char Char Char20"/>
    <w:basedOn w:val="Normal"/>
    <w:next w:val="Normal"/>
    <w:pPr>
      <w:spacing w:after="160" w:line="240" w:lineRule="exact"/>
    </w:pPr>
    <w:rPr>
      <w:rFonts w:ascii="Tahoma" w:hAnsi="Tahoma"/>
      <w:lang w:val="en-US" w:eastAsia="zh-CN"/>
    </w:rPr>
  </w:style>
  <w:style w:type="table" w:customStyle="1" w:styleId="TableGridLight20">
    <w:name w:val="Table Grid Light20"/>
    <w:basedOn w:val="TableNormal"/>
    <w:uiPriority w:val="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CharCharCharChar30">
    <w:name w:val="Char Char Char Char Char30"/>
    <w:basedOn w:val="Normal"/>
    <w:next w:val="Normal"/>
    <w:pPr>
      <w:spacing w:after="160" w:line="240" w:lineRule="exact"/>
    </w:pPr>
    <w:rPr>
      <w:rFonts w:ascii="Tahoma" w:hAnsi="Tahoma"/>
      <w:lang w:val="en-US" w:eastAsia="zh-CN"/>
    </w:rPr>
  </w:style>
  <w:style w:type="paragraph" w:customStyle="1" w:styleId="CharCharCharCharChar100">
    <w:name w:val="Char Char Char Char Char100"/>
    <w:basedOn w:val="Normal"/>
    <w:next w:val="Normal"/>
    <w:pPr>
      <w:spacing w:after="160" w:line="240" w:lineRule="exact"/>
    </w:pPr>
    <w:rPr>
      <w:rFonts w:ascii="Tahoma" w:hAnsi="Tahoma"/>
      <w:lang w:val="en-US" w:eastAsia="zh-CN"/>
    </w:rPr>
  </w:style>
  <w:style w:type="paragraph" w:customStyle="1" w:styleId="Normal2">
    <w:name w:val="Normal2"/>
    <w:basedOn w:val="Normal"/>
    <w:pPr>
      <w:spacing w:before="120"/>
    </w:pPr>
    <w:rPr>
      <w:szCs w:val="24"/>
      <w:lang w:val="en-US"/>
    </w:rPr>
  </w:style>
  <w:style w:type="paragraph" w:customStyle="1" w:styleId="CharCharCharCharChar000">
    <w:name w:val="Char Char Char Char Char000"/>
    <w:basedOn w:val="Normal"/>
    <w:next w:val="Normal"/>
    <w:pPr>
      <w:spacing w:after="160" w:line="240" w:lineRule="exact"/>
    </w:pPr>
    <w:rPr>
      <w:rFonts w:ascii="Tahoma" w:hAnsi="Tahoma"/>
      <w:lang w:val="en-US" w:eastAsia="zh-CN"/>
    </w:rPr>
  </w:style>
  <w:style w:type="paragraph" w:customStyle="1" w:styleId="CharCharCharCharChar200">
    <w:name w:val="Char Char Char Char Char200"/>
    <w:basedOn w:val="Normal"/>
    <w:next w:val="Normal"/>
    <w:pPr>
      <w:spacing w:after="160" w:line="240" w:lineRule="exact"/>
    </w:pPr>
    <w:rPr>
      <w:rFonts w:ascii="Tahoma" w:hAnsi="Tahoma"/>
      <w:lang w:val="en-US" w:eastAsia="zh-CN"/>
    </w:rPr>
  </w:style>
  <w:style w:type="table" w:customStyle="1" w:styleId="TableGridLight200">
    <w:name w:val="Table Grid Light200"/>
    <w:basedOn w:val="TableNormal"/>
    <w:uiPriority w:val="40"/>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CharCharCharChar300">
    <w:name w:val="Char Char Char Char Char300"/>
    <w:basedOn w:val="Normal"/>
    <w:next w:val="Normal"/>
    <w:pPr>
      <w:spacing w:after="160" w:line="240" w:lineRule="exact"/>
    </w:pPr>
    <w:rPr>
      <w:rFonts w:ascii="Tahoma" w:hAnsi="Tahoma"/>
      <w:lang w:val="en-US" w:eastAsia="zh-CN"/>
    </w:rPr>
  </w:style>
  <w:style w:type="paragraph" w:customStyle="1" w:styleId="CharCharCharCharChar1000">
    <w:name w:val="Char Char Char Char Char1000"/>
    <w:basedOn w:val="Normal"/>
    <w:next w:val="Normal"/>
    <w:pPr>
      <w:spacing w:after="160" w:line="240" w:lineRule="exact"/>
    </w:pPr>
    <w:rPr>
      <w:rFonts w:ascii="Tahoma" w:hAnsi="Tahoma"/>
      <w:lang w:val="en-US" w:eastAsia="zh-CN"/>
    </w:rPr>
  </w:style>
  <w:style w:type="paragraph" w:customStyle="1" w:styleId="CharCharCharCharChar19">
    <w:name w:val="Char Char Char Char Char19"/>
    <w:basedOn w:val="Normal"/>
    <w:next w:val="Normal"/>
    <w:pPr>
      <w:spacing w:after="160" w:line="240" w:lineRule="exact"/>
    </w:pPr>
    <w:rPr>
      <w:rFonts w:ascii="Tahoma" w:hAnsi="Tahoma"/>
      <w:lang w:val="en-US" w:eastAsia="zh-CN"/>
    </w:rPr>
  </w:style>
  <w:style w:type="paragraph" w:customStyle="1" w:styleId="CharCharCharCharChar18">
    <w:name w:val="Char Char Char Char Char18"/>
    <w:basedOn w:val="Normal"/>
    <w:next w:val="Normal"/>
    <w:pPr>
      <w:spacing w:after="160" w:line="240" w:lineRule="exact"/>
    </w:pPr>
    <w:rPr>
      <w:rFonts w:ascii="Tahoma" w:hAnsi="Tahoma"/>
      <w:lang w:val="en-US" w:eastAsia="zh-CN"/>
    </w:rPr>
  </w:style>
  <w:style w:type="paragraph" w:customStyle="1" w:styleId="CharCharCharCharChar17">
    <w:name w:val="Char Char Char Char Char17"/>
    <w:basedOn w:val="Normal"/>
    <w:next w:val="Normal"/>
    <w:pPr>
      <w:spacing w:after="160" w:line="240" w:lineRule="exact"/>
    </w:pPr>
    <w:rPr>
      <w:rFonts w:ascii="Tahoma" w:hAnsi="Tahoma"/>
      <w:lang w:val="en-US" w:eastAsia="zh-CN"/>
    </w:rPr>
  </w:style>
  <w:style w:type="paragraph" w:customStyle="1" w:styleId="CharCharCharCharChar16">
    <w:name w:val="Char Char Char Char Char16"/>
    <w:basedOn w:val="Normal"/>
    <w:next w:val="Normal"/>
    <w:pPr>
      <w:spacing w:after="160" w:line="240" w:lineRule="exact"/>
    </w:pPr>
    <w:rPr>
      <w:rFonts w:ascii="Tahoma" w:hAnsi="Tahoma"/>
      <w:lang w:val="en-US" w:eastAsia="zh-CN"/>
    </w:rPr>
  </w:style>
  <w:style w:type="paragraph" w:customStyle="1" w:styleId="Heading51">
    <w:name w:val="Heading 51"/>
    <w:basedOn w:val="Normal"/>
    <w:next w:val="Normal"/>
    <w:pPr>
      <w:spacing w:before="240" w:after="60"/>
      <w:ind w:left="1008" w:hanging="1008"/>
      <w:outlineLvl w:val="4"/>
    </w:pPr>
    <w:rPr>
      <w:rFonts w:ascii="Verdana" w:hAnsi="Verdana"/>
      <w:i/>
      <w:iCs/>
      <w:color w:val="000000"/>
      <w:sz w:val="20"/>
      <w:lang w:val="en-US"/>
    </w:rPr>
  </w:style>
  <w:style w:type="paragraph" w:customStyle="1" w:styleId="TOCHeading2">
    <w:name w:val="TOC Heading2"/>
    <w:basedOn w:val="Heading1"/>
    <w:next w:val="Normal"/>
    <w:uiPriority w:val="39"/>
    <w:unhideWhenUsed/>
    <w:qFormat/>
    <w:pPr>
      <w:keepLines/>
      <w:spacing w:before="480" w:line="276" w:lineRule="auto"/>
      <w:outlineLvl w:val="9"/>
    </w:pPr>
    <w:rPr>
      <w:rFonts w:ascii="Verdana" w:eastAsia="MS Gothic" w:hAnsi="Verdana"/>
      <w:bCs/>
      <w:smallCaps w:val="0"/>
      <w:color w:val="000000"/>
      <w:sz w:val="20"/>
      <w:szCs w:val="28"/>
    </w:rPr>
  </w:style>
  <w:style w:type="paragraph" w:customStyle="1" w:styleId="MediumGrid1-Accent211">
    <w:name w:val="Medium Grid 1 - Accent 211"/>
    <w:basedOn w:val="Normal"/>
    <w:next w:val="ListParagraph"/>
    <w:uiPriority w:val="34"/>
    <w:qFormat/>
    <w:pPr>
      <w:ind w:left="720"/>
      <w:contextualSpacing/>
    </w:pPr>
    <w:rPr>
      <w:color w:val="000000"/>
    </w:rPr>
  </w:style>
  <w:style w:type="character" w:customStyle="1" w:styleId="SubtleEmphasis1">
    <w:name w:val="Subtle Emphasis1"/>
    <w:basedOn w:val="DefaultParagraphFont"/>
    <w:uiPriority w:val="19"/>
    <w:qFormat/>
    <w:rPr>
      <w:rFonts w:ascii="Verdana" w:hAnsi="Verdana"/>
      <w:i/>
      <w:iCs/>
      <w:color w:val="808080"/>
      <w:sz w:val="18"/>
    </w:rPr>
  </w:style>
  <w:style w:type="character" w:customStyle="1" w:styleId="FollowedHyperlink1">
    <w:name w:val="FollowedHyperlink1"/>
    <w:basedOn w:val="DefaultParagraphFont"/>
    <w:uiPriority w:val="99"/>
    <w:rPr>
      <w:color w:val="800080"/>
      <w:u w:val="single"/>
    </w:rPr>
  </w:style>
  <w:style w:type="paragraph" w:customStyle="1" w:styleId="IntenseQuote1">
    <w:name w:val="Intense Quote1"/>
    <w:basedOn w:val="Normal"/>
    <w:next w:val="Normal"/>
    <w:uiPriority w:val="30"/>
    <w:pPr>
      <w:pBdr>
        <w:top w:val="single" w:sz="4" w:space="10" w:color="4F81BD"/>
        <w:bottom w:val="single" w:sz="4" w:space="10" w:color="4F81BD"/>
      </w:pBdr>
      <w:spacing w:before="360" w:after="360"/>
      <w:ind w:left="864" w:right="864"/>
      <w:jc w:val="center"/>
    </w:pPr>
    <w:rPr>
      <w:i/>
      <w:iCs/>
      <w:color w:val="4F81BD"/>
    </w:rPr>
  </w:style>
  <w:style w:type="table" w:customStyle="1" w:styleId="LightShading11">
    <w:name w:val="Light Shading11"/>
    <w:basedOn w:val="TableNormal"/>
    <w:next w:val="LightShading"/>
    <w:uiPriority w:val="60"/>
    <w:pPr>
      <w:spacing w:after="0" w:line="240" w:lineRule="auto"/>
    </w:pPr>
    <w:rPr>
      <w:rFonts w:ascii="Calibri" w:eastAsia="Calibri" w:hAnsi="Calibri" w:cs="Times New Roman"/>
      <w:color w:val="000000"/>
      <w:sz w:val="16"/>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EY11">
    <w:name w:val="Table EY11"/>
    <w:basedOn w:val="TableNormal"/>
    <w:next w:val="TableGrid"/>
    <w:uiPriority w:val="5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Tahoma" w:hAnsi="Tahoma"/>
        <w:b/>
        <w:color w:val="FFFFFF"/>
        <w:sz w:val="18"/>
      </w:rPr>
      <w:tblPr/>
      <w:tcPr>
        <w:shd w:val="clear" w:color="auto" w:fill="00AEF0"/>
      </w:tcPr>
    </w:tblStylePr>
    <w:tblStylePr w:type="band1Horz">
      <w:rPr>
        <w:sz w:val="18"/>
      </w:rPr>
    </w:tblStylePr>
  </w:style>
  <w:style w:type="table" w:customStyle="1" w:styleId="TableGridLight21">
    <w:name w:val="Table Grid Light21"/>
    <w:basedOn w:val="TableNormal"/>
    <w:uiPriority w:val="4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CharCharCharChar24">
    <w:name w:val="Char Char Char Char Char24"/>
    <w:basedOn w:val="Normal"/>
    <w:next w:val="Normal"/>
    <w:pPr>
      <w:spacing w:after="160" w:line="240" w:lineRule="exact"/>
    </w:pPr>
    <w:rPr>
      <w:rFonts w:ascii="Tahoma" w:hAnsi="Tahoma"/>
      <w:lang w:val="en-US" w:eastAsia="zh-CN"/>
    </w:rPr>
  </w:style>
  <w:style w:type="paragraph" w:customStyle="1" w:styleId="CharCharCharCharChar23">
    <w:name w:val="Char Char Char Char Char23"/>
    <w:basedOn w:val="Normal"/>
    <w:next w:val="Normal"/>
    <w:pPr>
      <w:spacing w:after="160" w:line="240" w:lineRule="exact"/>
    </w:pPr>
    <w:rPr>
      <w:rFonts w:ascii="Tahoma" w:hAnsi="Tahoma"/>
      <w:lang w:val="en-US" w:eastAsia="zh-CN"/>
    </w:rPr>
  </w:style>
  <w:style w:type="paragraph" w:customStyle="1" w:styleId="CharCharCharCharChar22">
    <w:name w:val="Char Char Char Char Char22"/>
    <w:basedOn w:val="Normal"/>
    <w:next w:val="Normal"/>
    <w:pPr>
      <w:spacing w:after="160" w:line="240" w:lineRule="exact"/>
    </w:pPr>
    <w:rPr>
      <w:rFonts w:ascii="Tahoma" w:hAnsi="Tahoma"/>
      <w:lang w:val="en-US" w:eastAsia="zh-CN"/>
    </w:rPr>
  </w:style>
  <w:style w:type="paragraph" w:customStyle="1" w:styleId="CharCharCharCharChar21">
    <w:name w:val="Char Char Char Char Char21"/>
    <w:basedOn w:val="Normal"/>
    <w:next w:val="Normal"/>
    <w:pPr>
      <w:spacing w:after="160" w:line="240" w:lineRule="exact"/>
    </w:pPr>
    <w:rPr>
      <w:rFonts w:ascii="Tahoma" w:hAnsi="Tahoma"/>
      <w:lang w:val="en-US" w:eastAsia="zh-CN"/>
    </w:rPr>
  </w:style>
  <w:style w:type="table" w:customStyle="1" w:styleId="TableGridLight22">
    <w:name w:val="Table Grid Light22"/>
    <w:basedOn w:val="TableNormal"/>
    <w:uiPriority w:val="4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14">
    <w:name w:val="A14"/>
    <w:uiPriority w:val="99"/>
    <w:rPr>
      <w:rFonts w:cs="Cambria"/>
      <w:color w:val="000000"/>
      <w:sz w:val="19"/>
      <w:szCs w:val="19"/>
    </w:rPr>
  </w:style>
  <w:style w:type="character" w:customStyle="1" w:styleId="Heading5Char1">
    <w:name w:val="Heading 5 Char1"/>
    <w:basedOn w:val="DefaultParagraphFont"/>
    <w:uiPriority w:val="9"/>
    <w:semiHidden/>
    <w:rPr>
      <w:rFonts w:asciiTheme="majorHAnsi" w:eastAsiaTheme="majorEastAsia" w:hAnsiTheme="majorHAnsi" w:cstheme="majorBidi"/>
      <w:color w:val="365F91" w:themeColor="accent1" w:themeShade="BF"/>
    </w:rPr>
  </w:style>
  <w:style w:type="character" w:customStyle="1" w:styleId="IntenseQuoteChar1">
    <w:name w:val="Intense Quote Char1"/>
    <w:basedOn w:val="DefaultParagraphFont"/>
    <w:uiPriority w:val="30"/>
    <w:rPr>
      <w:i/>
      <w:iCs/>
      <w:color w:val="4F81BD" w:themeColor="accent1"/>
    </w:rPr>
  </w:style>
  <w:style w:type="paragraph" w:customStyle="1" w:styleId="EYBulletPoints">
    <w:name w:val="EY Bullet Points"/>
    <w:basedOn w:val="Bullet2"/>
    <w:qFormat/>
    <w:pPr>
      <w:numPr>
        <w:numId w:val="0"/>
      </w:numPr>
      <w:spacing w:after="120"/>
      <w:ind w:left="1080" w:hanging="360"/>
    </w:pPr>
    <w:rPr>
      <w:b/>
    </w:rPr>
  </w:style>
  <w:style w:type="character" w:customStyle="1" w:styleId="TablebulletChar">
    <w:name w:val="Table bullet Char"/>
    <w:basedOn w:val="BodyChar"/>
    <w:link w:val="Tablebullet"/>
    <w:rPr>
      <w:rFonts w:ascii="EYInterstate Light" w:eastAsia="Times New Roman" w:hAnsi="EYInterstate Light" w:cs="Times New Roman"/>
      <w:sz w:val="18"/>
      <w:szCs w:val="20"/>
      <w:lang w:val="en-US"/>
    </w:rPr>
  </w:style>
  <w:style w:type="paragraph" w:customStyle="1" w:styleId="Heading40">
    <w:name w:val="Heading 4!"/>
    <w:basedOn w:val="Heading3"/>
    <w:link w:val="Heading4Char0"/>
    <w:qFormat/>
    <w:pPr>
      <w:tabs>
        <w:tab w:val="left" w:pos="1026"/>
      </w:tabs>
      <w:spacing w:before="240"/>
    </w:pPr>
    <w:rPr>
      <w:rFonts w:ascii="Verdana" w:hAnsi="Verdana"/>
      <w:b/>
      <w:lang w:val="en-US"/>
    </w:rPr>
  </w:style>
  <w:style w:type="character" w:customStyle="1" w:styleId="Heading4Char0">
    <w:name w:val="Heading 4! Char"/>
    <w:basedOn w:val="Heading3Char"/>
    <w:link w:val="Heading40"/>
    <w:rPr>
      <w:rFonts w:ascii="Verdana" w:eastAsia="Times New Roman" w:hAnsi="Verdana" w:cs="Times New Roman"/>
      <w:b/>
      <w:i/>
      <w:sz w:val="24"/>
      <w:szCs w:val="20"/>
      <w:lang w:val="en-US"/>
    </w:rPr>
  </w:style>
  <w:style w:type="paragraph" w:customStyle="1" w:styleId="HH3">
    <w:name w:val="HH3"/>
    <w:basedOn w:val="ListParagraph"/>
    <w:next w:val="Body"/>
    <w:qFormat/>
    <w:pPr>
      <w:keepNext/>
      <w:numPr>
        <w:ilvl w:val="2"/>
        <w:numId w:val="61"/>
      </w:numPr>
      <w:spacing w:before="120" w:after="240"/>
      <w:jc w:val="both"/>
      <w:outlineLvl w:val="2"/>
    </w:pPr>
    <w:rPr>
      <w:rFonts w:eastAsiaTheme="minorHAnsi"/>
      <w:b/>
      <w:i/>
    </w:rPr>
  </w:style>
  <w:style w:type="paragraph" w:customStyle="1" w:styleId="Heading2N">
    <w:name w:val="Heading2N"/>
    <w:basedOn w:val="HH3"/>
    <w:link w:val="Heading2NChar"/>
    <w:qFormat/>
    <w:pPr>
      <w:numPr>
        <w:ilvl w:val="1"/>
        <w:numId w:val="52"/>
      </w:numPr>
      <w:outlineLvl w:val="1"/>
    </w:pPr>
    <w:rPr>
      <w:sz w:val="20"/>
    </w:rPr>
  </w:style>
  <w:style w:type="paragraph" w:customStyle="1" w:styleId="Heading3N">
    <w:name w:val="Heading3N"/>
    <w:basedOn w:val="Heading2N"/>
    <w:qFormat/>
    <w:pPr>
      <w:numPr>
        <w:ilvl w:val="2"/>
      </w:numPr>
      <w:ind w:left="2302" w:hanging="360"/>
      <w:outlineLvl w:val="2"/>
    </w:pPr>
    <w:rPr>
      <w:sz w:val="18"/>
    </w:rPr>
  </w:style>
  <w:style w:type="character" w:customStyle="1" w:styleId="Heading2NChar">
    <w:name w:val="Heading2N Char"/>
    <w:basedOn w:val="DefaultParagraphFont"/>
    <w:link w:val="Heading2N"/>
    <w:rPr>
      <w:rFonts w:ascii="Times New Roman" w:hAnsi="Times New Roman" w:cs="Times New Roman"/>
      <w:b/>
      <w:i/>
      <w:sz w:val="20"/>
      <w:szCs w:val="20"/>
    </w:rPr>
  </w:style>
  <w:style w:type="paragraph" w:customStyle="1" w:styleId="Heading4N">
    <w:name w:val="Heading4N"/>
    <w:basedOn w:val="Heading3N"/>
    <w:qFormat/>
    <w:pPr>
      <w:numPr>
        <w:ilvl w:val="3"/>
      </w:numPr>
      <w:ind w:left="3022" w:hanging="360"/>
    </w:pPr>
  </w:style>
  <w:style w:type="paragraph" w:customStyle="1" w:styleId="Body1">
    <w:name w:val="Body1"/>
    <w:basedOn w:val="Normal"/>
    <w:link w:val="Body1Char"/>
    <w:qFormat/>
    <w:pPr>
      <w:spacing w:after="240"/>
      <w:jc w:val="both"/>
    </w:pPr>
    <w:rPr>
      <w:noProof/>
    </w:rPr>
  </w:style>
  <w:style w:type="character" w:customStyle="1" w:styleId="Body1Char">
    <w:name w:val="Body1 Char"/>
    <w:basedOn w:val="DefaultParagraphFont"/>
    <w:link w:val="Body1"/>
    <w:rPr>
      <w:rFonts w:ascii="Times New Roman" w:eastAsia="Times New Roman" w:hAnsi="Times New Roman" w:cs="Times New Roman"/>
      <w:noProof/>
      <w:sz w:val="24"/>
      <w:szCs w:val="20"/>
    </w:rPr>
  </w:style>
  <w:style w:type="character" w:customStyle="1" w:styleId="Corpsdutexte">
    <w:name w:val="Corps du texte_"/>
    <w:basedOn w:val="DefaultParagraphFont"/>
    <w:qFormat/>
    <w:rPr>
      <w:b w:val="0"/>
      <w:bCs w:val="0"/>
      <w:i w:val="0"/>
      <w:iCs w:val="0"/>
      <w:caps w:val="0"/>
      <w:smallCaps w:val="0"/>
      <w:strike w:val="0"/>
      <w:dstrike w:val="0"/>
      <w:sz w:val="22"/>
      <w:szCs w:val="22"/>
      <w:u w:val="none"/>
    </w:rPr>
  </w:style>
  <w:style w:type="paragraph" w:customStyle="1" w:styleId="EvaluationQuestion">
    <w:name w:val="Evaluation Question"/>
    <w:basedOn w:val="Tabletext1"/>
    <w:link w:val="EvaluationQuestionChar"/>
    <w:qFormat/>
    <w:pPr>
      <w:keepNext/>
      <w:keepLines/>
      <w:pBdr>
        <w:top w:val="dotted" w:sz="4" w:space="1" w:color="auto"/>
        <w:left w:val="dotted" w:sz="4" w:space="4" w:color="auto"/>
        <w:bottom w:val="dotted" w:sz="4" w:space="1" w:color="auto"/>
        <w:right w:val="dotted" w:sz="4" w:space="4" w:color="auto"/>
      </w:pBdr>
      <w:shd w:val="clear" w:color="auto" w:fill="F2F2F2" w:themeFill="background1" w:themeFillShade="F2"/>
      <w:spacing w:before="120" w:after="120" w:line="360" w:lineRule="auto"/>
      <w:ind w:left="113" w:right="113"/>
    </w:pPr>
    <w:rPr>
      <w:b/>
    </w:rPr>
  </w:style>
  <w:style w:type="character" w:customStyle="1" w:styleId="EvaluationQuestionChar">
    <w:name w:val="Evaluation Question Char"/>
    <w:basedOn w:val="TabletextChar"/>
    <w:link w:val="EvaluationQuestion"/>
    <w:rPr>
      <w:rFonts w:ascii="Verdana" w:hAnsi="Verdana"/>
      <w:b/>
      <w:sz w:val="17"/>
      <w:szCs w:val="17"/>
      <w:shd w:val="clear" w:color="auto" w:fill="F2F2F2" w:themeFill="background1" w:themeFillShade="F2"/>
    </w:rPr>
  </w:style>
  <w:style w:type="character" w:customStyle="1" w:styleId="notranslate">
    <w:name w:val="notranslate"/>
    <w:basedOn w:val="DefaultParagraphFont"/>
  </w:style>
  <w:style w:type="paragraph" w:customStyle="1" w:styleId="Annex1">
    <w:name w:val="Annex 1"/>
    <w:basedOn w:val="HH1"/>
    <w:link w:val="Annex1Char"/>
    <w:qFormat/>
    <w:pPr>
      <w:numPr>
        <w:numId w:val="53"/>
      </w:numPr>
    </w:pPr>
    <w:rPr>
      <w:bCs/>
      <w:szCs w:val="28"/>
      <w:lang w:eastAsia="nl-BE"/>
    </w:rPr>
  </w:style>
  <w:style w:type="paragraph" w:customStyle="1" w:styleId="Annex2">
    <w:name w:val="Annex 2"/>
    <w:basedOn w:val="Annex1"/>
    <w:link w:val="Annex2Char"/>
    <w:qFormat/>
    <w:pPr>
      <w:numPr>
        <w:numId w:val="0"/>
      </w:numPr>
    </w:pPr>
  </w:style>
  <w:style w:type="character" w:customStyle="1" w:styleId="AnnexHeading1Char">
    <w:name w:val="Annex Heading 1 Char"/>
    <w:basedOn w:val="Heading1Char"/>
    <w:link w:val="AnnexHeading1"/>
    <w:rPr>
      <w:rFonts w:ascii="Verdana" w:eastAsia="Times New Roman" w:hAnsi="Verdana" w:cs="Times New Roman"/>
      <w:b/>
      <w:bCs/>
      <w:smallCaps w:val="0"/>
      <w:sz w:val="24"/>
      <w:szCs w:val="28"/>
      <w:lang w:eastAsia="nl-BE"/>
    </w:rPr>
  </w:style>
  <w:style w:type="character" w:customStyle="1" w:styleId="Annex1Char">
    <w:name w:val="Annex 1 Char"/>
    <w:basedOn w:val="AnnexHeading1Char"/>
    <w:link w:val="Annex1"/>
    <w:rPr>
      <w:rFonts w:ascii="Times New Roman" w:eastAsia="Times New Roman" w:hAnsi="Times New Roman" w:cs="Times New Roman"/>
      <w:b/>
      <w:bCs/>
      <w:smallCaps/>
      <w:color w:val="365F91" w:themeColor="accent1" w:themeShade="BF"/>
      <w:sz w:val="32"/>
      <w:szCs w:val="28"/>
      <w:lang w:eastAsia="nl-BE"/>
    </w:rPr>
  </w:style>
  <w:style w:type="paragraph" w:customStyle="1" w:styleId="Annex3">
    <w:name w:val="Annex 3"/>
    <w:basedOn w:val="FootnoteText"/>
    <w:link w:val="Annex3Char"/>
    <w:qFormat/>
    <w:pPr>
      <w:keepNext/>
      <w:widowControl w:val="0"/>
      <w:suppressLineNumbers/>
      <w:tabs>
        <w:tab w:val="left" w:pos="142"/>
        <w:tab w:val="left" w:pos="4536"/>
        <w:tab w:val="left" w:pos="7938"/>
      </w:tabs>
      <w:suppressAutoHyphens/>
      <w:spacing w:before="60"/>
      <w:ind w:left="0" w:firstLine="0"/>
    </w:pPr>
    <w:rPr>
      <w:rFonts w:ascii="Verdana" w:hAnsi="Verdana"/>
      <w:sz w:val="16"/>
      <w:szCs w:val="16"/>
      <w:lang w:val="en-US"/>
    </w:rPr>
  </w:style>
  <w:style w:type="character" w:customStyle="1" w:styleId="Annex2Char">
    <w:name w:val="Annex 2 Char"/>
    <w:basedOn w:val="Annex1Char"/>
    <w:link w:val="Annex2"/>
    <w:rPr>
      <w:rFonts w:ascii="Times New Roman" w:eastAsia="Times New Roman" w:hAnsi="Times New Roman" w:cs="Times New Roman"/>
      <w:b/>
      <w:bCs/>
      <w:smallCaps/>
      <w:color w:val="365F91" w:themeColor="accent1" w:themeShade="BF"/>
      <w:sz w:val="32"/>
      <w:szCs w:val="28"/>
      <w:lang w:eastAsia="nl-BE"/>
    </w:rPr>
  </w:style>
  <w:style w:type="character" w:customStyle="1" w:styleId="Annex3Char">
    <w:name w:val="Annex 3 Char"/>
    <w:basedOn w:val="DefaultParagraphFont"/>
    <w:link w:val="Annex3"/>
    <w:rPr>
      <w:rFonts w:ascii="Verdana" w:eastAsia="Times New Roman" w:hAnsi="Verdana" w:cs="Times New Roman"/>
      <w:sz w:val="16"/>
      <w:szCs w:val="16"/>
      <w:lang w:val="en-US"/>
    </w:rPr>
  </w:style>
  <w:style w:type="paragraph" w:customStyle="1" w:styleId="Bodytext20">
    <w:name w:val="Body text (2)"/>
    <w:basedOn w:val="Normal"/>
    <w:qFormat/>
    <w:pPr>
      <w:keepNext/>
      <w:widowControl w:val="0"/>
      <w:shd w:val="clear" w:color="auto" w:fill="FFFFFF"/>
      <w:spacing w:before="560" w:after="560" w:line="244" w:lineRule="exact"/>
      <w:ind w:hanging="300"/>
      <w:jc w:val="center"/>
    </w:pPr>
    <w:rPr>
      <w:color w:val="000000"/>
      <w:sz w:val="22"/>
      <w:szCs w:val="22"/>
      <w:lang w:val="fi-FI" w:eastAsia="fi-FI" w:bidi="fi-FI"/>
    </w:rPr>
  </w:style>
  <w:style w:type="character" w:customStyle="1" w:styleId="HeaderorfooterArial23ptBold">
    <w:name w:val="Header or footer + Arial.23 pt.Bold"/>
    <w:basedOn w:val="DefaultParagraphFont"/>
    <w:qFormat/>
    <w:rPr>
      <w:rFonts w:ascii="Arial" w:eastAsia="Arial" w:hAnsi="Arial" w:cs="Arial"/>
      <w:b/>
      <w:bCs/>
      <w:i w:val="0"/>
      <w:iCs w:val="0"/>
      <w:caps w:val="0"/>
      <w:smallCaps w:val="0"/>
      <w:strike w:val="0"/>
      <w:dstrike w:val="0"/>
      <w:color w:val="000000"/>
      <w:spacing w:val="0"/>
      <w:w w:val="100"/>
      <w:sz w:val="46"/>
      <w:szCs w:val="46"/>
      <w:u w:val="none"/>
      <w:lang w:val="fi-FI" w:eastAsia="fi-FI" w:bidi="fi-FI"/>
    </w:rPr>
  </w:style>
  <w:style w:type="character" w:customStyle="1" w:styleId="Headerorfooter">
    <w:name w:val="Header or footer"/>
    <w:basedOn w:val="DefaultParagraphFont"/>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fi-FI" w:eastAsia="fi-FI" w:bidi="fi-F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TitleChar"/>
    <w:link w:val="FooterCoverPage"/>
    <w:rPr>
      <w:rFonts w:ascii="Times New Roman" w:eastAsia="Times New Roman" w:hAnsi="Times New Roman" w:cs="Times New Roman"/>
      <w:b w:val="0"/>
      <w:kern w:val="28"/>
      <w:sz w:val="24"/>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itleChar"/>
    <w:link w:val="FooterSensitivity"/>
    <w:rPr>
      <w:rFonts w:ascii="Times New Roman" w:eastAsia="Times New Roman" w:hAnsi="Times New Roman" w:cs="Times New Roman"/>
      <w:b/>
      <w:kern w:val="28"/>
      <w:sz w:val="32"/>
      <w:szCs w:val="20"/>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TitleChar"/>
    <w:link w:val="HeaderCoverPage"/>
    <w:rPr>
      <w:rFonts w:ascii="Times New Roman" w:eastAsia="Times New Roman" w:hAnsi="Times New Roman" w:cs="Times New Roman"/>
      <w:b w:val="0"/>
      <w:kern w:val="28"/>
      <w:sz w:val="24"/>
      <w:szCs w:val="20"/>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itleChar"/>
    <w:link w:val="HeaderSensitivity"/>
    <w:rPr>
      <w:rFonts w:ascii="Times New Roman" w:eastAsia="Times New Roman" w:hAnsi="Times New Roman" w:cs="Times New Roman"/>
      <w:b/>
      <w:kern w:val="28"/>
      <w:sz w:val="32"/>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BulletBoxFindings">
    <w:name w:val="BulletBoxFindings"/>
    <w:basedOn w:val="Bullet10"/>
    <w:link w:val="BulletBoxFindingsChar"/>
    <w:qFormat/>
    <w:pPr>
      <w:numPr>
        <w:numId w:val="0"/>
      </w:numPr>
      <w:tabs>
        <w:tab w:val="num" w:pos="1492"/>
      </w:tabs>
      <w:spacing w:after="60"/>
      <w:ind w:left="499" w:hanging="181"/>
      <w:jc w:val="both"/>
    </w:pPr>
    <w:rPr>
      <w:rFonts w:eastAsia="Calibri"/>
      <w:sz w:val="18"/>
    </w:rPr>
  </w:style>
  <w:style w:type="character" w:customStyle="1" w:styleId="BulletBoxFindingsChar">
    <w:name w:val="BulletBoxFindings Char"/>
    <w:basedOn w:val="DefaultParagraphFont"/>
    <w:link w:val="BulletBoxFindings"/>
    <w:rPr>
      <w:rFonts w:ascii="Verdana" w:eastAsia="Calibri" w:hAnsi="Verdana"/>
      <w:sz w:val="18"/>
    </w:rPr>
  </w:style>
  <w:style w:type="paragraph" w:customStyle="1" w:styleId="bullet">
    <w:name w:val="bullet"/>
    <w:basedOn w:val="Bulletpoint1"/>
    <w:link w:val="bulletChar"/>
    <w:qFormat/>
    <w:pPr>
      <w:numPr>
        <w:numId w:val="57"/>
      </w:numPr>
      <w:spacing w:before="0" w:after="0" w:line="240" w:lineRule="auto"/>
      <w:jc w:val="both"/>
    </w:pPr>
    <w:rPr>
      <w:sz w:val="24"/>
      <w:lang w:eastAsia="de-DE"/>
    </w:rPr>
  </w:style>
  <w:style w:type="character" w:customStyle="1" w:styleId="bulletChar">
    <w:name w:val="bullet Char"/>
    <w:basedOn w:val="Bulletpoint1Char"/>
    <w:link w:val="bullet"/>
    <w:rPr>
      <w:rFonts w:ascii="Verdana" w:hAnsi="Verdana"/>
      <w:sz w:val="24"/>
      <w:lang w:eastAsia="de-DE"/>
    </w:rPr>
  </w:style>
  <w:style w:type="paragraph" w:customStyle="1" w:styleId="Pa10">
    <w:name w:val="Pa10"/>
    <w:basedOn w:val="Default"/>
    <w:next w:val="Default"/>
    <w:uiPriority w:val="99"/>
    <w:pPr>
      <w:spacing w:line="181" w:lineRule="atLeast"/>
    </w:pPr>
    <w:rPr>
      <w:rFonts w:ascii="EC Square Sans Pro" w:hAnsi="EC Square Sans Pro" w:cs="Times New Roman"/>
      <w:color w:val="auto"/>
      <w:lang w:val="en-GB"/>
    </w:r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ne1">
    <w:name w:val="none1"/>
    <w:basedOn w:val="TableNormal"/>
    <w:next w:val="TableGrid"/>
    <w:uiPriority w:val="39"/>
    <w:pPr>
      <w:spacing w:after="0" w:line="240" w:lineRule="auto"/>
    </w:pPr>
    <w:rPr>
      <w:rFonts w:ascii="Verdana" w:eastAsia="Times New Roman" w:hAnsi="Verdana" w:cs="Times New Roman"/>
      <w:sz w:val="18"/>
      <w:szCs w:val="20"/>
      <w:lang w:val="nl-BE" w:eastAsia="nl-BE"/>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Georgia" w:hAnsi="Georgia"/>
        <w:b/>
        <w:color w:val="FFFFFF"/>
        <w:sz w:val="18"/>
      </w:rPr>
      <w:tblPr/>
      <w:tcPr>
        <w:shd w:val="clear" w:color="auto" w:fill="00AEF0"/>
      </w:tcPr>
    </w:tblStylePr>
    <w:tblStylePr w:type="band1Horz">
      <w:rPr>
        <w:sz w:val="18"/>
      </w:rPr>
    </w:tblStylePr>
  </w:style>
  <w:style w:type="character" w:customStyle="1" w:styleId="StyleFootnoteReference9ptGreen">
    <w:name w:val="Style Footnote Reference + 9 pt Green"/>
    <w:basedOn w:val="FootnoteReference"/>
    <w:autoRedefine/>
    <w:qFormat/>
    <w:rPr>
      <w:sz w:val="20"/>
      <w:vertAlign w:val="superscript"/>
    </w:rPr>
  </w:style>
  <w:style w:type="paragraph" w:customStyle="1" w:styleId="normalirstline0cm">
    <w:name w:val="normalirst line:  0 cm"/>
    <w:aliases w:val="Before:  0 pt,After:  0 pt"/>
    <w:basedOn w:val="HH1"/>
    <w:pPr>
      <w:numPr>
        <w:numId w:val="0"/>
      </w:numPr>
      <w:spacing w:before="0" w:after="0"/>
      <w:ind w:left="360"/>
      <w:contextualSpacing w:val="0"/>
    </w:pPr>
  </w:style>
  <w:style w:type="paragraph" w:customStyle="1" w:styleId="Foot-Ref">
    <w:name w:val="Foot-Ref"/>
    <w:basedOn w:val="Normal"/>
    <w:uiPriority w:val="99"/>
    <w:pPr>
      <w:spacing w:after="160" w:line="240" w:lineRule="exact"/>
    </w:pPr>
    <w:rPr>
      <w:sz w:val="20"/>
      <w:vertAlign w:val="superscript"/>
      <w:lang w:eastAsia="en-GB"/>
    </w:rPr>
  </w:style>
  <w:style w:type="paragraph" w:customStyle="1" w:styleId="Bulletpointslist">
    <w:name w:val="Bullet points list"/>
    <w:basedOn w:val="Default"/>
    <w:link w:val="BulletpointslistChar"/>
    <w:qFormat/>
    <w:pPr>
      <w:spacing w:after="120"/>
      <w:jc w:val="both"/>
    </w:pPr>
    <w:rPr>
      <w:rFonts w:ascii="Times New Roman" w:hAnsi="Times New Roman" w:cs="Times New Roman"/>
      <w:szCs w:val="23"/>
      <w:lang w:val="en-GB"/>
    </w:rPr>
  </w:style>
  <w:style w:type="character" w:customStyle="1" w:styleId="BulletpointslistChar">
    <w:name w:val="Bullet points list Char"/>
    <w:basedOn w:val="DefaultParagraphFont"/>
    <w:link w:val="Bulletpointslist"/>
    <w:rPr>
      <w:rFonts w:ascii="Times New Roman" w:eastAsia="Times New Roman" w:hAnsi="Times New Roman" w:cs="Times New Roman"/>
      <w:color w:val="000000"/>
      <w:sz w:val="24"/>
      <w:szCs w:val="23"/>
      <w:lang w:eastAsia="en-GB"/>
    </w:rPr>
  </w:style>
  <w:style w:type="table" w:customStyle="1" w:styleId="TabelaRenova1">
    <w:name w:val="Tabela Renova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chart" Target="charts/chart6.xml"/><Relationship Id="rId68" Type="http://schemas.openxmlformats.org/officeDocument/2006/relationships/header" Target="header26.xml"/><Relationship Id="rId76" Type="http://schemas.openxmlformats.org/officeDocument/2006/relationships/footer" Target="footer29.xml"/><Relationship Id="rId7" Type="http://schemas.openxmlformats.org/officeDocument/2006/relationships/endnotes" Target="endnotes.xml"/><Relationship Id="rId71"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image" Target="media/image2.png"/><Relationship Id="rId66" Type="http://schemas.openxmlformats.org/officeDocument/2006/relationships/chart" Target="charts/chart9.xml"/><Relationship Id="rId74" Type="http://schemas.openxmlformats.org/officeDocument/2006/relationships/header" Target="header29.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chart" Target="charts/chart3.xml"/><Relationship Id="rId65" Type="http://schemas.openxmlformats.org/officeDocument/2006/relationships/chart" Target="charts/chart8.xml"/><Relationship Id="rId73" Type="http://schemas.openxmlformats.org/officeDocument/2006/relationships/header" Target="header28.xml"/><Relationship Id="rId78" Type="http://schemas.openxmlformats.org/officeDocument/2006/relationships/footer" Target="footer3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chart" Target="charts/chart7.xml"/><Relationship Id="rId69" Type="http://schemas.openxmlformats.org/officeDocument/2006/relationships/footer" Target="footer25.xml"/><Relationship Id="rId77" Type="http://schemas.openxmlformats.org/officeDocument/2006/relationships/header" Target="header3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27.xm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chart" Target="charts/chart2.xml"/><Relationship Id="rId67" Type="http://schemas.openxmlformats.org/officeDocument/2006/relationships/header" Target="header25.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chart" Target="charts/chart5.xml"/><Relationship Id="rId70" Type="http://schemas.openxmlformats.org/officeDocument/2006/relationships/footer" Target="footer26.xml"/><Relationship Id="rId75"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frontex.europa.eu/training/educational-standards/" TargetMode="External"/><Relationship Id="rId1" Type="http://schemas.openxmlformats.org/officeDocument/2006/relationships/hyperlink" Target="https://ec.europa.eu/home-affairs/what-we-do/policies/borders-and-visas/scheng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ET1.cec.eu.int\HOMES\112\MONTETO\Desktop\Copy%20of%20eurobarometer.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net1.cec.eu.int\CI\Public\1.HOME%20FUNDS\1.%20Horizontal%20pts\3.%20Evaluation\01.%20AMIF%20&amp;%20ISF\1.%20Interim%20evaluations%20(2017)\05.%20Studies%20(contracts%20implementation)\01.%20Docs%20for%20contractors\01c.%20Docs%20for%20the%20contractor%20ISFbv\ISF-BV%20SM%20implementation%2031.12.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et1.cec.eu.int\CI\Public\1.HOME%20FUNDS\1.%20Horizontal%20pts\3.%20Evaluation\01.%20AMIF%20&amp;%20ISF\1.%20Interim%20evaluations%20(2017)\05.%20Studies%20(contracts%20implementation)\01.%20Docs%20for%20contractors\01c.%20Docs%20for%20the%20contractor%20ISFbv\ISFBV%20SM%20allocation%2031.12.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ET1.cec.eu.int\homes\112\monteto\Desktop\Copy%20of%20Rate%20ISF-Borders%20Shared%20Managemen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NET1.cec.eu.int\homes\112\monteto\Desktop\Copy%20of%20Rate%20ISF-Borders%20Shared%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NET1.cec.eu.int\homes\112\monteto\Desktop\Copy%20of%20AMF-ISF%20NP-Accounts%20-%20Absorption%20rate%20by%20MS%20&amp;%20by%20S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net1.cec.eu.int\CI\Public\1.HOME%20FUNDS\1.%20Horizontal%20pts\3.%20Evaluation\01.%20AMIF%20&amp;%20ISF\1.%20Interim%20evaluations%20(2017)\05.%20Studies%20(contracts%20implementation)\07.%20Final%20reports\ISFbv\ISF-BV%20direct-indirect%20implementation%20up%20to%2030.06.2017.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net1.cec.eu.int\CI\Public\1.HOME%20FUNDS\1.%20Horizontal%20pts\3.%20Evaluation\01.%20AMIF%20&amp;%20ISF\1.%20Interim%20evaluations%20(2017)\05.%20Studies%20(contracts%20implementation)\07.%20Final%20reports\ISFbv\ISF-BV%20direct-indirect%20implementation%20up%20to%2030.06.2017.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kaczpa\AppData\Local\Microsoft\Windows\Temporary%20Internet%20Files\Content.Outlook\80NHWCH2\ISF-BV%20direct-indirect%20implementation%20up%20to%2030.06.20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Sheet1!$B$17</c:f>
              <c:strCache>
                <c:ptCount val="1"/>
                <c:pt idx="0">
                  <c:v>Initial global resources </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2"/>
              <c:layout>
                <c:manualLayout>
                  <c:x val="0"/>
                  <c:y val="3.891050583657587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A7DD-45CB-988E-45A44BE255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Sheet1!$A$18:$A$24</c:f>
              <c:strCache>
                <c:ptCount val="7"/>
                <c:pt idx="0">
                  <c:v>Total</c:v>
                </c:pt>
                <c:pt idx="1">
                  <c:v>TA of EC</c:v>
                </c:pt>
                <c:pt idx="2">
                  <c:v>EMAS</c:v>
                </c:pt>
                <c:pt idx="3">
                  <c:v>UAs</c:v>
                </c:pt>
                <c:pt idx="4">
                  <c:v>Frontex tops-ups</c:v>
                </c:pt>
                <c:pt idx="5">
                  <c:v>IT Systems</c:v>
                </c:pt>
                <c:pt idx="6">
                  <c:v>NPs</c:v>
                </c:pt>
              </c:strCache>
            </c:strRef>
          </c:cat>
          <c:val>
            <c:numRef>
              <c:f>Sheet1!$B$18:$B$24</c:f>
              <c:numCache>
                <c:formatCode>General</c:formatCode>
                <c:ptCount val="7"/>
                <c:pt idx="0">
                  <c:v>2760</c:v>
                </c:pt>
                <c:pt idx="1">
                  <c:v>12</c:v>
                </c:pt>
                <c:pt idx="2">
                  <c:v>35</c:v>
                </c:pt>
                <c:pt idx="3">
                  <c:v>217</c:v>
                </c:pt>
                <c:pt idx="4">
                  <c:v>0</c:v>
                </c:pt>
                <c:pt idx="5">
                  <c:v>791</c:v>
                </c:pt>
                <c:pt idx="6">
                  <c:v>1705</c:v>
                </c:pt>
              </c:numCache>
            </c:numRef>
          </c:val>
          <c:extLst xmlns:c16r2="http://schemas.microsoft.com/office/drawing/2015/06/chart">
            <c:ext xmlns:c16="http://schemas.microsoft.com/office/drawing/2014/chart" uri="{C3380CC4-5D6E-409C-BE32-E72D297353CC}">
              <c16:uniqueId val="{00000000-1C64-4989-9C62-D37D1CAA9FAE}"/>
            </c:ext>
          </c:extLst>
        </c:ser>
        <c:ser>
          <c:idx val="1"/>
          <c:order val="1"/>
          <c:tx>
            <c:strRef>
              <c:f>Sheet1!$C$17</c:f>
              <c:strCache>
                <c:ptCount val="1"/>
                <c:pt idx="0">
                  <c:v>Reprogrammed global resources</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Sheet1!$A$18:$A$24</c:f>
              <c:strCache>
                <c:ptCount val="7"/>
                <c:pt idx="0">
                  <c:v>Total</c:v>
                </c:pt>
                <c:pt idx="1">
                  <c:v>TA of EC</c:v>
                </c:pt>
                <c:pt idx="2">
                  <c:v>EMAS</c:v>
                </c:pt>
                <c:pt idx="3">
                  <c:v>UAs</c:v>
                </c:pt>
                <c:pt idx="4">
                  <c:v>Frontex tops-ups</c:v>
                </c:pt>
                <c:pt idx="5">
                  <c:v>IT Systems</c:v>
                </c:pt>
                <c:pt idx="6">
                  <c:v>NPs</c:v>
                </c:pt>
              </c:strCache>
            </c:strRef>
          </c:cat>
          <c:val>
            <c:numRef>
              <c:f>Sheet1!$C$18:$C$24</c:f>
              <c:numCache>
                <c:formatCode>General</c:formatCode>
                <c:ptCount val="7"/>
                <c:pt idx="0">
                  <c:v>2609</c:v>
                </c:pt>
                <c:pt idx="1">
                  <c:v>12</c:v>
                </c:pt>
                <c:pt idx="2">
                  <c:v>387</c:v>
                </c:pt>
                <c:pt idx="3">
                  <c:v>167</c:v>
                </c:pt>
                <c:pt idx="4">
                  <c:v>192</c:v>
                </c:pt>
                <c:pt idx="5">
                  <c:v>146</c:v>
                </c:pt>
                <c:pt idx="6">
                  <c:v>1705</c:v>
                </c:pt>
              </c:numCache>
            </c:numRef>
          </c:val>
          <c:extLst xmlns:c16r2="http://schemas.microsoft.com/office/drawing/2015/06/chart">
            <c:ext xmlns:c16="http://schemas.microsoft.com/office/drawing/2014/chart" uri="{C3380CC4-5D6E-409C-BE32-E72D297353CC}">
              <c16:uniqueId val="{00000001-1C64-4989-9C62-D37D1CAA9FAE}"/>
            </c:ext>
          </c:extLst>
        </c:ser>
        <c:dLbls>
          <c:showLegendKey val="0"/>
          <c:showVal val="1"/>
          <c:showCatName val="0"/>
          <c:showSerName val="0"/>
          <c:showPercent val="0"/>
          <c:showBubbleSize val="0"/>
        </c:dLbls>
        <c:gapWidth val="100"/>
        <c:axId val="158893568"/>
        <c:axId val="159334784"/>
      </c:barChart>
      <c:catAx>
        <c:axId val="158893568"/>
        <c:scaling>
          <c:orientation val="minMax"/>
        </c:scaling>
        <c:delete val="0"/>
        <c:axPos val="l"/>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9334784"/>
        <c:crosses val="autoZero"/>
        <c:auto val="1"/>
        <c:lblAlgn val="ctr"/>
        <c:lblOffset val="100"/>
        <c:noMultiLvlLbl val="0"/>
      </c:catAx>
      <c:valAx>
        <c:axId val="15933478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889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189155536445324E-2"/>
          <c:y val="4.6296296296296294E-2"/>
          <c:w val="0.87540583877527256"/>
          <c:h val="0.68491469816272965"/>
        </c:manualLayout>
      </c:layout>
      <c:barChart>
        <c:barDir val="col"/>
        <c:grouping val="stacked"/>
        <c:varyColors val="0"/>
        <c:ser>
          <c:idx val="0"/>
          <c:order val="0"/>
          <c:tx>
            <c:strRef>
              <c:f>'[ISF-BV SM implementation 31.12.2016.xlsx]Sheet1'!$A$2</c:f>
              <c:strCache>
                <c:ptCount val="1"/>
                <c:pt idx="0">
                  <c:v>National Programmes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'[ISF-BV SM implementation 31.12.2016.xlsx]Sheet1'!$B$1:$D$1</c:f>
              <c:strCache>
                <c:ptCount val="3"/>
                <c:pt idx="0">
                  <c:v>Programmed resources as per legal base</c:v>
                </c:pt>
                <c:pt idx="1">
                  <c:v>Reprogrammed resources as of 30.06.2017</c:v>
                </c:pt>
                <c:pt idx="2">
                  <c:v>Resources corresponding to adopted NPs</c:v>
                </c:pt>
              </c:strCache>
            </c:strRef>
          </c:cat>
          <c:val>
            <c:numRef>
              <c:f>'[ISF-BV SM implementation 31.12.2016.xlsx]Sheet1'!$B$2:$D$2</c:f>
              <c:numCache>
                <c:formatCode>_ * #\ ##0_)\ _$_ ;_ * \(#\ ##0\)\ _$_ ;_ * "-"??_)\ _$_ ;_ @_ </c:formatCode>
                <c:ptCount val="3"/>
                <c:pt idx="0">
                  <c:v>1705</c:v>
                </c:pt>
                <c:pt idx="1">
                  <c:v>1705</c:v>
                </c:pt>
                <c:pt idx="2">
                  <c:v>1532.9538279999999</c:v>
                </c:pt>
              </c:numCache>
            </c:numRef>
          </c:val>
          <c:extLst xmlns:c16r2="http://schemas.microsoft.com/office/drawing/2015/06/chart">
            <c:ext xmlns:c16="http://schemas.microsoft.com/office/drawing/2014/chart" uri="{C3380CC4-5D6E-409C-BE32-E72D297353CC}">
              <c16:uniqueId val="{00000000-39DE-42E1-8B37-7EFF4CBC9D8A}"/>
            </c:ext>
          </c:extLst>
        </c:ser>
        <c:ser>
          <c:idx val="1"/>
          <c:order val="1"/>
          <c:tx>
            <c:strRef>
              <c:f>'[ISF-BV SM implementation 31.12.2016.xlsx]Sheet1'!$A$3</c:f>
              <c:strCache>
                <c:ptCount val="1"/>
                <c:pt idx="0">
                  <c:v>IT systems (ETIAS, EES, SIS II)</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1"/>
              <c:layout>
                <c:manualLayout>
                  <c:x val="8.191126279863481E-2"/>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39DE-42E1-8B37-7EFF4CBC9D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'[ISF-BV SM implementation 31.12.2016.xlsx]Sheet1'!$B$1:$D$1</c:f>
              <c:strCache>
                <c:ptCount val="3"/>
                <c:pt idx="0">
                  <c:v>Programmed resources as per legal base</c:v>
                </c:pt>
                <c:pt idx="1">
                  <c:v>Reprogrammed resources as of 30.06.2017</c:v>
                </c:pt>
                <c:pt idx="2">
                  <c:v>Resources corresponding to adopted NPs</c:v>
                </c:pt>
              </c:strCache>
            </c:strRef>
          </c:cat>
          <c:val>
            <c:numRef>
              <c:f>'[ISF-BV SM implementation 31.12.2016.xlsx]Sheet1'!$B$3:$D$3</c:f>
              <c:numCache>
                <c:formatCode>_ * #\ ##0_)\ _$_ ;_ * \(#\ ##0\)\ _$_ ;_ * "-"??_)\ _$_ ;_ @_ </c:formatCode>
                <c:ptCount val="3"/>
                <c:pt idx="0">
                  <c:v>791</c:v>
                </c:pt>
                <c:pt idx="1">
                  <c:v>145.715</c:v>
                </c:pt>
                <c:pt idx="2">
                  <c:v>0</c:v>
                </c:pt>
              </c:numCache>
            </c:numRef>
          </c:val>
          <c:extLst xmlns:c16r2="http://schemas.microsoft.com/office/drawing/2015/06/chart">
            <c:ext xmlns:c16="http://schemas.microsoft.com/office/drawing/2014/chart" uri="{C3380CC4-5D6E-409C-BE32-E72D297353CC}">
              <c16:uniqueId val="{00000002-39DE-42E1-8B37-7EFF4CBC9D8A}"/>
            </c:ext>
          </c:extLst>
        </c:ser>
        <c:ser>
          <c:idx val="2"/>
          <c:order val="2"/>
          <c:tx>
            <c:strRef>
              <c:f>'[ISF-BV SM implementation 31.12.2016.xlsx]Sheet1'!$A$4</c:f>
              <c:strCache>
                <c:ptCount val="1"/>
                <c:pt idx="0">
                  <c:v>Frontex equipment top-ups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1"/>
              <c:layout>
                <c:manualLayout>
                  <c:x val="8.191126279863481E-2"/>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39DE-42E1-8B37-7EFF4CBC9D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'[ISF-BV SM implementation 31.12.2016.xlsx]Sheet1'!$B$1:$D$1</c:f>
              <c:strCache>
                <c:ptCount val="3"/>
                <c:pt idx="0">
                  <c:v>Programmed resources as per legal base</c:v>
                </c:pt>
                <c:pt idx="1">
                  <c:v>Reprogrammed resources as of 30.06.2017</c:v>
                </c:pt>
                <c:pt idx="2">
                  <c:v>Resources corresponding to adopted NPs</c:v>
                </c:pt>
              </c:strCache>
            </c:strRef>
          </c:cat>
          <c:val>
            <c:numRef>
              <c:f>'[ISF-BV SM implementation 31.12.2016.xlsx]Sheet1'!$B$4:$D$4</c:f>
              <c:numCache>
                <c:formatCode>_ * #\ ##0_)\ _$_ ;_ * \(#\ ##0\)\ _$_ ;_ * "-"??_)\ _$_ ;_ @_ </c:formatCode>
                <c:ptCount val="3"/>
                <c:pt idx="0">
                  <c:v>0</c:v>
                </c:pt>
                <c:pt idx="1">
                  <c:v>192.22191083534017</c:v>
                </c:pt>
                <c:pt idx="2">
                  <c:v>0</c:v>
                </c:pt>
              </c:numCache>
            </c:numRef>
          </c:val>
          <c:extLst xmlns:c16r2="http://schemas.microsoft.com/office/drawing/2015/06/chart">
            <c:ext xmlns:c16="http://schemas.microsoft.com/office/drawing/2014/chart" uri="{C3380CC4-5D6E-409C-BE32-E72D297353CC}">
              <c16:uniqueId val="{00000004-39DE-42E1-8B37-7EFF4CBC9D8A}"/>
            </c:ext>
          </c:extLst>
        </c:ser>
        <c:dLbls>
          <c:showLegendKey val="0"/>
          <c:showVal val="0"/>
          <c:showCatName val="0"/>
          <c:showSerName val="0"/>
          <c:showPercent val="0"/>
          <c:showBubbleSize val="0"/>
        </c:dLbls>
        <c:gapWidth val="150"/>
        <c:overlap val="100"/>
        <c:axId val="154358528"/>
        <c:axId val="154360064"/>
      </c:barChart>
      <c:catAx>
        <c:axId val="154358528"/>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360064"/>
        <c:crosses val="autoZero"/>
        <c:auto val="1"/>
        <c:lblAlgn val="ctr"/>
        <c:lblOffset val="100"/>
        <c:noMultiLvlLbl val="0"/>
      </c:catAx>
      <c:valAx>
        <c:axId val="154360064"/>
        <c:scaling>
          <c:orientation val="minMax"/>
        </c:scaling>
        <c:delete val="0"/>
        <c:axPos val="l"/>
        <c:majorGridlines>
          <c:spPr>
            <a:ln w="9525" cap="flat" cmpd="sng" algn="ctr">
              <a:solidFill>
                <a:schemeClr val="tx2">
                  <a:lumMod val="15000"/>
                  <a:lumOff val="85000"/>
                </a:schemeClr>
              </a:solidFill>
              <a:round/>
            </a:ln>
            <a:effectLst/>
          </c:spPr>
        </c:majorGridlines>
        <c:numFmt formatCode="&quot;€&quot;\ #,##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35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0-17F2-4735-9E6F-C827151A15A2}"/>
              </c:ext>
            </c:extLst>
          </c:dPt>
          <c:dPt>
            <c:idx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1-17F2-4735-9E6F-C827151A15A2}"/>
              </c:ext>
            </c:extLst>
          </c:dPt>
          <c:dPt>
            <c:idx val="2"/>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2-17F2-4735-9E6F-C827151A15A2}"/>
              </c:ext>
            </c:extLst>
          </c:dPt>
          <c:dPt>
            <c:idx val="3"/>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3-17F2-4735-9E6F-C827151A15A2}"/>
              </c:ext>
            </c:extLst>
          </c:dPt>
          <c:dPt>
            <c:idx val="4"/>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c:spPr>
            <c:extLst xmlns:c16r2="http://schemas.microsoft.com/office/drawing/2015/06/chart">
              <c:ext xmlns:c16="http://schemas.microsoft.com/office/drawing/2014/chart" uri="{C3380CC4-5D6E-409C-BE32-E72D297353CC}">
                <c16:uniqueId val="{00000004-17F2-4735-9E6F-C827151A15A2}"/>
              </c:ext>
            </c:extLst>
          </c:dPt>
          <c:dLbls>
            <c:dLbl>
              <c:idx val="0"/>
              <c:layout>
                <c:manualLayout>
                  <c:x val="9.6649073850961054E-2"/>
                  <c:y val="3.7037037037037035E-2"/>
                </c:manualLayout>
              </c:layout>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7F2-4735-9E6F-C827151A15A2}"/>
                </c:ext>
              </c:extLst>
            </c:dLbl>
            <c:dLbl>
              <c:idx val="1"/>
              <c:layout>
                <c:manualLayout>
                  <c:x val="5.0211191518138222E-2"/>
                  <c:y val="-0.17592592592592601"/>
                </c:manualLayout>
              </c:layout>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7F2-4735-9E6F-C827151A15A2}"/>
                </c:ext>
              </c:extLst>
            </c:dLbl>
            <c:dLbl>
              <c:idx val="2"/>
              <c:layout>
                <c:manualLayout>
                  <c:x val="-2.6083124110966915E-2"/>
                  <c:y val="8.3333333333333329E-2"/>
                </c:manualLayout>
              </c:layout>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7F2-4735-9E6F-C827151A15A2}"/>
                </c:ext>
              </c:extLst>
            </c:dLbl>
            <c:dLbl>
              <c:idx val="3"/>
              <c:layout>
                <c:manualLayout>
                  <c:x val="-6.9444444444444448E-2"/>
                  <c:y val="1.3888888888888883E-2"/>
                </c:manualLayout>
              </c:layout>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7F2-4735-9E6F-C827151A15A2}"/>
                </c:ext>
              </c:extLst>
            </c:dLbl>
            <c:dLbl>
              <c:idx val="4"/>
              <c:layout>
                <c:manualLayout>
                  <c:x val="-4.8791700388508587E-2"/>
                  <c:y val="0"/>
                </c:manualLayout>
              </c:layout>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7F2-4735-9E6F-C827151A15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outEnd"/>
            <c:showLegendKey val="0"/>
            <c:showVal val="1"/>
            <c:showCatName val="1"/>
            <c:showSerName val="0"/>
            <c:showPercent val="1"/>
            <c:showBubbleSize val="0"/>
            <c:separator>
</c:separator>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Sheet1!$B$2:$B$6</c:f>
              <c:strCache>
                <c:ptCount val="5"/>
                <c:pt idx="0">
                  <c:v>Visa</c:v>
                </c:pt>
                <c:pt idx="1">
                  <c:v>Borders</c:v>
                </c:pt>
                <c:pt idx="2">
                  <c:v>OS</c:v>
                </c:pt>
                <c:pt idx="3">
                  <c:v>TA</c:v>
                </c:pt>
                <c:pt idx="4">
                  <c:v>STS</c:v>
                </c:pt>
              </c:strCache>
            </c:strRef>
          </c:cat>
          <c:val>
            <c:numRef>
              <c:f>Sheet1!$C$2:$C$6</c:f>
              <c:numCache>
                <c:formatCode>_-* #\ ##0\ _€_-;\-* #\ ##0\ _€_-;_-* "-"??\ _€_-;_-@_-</c:formatCode>
                <c:ptCount val="5"/>
                <c:pt idx="0">
                  <c:v>147.58418222999998</c:v>
                </c:pt>
                <c:pt idx="1">
                  <c:v>857.3041068</c:v>
                </c:pt>
                <c:pt idx="2">
                  <c:v>317.69077576000001</c:v>
                </c:pt>
                <c:pt idx="3">
                  <c:v>62.374763209999998</c:v>
                </c:pt>
                <c:pt idx="4">
                  <c:v>148</c:v>
                </c:pt>
              </c:numCache>
            </c:numRef>
          </c:val>
          <c:extLst xmlns:c16r2="http://schemas.microsoft.com/office/drawing/2015/06/chart">
            <c:ext xmlns:c16="http://schemas.microsoft.com/office/drawing/2014/chart" uri="{C3380CC4-5D6E-409C-BE32-E72D297353CC}">
              <c16:uniqueId val="{00000005-17F2-4735-9E6F-C827151A15A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'SOs implementation rate'!$C$3</c:f>
              <c:strCache>
                <c:ptCount val="1"/>
                <c:pt idx="0">
                  <c:v> EU planned resources 2014-2020 under SO</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'SOs implementation rate'!$B$4:$B$8</c:f>
              <c:strCache>
                <c:ptCount val="5"/>
                <c:pt idx="0">
                  <c:v>Visa Total</c:v>
                </c:pt>
                <c:pt idx="1">
                  <c:v>Borders Total</c:v>
                </c:pt>
                <c:pt idx="2">
                  <c:v>Operating support Total</c:v>
                </c:pt>
                <c:pt idx="3">
                  <c:v>TA Total</c:v>
                </c:pt>
                <c:pt idx="4">
                  <c:v>STS LT Total</c:v>
                </c:pt>
              </c:strCache>
            </c:strRef>
          </c:cat>
          <c:val>
            <c:numRef>
              <c:f>'SOs implementation rate'!$C$4:$C$8</c:f>
              <c:numCache>
                <c:formatCode>_-[$€-410]\ * #,##0_-;\-[$€-410]\ * #,##0_-;_-[$€-410]\ * "-"??_-;_-@_-</c:formatCode>
                <c:ptCount val="5"/>
                <c:pt idx="0">
                  <c:v>148</c:v>
                </c:pt>
                <c:pt idx="1">
                  <c:v>857</c:v>
                </c:pt>
                <c:pt idx="2">
                  <c:v>318</c:v>
                </c:pt>
                <c:pt idx="3">
                  <c:v>64</c:v>
                </c:pt>
                <c:pt idx="4">
                  <c:v>148</c:v>
                </c:pt>
              </c:numCache>
            </c:numRef>
          </c:val>
          <c:extLst xmlns:c16r2="http://schemas.microsoft.com/office/drawing/2015/06/chart">
            <c:ext xmlns:c16="http://schemas.microsoft.com/office/drawing/2014/chart" uri="{C3380CC4-5D6E-409C-BE32-E72D297353CC}">
              <c16:uniqueId val="{00000000-E892-4CCF-8951-5ECC834B57A6}"/>
            </c:ext>
          </c:extLst>
        </c:ser>
        <c:ser>
          <c:idx val="1"/>
          <c:order val="1"/>
          <c:tx>
            <c:strRef>
              <c:f>'SOs implementation rate'!$D$3</c:f>
              <c:strCache>
                <c:ptCount val="1"/>
                <c:pt idx="0">
                  <c:v>MS commitment (2014-2016)</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'SOs implementation rate'!$B$4:$B$8</c:f>
              <c:strCache>
                <c:ptCount val="5"/>
                <c:pt idx="0">
                  <c:v>Visa Total</c:v>
                </c:pt>
                <c:pt idx="1">
                  <c:v>Borders Total</c:v>
                </c:pt>
                <c:pt idx="2">
                  <c:v>Operating support Total</c:v>
                </c:pt>
                <c:pt idx="3">
                  <c:v>TA Total</c:v>
                </c:pt>
                <c:pt idx="4">
                  <c:v>STS LT Total</c:v>
                </c:pt>
              </c:strCache>
            </c:strRef>
          </c:cat>
          <c:val>
            <c:numRef>
              <c:f>'SOs implementation rate'!$D$4:$D$8</c:f>
              <c:numCache>
                <c:formatCode>_-[$€-410]\ * #,##0_-;\-[$€-410]\ * #,##0_-;_-[$€-410]\ * "-"??_-;_-@_-</c:formatCode>
                <c:ptCount val="5"/>
                <c:pt idx="0">
                  <c:v>42</c:v>
                </c:pt>
                <c:pt idx="1">
                  <c:v>317</c:v>
                </c:pt>
                <c:pt idx="2">
                  <c:v>152</c:v>
                </c:pt>
                <c:pt idx="3">
                  <c:v>17</c:v>
                </c:pt>
                <c:pt idx="4">
                  <c:v>56</c:v>
                </c:pt>
              </c:numCache>
            </c:numRef>
          </c:val>
          <c:extLst xmlns:c16r2="http://schemas.microsoft.com/office/drawing/2015/06/chart">
            <c:ext xmlns:c16="http://schemas.microsoft.com/office/drawing/2014/chart" uri="{C3380CC4-5D6E-409C-BE32-E72D297353CC}">
              <c16:uniqueId val="{00000001-E892-4CCF-8951-5ECC834B57A6}"/>
            </c:ext>
          </c:extLst>
        </c:ser>
        <c:ser>
          <c:idx val="3"/>
          <c:order val="3"/>
          <c:tx>
            <c:strRef>
              <c:f>'SOs implementation rate'!$D$11</c:f>
              <c:strCache>
                <c:ptCount val="1"/>
                <c:pt idx="0">
                  <c:v>Account amount (2014-2016)</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'SOs implementation rate'!$B$4:$B$8</c:f>
              <c:strCache>
                <c:ptCount val="5"/>
                <c:pt idx="0">
                  <c:v>Visa Total</c:v>
                </c:pt>
                <c:pt idx="1">
                  <c:v>Borders Total</c:v>
                </c:pt>
                <c:pt idx="2">
                  <c:v>Operating support Total</c:v>
                </c:pt>
                <c:pt idx="3">
                  <c:v>TA Total</c:v>
                </c:pt>
                <c:pt idx="4">
                  <c:v>STS LT Total</c:v>
                </c:pt>
              </c:strCache>
            </c:strRef>
          </c:cat>
          <c:val>
            <c:numRef>
              <c:f>'SOs implementation rate'!$D$12:$D$16</c:f>
              <c:numCache>
                <c:formatCode>_-[$€-410]\ * #,##0_-;\-[$€-410]\ * #,##0_-;_-[$€-410]\ * "-"??_-;_-@_-</c:formatCode>
                <c:ptCount val="5"/>
                <c:pt idx="0">
                  <c:v>8</c:v>
                </c:pt>
                <c:pt idx="1">
                  <c:v>50</c:v>
                </c:pt>
                <c:pt idx="2">
                  <c:v>71</c:v>
                </c:pt>
                <c:pt idx="3">
                  <c:v>4</c:v>
                </c:pt>
                <c:pt idx="4">
                  <c:v>45</c:v>
                </c:pt>
              </c:numCache>
            </c:numRef>
          </c:val>
          <c:extLst xmlns:c16r2="http://schemas.microsoft.com/office/drawing/2015/06/chart">
            <c:ext xmlns:c16="http://schemas.microsoft.com/office/drawing/2014/chart" uri="{C3380CC4-5D6E-409C-BE32-E72D297353CC}">
              <c16:uniqueId val="{00000002-E892-4CCF-8951-5ECC834B57A6}"/>
            </c:ext>
          </c:extLst>
        </c:ser>
        <c:dLbls>
          <c:showLegendKey val="0"/>
          <c:showVal val="0"/>
          <c:showCatName val="0"/>
          <c:showSerName val="0"/>
          <c:showPercent val="0"/>
          <c:showBubbleSize val="0"/>
        </c:dLbls>
        <c:gapWidth val="269"/>
        <c:axId val="155224320"/>
        <c:axId val="155238784"/>
      </c:barChart>
      <c:lineChart>
        <c:grouping val="standard"/>
        <c:varyColors val="0"/>
        <c:ser>
          <c:idx val="2"/>
          <c:order val="2"/>
          <c:tx>
            <c:strRef>
              <c:f>'SOs implementation rate'!$E$3</c:f>
              <c:strCache>
                <c:ptCount val="1"/>
                <c:pt idx="0">
                  <c:v>Implementation rate</c:v>
                </c:pt>
              </c:strCache>
            </c:strRef>
          </c:tx>
          <c:spPr>
            <a:ln w="31750" cap="rnd">
              <a:solidFill>
                <a:schemeClr val="accent4"/>
              </a:solidFill>
              <a:round/>
            </a:ln>
            <a:effectLst>
              <a:outerShdw blurRad="40000" dist="23000" dir="5400000" rotWithShape="0">
                <a:srgbClr val="000000">
                  <a:alpha val="35000"/>
                </a:srgbClr>
              </a:outerShdw>
            </a:effectLst>
          </c:spPr>
          <c:marker>
            <c:symbol val="circle"/>
            <c:size val="6"/>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cat>
            <c:strRef>
              <c:f>'SOs implementation rate'!$B$4:$B$8</c:f>
              <c:strCache>
                <c:ptCount val="5"/>
                <c:pt idx="0">
                  <c:v>Visa Total</c:v>
                </c:pt>
                <c:pt idx="1">
                  <c:v>Borders Total</c:v>
                </c:pt>
                <c:pt idx="2">
                  <c:v>Operating support Total</c:v>
                </c:pt>
                <c:pt idx="3">
                  <c:v>TA Total</c:v>
                </c:pt>
                <c:pt idx="4">
                  <c:v>STS LT Total</c:v>
                </c:pt>
              </c:strCache>
            </c:strRef>
          </c:cat>
          <c:val>
            <c:numRef>
              <c:f>'SOs implementation rate'!$E$4:$E$8</c:f>
              <c:numCache>
                <c:formatCode>0.00%</c:formatCode>
                <c:ptCount val="5"/>
                <c:pt idx="0">
                  <c:v>0.28378378378378377</c:v>
                </c:pt>
                <c:pt idx="1">
                  <c:v>0.36989498249708286</c:v>
                </c:pt>
                <c:pt idx="2">
                  <c:v>0.4779874213836478</c:v>
                </c:pt>
                <c:pt idx="3">
                  <c:v>0.265625</c:v>
                </c:pt>
                <c:pt idx="4">
                  <c:v>0.3783783783783784</c:v>
                </c:pt>
              </c:numCache>
            </c:numRef>
          </c:val>
          <c:smooth val="0"/>
          <c:extLst xmlns:c16r2="http://schemas.microsoft.com/office/drawing/2015/06/chart">
            <c:ext xmlns:c16="http://schemas.microsoft.com/office/drawing/2014/chart" uri="{C3380CC4-5D6E-409C-BE32-E72D297353CC}">
              <c16:uniqueId val="{00000003-E892-4CCF-8951-5ECC834B57A6}"/>
            </c:ext>
          </c:extLst>
        </c:ser>
        <c:ser>
          <c:idx val="4"/>
          <c:order val="4"/>
          <c:tx>
            <c:strRef>
              <c:f>'SOs implementation rate'!$E$11</c:f>
              <c:strCache>
                <c:ptCount val="1"/>
                <c:pt idx="0">
                  <c:v>Payment rate</c:v>
                </c:pt>
              </c:strCache>
            </c:strRef>
          </c:tx>
          <c:spPr>
            <a:ln w="31750" cap="rnd">
              <a:solidFill>
                <a:schemeClr val="accent5">
                  <a:lumMod val="60000"/>
                </a:schemeClr>
              </a:solidFill>
              <a:round/>
            </a:ln>
            <a:effectLst>
              <a:outerShdw blurRad="40000" dist="23000" dir="5400000" rotWithShape="0">
                <a:srgbClr val="000000">
                  <a:alpha val="35000"/>
                </a:srgbClr>
              </a:outerShdw>
            </a:effectLst>
          </c:spPr>
          <c:marker>
            <c:symbol val="circle"/>
            <c:size val="6"/>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w="12700">
                <a:solidFill>
                  <a:schemeClr val="lt2"/>
                </a:solidFill>
                <a:round/>
              </a:ln>
              <a:effectLst>
                <a:outerShdw blurRad="40000" dist="23000" dir="5400000" rotWithShape="0">
                  <a:srgbClr val="000000">
                    <a:alpha val="35000"/>
                  </a:srgbClr>
                </a:outerShdw>
              </a:effectLst>
            </c:spPr>
          </c:marker>
          <c:cat>
            <c:strRef>
              <c:f>'SOs implementation rate'!$B$4:$B$8</c:f>
              <c:strCache>
                <c:ptCount val="5"/>
                <c:pt idx="0">
                  <c:v>Visa Total</c:v>
                </c:pt>
                <c:pt idx="1">
                  <c:v>Borders Total</c:v>
                </c:pt>
                <c:pt idx="2">
                  <c:v>Operating support Total</c:v>
                </c:pt>
                <c:pt idx="3">
                  <c:v>TA Total</c:v>
                </c:pt>
                <c:pt idx="4">
                  <c:v>STS LT Total</c:v>
                </c:pt>
              </c:strCache>
            </c:strRef>
          </c:cat>
          <c:val>
            <c:numRef>
              <c:f>'SOs implementation rate'!$E$12:$E$16</c:f>
              <c:numCache>
                <c:formatCode>0.00%</c:formatCode>
                <c:ptCount val="5"/>
                <c:pt idx="0">
                  <c:v>5.4054054054054057E-2</c:v>
                </c:pt>
                <c:pt idx="1">
                  <c:v>5.8343057176196034E-2</c:v>
                </c:pt>
                <c:pt idx="2">
                  <c:v>0.22327044025157233</c:v>
                </c:pt>
                <c:pt idx="3">
                  <c:v>6.25E-2</c:v>
                </c:pt>
                <c:pt idx="4">
                  <c:v>0.30405405405405406</c:v>
                </c:pt>
              </c:numCache>
            </c:numRef>
          </c:val>
          <c:smooth val="0"/>
          <c:extLst xmlns:c16r2="http://schemas.microsoft.com/office/drawing/2015/06/chart">
            <c:ext xmlns:c16="http://schemas.microsoft.com/office/drawing/2014/chart" uri="{C3380CC4-5D6E-409C-BE32-E72D297353CC}">
              <c16:uniqueId val="{00000004-E892-4CCF-8951-5ECC834B57A6}"/>
            </c:ext>
          </c:extLst>
        </c:ser>
        <c:dLbls>
          <c:showLegendKey val="0"/>
          <c:showVal val="0"/>
          <c:showCatName val="0"/>
          <c:showSerName val="0"/>
          <c:showPercent val="0"/>
          <c:showBubbleSize val="0"/>
        </c:dLbls>
        <c:marker val="1"/>
        <c:smooth val="0"/>
        <c:axId val="155241856"/>
        <c:axId val="155240320"/>
      </c:lineChart>
      <c:catAx>
        <c:axId val="1552243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5238784"/>
        <c:crosses val="autoZero"/>
        <c:auto val="1"/>
        <c:lblAlgn val="ctr"/>
        <c:lblOffset val="100"/>
        <c:noMultiLvlLbl val="0"/>
      </c:catAx>
      <c:valAx>
        <c:axId val="155238784"/>
        <c:scaling>
          <c:orientation val="minMax"/>
        </c:scaling>
        <c:delete val="0"/>
        <c:axPos val="l"/>
        <c:majorGridlines>
          <c:spPr>
            <a:ln w="9525" cap="flat" cmpd="sng" algn="ctr">
              <a:solidFill>
                <a:schemeClr val="tx2">
                  <a:lumMod val="15000"/>
                  <a:lumOff val="85000"/>
                </a:schemeClr>
              </a:solidFill>
              <a:round/>
            </a:ln>
            <a:effectLst/>
          </c:spPr>
        </c:majorGridlines>
        <c:numFmt formatCode="_-[$€-410]\ * #,##0_-;\-[$€-410]\ * #,##0_-;_-[$€-410]\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5224320"/>
        <c:crosses val="autoZero"/>
        <c:crossBetween val="between"/>
      </c:valAx>
      <c:valAx>
        <c:axId val="155240320"/>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5241856"/>
        <c:crosses val="max"/>
        <c:crossBetween val="between"/>
      </c:valAx>
      <c:catAx>
        <c:axId val="155241856"/>
        <c:scaling>
          <c:orientation val="minMax"/>
        </c:scaling>
        <c:delete val="1"/>
        <c:axPos val="b"/>
        <c:numFmt formatCode="General" sourceLinked="1"/>
        <c:majorTickMark val="none"/>
        <c:minorTickMark val="none"/>
        <c:tickLblPos val="nextTo"/>
        <c:crossAx val="1552403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'MS resources and account'!$C$5</c:f>
              <c:strCache>
                <c:ptCount val="1"/>
                <c:pt idx="0">
                  <c:v>Available EU resources 2014-2020</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'MS resources and account'!$B$6:$B$31</c:f>
              <c:strCache>
                <c:ptCount val="26"/>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IT</c:v>
                </c:pt>
                <c:pt idx="15">
                  <c:v>LT</c:v>
                </c:pt>
                <c:pt idx="16">
                  <c:v>LU</c:v>
                </c:pt>
                <c:pt idx="17">
                  <c:v>LV</c:v>
                </c:pt>
                <c:pt idx="18">
                  <c:v>MT</c:v>
                </c:pt>
                <c:pt idx="19">
                  <c:v>NL</c:v>
                </c:pt>
                <c:pt idx="20">
                  <c:v>PL</c:v>
                </c:pt>
                <c:pt idx="21">
                  <c:v>PT</c:v>
                </c:pt>
                <c:pt idx="22">
                  <c:v>RO</c:v>
                </c:pt>
                <c:pt idx="23">
                  <c:v>SE</c:v>
                </c:pt>
                <c:pt idx="24">
                  <c:v>SI</c:v>
                </c:pt>
                <c:pt idx="25">
                  <c:v>SK</c:v>
                </c:pt>
              </c:strCache>
            </c:strRef>
          </c:cat>
          <c:val>
            <c:numRef>
              <c:f>'MS resources and account'!$C$6:$C$31</c:f>
              <c:numCache>
                <c:formatCode>_-"€"\ * #,##0_-;\-"€"\ * #,##0_-;_-"€"\ * "-"??_-;_-@_-</c:formatCode>
                <c:ptCount val="26"/>
                <c:pt idx="0">
                  <c:v>14</c:v>
                </c:pt>
                <c:pt idx="1">
                  <c:v>21</c:v>
                </c:pt>
                <c:pt idx="2">
                  <c:v>41</c:v>
                </c:pt>
                <c:pt idx="3">
                  <c:v>35</c:v>
                </c:pt>
                <c:pt idx="4">
                  <c:v>15</c:v>
                </c:pt>
                <c:pt idx="5">
                  <c:v>55</c:v>
                </c:pt>
                <c:pt idx="6">
                  <c:v>10</c:v>
                </c:pt>
                <c:pt idx="7">
                  <c:v>22</c:v>
                </c:pt>
                <c:pt idx="8">
                  <c:v>194</c:v>
                </c:pt>
                <c:pt idx="9">
                  <c:v>208</c:v>
                </c:pt>
                <c:pt idx="10">
                  <c:v>37</c:v>
                </c:pt>
                <c:pt idx="11">
                  <c:v>107</c:v>
                </c:pt>
                <c:pt idx="12">
                  <c:v>36</c:v>
                </c:pt>
                <c:pt idx="13">
                  <c:v>41</c:v>
                </c:pt>
                <c:pt idx="14">
                  <c:v>188</c:v>
                </c:pt>
                <c:pt idx="15">
                  <c:v>180</c:v>
                </c:pt>
                <c:pt idx="16">
                  <c:v>5</c:v>
                </c:pt>
                <c:pt idx="17">
                  <c:v>16</c:v>
                </c:pt>
                <c:pt idx="18">
                  <c:v>66</c:v>
                </c:pt>
                <c:pt idx="19">
                  <c:v>34</c:v>
                </c:pt>
                <c:pt idx="20">
                  <c:v>73</c:v>
                </c:pt>
                <c:pt idx="21">
                  <c:v>20</c:v>
                </c:pt>
                <c:pt idx="22">
                  <c:v>61</c:v>
                </c:pt>
                <c:pt idx="23">
                  <c:v>12</c:v>
                </c:pt>
                <c:pt idx="24">
                  <c:v>31</c:v>
                </c:pt>
                <c:pt idx="25">
                  <c:v>10</c:v>
                </c:pt>
              </c:numCache>
            </c:numRef>
          </c:val>
          <c:extLst xmlns:c16r2="http://schemas.microsoft.com/office/drawing/2015/06/chart">
            <c:ext xmlns:c16="http://schemas.microsoft.com/office/drawing/2014/chart" uri="{C3380CC4-5D6E-409C-BE32-E72D297353CC}">
              <c16:uniqueId val="{00000000-B7F2-47AF-A7B3-D690487B464B}"/>
            </c:ext>
          </c:extLst>
        </c:ser>
        <c:ser>
          <c:idx val="1"/>
          <c:order val="1"/>
          <c:tx>
            <c:strRef>
              <c:f>'MS resources and account'!$D$5</c:f>
              <c:strCache>
                <c:ptCount val="1"/>
                <c:pt idx="0">
                  <c:v>MS commitment (2014-2016)</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'MS resources and account'!$B$6:$B$31</c:f>
              <c:strCache>
                <c:ptCount val="26"/>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IT</c:v>
                </c:pt>
                <c:pt idx="15">
                  <c:v>LT</c:v>
                </c:pt>
                <c:pt idx="16">
                  <c:v>LU</c:v>
                </c:pt>
                <c:pt idx="17">
                  <c:v>LV</c:v>
                </c:pt>
                <c:pt idx="18">
                  <c:v>MT</c:v>
                </c:pt>
                <c:pt idx="19">
                  <c:v>NL</c:v>
                </c:pt>
                <c:pt idx="20">
                  <c:v>PL</c:v>
                </c:pt>
                <c:pt idx="21">
                  <c:v>PT</c:v>
                </c:pt>
                <c:pt idx="22">
                  <c:v>RO</c:v>
                </c:pt>
                <c:pt idx="23">
                  <c:v>SE</c:v>
                </c:pt>
                <c:pt idx="24">
                  <c:v>SI</c:v>
                </c:pt>
                <c:pt idx="25">
                  <c:v>SK</c:v>
                </c:pt>
              </c:strCache>
            </c:strRef>
          </c:cat>
          <c:val>
            <c:numRef>
              <c:f>'MS resources and account'!$D$6:$D$31</c:f>
              <c:numCache>
                <c:formatCode>_-"€"\ * #,##0_-;\-"€"\ * #,##0_-;_-"€"\ * "-"??_-;_-@_-</c:formatCode>
                <c:ptCount val="26"/>
                <c:pt idx="0">
                  <c:v>10</c:v>
                </c:pt>
                <c:pt idx="1">
                  <c:v>13</c:v>
                </c:pt>
                <c:pt idx="2">
                  <c:v>27</c:v>
                </c:pt>
                <c:pt idx="3">
                  <c:v>9</c:v>
                </c:pt>
                <c:pt idx="4">
                  <c:v>5</c:v>
                </c:pt>
                <c:pt idx="5">
                  <c:v>24</c:v>
                </c:pt>
                <c:pt idx="6">
                  <c:v>3</c:v>
                </c:pt>
                <c:pt idx="7">
                  <c:v>19</c:v>
                </c:pt>
                <c:pt idx="8">
                  <c:v>106</c:v>
                </c:pt>
                <c:pt idx="9">
                  <c:v>38</c:v>
                </c:pt>
                <c:pt idx="10">
                  <c:v>20</c:v>
                </c:pt>
                <c:pt idx="11">
                  <c:v>62</c:v>
                </c:pt>
                <c:pt idx="12">
                  <c:v>5</c:v>
                </c:pt>
                <c:pt idx="13">
                  <c:v>6</c:v>
                </c:pt>
                <c:pt idx="14">
                  <c:v>30</c:v>
                </c:pt>
                <c:pt idx="15">
                  <c:v>78</c:v>
                </c:pt>
                <c:pt idx="16">
                  <c:v>0</c:v>
                </c:pt>
                <c:pt idx="17">
                  <c:v>10</c:v>
                </c:pt>
                <c:pt idx="18">
                  <c:v>55</c:v>
                </c:pt>
                <c:pt idx="19">
                  <c:v>18</c:v>
                </c:pt>
                <c:pt idx="20">
                  <c:v>0</c:v>
                </c:pt>
                <c:pt idx="21">
                  <c:v>8</c:v>
                </c:pt>
                <c:pt idx="22">
                  <c:v>25</c:v>
                </c:pt>
                <c:pt idx="23">
                  <c:v>2</c:v>
                </c:pt>
                <c:pt idx="24">
                  <c:v>7</c:v>
                </c:pt>
                <c:pt idx="25">
                  <c:v>6</c:v>
                </c:pt>
              </c:numCache>
            </c:numRef>
          </c:val>
          <c:extLst xmlns:c16r2="http://schemas.microsoft.com/office/drawing/2015/06/chart">
            <c:ext xmlns:c16="http://schemas.microsoft.com/office/drawing/2014/chart" uri="{C3380CC4-5D6E-409C-BE32-E72D297353CC}">
              <c16:uniqueId val="{00000001-B7F2-47AF-A7B3-D690487B464B}"/>
            </c:ext>
          </c:extLst>
        </c:ser>
        <c:ser>
          <c:idx val="2"/>
          <c:order val="2"/>
          <c:tx>
            <c:strRef>
              <c:f>'MS resources and account'!$E$5</c:f>
              <c:strCache>
                <c:ptCount val="1"/>
                <c:pt idx="0">
                  <c:v>Account Amount</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'MS resources and account'!$B$6:$B$31</c:f>
              <c:strCache>
                <c:ptCount val="26"/>
                <c:pt idx="0">
                  <c:v>AT</c:v>
                </c:pt>
                <c:pt idx="1">
                  <c:v>BE</c:v>
                </c:pt>
                <c:pt idx="2">
                  <c:v>BG</c:v>
                </c:pt>
                <c:pt idx="3">
                  <c:v>CY</c:v>
                </c:pt>
                <c:pt idx="4">
                  <c:v>CZ</c:v>
                </c:pt>
                <c:pt idx="5">
                  <c:v>DE</c:v>
                </c:pt>
                <c:pt idx="6">
                  <c:v>DK</c:v>
                </c:pt>
                <c:pt idx="7">
                  <c:v>EE</c:v>
                </c:pt>
                <c:pt idx="8">
                  <c:v>EL</c:v>
                </c:pt>
                <c:pt idx="9">
                  <c:v>ES</c:v>
                </c:pt>
                <c:pt idx="10">
                  <c:v>FI</c:v>
                </c:pt>
                <c:pt idx="11">
                  <c:v>FR</c:v>
                </c:pt>
                <c:pt idx="12">
                  <c:v>HR</c:v>
                </c:pt>
                <c:pt idx="13">
                  <c:v>HU</c:v>
                </c:pt>
                <c:pt idx="14">
                  <c:v>IT</c:v>
                </c:pt>
                <c:pt idx="15">
                  <c:v>LT</c:v>
                </c:pt>
                <c:pt idx="16">
                  <c:v>LU</c:v>
                </c:pt>
                <c:pt idx="17">
                  <c:v>LV</c:v>
                </c:pt>
                <c:pt idx="18">
                  <c:v>MT</c:v>
                </c:pt>
                <c:pt idx="19">
                  <c:v>NL</c:v>
                </c:pt>
                <c:pt idx="20">
                  <c:v>PL</c:v>
                </c:pt>
                <c:pt idx="21">
                  <c:v>PT</c:v>
                </c:pt>
                <c:pt idx="22">
                  <c:v>RO</c:v>
                </c:pt>
                <c:pt idx="23">
                  <c:v>SE</c:v>
                </c:pt>
                <c:pt idx="24">
                  <c:v>SI</c:v>
                </c:pt>
                <c:pt idx="25">
                  <c:v>SK</c:v>
                </c:pt>
              </c:strCache>
            </c:strRef>
          </c:cat>
          <c:val>
            <c:numRef>
              <c:f>'MS resources and account'!$E$6:$E$31</c:f>
              <c:numCache>
                <c:formatCode>_-"€"\ * #,##0_-;\-"€"\ * #,##0_-;_-"€"\ * "-"??_-;_-@_-</c:formatCode>
                <c:ptCount val="26"/>
                <c:pt idx="0">
                  <c:v>3</c:v>
                </c:pt>
                <c:pt idx="1">
                  <c:v>3</c:v>
                </c:pt>
                <c:pt idx="2">
                  <c:v>10</c:v>
                </c:pt>
                <c:pt idx="3">
                  <c:v>1</c:v>
                </c:pt>
                <c:pt idx="4" formatCode="#,##0.000_ ;\-#,##0.000\ ">
                  <c:v>8.4000000000000005E-2</c:v>
                </c:pt>
                <c:pt idx="5">
                  <c:v>11</c:v>
                </c:pt>
                <c:pt idx="6" formatCode="#,##0.000_ ;\-#,##0.000\ ">
                  <c:v>2.3E-2</c:v>
                </c:pt>
                <c:pt idx="7">
                  <c:v>11</c:v>
                </c:pt>
                <c:pt idx="8">
                  <c:v>42</c:v>
                </c:pt>
                <c:pt idx="9">
                  <c:v>15</c:v>
                </c:pt>
                <c:pt idx="10">
                  <c:v>6</c:v>
                </c:pt>
                <c:pt idx="11">
                  <c:v>7</c:v>
                </c:pt>
                <c:pt idx="12" formatCode="#,##0.0000_ ;\-#,##0.0000\ ">
                  <c:v>2.0000000000000001E-4</c:v>
                </c:pt>
                <c:pt idx="13" formatCode="#,##0.0_ ;\-#,##0.0\ ">
                  <c:v>0.2</c:v>
                </c:pt>
                <c:pt idx="14">
                  <c:v>7</c:v>
                </c:pt>
                <c:pt idx="15">
                  <c:v>46</c:v>
                </c:pt>
                <c:pt idx="16" formatCode="#,##0.000_ ;\-#,##0.000\ ">
                  <c:v>5.2999999999999999E-2</c:v>
                </c:pt>
                <c:pt idx="17" formatCode="#,##0.000_ ;\-#,##0.000\ ">
                  <c:v>8.4000000000000005E-2</c:v>
                </c:pt>
                <c:pt idx="18">
                  <c:v>5</c:v>
                </c:pt>
                <c:pt idx="19">
                  <c:v>8</c:v>
                </c:pt>
                <c:pt idx="20">
                  <c:v>0</c:v>
                </c:pt>
                <c:pt idx="21">
                  <c:v>0</c:v>
                </c:pt>
                <c:pt idx="22">
                  <c:v>0</c:v>
                </c:pt>
                <c:pt idx="23">
                  <c:v>1</c:v>
                </c:pt>
                <c:pt idx="24" formatCode="#,##0.0_ ;\-#,##0.0\ ">
                  <c:v>0.3</c:v>
                </c:pt>
                <c:pt idx="25" formatCode="#,##0.0_ ;\-#,##0.0\ ">
                  <c:v>0.2</c:v>
                </c:pt>
              </c:numCache>
            </c:numRef>
          </c:val>
          <c:extLst xmlns:c16r2="http://schemas.microsoft.com/office/drawing/2015/06/chart">
            <c:ext xmlns:c16="http://schemas.microsoft.com/office/drawing/2014/chart" uri="{C3380CC4-5D6E-409C-BE32-E72D297353CC}">
              <c16:uniqueId val="{00000002-B7F2-47AF-A7B3-D690487B464B}"/>
            </c:ext>
          </c:extLst>
        </c:ser>
        <c:dLbls>
          <c:showLegendKey val="0"/>
          <c:showVal val="0"/>
          <c:showCatName val="0"/>
          <c:showSerName val="0"/>
          <c:showPercent val="0"/>
          <c:showBubbleSize val="0"/>
        </c:dLbls>
        <c:gapWidth val="100"/>
        <c:overlap val="-24"/>
        <c:axId val="159479680"/>
        <c:axId val="159481216"/>
      </c:barChart>
      <c:catAx>
        <c:axId val="1594796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9481216"/>
        <c:crosses val="autoZero"/>
        <c:auto val="1"/>
        <c:lblAlgn val="ctr"/>
        <c:lblOffset val="100"/>
        <c:noMultiLvlLbl val="0"/>
      </c:catAx>
      <c:valAx>
        <c:axId val="159481216"/>
        <c:scaling>
          <c:orientation val="minMax"/>
          <c:max val="250"/>
        </c:scaling>
        <c:delete val="0"/>
        <c:axPos val="l"/>
        <c:majorGridlines>
          <c:spPr>
            <a:ln w="9525" cap="flat" cmpd="sng" algn="ctr">
              <a:solidFill>
                <a:schemeClr val="tx2">
                  <a:lumMod val="15000"/>
                  <a:lumOff val="85000"/>
                </a:schemeClr>
              </a:solidFill>
              <a:round/>
            </a:ln>
            <a:effectLst/>
          </c:spPr>
        </c:majorGridlines>
        <c:numFmt formatCode="_-&quot;€&quot;\ * #,##0_-;\-&quot;€&quot;\ * #,##0_-;_-&quot;€&quot;\ *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947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Sheet3!$J$31</c:f>
              <c:strCache>
                <c:ptCount val="1"/>
                <c:pt idx="0">
                  <c:v>Payments 2015</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Sheet3!$A$32:$A$58</c:f>
              <c:strCache>
                <c:ptCount val="27"/>
                <c:pt idx="0">
                  <c:v>CZ</c:v>
                </c:pt>
                <c:pt idx="1">
                  <c:v>HR</c:v>
                </c:pt>
                <c:pt idx="2">
                  <c:v>SK</c:v>
                </c:pt>
                <c:pt idx="3">
                  <c:v>PL</c:v>
                </c:pt>
                <c:pt idx="4">
                  <c:v>LU</c:v>
                </c:pt>
                <c:pt idx="5">
                  <c:v>SE</c:v>
                </c:pt>
                <c:pt idx="6">
                  <c:v>BE</c:v>
                </c:pt>
                <c:pt idx="7">
                  <c:v>DK</c:v>
                </c:pt>
                <c:pt idx="8">
                  <c:v>EE</c:v>
                </c:pt>
                <c:pt idx="9">
                  <c:v>AT</c:v>
                </c:pt>
                <c:pt idx="10">
                  <c:v>LV</c:v>
                </c:pt>
                <c:pt idx="11">
                  <c:v>PT</c:v>
                </c:pt>
                <c:pt idx="12">
                  <c:v>NL</c:v>
                </c:pt>
                <c:pt idx="13">
                  <c:v>NO</c:v>
                </c:pt>
                <c:pt idx="14">
                  <c:v>CY</c:v>
                </c:pt>
                <c:pt idx="15">
                  <c:v>FI</c:v>
                </c:pt>
                <c:pt idx="16">
                  <c:v>SI</c:v>
                </c:pt>
                <c:pt idx="17">
                  <c:v>FR</c:v>
                </c:pt>
                <c:pt idx="18">
                  <c:v>BG</c:v>
                </c:pt>
                <c:pt idx="19">
                  <c:v>HU</c:v>
                </c:pt>
                <c:pt idx="20">
                  <c:v>RO</c:v>
                </c:pt>
                <c:pt idx="21">
                  <c:v>DE</c:v>
                </c:pt>
                <c:pt idx="22">
                  <c:v>MT</c:v>
                </c:pt>
                <c:pt idx="23">
                  <c:v>EL</c:v>
                </c:pt>
                <c:pt idx="24">
                  <c:v>ES</c:v>
                </c:pt>
                <c:pt idx="25">
                  <c:v>LT</c:v>
                </c:pt>
                <c:pt idx="26">
                  <c:v>IT</c:v>
                </c:pt>
              </c:strCache>
            </c:strRef>
          </c:cat>
          <c:val>
            <c:numRef>
              <c:f>Sheet3!$J$32:$J$58</c:f>
              <c:numCache>
                <c:formatCode>#,##0.00</c:formatCode>
                <c:ptCount val="27"/>
                <c:pt idx="0">
                  <c:v>0</c:v>
                </c:pt>
                <c:pt idx="1">
                  <c:v>0</c:v>
                </c:pt>
                <c:pt idx="2">
                  <c:v>0</c:v>
                </c:pt>
                <c:pt idx="3">
                  <c:v>0</c:v>
                </c:pt>
                <c:pt idx="4">
                  <c:v>0</c:v>
                </c:pt>
                <c:pt idx="5">
                  <c:v>0</c:v>
                </c:pt>
                <c:pt idx="6">
                  <c:v>0.56999999999999995</c:v>
                </c:pt>
                <c:pt idx="7">
                  <c:v>0</c:v>
                </c:pt>
                <c:pt idx="8">
                  <c:v>2.42</c:v>
                </c:pt>
                <c:pt idx="9">
                  <c:v>1.07</c:v>
                </c:pt>
                <c:pt idx="10">
                  <c:v>0</c:v>
                </c:pt>
                <c:pt idx="11">
                  <c:v>0</c:v>
                </c:pt>
                <c:pt idx="12">
                  <c:v>0.09</c:v>
                </c:pt>
                <c:pt idx="13">
                  <c:v>0</c:v>
                </c:pt>
                <c:pt idx="14">
                  <c:v>0</c:v>
                </c:pt>
                <c:pt idx="15">
                  <c:v>0.1</c:v>
                </c:pt>
                <c:pt idx="16">
                  <c:v>0</c:v>
                </c:pt>
                <c:pt idx="17">
                  <c:v>10.89</c:v>
                </c:pt>
                <c:pt idx="18">
                  <c:v>5.95</c:v>
                </c:pt>
                <c:pt idx="19">
                  <c:v>0</c:v>
                </c:pt>
                <c:pt idx="20">
                  <c:v>0</c:v>
                </c:pt>
                <c:pt idx="21">
                  <c:v>0</c:v>
                </c:pt>
                <c:pt idx="22">
                  <c:v>0</c:v>
                </c:pt>
                <c:pt idx="23">
                  <c:v>0</c:v>
                </c:pt>
                <c:pt idx="24">
                  <c:v>1.49</c:v>
                </c:pt>
                <c:pt idx="25">
                  <c:v>24.39</c:v>
                </c:pt>
                <c:pt idx="26">
                  <c:v>0</c:v>
                </c:pt>
              </c:numCache>
            </c:numRef>
          </c:val>
          <c:extLst xmlns:c16r2="http://schemas.microsoft.com/office/drawing/2015/06/chart">
            <c:ext xmlns:c16="http://schemas.microsoft.com/office/drawing/2014/chart" uri="{C3380CC4-5D6E-409C-BE32-E72D297353CC}">
              <c16:uniqueId val="{00000000-B70D-45BE-8345-CB97AB69F09E}"/>
            </c:ext>
          </c:extLst>
        </c:ser>
        <c:ser>
          <c:idx val="1"/>
          <c:order val="1"/>
          <c:tx>
            <c:strRef>
              <c:f>Sheet3!$K$31</c:f>
              <c:strCache>
                <c:ptCount val="1"/>
                <c:pt idx="0">
                  <c:v>Payments 2016</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Sheet3!$A$32:$A$58</c:f>
              <c:strCache>
                <c:ptCount val="27"/>
                <c:pt idx="0">
                  <c:v>CZ</c:v>
                </c:pt>
                <c:pt idx="1">
                  <c:v>HR</c:v>
                </c:pt>
                <c:pt idx="2">
                  <c:v>SK</c:v>
                </c:pt>
                <c:pt idx="3">
                  <c:v>PL</c:v>
                </c:pt>
                <c:pt idx="4">
                  <c:v>LU</c:v>
                </c:pt>
                <c:pt idx="5">
                  <c:v>SE</c:v>
                </c:pt>
                <c:pt idx="6">
                  <c:v>BE</c:v>
                </c:pt>
                <c:pt idx="7">
                  <c:v>DK</c:v>
                </c:pt>
                <c:pt idx="8">
                  <c:v>EE</c:v>
                </c:pt>
                <c:pt idx="9">
                  <c:v>AT</c:v>
                </c:pt>
                <c:pt idx="10">
                  <c:v>LV</c:v>
                </c:pt>
                <c:pt idx="11">
                  <c:v>PT</c:v>
                </c:pt>
                <c:pt idx="12">
                  <c:v>NL</c:v>
                </c:pt>
                <c:pt idx="13">
                  <c:v>NO</c:v>
                </c:pt>
                <c:pt idx="14">
                  <c:v>CY</c:v>
                </c:pt>
                <c:pt idx="15">
                  <c:v>FI</c:v>
                </c:pt>
                <c:pt idx="16">
                  <c:v>SI</c:v>
                </c:pt>
                <c:pt idx="17">
                  <c:v>FR</c:v>
                </c:pt>
                <c:pt idx="18">
                  <c:v>BG</c:v>
                </c:pt>
                <c:pt idx="19">
                  <c:v>HU</c:v>
                </c:pt>
                <c:pt idx="20">
                  <c:v>RO</c:v>
                </c:pt>
                <c:pt idx="21">
                  <c:v>DE</c:v>
                </c:pt>
                <c:pt idx="22">
                  <c:v>MT</c:v>
                </c:pt>
                <c:pt idx="23">
                  <c:v>EL</c:v>
                </c:pt>
                <c:pt idx="24">
                  <c:v>ES</c:v>
                </c:pt>
                <c:pt idx="25">
                  <c:v>LT</c:v>
                </c:pt>
                <c:pt idx="26">
                  <c:v>IT</c:v>
                </c:pt>
              </c:strCache>
            </c:strRef>
          </c:cat>
          <c:val>
            <c:numRef>
              <c:f>Sheet3!$K$32:$K$58</c:f>
              <c:numCache>
                <c:formatCode>#,##0.00</c:formatCode>
                <c:ptCount val="27"/>
                <c:pt idx="0">
                  <c:v>0.08</c:v>
                </c:pt>
                <c:pt idx="1">
                  <c:v>0</c:v>
                </c:pt>
                <c:pt idx="2">
                  <c:v>0.18</c:v>
                </c:pt>
                <c:pt idx="3">
                  <c:v>0</c:v>
                </c:pt>
                <c:pt idx="4">
                  <c:v>0.05</c:v>
                </c:pt>
                <c:pt idx="5">
                  <c:v>1.42</c:v>
                </c:pt>
                <c:pt idx="6">
                  <c:v>3.2</c:v>
                </c:pt>
                <c:pt idx="7">
                  <c:v>0.02</c:v>
                </c:pt>
                <c:pt idx="8">
                  <c:v>8.5399999999999991</c:v>
                </c:pt>
                <c:pt idx="9">
                  <c:v>2.25</c:v>
                </c:pt>
                <c:pt idx="10">
                  <c:v>0.08</c:v>
                </c:pt>
                <c:pt idx="11">
                  <c:v>0</c:v>
                </c:pt>
                <c:pt idx="12">
                  <c:v>7.65</c:v>
                </c:pt>
                <c:pt idx="13">
                  <c:v>0</c:v>
                </c:pt>
                <c:pt idx="14">
                  <c:v>1.45</c:v>
                </c:pt>
                <c:pt idx="15">
                  <c:v>6.02</c:v>
                </c:pt>
                <c:pt idx="16">
                  <c:v>0.34</c:v>
                </c:pt>
                <c:pt idx="17">
                  <c:v>0.6</c:v>
                </c:pt>
                <c:pt idx="18">
                  <c:v>3.62</c:v>
                </c:pt>
                <c:pt idx="19">
                  <c:v>0.21</c:v>
                </c:pt>
                <c:pt idx="20">
                  <c:v>0</c:v>
                </c:pt>
                <c:pt idx="21">
                  <c:v>11.1</c:v>
                </c:pt>
                <c:pt idx="22">
                  <c:v>5.01</c:v>
                </c:pt>
                <c:pt idx="23">
                  <c:v>42.17</c:v>
                </c:pt>
                <c:pt idx="24">
                  <c:v>13.76</c:v>
                </c:pt>
                <c:pt idx="25">
                  <c:v>22.09</c:v>
                </c:pt>
                <c:pt idx="26">
                  <c:v>7.1</c:v>
                </c:pt>
              </c:numCache>
            </c:numRef>
          </c:val>
          <c:extLst xmlns:c16r2="http://schemas.microsoft.com/office/drawing/2015/06/chart">
            <c:ext xmlns:c16="http://schemas.microsoft.com/office/drawing/2014/chart" uri="{C3380CC4-5D6E-409C-BE32-E72D297353CC}">
              <c16:uniqueId val="{00000001-B70D-45BE-8345-CB97AB69F09E}"/>
            </c:ext>
          </c:extLst>
        </c:ser>
        <c:ser>
          <c:idx val="2"/>
          <c:order val="2"/>
          <c:tx>
            <c:strRef>
              <c:f>Sheet3!$L$31</c:f>
              <c:strCache>
                <c:ptCount val="1"/>
                <c:pt idx="0">
                  <c:v>Payments 2017</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Sheet3!$A$32:$A$58</c:f>
              <c:strCache>
                <c:ptCount val="27"/>
                <c:pt idx="0">
                  <c:v>CZ</c:v>
                </c:pt>
                <c:pt idx="1">
                  <c:v>HR</c:v>
                </c:pt>
                <c:pt idx="2">
                  <c:v>SK</c:v>
                </c:pt>
                <c:pt idx="3">
                  <c:v>PL</c:v>
                </c:pt>
                <c:pt idx="4">
                  <c:v>LU</c:v>
                </c:pt>
                <c:pt idx="5">
                  <c:v>SE</c:v>
                </c:pt>
                <c:pt idx="6">
                  <c:v>BE</c:v>
                </c:pt>
                <c:pt idx="7">
                  <c:v>DK</c:v>
                </c:pt>
                <c:pt idx="8">
                  <c:v>EE</c:v>
                </c:pt>
                <c:pt idx="9">
                  <c:v>AT</c:v>
                </c:pt>
                <c:pt idx="10">
                  <c:v>LV</c:v>
                </c:pt>
                <c:pt idx="11">
                  <c:v>PT</c:v>
                </c:pt>
                <c:pt idx="12">
                  <c:v>NL</c:v>
                </c:pt>
                <c:pt idx="13">
                  <c:v>NO</c:v>
                </c:pt>
                <c:pt idx="14">
                  <c:v>CY</c:v>
                </c:pt>
                <c:pt idx="15">
                  <c:v>FI</c:v>
                </c:pt>
                <c:pt idx="16">
                  <c:v>SI</c:v>
                </c:pt>
                <c:pt idx="17">
                  <c:v>FR</c:v>
                </c:pt>
                <c:pt idx="18">
                  <c:v>BG</c:v>
                </c:pt>
                <c:pt idx="19">
                  <c:v>HU</c:v>
                </c:pt>
                <c:pt idx="20">
                  <c:v>RO</c:v>
                </c:pt>
                <c:pt idx="21">
                  <c:v>DE</c:v>
                </c:pt>
                <c:pt idx="22">
                  <c:v>MT</c:v>
                </c:pt>
                <c:pt idx="23">
                  <c:v>EL</c:v>
                </c:pt>
                <c:pt idx="24">
                  <c:v>ES</c:v>
                </c:pt>
                <c:pt idx="25">
                  <c:v>LT</c:v>
                </c:pt>
                <c:pt idx="26">
                  <c:v>IT</c:v>
                </c:pt>
              </c:strCache>
            </c:strRef>
          </c:cat>
          <c:val>
            <c:numRef>
              <c:f>Sheet3!$L$32:$L$58</c:f>
              <c:numCache>
                <c:formatCode>#,##0.00</c:formatCode>
                <c:ptCount val="27"/>
                <c:pt idx="0">
                  <c:v>0.13</c:v>
                </c:pt>
                <c:pt idx="1">
                  <c:v>0.14000000000000001</c:v>
                </c:pt>
                <c:pt idx="2">
                  <c:v>0.17</c:v>
                </c:pt>
                <c:pt idx="3">
                  <c:v>0.23</c:v>
                </c:pt>
                <c:pt idx="4">
                  <c:v>0.34</c:v>
                </c:pt>
                <c:pt idx="5">
                  <c:v>0.54</c:v>
                </c:pt>
                <c:pt idx="6">
                  <c:v>1.81</c:v>
                </c:pt>
                <c:pt idx="7">
                  <c:v>1.9</c:v>
                </c:pt>
                <c:pt idx="8">
                  <c:v>2.5</c:v>
                </c:pt>
                <c:pt idx="9">
                  <c:v>2.85</c:v>
                </c:pt>
                <c:pt idx="10">
                  <c:v>2.89</c:v>
                </c:pt>
                <c:pt idx="11">
                  <c:v>3.78</c:v>
                </c:pt>
                <c:pt idx="12">
                  <c:v>3.88</c:v>
                </c:pt>
                <c:pt idx="13">
                  <c:v>4.7699999999999996</c:v>
                </c:pt>
                <c:pt idx="14">
                  <c:v>4.91</c:v>
                </c:pt>
                <c:pt idx="15">
                  <c:v>4.97</c:v>
                </c:pt>
                <c:pt idx="16">
                  <c:v>5.19</c:v>
                </c:pt>
                <c:pt idx="17">
                  <c:v>5.76</c:v>
                </c:pt>
                <c:pt idx="18">
                  <c:v>5.97</c:v>
                </c:pt>
                <c:pt idx="19">
                  <c:v>7.68</c:v>
                </c:pt>
                <c:pt idx="20">
                  <c:v>10.81</c:v>
                </c:pt>
                <c:pt idx="21">
                  <c:v>11.71</c:v>
                </c:pt>
                <c:pt idx="22">
                  <c:v>14.87</c:v>
                </c:pt>
                <c:pt idx="23">
                  <c:v>19.02</c:v>
                </c:pt>
                <c:pt idx="24">
                  <c:v>25.51</c:v>
                </c:pt>
                <c:pt idx="25">
                  <c:v>26.74</c:v>
                </c:pt>
                <c:pt idx="26">
                  <c:v>37.409999999999997</c:v>
                </c:pt>
              </c:numCache>
            </c:numRef>
          </c:val>
          <c:extLst xmlns:c16r2="http://schemas.microsoft.com/office/drawing/2015/06/chart">
            <c:ext xmlns:c16="http://schemas.microsoft.com/office/drawing/2014/chart" uri="{C3380CC4-5D6E-409C-BE32-E72D297353CC}">
              <c16:uniqueId val="{00000002-B70D-45BE-8345-CB97AB69F09E}"/>
            </c:ext>
          </c:extLst>
        </c:ser>
        <c:dLbls>
          <c:showLegendKey val="0"/>
          <c:showVal val="0"/>
          <c:showCatName val="0"/>
          <c:showSerName val="0"/>
          <c:showPercent val="0"/>
          <c:showBubbleSize val="0"/>
        </c:dLbls>
        <c:gapWidth val="75"/>
        <c:overlap val="-25"/>
        <c:axId val="160848896"/>
        <c:axId val="160854784"/>
      </c:barChart>
      <c:catAx>
        <c:axId val="1608488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854784"/>
        <c:crosses val="autoZero"/>
        <c:auto val="1"/>
        <c:lblAlgn val="ctr"/>
        <c:lblOffset val="100"/>
        <c:noMultiLvlLbl val="0"/>
      </c:catAx>
      <c:valAx>
        <c:axId val="160854784"/>
        <c:scaling>
          <c:orientation val="minMax"/>
        </c:scaling>
        <c:delete val="0"/>
        <c:axPos val="l"/>
        <c:majorGridlines>
          <c:spPr>
            <a:ln w="9525" cap="flat" cmpd="sng" algn="ctr">
              <a:solidFill>
                <a:schemeClr val="tx2">
                  <a:lumMod val="15000"/>
                  <a:lumOff val="85000"/>
                </a:schemeClr>
              </a:solidFill>
              <a:round/>
            </a:ln>
            <a:effectLst/>
          </c:spPr>
        </c:majorGridlines>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84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'EMAS allocation per year Graph'!$G$3</c:f>
              <c:strCache>
                <c:ptCount val="1"/>
                <c:pt idx="0">
                  <c:v>Commitments up to 30.06.2017</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'EMAS allocation per year Graph'!$B$4:$B$12</c:f>
              <c:strCache>
                <c:ptCount val="9"/>
                <c:pt idx="0">
                  <c:v>EASO</c:v>
                </c:pt>
                <c:pt idx="1">
                  <c:v>HU</c:v>
                </c:pt>
                <c:pt idx="2">
                  <c:v>FR</c:v>
                </c:pt>
                <c:pt idx="3">
                  <c:v>HR</c:v>
                </c:pt>
                <c:pt idx="4">
                  <c:v>UNHCR</c:v>
                </c:pt>
                <c:pt idx="5">
                  <c:v>SI</c:v>
                </c:pt>
                <c:pt idx="6">
                  <c:v>EL</c:v>
                </c:pt>
                <c:pt idx="7">
                  <c:v>IT</c:v>
                </c:pt>
                <c:pt idx="8">
                  <c:v>BG</c:v>
                </c:pt>
              </c:strCache>
            </c:strRef>
          </c:cat>
          <c:val>
            <c:numRef>
              <c:f>'EMAS allocation per year Graph'!$G$4:$G$12</c:f>
              <c:numCache>
                <c:formatCode>[$€-83C]#\ ##0.00;\-[$€-83C]#\ ##0.00</c:formatCode>
                <c:ptCount val="9"/>
                <c:pt idx="0">
                  <c:v>1.1202584</c:v>
                </c:pt>
                <c:pt idx="1">
                  <c:v>1.4890986000000002</c:v>
                </c:pt>
                <c:pt idx="2">
                  <c:v>1.67948651</c:v>
                </c:pt>
                <c:pt idx="3">
                  <c:v>3.9950016699999997</c:v>
                </c:pt>
                <c:pt idx="4">
                  <c:v>4.1290001599999995</c:v>
                </c:pt>
                <c:pt idx="5">
                  <c:v>4.9180409999999997</c:v>
                </c:pt>
                <c:pt idx="6">
                  <c:v>55.906605899999995</c:v>
                </c:pt>
                <c:pt idx="7">
                  <c:v>59.449518640000001</c:v>
                </c:pt>
                <c:pt idx="8">
                  <c:v>124.77954138000001</c:v>
                </c:pt>
              </c:numCache>
            </c:numRef>
          </c:val>
          <c:extLst xmlns:c16r2="http://schemas.microsoft.com/office/drawing/2015/06/chart">
            <c:ext xmlns:c16="http://schemas.microsoft.com/office/drawing/2014/chart" uri="{C3380CC4-5D6E-409C-BE32-E72D297353CC}">
              <c16:uniqueId val="{00000000-ADCD-4FE9-B62C-C7B7E609F634}"/>
            </c:ext>
          </c:extLst>
        </c:ser>
        <c:ser>
          <c:idx val="1"/>
          <c:order val="1"/>
          <c:tx>
            <c:strRef>
              <c:f>'EMAS allocation per year Graph'!$H$3</c:f>
              <c:strCache>
                <c:ptCount val="1"/>
                <c:pt idx="0">
                  <c:v>Payments on completed projects by 30.06.2017</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'EMAS allocation per year Graph'!$B$4:$B$12</c:f>
              <c:strCache>
                <c:ptCount val="9"/>
                <c:pt idx="0">
                  <c:v>EASO</c:v>
                </c:pt>
                <c:pt idx="1">
                  <c:v>HU</c:v>
                </c:pt>
                <c:pt idx="2">
                  <c:v>FR</c:v>
                </c:pt>
                <c:pt idx="3">
                  <c:v>HR</c:v>
                </c:pt>
                <c:pt idx="4">
                  <c:v>UNHCR</c:v>
                </c:pt>
                <c:pt idx="5">
                  <c:v>SI</c:v>
                </c:pt>
                <c:pt idx="6">
                  <c:v>EL</c:v>
                </c:pt>
                <c:pt idx="7">
                  <c:v>IT</c:v>
                </c:pt>
                <c:pt idx="8">
                  <c:v>BG</c:v>
                </c:pt>
              </c:strCache>
            </c:strRef>
          </c:cat>
          <c:val>
            <c:numRef>
              <c:f>'EMAS allocation per year Graph'!$H$4:$H$12</c:f>
              <c:numCache>
                <c:formatCode>[$€-83C]#\ ##0.00;\-[$€-83C]#\ ##0.00</c:formatCode>
                <c:ptCount val="9"/>
                <c:pt idx="0">
                  <c:v>1.1097071199999997</c:v>
                </c:pt>
                <c:pt idx="1">
                  <c:v>1.21276842</c:v>
                </c:pt>
                <c:pt idx="2">
                  <c:v>0</c:v>
                </c:pt>
                <c:pt idx="3">
                  <c:v>3.9168505800000002</c:v>
                </c:pt>
                <c:pt idx="4">
                  <c:v>0</c:v>
                </c:pt>
                <c:pt idx="5">
                  <c:v>4.7586369399999997</c:v>
                </c:pt>
                <c:pt idx="6">
                  <c:v>0</c:v>
                </c:pt>
                <c:pt idx="7">
                  <c:v>1.81223029</c:v>
                </c:pt>
                <c:pt idx="8">
                  <c:v>0</c:v>
                </c:pt>
              </c:numCache>
            </c:numRef>
          </c:val>
          <c:extLst xmlns:c16r2="http://schemas.microsoft.com/office/drawing/2015/06/chart">
            <c:ext xmlns:c16="http://schemas.microsoft.com/office/drawing/2014/chart" uri="{C3380CC4-5D6E-409C-BE32-E72D297353CC}">
              <c16:uniqueId val="{00000001-ADCD-4FE9-B62C-C7B7E609F634}"/>
            </c:ext>
          </c:extLst>
        </c:ser>
        <c:dLbls>
          <c:showLegendKey val="0"/>
          <c:showVal val="0"/>
          <c:showCatName val="0"/>
          <c:showSerName val="0"/>
          <c:showPercent val="0"/>
          <c:showBubbleSize val="0"/>
        </c:dLbls>
        <c:gapWidth val="100"/>
        <c:axId val="160870784"/>
        <c:axId val="160872320"/>
      </c:barChart>
      <c:catAx>
        <c:axId val="16087078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872320"/>
        <c:crosses val="autoZero"/>
        <c:auto val="1"/>
        <c:lblAlgn val="ctr"/>
        <c:lblOffset val="100"/>
        <c:noMultiLvlLbl val="0"/>
      </c:catAx>
      <c:valAx>
        <c:axId val="160872320"/>
        <c:scaling>
          <c:orientation val="minMax"/>
        </c:scaling>
        <c:delete val="0"/>
        <c:axPos val="b"/>
        <c:majorGridlines>
          <c:spPr>
            <a:ln w="9525" cap="flat" cmpd="sng" algn="ctr">
              <a:solidFill>
                <a:schemeClr val="tx2">
                  <a:lumMod val="15000"/>
                  <a:lumOff val="85000"/>
                </a:schemeClr>
              </a:solidFill>
              <a:round/>
            </a:ln>
            <a:effectLst/>
          </c:spPr>
        </c:majorGridlines>
        <c:numFmt formatCode="[$€-83C]#,##0;\-[$€-83C]#,##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870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'UA category graph'!$G$2</c:f>
              <c:strCache>
                <c:ptCount val="1"/>
                <c:pt idx="0">
                  <c:v>Commitments up to 30.06.2017</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'UA category graph'!$E$3:$E$6</c:f>
              <c:strCache>
                <c:ptCount val="4"/>
                <c:pt idx="0">
                  <c:v>Schengen Masterlist  Border - Control Pilot</c:v>
                </c:pt>
                <c:pt idx="1">
                  <c:v>Regional Cooperation on Border Management</c:v>
                </c:pt>
                <c:pt idx="2">
                  <c:v>Visa processing</c:v>
                </c:pt>
                <c:pt idx="3">
                  <c:v>EUROSUR</c:v>
                </c:pt>
              </c:strCache>
            </c:strRef>
          </c:cat>
          <c:val>
            <c:numRef>
              <c:f>'UA category graph'!$G$3:$G$6</c:f>
              <c:numCache>
                <c:formatCode>[$€-2]\ #\ ##0;\-[$€-2]\ #\ ##0</c:formatCode>
                <c:ptCount val="4"/>
                <c:pt idx="0">
                  <c:v>39.112559999999995</c:v>
                </c:pt>
                <c:pt idx="1">
                  <c:v>205.39555999999999</c:v>
                </c:pt>
                <c:pt idx="2">
                  <c:v>1000</c:v>
                </c:pt>
                <c:pt idx="3">
                  <c:v>2542.0929599999999</c:v>
                </c:pt>
              </c:numCache>
            </c:numRef>
          </c:val>
          <c:extLst xmlns:c16r2="http://schemas.microsoft.com/office/drawing/2015/06/chart">
            <c:ext xmlns:c16="http://schemas.microsoft.com/office/drawing/2014/chart" uri="{C3380CC4-5D6E-409C-BE32-E72D297353CC}">
              <c16:uniqueId val="{00000000-09DA-4CAD-B928-180A9780A1DD}"/>
            </c:ext>
          </c:extLst>
        </c:ser>
        <c:ser>
          <c:idx val="1"/>
          <c:order val="1"/>
          <c:tx>
            <c:strRef>
              <c:f>'UA category graph'!$H$2</c:f>
              <c:strCache>
                <c:ptCount val="1"/>
                <c:pt idx="0">
                  <c:v>Payments on completed projects by 30.06.2017</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'UA category graph'!$E$3:$E$6</c:f>
              <c:strCache>
                <c:ptCount val="4"/>
                <c:pt idx="0">
                  <c:v>Schengen Masterlist  Border - Control Pilot</c:v>
                </c:pt>
                <c:pt idx="1">
                  <c:v>Regional Cooperation on Border Management</c:v>
                </c:pt>
                <c:pt idx="2">
                  <c:v>Visa processing</c:v>
                </c:pt>
                <c:pt idx="3">
                  <c:v>EUROSUR</c:v>
                </c:pt>
              </c:strCache>
            </c:strRef>
          </c:cat>
          <c:val>
            <c:numRef>
              <c:f>'UA category graph'!$H$3:$H$6</c:f>
              <c:numCache>
                <c:formatCode>[$€-2]\ #\ ##0;\-[$€-2]\ #\ ##0</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1-09DA-4CAD-B928-180A9780A1DD}"/>
            </c:ext>
          </c:extLst>
        </c:ser>
        <c:dLbls>
          <c:showLegendKey val="0"/>
          <c:showVal val="0"/>
          <c:showCatName val="0"/>
          <c:showSerName val="0"/>
          <c:showPercent val="0"/>
          <c:showBubbleSize val="0"/>
        </c:dLbls>
        <c:gapWidth val="100"/>
        <c:axId val="160570368"/>
        <c:axId val="160580352"/>
      </c:barChart>
      <c:catAx>
        <c:axId val="16057036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580352"/>
        <c:crossesAt val="0"/>
        <c:auto val="1"/>
        <c:lblAlgn val="ctr"/>
        <c:lblOffset val="100"/>
        <c:noMultiLvlLbl val="0"/>
      </c:catAx>
      <c:valAx>
        <c:axId val="160580352"/>
        <c:scaling>
          <c:orientation val="minMax"/>
        </c:scaling>
        <c:delete val="0"/>
        <c:axPos val="b"/>
        <c:numFmt formatCode="[$€-2]\ #\ ##0;\-[$€-2]\ #\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57036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9626444295939023"/>
          <c:y val="5.3763299722520468E-2"/>
          <c:w val="0.55501486668409994"/>
          <c:h val="0.69892289639276606"/>
        </c:manualLayout>
      </c:layout>
      <c:barChart>
        <c:barDir val="bar"/>
        <c:grouping val="clustered"/>
        <c:varyColors val="0"/>
        <c:ser>
          <c:idx val="0"/>
          <c:order val="0"/>
          <c:tx>
            <c:strRef>
              <c:f>'[ISF-BV direct-indirect implementation up to 30.06.2017.xls]UA category graph'!$F$2</c:f>
              <c:strCache>
                <c:ptCount val="1"/>
                <c:pt idx="0">
                  <c:v>Commitments up to 30.06.2017</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'[ISF-BV direct-indirect implementation up to 30.06.2017.xls]UA category graph'!$E$3:$E$9</c:f>
              <c:strCache>
                <c:ptCount val="7"/>
                <c:pt idx="0">
                  <c:v>Visa processing</c:v>
                </c:pt>
                <c:pt idx="1">
                  <c:v>Press Brochure on Schengen</c:v>
                </c:pt>
                <c:pt idx="2">
                  <c:v>Webworks</c:v>
                </c:pt>
                <c:pt idx="3">
                  <c:v>Immigration Liaison Officers</c:v>
                </c:pt>
                <c:pt idx="4">
                  <c:v>Others</c:v>
                </c:pt>
                <c:pt idx="5">
                  <c:v>IT Systems for border management</c:v>
                </c:pt>
                <c:pt idx="6">
                  <c:v>Evaluation mechanisms</c:v>
                </c:pt>
              </c:strCache>
            </c:strRef>
          </c:cat>
          <c:val>
            <c:numRef>
              <c:f>'[ISF-BV direct-indirect implementation up to 30.06.2017.xls]UA category graph'!$F$3:$F$9</c:f>
              <c:numCache>
                <c:formatCode>"€"#,##0</c:formatCode>
                <c:ptCount val="7"/>
                <c:pt idx="0">
                  <c:v>12.2155</c:v>
                </c:pt>
                <c:pt idx="1">
                  <c:v>29.20392</c:v>
                </c:pt>
                <c:pt idx="2">
                  <c:v>102.91021000000001</c:v>
                </c:pt>
                <c:pt idx="3">
                  <c:v>380.71769999999998</c:v>
                </c:pt>
                <c:pt idx="4">
                  <c:v>1626.1795999999999</c:v>
                </c:pt>
                <c:pt idx="5">
                  <c:v>1984.26856</c:v>
                </c:pt>
                <c:pt idx="6">
                  <c:v>5275.2804500000002</c:v>
                </c:pt>
              </c:numCache>
            </c:numRef>
          </c:val>
          <c:extLst xmlns:c16r2="http://schemas.microsoft.com/office/drawing/2015/06/chart">
            <c:ext xmlns:c16="http://schemas.microsoft.com/office/drawing/2014/chart" uri="{C3380CC4-5D6E-409C-BE32-E72D297353CC}">
              <c16:uniqueId val="{00000000-EC97-4F51-9F10-EA81FC34F362}"/>
            </c:ext>
          </c:extLst>
        </c:ser>
        <c:ser>
          <c:idx val="1"/>
          <c:order val="1"/>
          <c:tx>
            <c:strRef>
              <c:f>'[ISF-BV direct-indirect implementation up to 30.06.2017.xls]UA category graph'!$G$2</c:f>
              <c:strCache>
                <c:ptCount val="1"/>
                <c:pt idx="0">
                  <c:v>Payments on completed projects by 30.06.2017</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'[ISF-BV direct-indirect implementation up to 30.06.2017.xls]UA category graph'!$E$3:$E$9</c:f>
              <c:strCache>
                <c:ptCount val="7"/>
                <c:pt idx="0">
                  <c:v>Visa processing</c:v>
                </c:pt>
                <c:pt idx="1">
                  <c:v>Press Brochure on Schengen</c:v>
                </c:pt>
                <c:pt idx="2">
                  <c:v>Webworks</c:v>
                </c:pt>
                <c:pt idx="3">
                  <c:v>Immigration Liaison Officers</c:v>
                </c:pt>
                <c:pt idx="4">
                  <c:v>Others</c:v>
                </c:pt>
                <c:pt idx="5">
                  <c:v>IT Systems for border management</c:v>
                </c:pt>
                <c:pt idx="6">
                  <c:v>Evaluation mechanisms</c:v>
                </c:pt>
              </c:strCache>
            </c:strRef>
          </c:cat>
          <c:val>
            <c:numRef>
              <c:f>'[ISF-BV direct-indirect implementation up to 30.06.2017.xls]UA category graph'!$G$3:$G$9</c:f>
              <c:numCache>
                <c:formatCode>"€"#,##0</c:formatCode>
                <c:ptCount val="7"/>
                <c:pt idx="0">
                  <c:v>12.13401</c:v>
                </c:pt>
                <c:pt idx="1">
                  <c:v>22.627800000000001</c:v>
                </c:pt>
                <c:pt idx="2">
                  <c:v>73.356639999999999</c:v>
                </c:pt>
                <c:pt idx="3">
                  <c:v>0</c:v>
                </c:pt>
                <c:pt idx="4">
                  <c:v>1093.5002599999998</c:v>
                </c:pt>
                <c:pt idx="5">
                  <c:v>922.35964999999987</c:v>
                </c:pt>
                <c:pt idx="6">
                  <c:v>2090.9998400000004</c:v>
                </c:pt>
              </c:numCache>
            </c:numRef>
          </c:val>
          <c:extLst xmlns:c16r2="http://schemas.microsoft.com/office/drawing/2015/06/chart">
            <c:ext xmlns:c16="http://schemas.microsoft.com/office/drawing/2014/chart" uri="{C3380CC4-5D6E-409C-BE32-E72D297353CC}">
              <c16:uniqueId val="{00000001-EC97-4F51-9F10-EA81FC34F362}"/>
            </c:ext>
          </c:extLst>
        </c:ser>
        <c:ser>
          <c:idx val="2"/>
          <c:order val="2"/>
          <c:tx>
            <c:strRef>
              <c:f>'[ISF-BV direct-indirect implementation up to 30.06.2017.xls]UA category graph'!$G$2</c:f>
              <c:strCache>
                <c:ptCount val="1"/>
                <c:pt idx="0">
                  <c:v>Payments on completed projects by 30.06.2017</c:v>
                </c:pt>
              </c:strCache>
            </c:strRef>
          </c:tx>
          <c:spPr>
            <a:solidFill>
              <a:schemeClr val="accent5"/>
            </a:solidFill>
            <a:ln>
              <a:noFill/>
            </a:ln>
            <a:effectLst>
              <a:outerShdw blurRad="40000" dist="23000" dir="5400000" rotWithShape="0">
                <a:srgbClr val="000000">
                  <a:alpha val="35000"/>
                </a:srgbClr>
              </a:outerShdw>
            </a:effectLst>
          </c:spPr>
          <c:invertIfNegative val="0"/>
          <c:val>
            <c:numLit>
              <c:formatCode>General</c:formatCode>
              <c:ptCount val="1"/>
              <c:pt idx="0">
                <c:v>1</c:v>
              </c:pt>
            </c:numLit>
          </c:val>
          <c:extLst xmlns:c16r2="http://schemas.microsoft.com/office/drawing/2015/06/chart">
            <c:ext xmlns:c16="http://schemas.microsoft.com/office/drawing/2014/chart" uri="{C3380CC4-5D6E-409C-BE32-E72D297353CC}">
              <c16:uniqueId val="{00000002-EC97-4F51-9F10-EA81FC34F362}"/>
            </c:ext>
          </c:extLst>
        </c:ser>
        <c:dLbls>
          <c:showLegendKey val="0"/>
          <c:showVal val="0"/>
          <c:showCatName val="0"/>
          <c:showSerName val="0"/>
          <c:showPercent val="0"/>
          <c:showBubbleSize val="0"/>
        </c:dLbls>
        <c:gapWidth val="100"/>
        <c:axId val="160613120"/>
        <c:axId val="160614656"/>
      </c:barChart>
      <c:catAx>
        <c:axId val="16061312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614656"/>
        <c:crossesAt val="0"/>
        <c:auto val="1"/>
        <c:lblAlgn val="ctr"/>
        <c:lblOffset val="100"/>
        <c:noMultiLvlLbl val="0"/>
      </c:catAx>
      <c:valAx>
        <c:axId val="160614656"/>
        <c:scaling>
          <c:orientation val="minMax"/>
        </c:scaling>
        <c:delete val="0"/>
        <c:axPos val="b"/>
        <c:majorGridlines>
          <c:spPr>
            <a:ln w="9525" cap="flat" cmpd="sng" algn="ctr">
              <a:solidFill>
                <a:schemeClr val="tx2">
                  <a:lumMod val="15000"/>
                  <a:lumOff val="85000"/>
                </a:schemeClr>
              </a:solidFill>
              <a:round/>
            </a:ln>
            <a:effectLst/>
          </c:spPr>
        </c:majorGridlines>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0613120"/>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0.1766</cdr:x>
      <cdr:y>0.07121</cdr:y>
    </cdr:from>
    <cdr:to>
      <cdr:x>0.31141</cdr:x>
      <cdr:y>0.16843</cdr:y>
    </cdr:to>
    <cdr:sp macro="" textlink="">
      <cdr:nvSpPr>
        <cdr:cNvPr id="2" name="TextBox 1"/>
        <cdr:cNvSpPr txBox="1"/>
      </cdr:nvSpPr>
      <cdr:spPr>
        <a:xfrm xmlns:a="http://schemas.openxmlformats.org/drawingml/2006/main">
          <a:off x="985714" y="195346"/>
          <a:ext cx="752462"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a:solidFill>
                <a:schemeClr val="tx2"/>
              </a:solidFill>
            </a:rPr>
            <a:t>€ 2 496 </a:t>
          </a:r>
        </a:p>
      </cdr:txBody>
    </cdr:sp>
  </cdr:relSizeAnchor>
  <cdr:relSizeAnchor xmlns:cdr="http://schemas.openxmlformats.org/drawingml/2006/chartDrawing">
    <cdr:from>
      <cdr:x>0.49317</cdr:x>
      <cdr:y>0.11979</cdr:y>
    </cdr:from>
    <cdr:to>
      <cdr:x>0.59727</cdr:x>
      <cdr:y>0.25521</cdr:y>
    </cdr:to>
    <cdr:sp macro="" textlink="">
      <cdr:nvSpPr>
        <cdr:cNvPr id="4" name="TextBox 3"/>
        <cdr:cNvSpPr txBox="1"/>
      </cdr:nvSpPr>
      <cdr:spPr>
        <a:xfrm xmlns:a="http://schemas.openxmlformats.org/drawingml/2006/main">
          <a:off x="2752725" y="328613"/>
          <a:ext cx="58102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0.46558</cdr:x>
      <cdr:y>0.1748</cdr:y>
    </cdr:from>
    <cdr:to>
      <cdr:x>0.59527</cdr:x>
      <cdr:y>0.28244</cdr:y>
    </cdr:to>
    <cdr:sp macro="" textlink="">
      <cdr:nvSpPr>
        <cdr:cNvPr id="5" name="TextBox 4"/>
        <cdr:cNvSpPr txBox="1"/>
      </cdr:nvSpPr>
      <cdr:spPr>
        <a:xfrm xmlns:a="http://schemas.openxmlformats.org/drawingml/2006/main">
          <a:off x="2598690" y="479511"/>
          <a:ext cx="723884" cy="2952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a:solidFill>
                <a:schemeClr val="tx2"/>
              </a:solidFill>
            </a:rPr>
            <a:t>€ 2 043</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80</Pages>
  <Words>31211</Words>
  <Characters>176344</Characters>
  <Application>Microsoft Office Word</Application>
  <DocSecurity>0</DocSecurity>
  <Lines>3526</Lines>
  <Paragraphs>1297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BARTH Carmen (SG)</cp:lastModifiedBy>
  <cp:revision>15</cp:revision>
  <dcterms:created xsi:type="dcterms:W3CDTF">2018-06-11T08:16:00Z</dcterms:created>
  <dcterms:modified xsi:type="dcterms:W3CDTF">2018-06-11T09:13:00Z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