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F17" w:rsidRDefault="006B159E" w:rsidP="006B159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04BB866-09EE-4490-A661-792B2EC1C9B4" style="width:450.45pt;height:444.3pt">
            <v:imagedata r:id="rId9" o:title=""/>
          </v:shape>
        </w:pict>
      </w:r>
    </w:p>
    <w:bookmarkEnd w:id="0"/>
    <w:p w:rsidR="00821F17" w:rsidRDefault="00821F17">
      <w:pPr>
        <w:pStyle w:val="Pagedecouverture"/>
        <w:rPr>
          <w:noProof/>
        </w:rPr>
        <w:sectPr w:rsidR="00821F17" w:rsidSect="006B159E">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heme="minorHAnsi" w:eastAsiaTheme="minorHAnsi" w:hAnsiTheme="minorHAnsi" w:cstheme="minorBidi"/>
          <w:b w:val="0"/>
          <w:bCs w:val="0"/>
          <w:noProof/>
          <w:color w:val="auto"/>
          <w:sz w:val="22"/>
          <w:szCs w:val="22"/>
          <w:lang w:val="en-GB" w:eastAsia="en-US"/>
        </w:rPr>
        <w:id w:val="1180934621"/>
        <w:docPartObj>
          <w:docPartGallery w:val="Table of Contents"/>
          <w:docPartUnique/>
        </w:docPartObj>
      </w:sdtPr>
      <w:sdtEndPr/>
      <w:sdtContent>
        <w:p w:rsidR="00821F17" w:rsidRDefault="006B159E">
          <w:pPr>
            <w:pStyle w:val="TOCHeading"/>
            <w:rPr>
              <w:noProof/>
            </w:rPr>
          </w:pPr>
          <w:r>
            <w:rPr>
              <w:noProof/>
            </w:rPr>
            <w:t>Contents</w:t>
          </w:r>
        </w:p>
        <w:p w:rsidR="00821F17" w:rsidRDefault="006B159E">
          <w:pPr>
            <w:pStyle w:val="TOC1"/>
            <w:tabs>
              <w:tab w:val="left" w:pos="440"/>
              <w:tab w:val="right" w:leader="dot" w:pos="9062"/>
            </w:tabs>
            <w:rPr>
              <w:rFonts w:eastAsiaTheme="minorEastAsia"/>
              <w:noProof/>
              <w:lang w:eastAsia="en-GB"/>
            </w:rPr>
          </w:pPr>
          <w:r>
            <w:rPr>
              <w:noProof/>
            </w:rPr>
            <w:fldChar w:fldCharType="begin"/>
          </w:r>
          <w:r>
            <w:rPr>
              <w:noProof/>
            </w:rPr>
            <w:instrText xml:space="preserve"> TOC \o "1-3" \h \z \u </w:instrText>
          </w:r>
          <w:r>
            <w:rPr>
              <w:noProof/>
            </w:rPr>
            <w:fldChar w:fldCharType="separate"/>
          </w:r>
          <w:hyperlink w:anchor="_Toc501546845" w:history="1">
            <w:r>
              <w:rPr>
                <w:rStyle w:val="Hyperlink"/>
                <w:noProof/>
              </w:rPr>
              <w:t>1</w:t>
            </w:r>
            <w:r>
              <w:rPr>
                <w:rFonts w:eastAsiaTheme="minorEastAsia"/>
                <w:noProof/>
                <w:lang w:eastAsia="en-GB"/>
              </w:rPr>
              <w:tab/>
            </w:r>
            <w:r>
              <w:rPr>
                <w:rStyle w:val="Hyperlink"/>
                <w:noProof/>
              </w:rPr>
              <w:t>Introduction</w:t>
            </w:r>
            <w:r>
              <w:rPr>
                <w:noProof/>
                <w:webHidden/>
              </w:rPr>
              <w:tab/>
            </w:r>
            <w:r>
              <w:rPr>
                <w:noProof/>
                <w:webHidden/>
              </w:rPr>
              <w:fldChar w:fldCharType="begin"/>
            </w:r>
            <w:r>
              <w:rPr>
                <w:noProof/>
                <w:webHidden/>
              </w:rPr>
              <w:instrText xml:space="preserve"> PAGEREF _Toc501546845 \h </w:instrText>
            </w:r>
            <w:r>
              <w:rPr>
                <w:noProof/>
                <w:webHidden/>
              </w:rPr>
            </w:r>
            <w:r>
              <w:rPr>
                <w:noProof/>
                <w:webHidden/>
              </w:rPr>
              <w:fldChar w:fldCharType="separate"/>
            </w:r>
            <w:r>
              <w:rPr>
                <w:noProof/>
                <w:webHidden/>
              </w:rPr>
              <w:t>1</w:t>
            </w:r>
            <w:r>
              <w:rPr>
                <w:noProof/>
                <w:webHidden/>
              </w:rPr>
              <w:fldChar w:fldCharType="end"/>
            </w:r>
          </w:hyperlink>
        </w:p>
        <w:p w:rsidR="00821F17" w:rsidRDefault="006B159E">
          <w:pPr>
            <w:pStyle w:val="TOC1"/>
            <w:tabs>
              <w:tab w:val="left" w:pos="440"/>
              <w:tab w:val="right" w:leader="dot" w:pos="9062"/>
            </w:tabs>
            <w:rPr>
              <w:rFonts w:eastAsiaTheme="minorEastAsia"/>
              <w:noProof/>
              <w:lang w:eastAsia="en-GB"/>
            </w:rPr>
          </w:pPr>
          <w:hyperlink w:anchor="_Toc501546846" w:history="1">
            <w:r>
              <w:rPr>
                <w:rStyle w:val="Hyperlink"/>
                <w:noProof/>
              </w:rPr>
              <w:t>2</w:t>
            </w:r>
            <w:r>
              <w:rPr>
                <w:rFonts w:eastAsiaTheme="minorEastAsia"/>
                <w:noProof/>
                <w:lang w:eastAsia="en-GB"/>
              </w:rPr>
              <w:tab/>
            </w:r>
            <w:r>
              <w:rPr>
                <w:rStyle w:val="Hyperlink"/>
                <w:noProof/>
              </w:rPr>
              <w:t>Background to the initiative</w:t>
            </w:r>
            <w:r>
              <w:rPr>
                <w:noProof/>
                <w:webHidden/>
              </w:rPr>
              <w:tab/>
            </w:r>
            <w:r>
              <w:rPr>
                <w:noProof/>
                <w:webHidden/>
              </w:rPr>
              <w:fldChar w:fldCharType="begin"/>
            </w:r>
            <w:r>
              <w:rPr>
                <w:noProof/>
                <w:webHidden/>
              </w:rPr>
              <w:instrText xml:space="preserve"> PAGEREF _Toc501546846 \h </w:instrText>
            </w:r>
            <w:r>
              <w:rPr>
                <w:noProof/>
                <w:webHidden/>
              </w:rPr>
            </w:r>
            <w:r>
              <w:rPr>
                <w:noProof/>
                <w:webHidden/>
              </w:rPr>
              <w:fldChar w:fldCharType="separate"/>
            </w:r>
            <w:r>
              <w:rPr>
                <w:noProof/>
                <w:webHidden/>
              </w:rPr>
              <w:t>1</w:t>
            </w:r>
            <w:r>
              <w:rPr>
                <w:noProof/>
                <w:webHidden/>
              </w:rPr>
              <w:fldChar w:fldCharType="end"/>
            </w:r>
          </w:hyperlink>
        </w:p>
        <w:p w:rsidR="00821F17" w:rsidRDefault="006B159E">
          <w:pPr>
            <w:pStyle w:val="TOC1"/>
            <w:tabs>
              <w:tab w:val="left" w:pos="440"/>
              <w:tab w:val="right" w:leader="dot" w:pos="9062"/>
            </w:tabs>
            <w:rPr>
              <w:rFonts w:eastAsiaTheme="minorEastAsia"/>
              <w:noProof/>
              <w:lang w:eastAsia="en-GB"/>
            </w:rPr>
          </w:pPr>
          <w:hyperlink w:anchor="_Toc501546847" w:history="1">
            <w:r>
              <w:rPr>
                <w:rStyle w:val="Hyperlink"/>
                <w:noProof/>
              </w:rPr>
              <w:t>3</w:t>
            </w:r>
            <w:r>
              <w:rPr>
                <w:rFonts w:eastAsiaTheme="minorEastAsia"/>
                <w:noProof/>
                <w:lang w:eastAsia="en-GB"/>
              </w:rPr>
              <w:tab/>
            </w:r>
            <w:r>
              <w:rPr>
                <w:rStyle w:val="Hyperlink"/>
                <w:noProof/>
              </w:rPr>
              <w:t>Evaluation questions</w:t>
            </w:r>
            <w:r>
              <w:rPr>
                <w:noProof/>
                <w:webHidden/>
              </w:rPr>
              <w:tab/>
            </w:r>
            <w:r>
              <w:rPr>
                <w:noProof/>
                <w:webHidden/>
              </w:rPr>
              <w:fldChar w:fldCharType="begin"/>
            </w:r>
            <w:r>
              <w:rPr>
                <w:noProof/>
                <w:webHidden/>
              </w:rPr>
              <w:instrText xml:space="preserve"> PAGEREF _Toc501546847 \h </w:instrText>
            </w:r>
            <w:r>
              <w:rPr>
                <w:noProof/>
                <w:webHidden/>
              </w:rPr>
            </w:r>
            <w:r>
              <w:rPr>
                <w:noProof/>
                <w:webHidden/>
              </w:rPr>
              <w:fldChar w:fldCharType="separate"/>
            </w:r>
            <w:r>
              <w:rPr>
                <w:noProof/>
                <w:webHidden/>
              </w:rPr>
              <w:t>5</w:t>
            </w:r>
            <w:r>
              <w:rPr>
                <w:noProof/>
                <w:webHidden/>
              </w:rPr>
              <w:fldChar w:fldCharType="end"/>
            </w:r>
          </w:hyperlink>
        </w:p>
        <w:p w:rsidR="00821F17" w:rsidRDefault="006B159E">
          <w:pPr>
            <w:pStyle w:val="TOC1"/>
            <w:tabs>
              <w:tab w:val="left" w:pos="440"/>
              <w:tab w:val="right" w:leader="dot" w:pos="9062"/>
            </w:tabs>
            <w:rPr>
              <w:rFonts w:eastAsiaTheme="minorEastAsia"/>
              <w:noProof/>
              <w:lang w:eastAsia="en-GB"/>
            </w:rPr>
          </w:pPr>
          <w:hyperlink w:anchor="_Toc501546848" w:history="1">
            <w:r>
              <w:rPr>
                <w:rStyle w:val="Hyperlink"/>
                <w:noProof/>
              </w:rPr>
              <w:t>4</w:t>
            </w:r>
            <w:r>
              <w:rPr>
                <w:rFonts w:eastAsiaTheme="minorEastAsia"/>
                <w:noProof/>
                <w:lang w:eastAsia="en-GB"/>
              </w:rPr>
              <w:tab/>
            </w:r>
            <w:r>
              <w:rPr>
                <w:rStyle w:val="Hyperlink"/>
                <w:noProof/>
              </w:rPr>
              <w:t>Method</w:t>
            </w:r>
            <w:r>
              <w:rPr>
                <w:noProof/>
                <w:webHidden/>
              </w:rPr>
              <w:tab/>
            </w:r>
            <w:r>
              <w:rPr>
                <w:noProof/>
                <w:webHidden/>
              </w:rPr>
              <w:fldChar w:fldCharType="begin"/>
            </w:r>
            <w:r>
              <w:rPr>
                <w:noProof/>
                <w:webHidden/>
              </w:rPr>
              <w:instrText xml:space="preserve"> PAGEREF _Toc501546848 \h </w:instrText>
            </w:r>
            <w:r>
              <w:rPr>
                <w:noProof/>
                <w:webHidden/>
              </w:rPr>
            </w:r>
            <w:r>
              <w:rPr>
                <w:noProof/>
                <w:webHidden/>
              </w:rPr>
              <w:fldChar w:fldCharType="separate"/>
            </w:r>
            <w:r>
              <w:rPr>
                <w:noProof/>
                <w:webHidden/>
              </w:rPr>
              <w:t>5</w:t>
            </w:r>
            <w:r>
              <w:rPr>
                <w:noProof/>
                <w:webHidden/>
              </w:rPr>
              <w:fldChar w:fldCharType="end"/>
            </w:r>
          </w:hyperlink>
        </w:p>
        <w:p w:rsidR="00821F17" w:rsidRDefault="006B159E">
          <w:pPr>
            <w:pStyle w:val="TOC1"/>
            <w:tabs>
              <w:tab w:val="left" w:pos="440"/>
              <w:tab w:val="right" w:leader="dot" w:pos="9062"/>
            </w:tabs>
            <w:rPr>
              <w:rFonts w:eastAsiaTheme="minorEastAsia"/>
              <w:noProof/>
              <w:lang w:eastAsia="en-GB"/>
            </w:rPr>
          </w:pPr>
          <w:hyperlink w:anchor="_Toc501546849" w:history="1">
            <w:r>
              <w:rPr>
                <w:rStyle w:val="Hyperlink"/>
                <w:noProof/>
              </w:rPr>
              <w:t>5</w:t>
            </w:r>
            <w:r>
              <w:rPr>
                <w:rFonts w:eastAsiaTheme="minorEastAsia"/>
                <w:noProof/>
                <w:lang w:eastAsia="en-GB"/>
              </w:rPr>
              <w:tab/>
            </w:r>
            <w:r>
              <w:rPr>
                <w:rStyle w:val="Hyperlink"/>
                <w:noProof/>
              </w:rPr>
              <w:t>Implementation state of play</w:t>
            </w:r>
            <w:r>
              <w:rPr>
                <w:noProof/>
                <w:webHidden/>
              </w:rPr>
              <w:tab/>
            </w:r>
            <w:r>
              <w:rPr>
                <w:noProof/>
                <w:webHidden/>
              </w:rPr>
              <w:fldChar w:fldCharType="begin"/>
            </w:r>
            <w:r>
              <w:rPr>
                <w:noProof/>
                <w:webHidden/>
              </w:rPr>
              <w:instrText xml:space="preserve"> PAGEREF _Toc501546849 \h </w:instrText>
            </w:r>
            <w:r>
              <w:rPr>
                <w:noProof/>
                <w:webHidden/>
              </w:rPr>
            </w:r>
            <w:r>
              <w:rPr>
                <w:noProof/>
                <w:webHidden/>
              </w:rPr>
              <w:fldChar w:fldCharType="separate"/>
            </w:r>
            <w:r>
              <w:rPr>
                <w:noProof/>
                <w:webHidden/>
              </w:rPr>
              <w:t>8</w:t>
            </w:r>
            <w:r>
              <w:rPr>
                <w:noProof/>
                <w:webHidden/>
              </w:rPr>
              <w:fldChar w:fldCharType="end"/>
            </w:r>
          </w:hyperlink>
        </w:p>
        <w:p w:rsidR="00821F17" w:rsidRDefault="006B159E">
          <w:pPr>
            <w:pStyle w:val="TOC1"/>
            <w:tabs>
              <w:tab w:val="left" w:pos="440"/>
              <w:tab w:val="right" w:leader="dot" w:pos="9062"/>
            </w:tabs>
            <w:rPr>
              <w:rFonts w:eastAsiaTheme="minorEastAsia"/>
              <w:noProof/>
              <w:lang w:eastAsia="en-GB"/>
            </w:rPr>
          </w:pPr>
          <w:hyperlink w:anchor="_Toc501546850" w:history="1">
            <w:r>
              <w:rPr>
                <w:rStyle w:val="Hyperlink"/>
                <w:noProof/>
              </w:rPr>
              <w:t>6</w:t>
            </w:r>
            <w:r>
              <w:rPr>
                <w:rFonts w:eastAsiaTheme="minorEastAsia"/>
                <w:noProof/>
                <w:lang w:eastAsia="en-GB"/>
              </w:rPr>
              <w:tab/>
            </w:r>
            <w:r>
              <w:rPr>
                <w:rStyle w:val="Hyperlink"/>
                <w:noProof/>
              </w:rPr>
              <w:t>Answers to the evaluation questions</w:t>
            </w:r>
            <w:r>
              <w:rPr>
                <w:noProof/>
                <w:webHidden/>
              </w:rPr>
              <w:tab/>
            </w:r>
            <w:r>
              <w:rPr>
                <w:noProof/>
                <w:webHidden/>
              </w:rPr>
              <w:fldChar w:fldCharType="begin"/>
            </w:r>
            <w:r>
              <w:rPr>
                <w:noProof/>
                <w:webHidden/>
              </w:rPr>
              <w:instrText xml:space="preserve"> PAGEREF _Toc501546850 \h </w:instrText>
            </w:r>
            <w:r>
              <w:rPr>
                <w:noProof/>
                <w:webHidden/>
              </w:rPr>
            </w:r>
            <w:r>
              <w:rPr>
                <w:noProof/>
                <w:webHidden/>
              </w:rPr>
              <w:fldChar w:fldCharType="separate"/>
            </w:r>
            <w:r>
              <w:rPr>
                <w:noProof/>
                <w:webHidden/>
              </w:rPr>
              <w:t>11</w:t>
            </w:r>
            <w:r>
              <w:rPr>
                <w:noProof/>
                <w:webHidden/>
              </w:rPr>
              <w:fldChar w:fldCharType="end"/>
            </w:r>
          </w:hyperlink>
        </w:p>
        <w:p w:rsidR="00821F17" w:rsidRDefault="006B159E">
          <w:pPr>
            <w:pStyle w:val="TOC2"/>
            <w:tabs>
              <w:tab w:val="left" w:pos="880"/>
              <w:tab w:val="right" w:leader="dot" w:pos="9062"/>
            </w:tabs>
            <w:rPr>
              <w:rFonts w:eastAsiaTheme="minorEastAsia"/>
              <w:noProof/>
              <w:lang w:eastAsia="en-GB"/>
            </w:rPr>
          </w:pPr>
          <w:hyperlink w:anchor="_Toc501546851" w:history="1">
            <w:r>
              <w:rPr>
                <w:rStyle w:val="Hyperlink"/>
                <w:noProof/>
              </w:rPr>
              <w:t>6.1</w:t>
            </w:r>
            <w:r>
              <w:rPr>
                <w:rFonts w:eastAsiaTheme="minorEastAsia"/>
                <w:noProof/>
                <w:lang w:eastAsia="en-GB"/>
              </w:rPr>
              <w:tab/>
            </w:r>
            <w:r>
              <w:rPr>
                <w:rStyle w:val="Hyperlink"/>
                <w:noProof/>
              </w:rPr>
              <w:t>Relevance</w:t>
            </w:r>
            <w:r>
              <w:rPr>
                <w:noProof/>
                <w:webHidden/>
              </w:rPr>
              <w:tab/>
            </w:r>
            <w:r>
              <w:rPr>
                <w:noProof/>
                <w:webHidden/>
              </w:rPr>
              <w:fldChar w:fldCharType="begin"/>
            </w:r>
            <w:r>
              <w:rPr>
                <w:noProof/>
                <w:webHidden/>
              </w:rPr>
              <w:instrText xml:space="preserve"> PAGEREF _Toc501546851 \h </w:instrText>
            </w:r>
            <w:r>
              <w:rPr>
                <w:noProof/>
                <w:webHidden/>
              </w:rPr>
            </w:r>
            <w:r>
              <w:rPr>
                <w:noProof/>
                <w:webHidden/>
              </w:rPr>
              <w:fldChar w:fldCharType="separate"/>
            </w:r>
            <w:r>
              <w:rPr>
                <w:noProof/>
                <w:webHidden/>
              </w:rPr>
              <w:t>11</w:t>
            </w:r>
            <w:r>
              <w:rPr>
                <w:noProof/>
                <w:webHidden/>
              </w:rPr>
              <w:fldChar w:fldCharType="end"/>
            </w:r>
          </w:hyperlink>
        </w:p>
        <w:p w:rsidR="00821F17" w:rsidRDefault="006B159E">
          <w:pPr>
            <w:pStyle w:val="TOC2"/>
            <w:tabs>
              <w:tab w:val="left" w:pos="880"/>
              <w:tab w:val="right" w:leader="dot" w:pos="9062"/>
            </w:tabs>
            <w:rPr>
              <w:rFonts w:eastAsiaTheme="minorEastAsia"/>
              <w:noProof/>
              <w:lang w:eastAsia="en-GB"/>
            </w:rPr>
          </w:pPr>
          <w:hyperlink w:anchor="_Toc501546852" w:history="1">
            <w:r>
              <w:rPr>
                <w:rStyle w:val="Hyperlink"/>
                <w:noProof/>
              </w:rPr>
              <w:t>6.2</w:t>
            </w:r>
            <w:r>
              <w:rPr>
                <w:rFonts w:eastAsiaTheme="minorEastAsia"/>
                <w:noProof/>
                <w:lang w:eastAsia="en-GB"/>
              </w:rPr>
              <w:tab/>
            </w:r>
            <w:r>
              <w:rPr>
                <w:rStyle w:val="Hyperlink"/>
                <w:noProof/>
              </w:rPr>
              <w:t>Effectiveness</w:t>
            </w:r>
            <w:r>
              <w:rPr>
                <w:noProof/>
                <w:webHidden/>
              </w:rPr>
              <w:tab/>
            </w:r>
            <w:r>
              <w:rPr>
                <w:noProof/>
                <w:webHidden/>
              </w:rPr>
              <w:fldChar w:fldCharType="begin"/>
            </w:r>
            <w:r>
              <w:rPr>
                <w:noProof/>
                <w:webHidden/>
              </w:rPr>
              <w:instrText xml:space="preserve"> PAGEREF _Toc501546852 \h </w:instrText>
            </w:r>
            <w:r>
              <w:rPr>
                <w:noProof/>
                <w:webHidden/>
              </w:rPr>
            </w:r>
            <w:r>
              <w:rPr>
                <w:noProof/>
                <w:webHidden/>
              </w:rPr>
              <w:fldChar w:fldCharType="separate"/>
            </w:r>
            <w:r>
              <w:rPr>
                <w:noProof/>
                <w:webHidden/>
              </w:rPr>
              <w:t>12</w:t>
            </w:r>
            <w:r>
              <w:rPr>
                <w:noProof/>
                <w:webHidden/>
              </w:rPr>
              <w:fldChar w:fldCharType="end"/>
            </w:r>
          </w:hyperlink>
        </w:p>
        <w:p w:rsidR="00821F17" w:rsidRDefault="006B159E">
          <w:pPr>
            <w:pStyle w:val="TOC2"/>
            <w:tabs>
              <w:tab w:val="left" w:pos="880"/>
              <w:tab w:val="right" w:leader="dot" w:pos="9062"/>
            </w:tabs>
            <w:rPr>
              <w:rFonts w:eastAsiaTheme="minorEastAsia"/>
              <w:noProof/>
              <w:lang w:eastAsia="en-GB"/>
            </w:rPr>
          </w:pPr>
          <w:hyperlink w:anchor="_Toc501546853" w:history="1">
            <w:r>
              <w:rPr>
                <w:rStyle w:val="Hyperlink"/>
                <w:noProof/>
              </w:rPr>
              <w:t>6.3</w:t>
            </w:r>
            <w:r>
              <w:rPr>
                <w:rFonts w:eastAsiaTheme="minorEastAsia"/>
                <w:noProof/>
                <w:lang w:eastAsia="en-GB"/>
              </w:rPr>
              <w:tab/>
            </w:r>
            <w:r>
              <w:rPr>
                <w:rStyle w:val="Hyperlink"/>
                <w:noProof/>
              </w:rPr>
              <w:t>Efficiency</w:t>
            </w:r>
            <w:r>
              <w:rPr>
                <w:noProof/>
                <w:webHidden/>
              </w:rPr>
              <w:tab/>
            </w:r>
            <w:r>
              <w:rPr>
                <w:noProof/>
                <w:webHidden/>
              </w:rPr>
              <w:fldChar w:fldCharType="begin"/>
            </w:r>
            <w:r>
              <w:rPr>
                <w:noProof/>
                <w:webHidden/>
              </w:rPr>
              <w:instrText xml:space="preserve"> PAGEREF _Toc501546853 \h </w:instrText>
            </w:r>
            <w:r>
              <w:rPr>
                <w:noProof/>
                <w:webHidden/>
              </w:rPr>
            </w:r>
            <w:r>
              <w:rPr>
                <w:noProof/>
                <w:webHidden/>
              </w:rPr>
              <w:fldChar w:fldCharType="separate"/>
            </w:r>
            <w:r>
              <w:rPr>
                <w:noProof/>
                <w:webHidden/>
              </w:rPr>
              <w:t>24</w:t>
            </w:r>
            <w:r>
              <w:rPr>
                <w:noProof/>
                <w:webHidden/>
              </w:rPr>
              <w:fldChar w:fldCharType="end"/>
            </w:r>
          </w:hyperlink>
        </w:p>
        <w:p w:rsidR="00821F17" w:rsidRDefault="006B159E">
          <w:pPr>
            <w:pStyle w:val="TOC2"/>
            <w:tabs>
              <w:tab w:val="left" w:pos="880"/>
              <w:tab w:val="right" w:leader="dot" w:pos="9062"/>
            </w:tabs>
            <w:rPr>
              <w:rFonts w:eastAsiaTheme="minorEastAsia"/>
              <w:noProof/>
              <w:lang w:eastAsia="en-GB"/>
            </w:rPr>
          </w:pPr>
          <w:hyperlink w:anchor="_Toc501546854" w:history="1">
            <w:r>
              <w:rPr>
                <w:rStyle w:val="Hyperlink"/>
                <w:noProof/>
              </w:rPr>
              <w:t>6.4</w:t>
            </w:r>
            <w:r>
              <w:rPr>
                <w:rFonts w:eastAsiaTheme="minorEastAsia"/>
                <w:noProof/>
                <w:lang w:eastAsia="en-GB"/>
              </w:rPr>
              <w:tab/>
            </w:r>
            <w:r>
              <w:rPr>
                <w:rStyle w:val="Hyperlink"/>
                <w:noProof/>
              </w:rPr>
              <w:t>Sustainability</w:t>
            </w:r>
            <w:r>
              <w:rPr>
                <w:noProof/>
                <w:webHidden/>
              </w:rPr>
              <w:tab/>
            </w:r>
            <w:r>
              <w:rPr>
                <w:noProof/>
                <w:webHidden/>
              </w:rPr>
              <w:fldChar w:fldCharType="begin"/>
            </w:r>
            <w:r>
              <w:rPr>
                <w:noProof/>
                <w:webHidden/>
              </w:rPr>
              <w:instrText xml:space="preserve"> PAGEREF _Toc501546854 \h </w:instrText>
            </w:r>
            <w:r>
              <w:rPr>
                <w:noProof/>
                <w:webHidden/>
              </w:rPr>
            </w:r>
            <w:r>
              <w:rPr>
                <w:noProof/>
                <w:webHidden/>
              </w:rPr>
              <w:fldChar w:fldCharType="separate"/>
            </w:r>
            <w:r>
              <w:rPr>
                <w:noProof/>
                <w:webHidden/>
              </w:rPr>
              <w:t>27</w:t>
            </w:r>
            <w:r>
              <w:rPr>
                <w:noProof/>
                <w:webHidden/>
              </w:rPr>
              <w:fldChar w:fldCharType="end"/>
            </w:r>
          </w:hyperlink>
        </w:p>
        <w:p w:rsidR="00821F17" w:rsidRDefault="006B159E">
          <w:pPr>
            <w:pStyle w:val="TOC2"/>
            <w:tabs>
              <w:tab w:val="left" w:pos="880"/>
              <w:tab w:val="right" w:leader="dot" w:pos="9062"/>
            </w:tabs>
            <w:rPr>
              <w:rFonts w:eastAsiaTheme="minorEastAsia"/>
              <w:noProof/>
              <w:lang w:eastAsia="en-GB"/>
            </w:rPr>
          </w:pPr>
          <w:hyperlink w:anchor="_Toc501546855" w:history="1">
            <w:r>
              <w:rPr>
                <w:rStyle w:val="Hyperlink"/>
                <w:noProof/>
              </w:rPr>
              <w:t>6.5</w:t>
            </w:r>
            <w:r>
              <w:rPr>
                <w:rFonts w:eastAsiaTheme="minorEastAsia"/>
                <w:noProof/>
                <w:lang w:eastAsia="en-GB"/>
              </w:rPr>
              <w:tab/>
            </w:r>
            <w:r>
              <w:rPr>
                <w:rStyle w:val="Hyperlink"/>
                <w:noProof/>
              </w:rPr>
              <w:t>Comple</w:t>
            </w:r>
            <w:r>
              <w:rPr>
                <w:rStyle w:val="Hyperlink"/>
                <w:noProof/>
              </w:rPr>
              <w:t>mentarity and Coherence</w:t>
            </w:r>
            <w:r>
              <w:rPr>
                <w:noProof/>
                <w:webHidden/>
              </w:rPr>
              <w:tab/>
            </w:r>
            <w:r>
              <w:rPr>
                <w:noProof/>
                <w:webHidden/>
              </w:rPr>
              <w:fldChar w:fldCharType="begin"/>
            </w:r>
            <w:r>
              <w:rPr>
                <w:noProof/>
                <w:webHidden/>
              </w:rPr>
              <w:instrText xml:space="preserve"> PAGEREF _Toc501546855 \h </w:instrText>
            </w:r>
            <w:r>
              <w:rPr>
                <w:noProof/>
                <w:webHidden/>
              </w:rPr>
            </w:r>
            <w:r>
              <w:rPr>
                <w:noProof/>
                <w:webHidden/>
              </w:rPr>
              <w:fldChar w:fldCharType="separate"/>
            </w:r>
            <w:r>
              <w:rPr>
                <w:noProof/>
                <w:webHidden/>
              </w:rPr>
              <w:t>30</w:t>
            </w:r>
            <w:r>
              <w:rPr>
                <w:noProof/>
                <w:webHidden/>
              </w:rPr>
              <w:fldChar w:fldCharType="end"/>
            </w:r>
          </w:hyperlink>
        </w:p>
        <w:p w:rsidR="00821F17" w:rsidRDefault="006B159E">
          <w:pPr>
            <w:pStyle w:val="TOC2"/>
            <w:tabs>
              <w:tab w:val="left" w:pos="880"/>
              <w:tab w:val="right" w:leader="dot" w:pos="9062"/>
            </w:tabs>
            <w:rPr>
              <w:rFonts w:eastAsiaTheme="minorEastAsia"/>
              <w:noProof/>
              <w:lang w:eastAsia="en-GB"/>
            </w:rPr>
          </w:pPr>
          <w:hyperlink w:anchor="_Toc501546856" w:history="1">
            <w:r>
              <w:rPr>
                <w:rStyle w:val="Hyperlink"/>
                <w:noProof/>
              </w:rPr>
              <w:t>6.6</w:t>
            </w:r>
            <w:r>
              <w:rPr>
                <w:rFonts w:eastAsiaTheme="minorEastAsia"/>
                <w:noProof/>
                <w:lang w:eastAsia="en-GB"/>
              </w:rPr>
              <w:tab/>
            </w:r>
            <w:r>
              <w:rPr>
                <w:rStyle w:val="Hyperlink"/>
                <w:noProof/>
              </w:rPr>
              <w:t>EU Added value</w:t>
            </w:r>
            <w:r>
              <w:rPr>
                <w:noProof/>
                <w:webHidden/>
              </w:rPr>
              <w:tab/>
            </w:r>
            <w:r>
              <w:rPr>
                <w:noProof/>
                <w:webHidden/>
              </w:rPr>
              <w:fldChar w:fldCharType="begin"/>
            </w:r>
            <w:r>
              <w:rPr>
                <w:noProof/>
                <w:webHidden/>
              </w:rPr>
              <w:instrText xml:space="preserve"> PAGEREF _Toc501546856 \h </w:instrText>
            </w:r>
            <w:r>
              <w:rPr>
                <w:noProof/>
                <w:webHidden/>
              </w:rPr>
            </w:r>
            <w:r>
              <w:rPr>
                <w:noProof/>
                <w:webHidden/>
              </w:rPr>
              <w:fldChar w:fldCharType="separate"/>
            </w:r>
            <w:r>
              <w:rPr>
                <w:noProof/>
                <w:webHidden/>
              </w:rPr>
              <w:t>32</w:t>
            </w:r>
            <w:r>
              <w:rPr>
                <w:noProof/>
                <w:webHidden/>
              </w:rPr>
              <w:fldChar w:fldCharType="end"/>
            </w:r>
          </w:hyperlink>
        </w:p>
        <w:p w:rsidR="00821F17" w:rsidRDefault="006B159E">
          <w:pPr>
            <w:pStyle w:val="TOC1"/>
            <w:tabs>
              <w:tab w:val="left" w:pos="440"/>
              <w:tab w:val="right" w:leader="dot" w:pos="9062"/>
            </w:tabs>
            <w:rPr>
              <w:rFonts w:eastAsiaTheme="minorEastAsia"/>
              <w:noProof/>
              <w:lang w:eastAsia="en-GB"/>
            </w:rPr>
          </w:pPr>
          <w:hyperlink w:anchor="_Toc501546857" w:history="1">
            <w:r>
              <w:rPr>
                <w:rStyle w:val="Hyperlink"/>
                <w:noProof/>
              </w:rPr>
              <w:t>7</w:t>
            </w:r>
            <w:r>
              <w:rPr>
                <w:rFonts w:eastAsiaTheme="minorEastAsia"/>
                <w:noProof/>
                <w:lang w:eastAsia="en-GB"/>
              </w:rPr>
              <w:tab/>
            </w:r>
            <w:r>
              <w:rPr>
                <w:rStyle w:val="Hyperlink"/>
                <w:noProof/>
              </w:rPr>
              <w:t>Conclusions</w:t>
            </w:r>
            <w:r>
              <w:rPr>
                <w:noProof/>
                <w:webHidden/>
              </w:rPr>
              <w:tab/>
            </w:r>
            <w:r>
              <w:rPr>
                <w:noProof/>
                <w:webHidden/>
              </w:rPr>
              <w:fldChar w:fldCharType="begin"/>
            </w:r>
            <w:r>
              <w:rPr>
                <w:noProof/>
                <w:webHidden/>
              </w:rPr>
              <w:instrText xml:space="preserve"> PAGEREF _Toc501546857 \h </w:instrText>
            </w:r>
            <w:r>
              <w:rPr>
                <w:noProof/>
                <w:webHidden/>
              </w:rPr>
            </w:r>
            <w:r>
              <w:rPr>
                <w:noProof/>
                <w:webHidden/>
              </w:rPr>
              <w:fldChar w:fldCharType="separate"/>
            </w:r>
            <w:r>
              <w:rPr>
                <w:noProof/>
                <w:webHidden/>
              </w:rPr>
              <w:t>33</w:t>
            </w:r>
            <w:r>
              <w:rPr>
                <w:noProof/>
                <w:webHidden/>
              </w:rPr>
              <w:fldChar w:fldCharType="end"/>
            </w:r>
          </w:hyperlink>
        </w:p>
        <w:p w:rsidR="00821F17" w:rsidRDefault="006B159E">
          <w:pPr>
            <w:pStyle w:val="TOC1"/>
            <w:tabs>
              <w:tab w:val="right" w:leader="dot" w:pos="9062"/>
            </w:tabs>
            <w:rPr>
              <w:rFonts w:eastAsiaTheme="minorEastAsia"/>
              <w:noProof/>
              <w:lang w:eastAsia="en-GB"/>
            </w:rPr>
          </w:pPr>
          <w:hyperlink w:anchor="_Toc501546858" w:history="1">
            <w:r>
              <w:rPr>
                <w:rStyle w:val="Hyperlink"/>
                <w:rFonts w:cs="Times New Roman"/>
                <w:noProof/>
              </w:rPr>
              <w:t>ANNEX 1 - Procedural information</w:t>
            </w:r>
            <w:r>
              <w:rPr>
                <w:noProof/>
                <w:webHidden/>
              </w:rPr>
              <w:tab/>
            </w:r>
            <w:r>
              <w:rPr>
                <w:noProof/>
                <w:webHidden/>
              </w:rPr>
              <w:fldChar w:fldCharType="begin"/>
            </w:r>
            <w:r>
              <w:rPr>
                <w:noProof/>
                <w:webHidden/>
              </w:rPr>
              <w:instrText xml:space="preserve"> PAGEREF _Toc501546858 \h </w:instrText>
            </w:r>
            <w:r>
              <w:rPr>
                <w:noProof/>
                <w:webHidden/>
              </w:rPr>
            </w:r>
            <w:r>
              <w:rPr>
                <w:noProof/>
                <w:webHidden/>
              </w:rPr>
              <w:fldChar w:fldCharType="separate"/>
            </w:r>
            <w:r>
              <w:rPr>
                <w:noProof/>
                <w:webHidden/>
              </w:rPr>
              <w:t>36</w:t>
            </w:r>
            <w:r>
              <w:rPr>
                <w:noProof/>
                <w:webHidden/>
              </w:rPr>
              <w:fldChar w:fldCharType="end"/>
            </w:r>
          </w:hyperlink>
        </w:p>
        <w:p w:rsidR="00821F17" w:rsidRDefault="006B159E">
          <w:pPr>
            <w:pStyle w:val="TOC1"/>
            <w:tabs>
              <w:tab w:val="right" w:leader="dot" w:pos="9062"/>
            </w:tabs>
            <w:rPr>
              <w:rFonts w:eastAsiaTheme="minorEastAsia"/>
              <w:noProof/>
              <w:lang w:eastAsia="en-GB"/>
            </w:rPr>
          </w:pPr>
          <w:hyperlink w:anchor="_Toc501546859" w:history="1">
            <w:r>
              <w:rPr>
                <w:rStyle w:val="Hyperlink"/>
                <w:noProof/>
              </w:rPr>
              <w:t xml:space="preserve">ANNEX 2 - </w:t>
            </w:r>
            <w:r>
              <w:rPr>
                <w:rStyle w:val="Hyperlink"/>
                <w:rFonts w:cs="Times New Roman"/>
                <w:noProof/>
              </w:rPr>
              <w:t>Stakeholder consultation</w:t>
            </w:r>
            <w:r>
              <w:rPr>
                <w:noProof/>
                <w:webHidden/>
              </w:rPr>
              <w:tab/>
            </w:r>
            <w:r>
              <w:rPr>
                <w:noProof/>
                <w:webHidden/>
              </w:rPr>
              <w:fldChar w:fldCharType="begin"/>
            </w:r>
            <w:r>
              <w:rPr>
                <w:noProof/>
                <w:webHidden/>
              </w:rPr>
              <w:instrText xml:space="preserve"> PAGEREF _Toc501546859 \h </w:instrText>
            </w:r>
            <w:r>
              <w:rPr>
                <w:noProof/>
                <w:webHidden/>
              </w:rPr>
            </w:r>
            <w:r>
              <w:rPr>
                <w:noProof/>
                <w:webHidden/>
              </w:rPr>
              <w:fldChar w:fldCharType="separate"/>
            </w:r>
            <w:r>
              <w:rPr>
                <w:noProof/>
                <w:webHidden/>
              </w:rPr>
              <w:t>37</w:t>
            </w:r>
            <w:r>
              <w:rPr>
                <w:noProof/>
                <w:webHidden/>
              </w:rPr>
              <w:fldChar w:fldCharType="end"/>
            </w:r>
          </w:hyperlink>
        </w:p>
        <w:p w:rsidR="00821F17" w:rsidRDefault="006B159E">
          <w:pPr>
            <w:pStyle w:val="TOC2"/>
            <w:tabs>
              <w:tab w:val="right" w:leader="dot" w:pos="9062"/>
            </w:tabs>
            <w:rPr>
              <w:rFonts w:eastAsiaTheme="minorEastAsia"/>
              <w:noProof/>
              <w:lang w:eastAsia="en-GB"/>
            </w:rPr>
          </w:pPr>
          <w:hyperlink w:anchor="_Toc501546860" w:history="1">
            <w:r>
              <w:rPr>
                <w:rStyle w:val="Hyperlink"/>
                <w:noProof/>
              </w:rPr>
              <w:t>Overview</w:t>
            </w:r>
            <w:r>
              <w:rPr>
                <w:noProof/>
                <w:webHidden/>
              </w:rPr>
              <w:tab/>
            </w:r>
            <w:r>
              <w:rPr>
                <w:noProof/>
                <w:webHidden/>
              </w:rPr>
              <w:fldChar w:fldCharType="begin"/>
            </w:r>
            <w:r>
              <w:rPr>
                <w:noProof/>
                <w:webHidden/>
              </w:rPr>
              <w:instrText xml:space="preserve"> PAGEREF _Toc501546860 \h </w:instrText>
            </w:r>
            <w:r>
              <w:rPr>
                <w:noProof/>
                <w:webHidden/>
              </w:rPr>
            </w:r>
            <w:r>
              <w:rPr>
                <w:noProof/>
                <w:webHidden/>
              </w:rPr>
              <w:fldChar w:fldCharType="separate"/>
            </w:r>
            <w:r>
              <w:rPr>
                <w:noProof/>
                <w:webHidden/>
              </w:rPr>
              <w:t>37</w:t>
            </w:r>
            <w:r>
              <w:rPr>
                <w:noProof/>
                <w:webHidden/>
              </w:rPr>
              <w:fldChar w:fldCharType="end"/>
            </w:r>
          </w:hyperlink>
        </w:p>
        <w:p w:rsidR="00821F17" w:rsidRDefault="006B159E">
          <w:pPr>
            <w:pStyle w:val="TOC2"/>
            <w:tabs>
              <w:tab w:val="right" w:leader="dot" w:pos="9062"/>
            </w:tabs>
            <w:rPr>
              <w:rFonts w:eastAsiaTheme="minorEastAsia"/>
              <w:noProof/>
              <w:lang w:eastAsia="en-GB"/>
            </w:rPr>
          </w:pPr>
          <w:hyperlink w:anchor="_Toc501546861" w:history="1">
            <w:r>
              <w:rPr>
                <w:rStyle w:val="Hyperlink"/>
                <w:noProof/>
              </w:rPr>
              <w:t>Results</w:t>
            </w:r>
            <w:r>
              <w:rPr>
                <w:noProof/>
                <w:webHidden/>
              </w:rPr>
              <w:tab/>
            </w:r>
            <w:r>
              <w:rPr>
                <w:noProof/>
                <w:webHidden/>
              </w:rPr>
              <w:fldChar w:fldCharType="begin"/>
            </w:r>
            <w:r>
              <w:rPr>
                <w:noProof/>
                <w:webHidden/>
              </w:rPr>
              <w:instrText xml:space="preserve"> PAGEREF _Toc501546861 \h </w:instrText>
            </w:r>
            <w:r>
              <w:rPr>
                <w:noProof/>
                <w:webHidden/>
              </w:rPr>
            </w:r>
            <w:r>
              <w:rPr>
                <w:noProof/>
                <w:webHidden/>
              </w:rPr>
              <w:fldChar w:fldCharType="separate"/>
            </w:r>
            <w:r>
              <w:rPr>
                <w:noProof/>
                <w:webHidden/>
              </w:rPr>
              <w:t>38</w:t>
            </w:r>
            <w:r>
              <w:rPr>
                <w:noProof/>
                <w:webHidden/>
              </w:rPr>
              <w:fldChar w:fldCharType="end"/>
            </w:r>
          </w:hyperlink>
        </w:p>
        <w:p w:rsidR="00821F17" w:rsidRDefault="006B159E">
          <w:pPr>
            <w:pStyle w:val="TOC3"/>
            <w:tabs>
              <w:tab w:val="right" w:leader="dot" w:pos="9062"/>
            </w:tabs>
            <w:rPr>
              <w:rFonts w:eastAsiaTheme="minorEastAsia"/>
              <w:noProof/>
              <w:lang w:eastAsia="en-GB"/>
            </w:rPr>
          </w:pPr>
          <w:hyperlink w:anchor="_Toc501546862" w:history="1">
            <w:r>
              <w:rPr>
                <w:rStyle w:val="Hyperlink"/>
                <w:noProof/>
              </w:rPr>
              <w:t>Relevance</w:t>
            </w:r>
            <w:r>
              <w:rPr>
                <w:noProof/>
                <w:webHidden/>
              </w:rPr>
              <w:tab/>
            </w:r>
            <w:r>
              <w:rPr>
                <w:noProof/>
                <w:webHidden/>
              </w:rPr>
              <w:fldChar w:fldCharType="begin"/>
            </w:r>
            <w:r>
              <w:rPr>
                <w:noProof/>
                <w:webHidden/>
              </w:rPr>
              <w:instrText xml:space="preserve"> PAGEREF _Toc501546862 \h </w:instrText>
            </w:r>
            <w:r>
              <w:rPr>
                <w:noProof/>
                <w:webHidden/>
              </w:rPr>
            </w:r>
            <w:r>
              <w:rPr>
                <w:noProof/>
                <w:webHidden/>
              </w:rPr>
              <w:fldChar w:fldCharType="separate"/>
            </w:r>
            <w:r>
              <w:rPr>
                <w:noProof/>
                <w:webHidden/>
              </w:rPr>
              <w:t>38</w:t>
            </w:r>
            <w:r>
              <w:rPr>
                <w:noProof/>
                <w:webHidden/>
              </w:rPr>
              <w:fldChar w:fldCharType="end"/>
            </w:r>
          </w:hyperlink>
        </w:p>
        <w:p w:rsidR="00821F17" w:rsidRDefault="006B159E">
          <w:pPr>
            <w:pStyle w:val="TOC3"/>
            <w:tabs>
              <w:tab w:val="right" w:leader="dot" w:pos="9062"/>
            </w:tabs>
            <w:rPr>
              <w:rFonts w:eastAsiaTheme="minorEastAsia"/>
              <w:noProof/>
              <w:lang w:eastAsia="en-GB"/>
            </w:rPr>
          </w:pPr>
          <w:hyperlink w:anchor="_Toc501546863" w:history="1">
            <w:r>
              <w:rPr>
                <w:rStyle w:val="Hyperlink"/>
                <w:noProof/>
              </w:rPr>
              <w:t>Effectiveness</w:t>
            </w:r>
            <w:r>
              <w:rPr>
                <w:noProof/>
                <w:webHidden/>
              </w:rPr>
              <w:tab/>
            </w:r>
            <w:r>
              <w:rPr>
                <w:noProof/>
                <w:webHidden/>
              </w:rPr>
              <w:fldChar w:fldCharType="begin"/>
            </w:r>
            <w:r>
              <w:rPr>
                <w:noProof/>
                <w:webHidden/>
              </w:rPr>
              <w:instrText xml:space="preserve"> PAGEREF _Toc501546863 \h </w:instrText>
            </w:r>
            <w:r>
              <w:rPr>
                <w:noProof/>
                <w:webHidden/>
              </w:rPr>
            </w:r>
            <w:r>
              <w:rPr>
                <w:noProof/>
                <w:webHidden/>
              </w:rPr>
              <w:fldChar w:fldCharType="separate"/>
            </w:r>
            <w:r>
              <w:rPr>
                <w:noProof/>
                <w:webHidden/>
              </w:rPr>
              <w:t>38</w:t>
            </w:r>
            <w:r>
              <w:rPr>
                <w:noProof/>
                <w:webHidden/>
              </w:rPr>
              <w:fldChar w:fldCharType="end"/>
            </w:r>
          </w:hyperlink>
        </w:p>
        <w:p w:rsidR="00821F17" w:rsidRDefault="006B159E">
          <w:pPr>
            <w:pStyle w:val="TOC3"/>
            <w:tabs>
              <w:tab w:val="right" w:leader="dot" w:pos="9062"/>
            </w:tabs>
            <w:rPr>
              <w:rFonts w:eastAsiaTheme="minorEastAsia"/>
              <w:noProof/>
              <w:lang w:eastAsia="en-GB"/>
            </w:rPr>
          </w:pPr>
          <w:hyperlink w:anchor="_Toc501546864" w:history="1">
            <w:r>
              <w:rPr>
                <w:rStyle w:val="Hyperlink"/>
                <w:noProof/>
              </w:rPr>
              <w:t>Efficiency</w:t>
            </w:r>
            <w:r>
              <w:rPr>
                <w:noProof/>
                <w:webHidden/>
              </w:rPr>
              <w:tab/>
            </w:r>
            <w:r>
              <w:rPr>
                <w:noProof/>
                <w:webHidden/>
              </w:rPr>
              <w:fldChar w:fldCharType="begin"/>
            </w:r>
            <w:r>
              <w:rPr>
                <w:noProof/>
                <w:webHidden/>
              </w:rPr>
              <w:instrText xml:space="preserve"> PAGEREF _Toc501546864 \h </w:instrText>
            </w:r>
            <w:r>
              <w:rPr>
                <w:noProof/>
                <w:webHidden/>
              </w:rPr>
            </w:r>
            <w:r>
              <w:rPr>
                <w:noProof/>
                <w:webHidden/>
              </w:rPr>
              <w:fldChar w:fldCharType="separate"/>
            </w:r>
            <w:r>
              <w:rPr>
                <w:noProof/>
                <w:webHidden/>
              </w:rPr>
              <w:t>39</w:t>
            </w:r>
            <w:r>
              <w:rPr>
                <w:noProof/>
                <w:webHidden/>
              </w:rPr>
              <w:fldChar w:fldCharType="end"/>
            </w:r>
          </w:hyperlink>
        </w:p>
        <w:p w:rsidR="00821F17" w:rsidRDefault="006B159E">
          <w:pPr>
            <w:pStyle w:val="TOC3"/>
            <w:tabs>
              <w:tab w:val="right" w:leader="dot" w:pos="9062"/>
            </w:tabs>
            <w:rPr>
              <w:rFonts w:eastAsiaTheme="minorEastAsia"/>
              <w:noProof/>
              <w:lang w:eastAsia="en-GB"/>
            </w:rPr>
          </w:pPr>
          <w:hyperlink w:anchor="_Toc501546865" w:history="1">
            <w:r>
              <w:rPr>
                <w:rStyle w:val="Hyperlink"/>
                <w:noProof/>
              </w:rPr>
              <w:t>Sustainability</w:t>
            </w:r>
            <w:r>
              <w:rPr>
                <w:noProof/>
                <w:webHidden/>
              </w:rPr>
              <w:tab/>
            </w:r>
            <w:r>
              <w:rPr>
                <w:noProof/>
                <w:webHidden/>
              </w:rPr>
              <w:fldChar w:fldCharType="begin"/>
            </w:r>
            <w:r>
              <w:rPr>
                <w:noProof/>
                <w:webHidden/>
              </w:rPr>
              <w:instrText xml:space="preserve"> PAGEREF _Toc501546865 \h </w:instrText>
            </w:r>
            <w:r>
              <w:rPr>
                <w:noProof/>
                <w:webHidden/>
              </w:rPr>
            </w:r>
            <w:r>
              <w:rPr>
                <w:noProof/>
                <w:webHidden/>
              </w:rPr>
              <w:fldChar w:fldCharType="separate"/>
            </w:r>
            <w:r>
              <w:rPr>
                <w:noProof/>
                <w:webHidden/>
              </w:rPr>
              <w:t>39</w:t>
            </w:r>
            <w:r>
              <w:rPr>
                <w:noProof/>
                <w:webHidden/>
              </w:rPr>
              <w:fldChar w:fldCharType="end"/>
            </w:r>
          </w:hyperlink>
        </w:p>
        <w:p w:rsidR="00821F17" w:rsidRDefault="006B159E">
          <w:pPr>
            <w:pStyle w:val="TOC3"/>
            <w:tabs>
              <w:tab w:val="right" w:leader="dot" w:pos="9062"/>
            </w:tabs>
            <w:rPr>
              <w:rFonts w:eastAsiaTheme="minorEastAsia"/>
              <w:noProof/>
              <w:lang w:eastAsia="en-GB"/>
            </w:rPr>
          </w:pPr>
          <w:hyperlink w:anchor="_Toc501546866" w:history="1">
            <w:r>
              <w:rPr>
                <w:rStyle w:val="Hyperlink"/>
                <w:noProof/>
              </w:rPr>
              <w:t xml:space="preserve">Coherence and </w:t>
            </w:r>
            <w:r>
              <w:rPr>
                <w:rStyle w:val="Hyperlink"/>
                <w:noProof/>
              </w:rPr>
              <w:t>Complementarity</w:t>
            </w:r>
            <w:r>
              <w:rPr>
                <w:noProof/>
                <w:webHidden/>
              </w:rPr>
              <w:tab/>
            </w:r>
            <w:r>
              <w:rPr>
                <w:noProof/>
                <w:webHidden/>
              </w:rPr>
              <w:fldChar w:fldCharType="begin"/>
            </w:r>
            <w:r>
              <w:rPr>
                <w:noProof/>
                <w:webHidden/>
              </w:rPr>
              <w:instrText xml:space="preserve"> PAGEREF _Toc501546866 \h </w:instrText>
            </w:r>
            <w:r>
              <w:rPr>
                <w:noProof/>
                <w:webHidden/>
              </w:rPr>
            </w:r>
            <w:r>
              <w:rPr>
                <w:noProof/>
                <w:webHidden/>
              </w:rPr>
              <w:fldChar w:fldCharType="separate"/>
            </w:r>
            <w:r>
              <w:rPr>
                <w:noProof/>
                <w:webHidden/>
              </w:rPr>
              <w:t>40</w:t>
            </w:r>
            <w:r>
              <w:rPr>
                <w:noProof/>
                <w:webHidden/>
              </w:rPr>
              <w:fldChar w:fldCharType="end"/>
            </w:r>
          </w:hyperlink>
        </w:p>
        <w:p w:rsidR="00821F17" w:rsidRDefault="006B159E">
          <w:pPr>
            <w:pStyle w:val="TOC3"/>
            <w:tabs>
              <w:tab w:val="right" w:leader="dot" w:pos="9062"/>
            </w:tabs>
            <w:rPr>
              <w:rFonts w:eastAsiaTheme="minorEastAsia"/>
              <w:noProof/>
              <w:lang w:eastAsia="en-GB"/>
            </w:rPr>
          </w:pPr>
          <w:hyperlink w:anchor="_Toc501546867" w:history="1">
            <w:r>
              <w:rPr>
                <w:rStyle w:val="Hyperlink"/>
                <w:noProof/>
              </w:rPr>
              <w:t>EU Added Value</w:t>
            </w:r>
            <w:r>
              <w:rPr>
                <w:noProof/>
                <w:webHidden/>
              </w:rPr>
              <w:tab/>
            </w:r>
            <w:r>
              <w:rPr>
                <w:noProof/>
                <w:webHidden/>
              </w:rPr>
              <w:fldChar w:fldCharType="begin"/>
            </w:r>
            <w:r>
              <w:rPr>
                <w:noProof/>
                <w:webHidden/>
              </w:rPr>
              <w:instrText xml:space="preserve"> PAGEREF _Toc501546867 \h </w:instrText>
            </w:r>
            <w:r>
              <w:rPr>
                <w:noProof/>
                <w:webHidden/>
              </w:rPr>
            </w:r>
            <w:r>
              <w:rPr>
                <w:noProof/>
                <w:webHidden/>
              </w:rPr>
              <w:fldChar w:fldCharType="separate"/>
            </w:r>
            <w:r>
              <w:rPr>
                <w:noProof/>
                <w:webHidden/>
              </w:rPr>
              <w:t>40</w:t>
            </w:r>
            <w:r>
              <w:rPr>
                <w:noProof/>
                <w:webHidden/>
              </w:rPr>
              <w:fldChar w:fldCharType="end"/>
            </w:r>
          </w:hyperlink>
        </w:p>
        <w:p w:rsidR="00821F17" w:rsidRDefault="006B159E">
          <w:pPr>
            <w:pStyle w:val="TOC1"/>
            <w:tabs>
              <w:tab w:val="right" w:leader="dot" w:pos="9062"/>
            </w:tabs>
            <w:rPr>
              <w:rFonts w:eastAsiaTheme="minorEastAsia"/>
              <w:noProof/>
              <w:lang w:eastAsia="en-GB"/>
            </w:rPr>
          </w:pPr>
          <w:hyperlink w:anchor="_Toc501546868" w:history="1">
            <w:r>
              <w:rPr>
                <w:rStyle w:val="Hyperlink"/>
                <w:rFonts w:eastAsia="MS Mincho"/>
                <w:noProof/>
              </w:rPr>
              <w:t>ANNEX 3 – Methodology</w:t>
            </w:r>
            <w:r>
              <w:rPr>
                <w:noProof/>
                <w:webHidden/>
              </w:rPr>
              <w:tab/>
            </w:r>
            <w:r>
              <w:rPr>
                <w:noProof/>
                <w:webHidden/>
              </w:rPr>
              <w:fldChar w:fldCharType="begin"/>
            </w:r>
            <w:r>
              <w:rPr>
                <w:noProof/>
                <w:webHidden/>
              </w:rPr>
              <w:instrText xml:space="preserve"> PAGEREF _Toc501546868 \h </w:instrText>
            </w:r>
            <w:r>
              <w:rPr>
                <w:noProof/>
                <w:webHidden/>
              </w:rPr>
            </w:r>
            <w:r>
              <w:rPr>
                <w:noProof/>
                <w:webHidden/>
              </w:rPr>
              <w:fldChar w:fldCharType="separate"/>
            </w:r>
            <w:r>
              <w:rPr>
                <w:noProof/>
                <w:webHidden/>
              </w:rPr>
              <w:t>42</w:t>
            </w:r>
            <w:r>
              <w:rPr>
                <w:noProof/>
                <w:webHidden/>
              </w:rPr>
              <w:fldChar w:fldCharType="end"/>
            </w:r>
          </w:hyperlink>
        </w:p>
        <w:p w:rsidR="00821F17" w:rsidRDefault="006B159E">
          <w:pPr>
            <w:pStyle w:val="TOC1"/>
            <w:tabs>
              <w:tab w:val="right" w:leader="dot" w:pos="9062"/>
            </w:tabs>
            <w:rPr>
              <w:rFonts w:eastAsiaTheme="minorEastAsia"/>
              <w:noProof/>
              <w:lang w:eastAsia="en-GB"/>
            </w:rPr>
          </w:pPr>
          <w:hyperlink w:anchor="_Toc501546869" w:history="1">
            <w:r>
              <w:rPr>
                <w:rStyle w:val="Hyperlink"/>
                <w:rFonts w:cs="Times New Roman"/>
                <w:i/>
                <w:noProof/>
              </w:rPr>
              <w:t>Study conducted by external evaluators</w:t>
            </w:r>
            <w:r>
              <w:rPr>
                <w:noProof/>
                <w:webHidden/>
              </w:rPr>
              <w:tab/>
            </w:r>
            <w:r>
              <w:rPr>
                <w:noProof/>
                <w:webHidden/>
              </w:rPr>
              <w:fldChar w:fldCharType="begin"/>
            </w:r>
            <w:r>
              <w:rPr>
                <w:noProof/>
                <w:webHidden/>
              </w:rPr>
              <w:instrText xml:space="preserve"> PAGEREF _Toc501546869 \h </w:instrText>
            </w:r>
            <w:r>
              <w:rPr>
                <w:noProof/>
                <w:webHidden/>
              </w:rPr>
            </w:r>
            <w:r>
              <w:rPr>
                <w:noProof/>
                <w:webHidden/>
              </w:rPr>
              <w:fldChar w:fldCharType="separate"/>
            </w:r>
            <w:r>
              <w:rPr>
                <w:noProof/>
                <w:webHidden/>
              </w:rPr>
              <w:t>42</w:t>
            </w:r>
            <w:r>
              <w:rPr>
                <w:noProof/>
                <w:webHidden/>
              </w:rPr>
              <w:fldChar w:fldCharType="end"/>
            </w:r>
          </w:hyperlink>
        </w:p>
        <w:p w:rsidR="00821F17" w:rsidRDefault="006B159E">
          <w:pPr>
            <w:pStyle w:val="TOC1"/>
            <w:tabs>
              <w:tab w:val="right" w:leader="dot" w:pos="9062"/>
            </w:tabs>
            <w:rPr>
              <w:rFonts w:eastAsiaTheme="minorEastAsia"/>
              <w:noProof/>
              <w:lang w:eastAsia="en-GB"/>
            </w:rPr>
          </w:pPr>
          <w:hyperlink w:anchor="_Toc501546870" w:history="1">
            <w:r>
              <w:rPr>
                <w:rStyle w:val="Hyperlink"/>
                <w:rFonts w:eastAsia="MS Mincho"/>
                <w:noProof/>
              </w:rPr>
              <w:t>ANNEX 4 - List of evaluation questions</w:t>
            </w:r>
            <w:r>
              <w:rPr>
                <w:noProof/>
                <w:webHidden/>
              </w:rPr>
              <w:tab/>
            </w:r>
            <w:r>
              <w:rPr>
                <w:noProof/>
                <w:webHidden/>
              </w:rPr>
              <w:fldChar w:fldCharType="begin"/>
            </w:r>
            <w:r>
              <w:rPr>
                <w:noProof/>
                <w:webHidden/>
              </w:rPr>
              <w:instrText xml:space="preserve"> PAGEREF _Toc501546870 \h </w:instrText>
            </w:r>
            <w:r>
              <w:rPr>
                <w:noProof/>
                <w:webHidden/>
              </w:rPr>
            </w:r>
            <w:r>
              <w:rPr>
                <w:noProof/>
                <w:webHidden/>
              </w:rPr>
              <w:fldChar w:fldCharType="separate"/>
            </w:r>
            <w:r>
              <w:rPr>
                <w:noProof/>
                <w:webHidden/>
              </w:rPr>
              <w:t>45</w:t>
            </w:r>
            <w:r>
              <w:rPr>
                <w:noProof/>
                <w:webHidden/>
              </w:rPr>
              <w:fldChar w:fldCharType="end"/>
            </w:r>
          </w:hyperlink>
        </w:p>
        <w:p w:rsidR="00821F17" w:rsidRDefault="006B159E">
          <w:pPr>
            <w:pStyle w:val="TOC1"/>
            <w:tabs>
              <w:tab w:val="right" w:leader="dot" w:pos="9062"/>
            </w:tabs>
            <w:rPr>
              <w:rFonts w:eastAsiaTheme="minorEastAsia"/>
              <w:noProof/>
              <w:lang w:eastAsia="en-GB"/>
            </w:rPr>
          </w:pPr>
          <w:hyperlink w:anchor="_Toc501546871" w:history="1">
            <w:r>
              <w:rPr>
                <w:rStyle w:val="Hyperlink"/>
                <w:noProof/>
              </w:rPr>
              <w:t xml:space="preserve">ANNEX 5 </w:t>
            </w:r>
            <w:r>
              <w:rPr>
                <w:rStyle w:val="Hyperlink"/>
                <w:rFonts w:cs="Times New Roman"/>
                <w:noProof/>
              </w:rPr>
              <w:t>- List of abbreviations and country codes</w:t>
            </w:r>
            <w:r>
              <w:rPr>
                <w:noProof/>
                <w:webHidden/>
              </w:rPr>
              <w:tab/>
            </w:r>
            <w:r>
              <w:rPr>
                <w:noProof/>
                <w:webHidden/>
              </w:rPr>
              <w:fldChar w:fldCharType="begin"/>
            </w:r>
            <w:r>
              <w:rPr>
                <w:noProof/>
                <w:webHidden/>
              </w:rPr>
              <w:instrText xml:space="preserve"> PAGEREF _Toc501546871 \h </w:instrText>
            </w:r>
            <w:r>
              <w:rPr>
                <w:noProof/>
                <w:webHidden/>
              </w:rPr>
            </w:r>
            <w:r>
              <w:rPr>
                <w:noProof/>
                <w:webHidden/>
              </w:rPr>
              <w:fldChar w:fldCharType="separate"/>
            </w:r>
            <w:r>
              <w:rPr>
                <w:noProof/>
                <w:webHidden/>
              </w:rPr>
              <w:t>48</w:t>
            </w:r>
            <w:r>
              <w:rPr>
                <w:noProof/>
                <w:webHidden/>
              </w:rPr>
              <w:fldChar w:fldCharType="end"/>
            </w:r>
          </w:hyperlink>
        </w:p>
        <w:p w:rsidR="00821F17" w:rsidRDefault="006B159E">
          <w:pPr>
            <w:pStyle w:val="TOC1"/>
            <w:tabs>
              <w:tab w:val="right" w:leader="dot" w:pos="9062"/>
            </w:tabs>
            <w:rPr>
              <w:rFonts w:eastAsiaTheme="minorEastAsia"/>
              <w:noProof/>
              <w:lang w:eastAsia="en-GB"/>
            </w:rPr>
          </w:pPr>
          <w:hyperlink w:anchor="_Toc501546872" w:history="1">
            <w:r>
              <w:rPr>
                <w:rStyle w:val="Hyperlink"/>
                <w:noProof/>
              </w:rPr>
              <w:t>ANNEX 6 - Ex post evaluation of the European Fund for the Integration of third-country nationals (EIF) for the period 2007-2010</w:t>
            </w:r>
            <w:r>
              <w:rPr>
                <w:noProof/>
                <w:webHidden/>
              </w:rPr>
              <w:tab/>
            </w:r>
            <w:r>
              <w:rPr>
                <w:noProof/>
                <w:webHidden/>
              </w:rPr>
              <w:fldChar w:fldCharType="begin"/>
            </w:r>
            <w:r>
              <w:rPr>
                <w:noProof/>
                <w:webHidden/>
              </w:rPr>
              <w:instrText xml:space="preserve"> PAGEREF _Toc501546872 \h </w:instrText>
            </w:r>
            <w:r>
              <w:rPr>
                <w:noProof/>
                <w:webHidden/>
              </w:rPr>
            </w:r>
            <w:r>
              <w:rPr>
                <w:noProof/>
                <w:webHidden/>
              </w:rPr>
              <w:fldChar w:fldCharType="separate"/>
            </w:r>
            <w:r>
              <w:rPr>
                <w:noProof/>
                <w:webHidden/>
              </w:rPr>
              <w:t>49</w:t>
            </w:r>
            <w:r>
              <w:rPr>
                <w:noProof/>
                <w:webHidden/>
              </w:rPr>
              <w:fldChar w:fldCharType="end"/>
            </w:r>
          </w:hyperlink>
        </w:p>
        <w:p w:rsidR="00821F17" w:rsidRDefault="006B159E">
          <w:pPr>
            <w:rPr>
              <w:noProof/>
            </w:rPr>
          </w:pPr>
          <w:r>
            <w:rPr>
              <w:b/>
              <w:bCs/>
              <w:noProof/>
            </w:rPr>
            <w:fldChar w:fldCharType="end"/>
          </w:r>
        </w:p>
      </w:sdtContent>
    </w:sdt>
    <w:p w:rsidR="00821F17" w:rsidRDefault="00821F17">
      <w:pPr>
        <w:spacing w:after="0" w:line="240" w:lineRule="auto"/>
        <w:rPr>
          <w:rFonts w:ascii="Times New Roman" w:hAnsi="Times New Roman" w:cs="Times New Roman"/>
          <w:noProof/>
          <w:sz w:val="24"/>
          <w:szCs w:val="24"/>
        </w:rPr>
        <w:sectPr w:rsidR="00821F17">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60"/>
        </w:sectPr>
      </w:pPr>
    </w:p>
    <w:p w:rsidR="00821F17" w:rsidRDefault="00821F17">
      <w:pPr>
        <w:spacing w:line="360" w:lineRule="auto"/>
        <w:jc w:val="both"/>
        <w:rPr>
          <w:rFonts w:ascii="Times New Roman" w:hAnsi="Times New Roman" w:cs="Times New Roman"/>
          <w:noProof/>
          <w:color w:val="000000" w:themeColor="text1"/>
          <w:sz w:val="24"/>
          <w:szCs w:val="24"/>
        </w:rPr>
      </w:pPr>
    </w:p>
    <w:p w:rsidR="00821F17" w:rsidRDefault="006B159E">
      <w:pPr>
        <w:pStyle w:val="Heading1"/>
        <w:rPr>
          <w:noProof/>
          <w:lang w:val="en-GB"/>
        </w:rPr>
      </w:pPr>
      <w:bookmarkStart w:id="2" w:name="_Toc501546845"/>
      <w:r>
        <w:rPr>
          <w:noProof/>
          <w:lang w:val="en-GB"/>
        </w:rPr>
        <w:t>Introduction</w:t>
      </w:r>
      <w:bookmarkEnd w:id="2"/>
    </w:p>
    <w:p w:rsidR="00821F17" w:rsidRDefault="006B159E">
      <w:pPr>
        <w:pStyle w:val="BodyText"/>
        <w:spacing w:after="0" w:line="360" w:lineRule="auto"/>
        <w:rPr>
          <w:noProof/>
          <w:color w:val="000000" w:themeColor="text1"/>
        </w:rPr>
      </w:pPr>
      <w:r>
        <w:rPr>
          <w:noProof/>
          <w:color w:val="000000" w:themeColor="text1"/>
          <w:szCs w:val="24"/>
        </w:rPr>
        <w:t>This Staff Working Document reports on the results and impacts of actions co-financed by the European fund for the integration of third-country nationals (EIF) under the 2011-2013 annual programmes implemented by t</w:t>
      </w:r>
      <w:r>
        <w:rPr>
          <w:noProof/>
          <w:color w:val="000000" w:themeColor="text1"/>
          <w:szCs w:val="24"/>
        </w:rPr>
        <w:t>he 26 participating EU Member States</w:t>
      </w:r>
      <w:r>
        <w:rPr>
          <w:rStyle w:val="FootnoteReference"/>
          <w:noProof/>
          <w:color w:val="000000" w:themeColor="text1"/>
        </w:rPr>
        <w:footnoteReference w:id="2"/>
      </w:r>
      <w:r>
        <w:rPr>
          <w:noProof/>
          <w:color w:val="000000" w:themeColor="text1"/>
          <w:szCs w:val="24"/>
        </w:rPr>
        <w:t xml:space="preserve"> (MS) and the 2010-2013 Community Actions.</w:t>
      </w:r>
      <w:r>
        <w:rPr>
          <w:rStyle w:val="FootnoteReference"/>
          <w:noProof/>
          <w:color w:val="000000" w:themeColor="text1"/>
          <w:szCs w:val="24"/>
        </w:rPr>
        <w:footnoteReference w:id="3"/>
      </w:r>
      <w:r>
        <w:rPr>
          <w:noProof/>
          <w:color w:val="000000" w:themeColor="text1"/>
          <w:szCs w:val="24"/>
        </w:rPr>
        <w:t xml:space="preserve"> </w:t>
      </w:r>
      <w:r>
        <w:rPr>
          <w:noProof/>
          <w:color w:val="000000" w:themeColor="text1"/>
        </w:rPr>
        <w:t>The actions co-financed by the EIF during the relevant period were assessed in light of their relevance, effectiveness, efficiency, sustainability, coherence and complementari</w:t>
      </w:r>
      <w:r>
        <w:rPr>
          <w:noProof/>
          <w:color w:val="000000" w:themeColor="text1"/>
        </w:rPr>
        <w:t xml:space="preserve">ty with other EU financial instruments, and the added value of intervening at EU level. </w:t>
      </w:r>
    </w:p>
    <w:p w:rsidR="00821F17" w:rsidRDefault="00821F17">
      <w:pPr>
        <w:pStyle w:val="BodyText"/>
        <w:spacing w:after="0" w:line="360" w:lineRule="auto"/>
        <w:rPr>
          <w:noProof/>
          <w:color w:val="000000" w:themeColor="text1"/>
        </w:rPr>
      </w:pPr>
    </w:p>
    <w:p w:rsidR="00821F17" w:rsidRDefault="006B159E">
      <w:pPr>
        <w:pStyle w:val="BodyText"/>
        <w:spacing w:after="0" w:line="360" w:lineRule="auto"/>
        <w:rPr>
          <w:noProof/>
          <w:color w:val="000000" w:themeColor="text1"/>
        </w:rPr>
      </w:pPr>
      <w:r>
        <w:rPr>
          <w:noProof/>
          <w:color w:val="000000" w:themeColor="text1"/>
        </w:rPr>
        <w:t>The results of this evaluation fed into the mid-term review of the Asylum, Migration and Integration Fund (AMIF) national programmes, which took place between 2017 an</w:t>
      </w:r>
      <w:r>
        <w:rPr>
          <w:noProof/>
          <w:color w:val="000000" w:themeColor="text1"/>
        </w:rPr>
        <w:t xml:space="preserve">d 2018, and the interim evaluation of the AMIF carried out in 2017-2018. The results of the mid-term review of the national programmes allow the European Commission to take decisions on the allocation of additional funding, and agree with Member States on </w:t>
      </w:r>
      <w:r>
        <w:rPr>
          <w:noProof/>
          <w:color w:val="000000" w:themeColor="text1"/>
        </w:rPr>
        <w:t xml:space="preserve">changes in their priorities according to changes in EU and national policies for the remaining implementation period (2018-2020). The results of the interim evaluation of AMIF contributed to shaping the future policies under the responsibility of DG HOME. </w:t>
      </w:r>
      <w:r>
        <w:rPr>
          <w:noProof/>
          <w:color w:val="000000" w:themeColor="text1"/>
        </w:rPr>
        <w:t xml:space="preserve">The results of both processes are beneficial to the preparation of the new funding instruments in the framework of the Multiannual Financial Framework (MFF) post 2020. </w:t>
      </w:r>
    </w:p>
    <w:p w:rsidR="00821F17" w:rsidRDefault="006B159E">
      <w:pPr>
        <w:pStyle w:val="Heading1"/>
        <w:keepNext/>
        <w:rPr>
          <w:noProof/>
          <w:lang w:val="en-GB"/>
        </w:rPr>
      </w:pPr>
      <w:bookmarkStart w:id="3" w:name="_Toc501546846"/>
      <w:r>
        <w:rPr>
          <w:noProof/>
          <w:lang w:val="en-GB"/>
        </w:rPr>
        <w:t>Background to the initiative</w:t>
      </w:r>
      <w:bookmarkEnd w:id="3"/>
    </w:p>
    <w:p w:rsidR="00821F17" w:rsidRDefault="006B159E">
      <w:pPr>
        <w:pStyle w:val="Body"/>
        <w:keepNext/>
        <w:spacing w:after="0" w:line="360" w:lineRule="auto"/>
        <w:rPr>
          <w:rFonts w:ascii="Times New Roman" w:hAnsi="Times New Roman"/>
          <w:noProof/>
          <w:color w:val="000000" w:themeColor="text1"/>
          <w:sz w:val="24"/>
          <w:u w:val="single"/>
          <w:lang w:val="en-GB"/>
        </w:rPr>
      </w:pPr>
      <w:r>
        <w:rPr>
          <w:rFonts w:ascii="Times New Roman" w:hAnsi="Times New Roman" w:cs="Times New Roman"/>
          <w:noProof/>
          <w:color w:val="000000" w:themeColor="text1"/>
          <w:sz w:val="24"/>
          <w:szCs w:val="24"/>
          <w:lang w:val="en-GB"/>
        </w:rPr>
        <w:t>The EIF is one of the four EU funding instruments establis</w:t>
      </w:r>
      <w:r>
        <w:rPr>
          <w:rFonts w:ascii="Times New Roman" w:hAnsi="Times New Roman" w:cs="Times New Roman"/>
          <w:noProof/>
          <w:color w:val="000000" w:themeColor="text1"/>
          <w:sz w:val="24"/>
          <w:szCs w:val="24"/>
          <w:lang w:val="en-GB"/>
        </w:rPr>
        <w:t>hed in 2007 as part of the Framework Programme on Solidarity and Migration Flows</w:t>
      </w:r>
      <w:r>
        <w:rPr>
          <w:rStyle w:val="FootnoteReference"/>
          <w:rFonts w:ascii="Times New Roman" w:hAnsi="Times New Roman" w:cs="Times New Roman"/>
          <w:noProof/>
          <w:color w:val="000000" w:themeColor="text1"/>
          <w:sz w:val="24"/>
          <w:szCs w:val="24"/>
          <w:lang w:val="en-GB"/>
        </w:rPr>
        <w:footnoteReference w:id="4"/>
      </w:r>
      <w:r>
        <w:rPr>
          <w:rFonts w:ascii="Times New Roman" w:hAnsi="Times New Roman" w:cs="Times New Roman"/>
          <w:noProof/>
          <w:color w:val="000000" w:themeColor="text1"/>
          <w:sz w:val="24"/>
          <w:szCs w:val="24"/>
          <w:lang w:val="en-GB"/>
        </w:rPr>
        <w:t xml:space="preserve">, known as SOLID Funds. The EIF was designed to contribute to the basis for a common migration and integration policy </w:t>
      </w:r>
      <w:r>
        <w:rPr>
          <w:rFonts w:ascii="Times New Roman" w:hAnsi="Times New Roman" w:cs="Times New Roman"/>
          <w:noProof/>
          <w:color w:val="000000" w:themeColor="text1"/>
          <w:sz w:val="24"/>
          <w:szCs w:val="24"/>
          <w:lang w:val="en-GB"/>
        </w:rPr>
        <w:lastRenderedPageBreak/>
        <w:t xml:space="preserve">and to promote synergies and coordination of national </w:t>
      </w:r>
      <w:r>
        <w:rPr>
          <w:rFonts w:ascii="Times New Roman" w:hAnsi="Times New Roman" w:cs="Times New Roman"/>
          <w:noProof/>
          <w:color w:val="000000" w:themeColor="text1"/>
          <w:sz w:val="24"/>
          <w:szCs w:val="24"/>
          <w:lang w:val="en-GB"/>
        </w:rPr>
        <w:t>integration policies implemented by Member States (principle of subsidiarity).</w:t>
      </w:r>
    </w:p>
    <w:p w:rsidR="00821F17" w:rsidRDefault="006B159E">
      <w:pPr>
        <w:spacing w:after="0" w:line="36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general objective of the Fund was to support the efforts made by the Member States in enabling third-country nationals of different economic, social, cultural, religious, li</w:t>
      </w:r>
      <w:r>
        <w:rPr>
          <w:rFonts w:ascii="Times New Roman" w:hAnsi="Times New Roman" w:cs="Times New Roman"/>
          <w:noProof/>
          <w:color w:val="000000" w:themeColor="text1"/>
          <w:sz w:val="24"/>
          <w:szCs w:val="24"/>
        </w:rPr>
        <w:t xml:space="preserve">nguistic and ethnic backgrounds to fulfil the conditions of residence and to facilitate their integration into European societies. To achieve its general objective, the EIF was designed to pursue four specific objectives: </w:t>
      </w:r>
    </w:p>
    <w:p w:rsidR="00821F17" w:rsidRDefault="00821F17">
      <w:pPr>
        <w:spacing w:after="0" w:line="360" w:lineRule="auto"/>
        <w:jc w:val="both"/>
        <w:rPr>
          <w:rFonts w:ascii="Times New Roman" w:hAnsi="Times New Roman" w:cs="Times New Roman"/>
          <w:noProof/>
          <w:color w:val="000000" w:themeColor="text1"/>
          <w:sz w:val="24"/>
          <w:szCs w:val="24"/>
        </w:rPr>
      </w:pPr>
    </w:p>
    <w:p w:rsidR="00821F17" w:rsidRDefault="006B159E">
      <w:pPr>
        <w:pStyle w:val="ListParagraph"/>
        <w:numPr>
          <w:ilvl w:val="0"/>
          <w:numId w:val="13"/>
        </w:numPr>
        <w:spacing w:line="360" w:lineRule="auto"/>
        <w:ind w:left="709" w:hanging="283"/>
        <w:jc w:val="both"/>
        <w:rPr>
          <w:rFonts w:ascii="Times New Roman" w:hAnsi="Times New Roman"/>
          <w:noProof/>
          <w:color w:val="000000" w:themeColor="text1"/>
          <w:sz w:val="24"/>
        </w:rPr>
      </w:pPr>
      <w:r>
        <w:rPr>
          <w:rFonts w:ascii="Times New Roman" w:hAnsi="Times New Roman"/>
          <w:noProof/>
          <w:color w:val="000000" w:themeColor="text1"/>
          <w:sz w:val="24"/>
        </w:rPr>
        <w:t xml:space="preserve">Facilitation of the development </w:t>
      </w:r>
      <w:r>
        <w:rPr>
          <w:rFonts w:ascii="Times New Roman" w:hAnsi="Times New Roman"/>
          <w:noProof/>
          <w:color w:val="000000" w:themeColor="text1"/>
          <w:sz w:val="24"/>
        </w:rPr>
        <w:t xml:space="preserve">and implementation of </w:t>
      </w:r>
      <w:r>
        <w:rPr>
          <w:rFonts w:ascii="Times New Roman" w:hAnsi="Times New Roman"/>
          <w:b/>
          <w:noProof/>
          <w:color w:val="000000" w:themeColor="text1"/>
          <w:sz w:val="24"/>
        </w:rPr>
        <w:t>admission procedures</w:t>
      </w:r>
      <w:r>
        <w:rPr>
          <w:rFonts w:ascii="Times New Roman" w:hAnsi="Times New Roman"/>
          <w:noProof/>
          <w:color w:val="000000" w:themeColor="text1"/>
          <w:sz w:val="24"/>
        </w:rPr>
        <w:t xml:space="preserve"> relevant to and supportive of the integration process of third-country nationals;</w:t>
      </w:r>
    </w:p>
    <w:p w:rsidR="00821F17" w:rsidRDefault="006B159E">
      <w:pPr>
        <w:pStyle w:val="ListParagraph"/>
        <w:numPr>
          <w:ilvl w:val="0"/>
          <w:numId w:val="13"/>
        </w:numPr>
        <w:spacing w:line="360" w:lineRule="auto"/>
        <w:ind w:left="709" w:hanging="283"/>
        <w:jc w:val="both"/>
        <w:rPr>
          <w:rFonts w:ascii="Times New Roman" w:hAnsi="Times New Roman"/>
          <w:noProof/>
          <w:color w:val="000000" w:themeColor="text1"/>
          <w:sz w:val="24"/>
        </w:rPr>
      </w:pPr>
      <w:r>
        <w:rPr>
          <w:rFonts w:ascii="Times New Roman" w:hAnsi="Times New Roman"/>
          <w:noProof/>
          <w:color w:val="000000" w:themeColor="text1"/>
          <w:sz w:val="24"/>
        </w:rPr>
        <w:t xml:space="preserve">Development and implementation of the </w:t>
      </w:r>
      <w:r>
        <w:rPr>
          <w:rFonts w:ascii="Times New Roman" w:hAnsi="Times New Roman"/>
          <w:b/>
          <w:noProof/>
          <w:color w:val="000000" w:themeColor="text1"/>
          <w:sz w:val="24"/>
        </w:rPr>
        <w:t>integration process of newly-arrived</w:t>
      </w:r>
      <w:r>
        <w:rPr>
          <w:rFonts w:ascii="Times New Roman" w:hAnsi="Times New Roman"/>
          <w:noProof/>
          <w:color w:val="000000" w:themeColor="text1"/>
          <w:sz w:val="24"/>
        </w:rPr>
        <w:t xml:space="preserve"> third-country nationals in Member States;</w:t>
      </w:r>
    </w:p>
    <w:p w:rsidR="00821F17" w:rsidRDefault="006B159E">
      <w:pPr>
        <w:pStyle w:val="ListParagraph"/>
        <w:numPr>
          <w:ilvl w:val="0"/>
          <w:numId w:val="13"/>
        </w:numPr>
        <w:spacing w:line="360" w:lineRule="auto"/>
        <w:ind w:left="709" w:hanging="283"/>
        <w:jc w:val="both"/>
        <w:rPr>
          <w:rFonts w:ascii="Times New Roman" w:hAnsi="Times New Roman"/>
          <w:noProof/>
          <w:color w:val="000000" w:themeColor="text1"/>
          <w:sz w:val="24"/>
        </w:rPr>
      </w:pPr>
      <w:r>
        <w:rPr>
          <w:rFonts w:ascii="Times New Roman" w:hAnsi="Times New Roman"/>
          <w:noProof/>
          <w:color w:val="000000" w:themeColor="text1"/>
          <w:sz w:val="24"/>
        </w:rPr>
        <w:t>Increase of th</w:t>
      </w:r>
      <w:r>
        <w:rPr>
          <w:rFonts w:ascii="Times New Roman" w:hAnsi="Times New Roman"/>
          <w:noProof/>
          <w:color w:val="000000" w:themeColor="text1"/>
          <w:sz w:val="24"/>
        </w:rPr>
        <w:t xml:space="preserve">e </w:t>
      </w:r>
      <w:r>
        <w:rPr>
          <w:rFonts w:ascii="Times New Roman" w:hAnsi="Times New Roman"/>
          <w:b/>
          <w:noProof/>
          <w:color w:val="000000" w:themeColor="text1"/>
          <w:sz w:val="24"/>
        </w:rPr>
        <w:t>capacity of Member States</w:t>
      </w:r>
      <w:r>
        <w:rPr>
          <w:rFonts w:ascii="Times New Roman" w:hAnsi="Times New Roman"/>
          <w:noProof/>
          <w:color w:val="000000" w:themeColor="text1"/>
          <w:sz w:val="24"/>
        </w:rPr>
        <w:t xml:space="preserve"> to develop, implement, monitor and evaluate policies and measures for the integration of third-country nationals;</w:t>
      </w:r>
    </w:p>
    <w:p w:rsidR="00821F17" w:rsidRDefault="006B159E">
      <w:pPr>
        <w:pStyle w:val="ListParagraph"/>
        <w:numPr>
          <w:ilvl w:val="0"/>
          <w:numId w:val="13"/>
        </w:numPr>
        <w:spacing w:line="360" w:lineRule="auto"/>
        <w:ind w:left="709" w:hanging="283"/>
        <w:jc w:val="both"/>
        <w:rPr>
          <w:rFonts w:ascii="Times New Roman" w:hAnsi="Times New Roman"/>
          <w:noProof/>
          <w:color w:val="000000" w:themeColor="text1"/>
          <w:sz w:val="24"/>
        </w:rPr>
      </w:pPr>
      <w:r>
        <w:rPr>
          <w:rFonts w:ascii="Times New Roman" w:hAnsi="Times New Roman"/>
          <w:b/>
          <w:noProof/>
          <w:color w:val="000000" w:themeColor="text1"/>
          <w:sz w:val="24"/>
        </w:rPr>
        <w:t xml:space="preserve">Exchange of information, best practices and cooperation in and between Member States </w:t>
      </w:r>
      <w:r>
        <w:rPr>
          <w:rFonts w:ascii="Times New Roman" w:hAnsi="Times New Roman"/>
          <w:noProof/>
          <w:color w:val="000000" w:themeColor="text1"/>
          <w:sz w:val="24"/>
        </w:rPr>
        <w:t xml:space="preserve">in developing, implementing, </w:t>
      </w:r>
      <w:r>
        <w:rPr>
          <w:rFonts w:ascii="Times New Roman" w:hAnsi="Times New Roman"/>
          <w:noProof/>
          <w:color w:val="000000" w:themeColor="text1"/>
          <w:sz w:val="24"/>
        </w:rPr>
        <w:t>monitoring and evaluating policies and measures for the integration of third-country nationals.</w:t>
      </w:r>
    </w:p>
    <w:p w:rsidR="00821F17" w:rsidRDefault="00821F17">
      <w:pPr>
        <w:spacing w:after="0" w:line="360" w:lineRule="auto"/>
        <w:jc w:val="both"/>
        <w:rPr>
          <w:rFonts w:ascii="Times New Roman" w:hAnsi="Times New Roman" w:cs="Times New Roman"/>
          <w:noProof/>
          <w:color w:val="000000" w:themeColor="text1"/>
          <w:sz w:val="24"/>
          <w:szCs w:val="24"/>
        </w:rPr>
      </w:pPr>
    </w:p>
    <w:p w:rsidR="00821F17" w:rsidRDefault="006B159E">
      <w:pPr>
        <w:spacing w:after="0" w:line="36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EIF was designed in 2005-2006 and its specific objectives were formulated as broad as possible to cater for changing conditions. Subsequently, to foster a </w:t>
      </w:r>
      <w:r>
        <w:rPr>
          <w:rFonts w:ascii="Times New Roman" w:hAnsi="Times New Roman" w:cs="Times New Roman"/>
          <w:noProof/>
          <w:color w:val="000000" w:themeColor="text1"/>
          <w:sz w:val="24"/>
          <w:szCs w:val="24"/>
        </w:rPr>
        <w:t>more targeted implementation of the policy priorities the Commission adopted the Strategic Guidelines of EIF</w:t>
      </w:r>
      <w:r>
        <w:rPr>
          <w:rStyle w:val="FootnoteReference"/>
          <w:rFonts w:ascii="Times New Roman" w:hAnsi="Times New Roman" w:cs="Times New Roman"/>
          <w:noProof/>
          <w:color w:val="000000" w:themeColor="text1"/>
          <w:sz w:val="24"/>
          <w:szCs w:val="24"/>
        </w:rPr>
        <w:footnoteReference w:id="5"/>
      </w:r>
      <w:r>
        <w:rPr>
          <w:rFonts w:ascii="Times New Roman" w:hAnsi="Times New Roman" w:cs="Times New Roman"/>
          <w:noProof/>
          <w:color w:val="000000" w:themeColor="text1"/>
          <w:sz w:val="24"/>
          <w:szCs w:val="24"/>
        </w:rPr>
        <w:t xml:space="preserve">, which established a framework for the intervention of the Fund around four priorities. </w:t>
      </w:r>
    </w:p>
    <w:p w:rsidR="00821F17" w:rsidRDefault="00821F17">
      <w:pPr>
        <w:spacing w:after="0" w:line="360" w:lineRule="auto"/>
        <w:jc w:val="both"/>
        <w:rPr>
          <w:rFonts w:ascii="Times New Roman" w:hAnsi="Times New Roman" w:cs="Times New Roman"/>
          <w:noProof/>
          <w:sz w:val="24"/>
          <w:szCs w:val="24"/>
        </w:rPr>
      </w:pPr>
    </w:p>
    <w:p w:rsidR="00821F17" w:rsidRDefault="006B159E">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According to these priorities, Member States were to det</w:t>
      </w:r>
      <w:r>
        <w:rPr>
          <w:rFonts w:ascii="Times New Roman" w:hAnsi="Times New Roman" w:cs="Times New Roman"/>
          <w:noProof/>
          <w:sz w:val="24"/>
          <w:szCs w:val="24"/>
        </w:rPr>
        <w:t>ermine the most effective distribution of financial resources according to national needs in terms of integration. Moreover, when preparing their draft multi-annual programmes, Member States were required to target at least three of the four priorities (wi</w:t>
      </w:r>
      <w:r>
        <w:rPr>
          <w:rFonts w:ascii="Times New Roman" w:hAnsi="Times New Roman" w:cs="Times New Roman"/>
          <w:noProof/>
          <w:sz w:val="24"/>
          <w:szCs w:val="24"/>
        </w:rPr>
        <w:t xml:space="preserve">th priorities 1 and 2 being mandatory) through the use of available resources. </w:t>
      </w:r>
    </w:p>
    <w:p w:rsidR="00821F17" w:rsidRDefault="006B159E">
      <w:pPr>
        <w:spacing w:line="360" w:lineRule="auto"/>
        <w:jc w:val="both"/>
        <w:rPr>
          <w:rFonts w:ascii="Times New Roman" w:hAnsi="Times New Roman" w:cs="Times New Roman"/>
          <w:b/>
          <w:noProof/>
          <w:sz w:val="24"/>
          <w:szCs w:val="24"/>
          <w:lang w:val="en"/>
        </w:rPr>
      </w:pPr>
      <w:r>
        <w:rPr>
          <w:rFonts w:ascii="Times New Roman" w:hAnsi="Times New Roman" w:cs="Times New Roman"/>
          <w:noProof/>
          <w:sz w:val="24"/>
          <w:szCs w:val="24"/>
          <w:lang w:val="en"/>
        </w:rPr>
        <w:t>The four priorities of the fund</w:t>
      </w:r>
      <w:r>
        <w:rPr>
          <w:rFonts w:ascii="Times New Roman" w:hAnsi="Times New Roman" w:cs="Times New Roman"/>
          <w:b/>
          <w:noProof/>
          <w:sz w:val="24"/>
          <w:szCs w:val="24"/>
          <w:lang w:val="en"/>
        </w:rPr>
        <w:t xml:space="preserve"> </w:t>
      </w:r>
      <w:r>
        <w:rPr>
          <w:rFonts w:ascii="Times New Roman" w:hAnsi="Times New Roman" w:cs="Times New Roman"/>
          <w:noProof/>
          <w:sz w:val="24"/>
          <w:szCs w:val="24"/>
          <w:lang w:val="en"/>
        </w:rPr>
        <w:t>were broadly aligned with the above specific objectives</w:t>
      </w:r>
      <w:r>
        <w:rPr>
          <w:rFonts w:ascii="Times New Roman" w:hAnsi="Times New Roman" w:cs="Times New Roman"/>
          <w:b/>
          <w:noProof/>
          <w:sz w:val="24"/>
          <w:szCs w:val="24"/>
          <w:lang w:val="en"/>
        </w:rPr>
        <w:t>:</w:t>
      </w:r>
    </w:p>
    <w:p w:rsidR="00821F17" w:rsidRDefault="006B159E">
      <w:pPr>
        <w:spacing w:line="360" w:lineRule="auto"/>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Priority 1: Implementation of actions designed to put the "Common Basic Principles for </w:t>
      </w:r>
      <w:r>
        <w:rPr>
          <w:rFonts w:ascii="Times New Roman" w:hAnsi="Times New Roman" w:cs="Times New Roman"/>
          <w:noProof/>
          <w:sz w:val="24"/>
          <w:szCs w:val="24"/>
          <w:lang w:val="en"/>
        </w:rPr>
        <w:t>immigrant integration policy in the European Union"</w:t>
      </w:r>
      <w:r>
        <w:rPr>
          <w:rStyle w:val="FootnoteReference"/>
          <w:rFonts w:ascii="Times New Roman" w:hAnsi="Times New Roman" w:cs="Times New Roman"/>
          <w:noProof/>
          <w:sz w:val="24"/>
          <w:szCs w:val="24"/>
          <w:lang w:val="en"/>
        </w:rPr>
        <w:footnoteReference w:id="6"/>
      </w:r>
      <w:r>
        <w:rPr>
          <w:rFonts w:ascii="Times New Roman" w:hAnsi="Times New Roman" w:cs="Times New Roman"/>
          <w:noProof/>
          <w:sz w:val="24"/>
          <w:szCs w:val="24"/>
          <w:lang w:val="en"/>
        </w:rPr>
        <w:t xml:space="preserve"> into practice (feeding into objectives 1 and 2).</w:t>
      </w:r>
    </w:p>
    <w:p w:rsidR="00821F17" w:rsidRDefault="006B159E">
      <w:pPr>
        <w:spacing w:line="360" w:lineRule="auto"/>
        <w:jc w:val="both"/>
        <w:rPr>
          <w:rFonts w:ascii="Times New Roman" w:hAnsi="Times New Roman" w:cs="Times New Roman"/>
          <w:noProof/>
          <w:sz w:val="24"/>
          <w:szCs w:val="24"/>
          <w:lang w:val="en"/>
        </w:rPr>
      </w:pPr>
      <w:r>
        <w:rPr>
          <w:rFonts w:ascii="Times New Roman" w:hAnsi="Times New Roman" w:cs="Times New Roman"/>
          <w:noProof/>
          <w:sz w:val="24"/>
          <w:szCs w:val="24"/>
          <w:lang w:val="en"/>
        </w:rPr>
        <w:t>Priority 2: Development of indicators and evaluation methodologies to assess progress, adjust policies and measures, and to facilitate co-ordination of co</w:t>
      </w:r>
      <w:r>
        <w:rPr>
          <w:rFonts w:ascii="Times New Roman" w:hAnsi="Times New Roman" w:cs="Times New Roman"/>
          <w:noProof/>
          <w:sz w:val="24"/>
          <w:szCs w:val="24"/>
          <w:lang w:val="en"/>
        </w:rPr>
        <w:t>mparative learning (feeding into objectives 3 and 4).</w:t>
      </w:r>
    </w:p>
    <w:p w:rsidR="00821F17" w:rsidRDefault="006B159E">
      <w:pPr>
        <w:spacing w:line="360" w:lineRule="auto"/>
        <w:jc w:val="both"/>
        <w:rPr>
          <w:rFonts w:ascii="Times New Roman" w:hAnsi="Times New Roman" w:cs="Times New Roman"/>
          <w:noProof/>
          <w:sz w:val="24"/>
          <w:szCs w:val="24"/>
          <w:lang w:val="en"/>
        </w:rPr>
      </w:pPr>
      <w:r>
        <w:rPr>
          <w:rFonts w:ascii="Times New Roman" w:hAnsi="Times New Roman" w:cs="Times New Roman"/>
          <w:noProof/>
          <w:sz w:val="24"/>
          <w:szCs w:val="24"/>
          <w:lang w:val="en"/>
        </w:rPr>
        <w:t>Priority 3: Policy capacity building, co-ordination and intercultural competence building in the Member States across the different levels and departments of government (feeding into objectives 2 and 3)</w:t>
      </w:r>
      <w:r>
        <w:rPr>
          <w:rFonts w:ascii="Times New Roman" w:hAnsi="Times New Roman" w:cs="Times New Roman"/>
          <w:noProof/>
          <w:sz w:val="24"/>
          <w:szCs w:val="24"/>
          <w:lang w:val="en"/>
        </w:rPr>
        <w:t>.</w:t>
      </w:r>
    </w:p>
    <w:p w:rsidR="00821F17" w:rsidRDefault="006B159E">
      <w:pPr>
        <w:spacing w:line="360" w:lineRule="auto"/>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Priority 4: Exchange of experience, good practice and information on integration between the Member States (feeding into objective 4). </w:t>
      </w:r>
    </w:p>
    <w:p w:rsidR="00821F17" w:rsidRDefault="006B159E">
      <w:pPr>
        <w:spacing w:after="0" w:line="360" w:lineRule="auto"/>
        <w:jc w:val="both"/>
        <w:rPr>
          <w:rFonts w:ascii="Times New Roman" w:hAnsi="Times New Roman" w:cs="Times New Roman"/>
          <w:noProof/>
          <w:sz w:val="24"/>
          <w:szCs w:val="24"/>
          <w:lang w:val="en"/>
        </w:rPr>
      </w:pPr>
      <w:r>
        <w:rPr>
          <w:rFonts w:ascii="Times New Roman" w:hAnsi="Times New Roman" w:cs="Times New Roman"/>
          <w:noProof/>
          <w:sz w:val="24"/>
          <w:szCs w:val="24"/>
          <w:lang w:val="en"/>
        </w:rPr>
        <w:t>The evaluation found the design of the Fund complex, with priorities falling under more than one specific objective. T</w:t>
      </w:r>
      <w:r>
        <w:rPr>
          <w:rFonts w:ascii="Times New Roman" w:hAnsi="Times New Roman" w:cs="Times New Roman"/>
          <w:noProof/>
          <w:sz w:val="24"/>
          <w:szCs w:val="24"/>
          <w:lang w:val="en"/>
        </w:rPr>
        <w:t>his is a common feature of the SOLID funds, as shown also by the results of the ex post evaluation of the three other funds (European Refugee Fund</w:t>
      </w:r>
      <w:r>
        <w:rPr>
          <w:rStyle w:val="FootnoteReference"/>
          <w:rFonts w:ascii="Times New Roman" w:hAnsi="Times New Roman" w:cs="Times New Roman"/>
          <w:noProof/>
          <w:sz w:val="24"/>
          <w:szCs w:val="24"/>
          <w:lang w:val="en"/>
        </w:rPr>
        <w:footnoteReference w:id="7"/>
      </w:r>
      <w:r>
        <w:rPr>
          <w:rFonts w:ascii="Times New Roman" w:hAnsi="Times New Roman" w:cs="Times New Roman"/>
          <w:noProof/>
          <w:sz w:val="24"/>
          <w:szCs w:val="24"/>
          <w:lang w:val="en"/>
        </w:rPr>
        <w:t>, External Borders Fund</w:t>
      </w:r>
      <w:r>
        <w:rPr>
          <w:rStyle w:val="FootnoteReference"/>
          <w:rFonts w:ascii="Times New Roman" w:hAnsi="Times New Roman" w:cs="Times New Roman"/>
          <w:noProof/>
          <w:sz w:val="24"/>
          <w:szCs w:val="24"/>
          <w:lang w:val="en"/>
        </w:rPr>
        <w:footnoteReference w:id="8"/>
      </w:r>
      <w:r>
        <w:rPr>
          <w:rFonts w:ascii="Times New Roman" w:hAnsi="Times New Roman" w:cs="Times New Roman"/>
          <w:noProof/>
          <w:sz w:val="24"/>
          <w:szCs w:val="24"/>
          <w:lang w:val="en"/>
        </w:rPr>
        <w:t xml:space="preserve"> and European Return Fund</w:t>
      </w:r>
      <w:r>
        <w:rPr>
          <w:rStyle w:val="FootnoteReference"/>
          <w:rFonts w:ascii="Times New Roman" w:hAnsi="Times New Roman" w:cs="Times New Roman"/>
          <w:noProof/>
          <w:sz w:val="24"/>
          <w:szCs w:val="24"/>
          <w:lang w:val="en"/>
        </w:rPr>
        <w:footnoteReference w:id="9"/>
      </w:r>
      <w:r>
        <w:rPr>
          <w:rFonts w:ascii="Times New Roman" w:hAnsi="Times New Roman" w:cs="Times New Roman"/>
          <w:noProof/>
          <w:sz w:val="24"/>
          <w:szCs w:val="24"/>
          <w:lang w:val="en"/>
        </w:rPr>
        <w:t xml:space="preserve">). However, when preparing the current funding instrument, </w:t>
      </w:r>
      <w:r>
        <w:rPr>
          <w:rFonts w:ascii="Times New Roman" w:hAnsi="Times New Roman" w:cs="Times New Roman"/>
          <w:noProof/>
          <w:sz w:val="24"/>
          <w:szCs w:val="24"/>
          <w:lang w:val="en"/>
        </w:rPr>
        <w:t>the Asylum, Migration and Integration Fund</w:t>
      </w:r>
      <w:r>
        <w:rPr>
          <w:rStyle w:val="FootnoteReference"/>
          <w:rFonts w:ascii="Times New Roman" w:hAnsi="Times New Roman" w:cs="Times New Roman"/>
          <w:noProof/>
          <w:sz w:val="24"/>
          <w:szCs w:val="24"/>
          <w:lang w:val="en"/>
        </w:rPr>
        <w:footnoteReference w:id="10"/>
      </w:r>
      <w:r>
        <w:rPr>
          <w:rFonts w:ascii="Times New Roman" w:hAnsi="Times New Roman" w:cs="Times New Roman"/>
          <w:noProof/>
          <w:sz w:val="24"/>
          <w:szCs w:val="24"/>
          <w:lang w:val="en"/>
        </w:rPr>
        <w:t xml:space="preserve"> (AMIF), the Commission took stock of the experience with the SOLID funds and designed the AMIF around a general objective to which contributed to four specific objectives.</w:t>
      </w:r>
    </w:p>
    <w:p w:rsidR="00821F17" w:rsidRDefault="00821F17">
      <w:pPr>
        <w:spacing w:after="0" w:line="360" w:lineRule="auto"/>
        <w:jc w:val="both"/>
        <w:rPr>
          <w:rFonts w:ascii="Times New Roman" w:hAnsi="Times New Roman" w:cs="Times New Roman"/>
          <w:noProof/>
          <w:sz w:val="24"/>
          <w:szCs w:val="24"/>
          <w:lang w:val="en"/>
        </w:rPr>
      </w:pPr>
    </w:p>
    <w:p w:rsidR="00821F17" w:rsidRDefault="006B159E">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The EIF was implemented through two typ</w:t>
      </w:r>
      <w:r>
        <w:rPr>
          <w:rFonts w:ascii="Times New Roman" w:hAnsi="Times New Roman" w:cs="Times New Roman"/>
          <w:noProof/>
          <w:sz w:val="24"/>
          <w:szCs w:val="24"/>
        </w:rPr>
        <w:t>es of actions:</w:t>
      </w:r>
    </w:p>
    <w:p w:rsidR="00821F17" w:rsidRDefault="006B159E">
      <w:pPr>
        <w:pStyle w:val="ListParagraph"/>
        <w:numPr>
          <w:ilvl w:val="0"/>
          <w:numId w:val="14"/>
        </w:numPr>
        <w:spacing w:line="360" w:lineRule="auto"/>
        <w:jc w:val="both"/>
        <w:rPr>
          <w:rFonts w:ascii="Times New Roman" w:hAnsi="Times New Roman"/>
          <w:noProof/>
          <w:sz w:val="24"/>
        </w:rPr>
      </w:pPr>
      <w:r>
        <w:rPr>
          <w:rFonts w:ascii="Times New Roman" w:hAnsi="Times New Roman"/>
          <w:noProof/>
          <w:sz w:val="24"/>
        </w:rPr>
        <w:t>National programmes: under the principle of shared management, Member States implemented the Fund through national annual programmes on the basis of multiannual programming which reflected their specific needs.  The annual national programme</w:t>
      </w:r>
      <w:r>
        <w:rPr>
          <w:rFonts w:ascii="Times New Roman" w:hAnsi="Times New Roman"/>
          <w:noProof/>
          <w:sz w:val="24"/>
        </w:rPr>
        <w:t>s set out the measures to be implemented in the Member States and specified their purpose, scope, beneficiaries, expected results and budget.</w:t>
      </w:r>
    </w:p>
    <w:p w:rsidR="00821F17" w:rsidRDefault="00821F17">
      <w:pPr>
        <w:pStyle w:val="ListParagraph"/>
        <w:spacing w:line="360" w:lineRule="auto"/>
        <w:jc w:val="both"/>
        <w:rPr>
          <w:rFonts w:ascii="Times New Roman" w:hAnsi="Times New Roman"/>
          <w:noProof/>
          <w:sz w:val="24"/>
        </w:rPr>
      </w:pPr>
    </w:p>
    <w:p w:rsidR="00821F17" w:rsidRDefault="006B159E">
      <w:pPr>
        <w:pStyle w:val="ListParagraph"/>
        <w:numPr>
          <w:ilvl w:val="0"/>
          <w:numId w:val="14"/>
        </w:numPr>
        <w:spacing w:line="360" w:lineRule="auto"/>
        <w:jc w:val="both"/>
        <w:rPr>
          <w:rFonts w:ascii="Times New Roman" w:hAnsi="Times New Roman"/>
          <w:noProof/>
          <w:sz w:val="24"/>
        </w:rPr>
      </w:pPr>
      <w:r>
        <w:rPr>
          <w:rFonts w:ascii="Times New Roman" w:hAnsi="Times New Roman"/>
          <w:noProof/>
          <w:sz w:val="24"/>
        </w:rPr>
        <w:t>Community Actions: at the Commission's initiative, up to 4% of the EIF resources were made available to finance t</w:t>
      </w:r>
      <w:r>
        <w:rPr>
          <w:rFonts w:ascii="Times New Roman" w:hAnsi="Times New Roman"/>
          <w:noProof/>
          <w:sz w:val="24"/>
        </w:rPr>
        <w:t>ransnational actions or actions of interest to the EU as a whole. These actions were implemented by NGOs, international organisations or public bodies of the Member States. Priorities and themes for projects were set out in the European Commission's annual</w:t>
      </w:r>
      <w:r>
        <w:rPr>
          <w:rFonts w:ascii="Times New Roman" w:hAnsi="Times New Roman"/>
          <w:noProof/>
          <w:sz w:val="24"/>
        </w:rPr>
        <w:t xml:space="preserve"> work programmes. Calls for proposals were published and potential beneficiaries could apply and submit their proposals. </w:t>
      </w:r>
    </w:p>
    <w:p w:rsidR="00821F17" w:rsidRDefault="00821F17">
      <w:pPr>
        <w:pStyle w:val="Bulletpoint1"/>
        <w:spacing w:line="360" w:lineRule="auto"/>
        <w:ind w:firstLine="0"/>
        <w:jc w:val="both"/>
        <w:rPr>
          <w:rFonts w:ascii="Times New Roman" w:hAnsi="Times New Roman"/>
          <w:noProof/>
        </w:rPr>
      </w:pPr>
    </w:p>
    <w:p w:rsidR="00821F17" w:rsidRDefault="006B159E">
      <w:pPr>
        <w:pStyle w:val="Bulletpoint1"/>
        <w:spacing w:line="360" w:lineRule="auto"/>
        <w:ind w:left="0" w:firstLine="0"/>
        <w:jc w:val="both"/>
        <w:rPr>
          <w:b/>
          <w:noProof/>
          <w:u w:val="single"/>
        </w:rPr>
      </w:pPr>
      <w:r>
        <w:rPr>
          <w:rFonts w:ascii="Times New Roman" w:hAnsi="Times New Roman"/>
          <w:noProof/>
          <w:lang w:val="en"/>
        </w:rPr>
        <w:t xml:space="preserve">An overview of the financial performance of the EIF is provided in Section 5 Implementation state of play. </w:t>
      </w:r>
      <w:r>
        <w:rPr>
          <w:b/>
          <w:noProof/>
          <w:u w:val="single"/>
        </w:rPr>
        <w:br w:type="page"/>
      </w:r>
    </w:p>
    <w:p w:rsidR="00821F17" w:rsidRDefault="006B159E">
      <w:pPr>
        <w:pStyle w:val="Heading1"/>
        <w:rPr>
          <w:noProof/>
          <w:lang w:val="en-GB"/>
        </w:rPr>
      </w:pPr>
      <w:bookmarkStart w:id="4" w:name="_Toc501546847"/>
      <w:r>
        <w:rPr>
          <w:noProof/>
          <w:lang w:val="en-GB"/>
        </w:rPr>
        <w:t>Evaluation questions</w:t>
      </w:r>
      <w:bookmarkEnd w:id="4"/>
    </w:p>
    <w:p w:rsidR="00821F17" w:rsidRDefault="006B159E">
      <w:pPr>
        <w:pStyle w:val="NormalIndent"/>
        <w:spacing w:after="0" w:line="360" w:lineRule="auto"/>
        <w:ind w:left="0"/>
        <w:rPr>
          <w:rFonts w:ascii="Times New Roman" w:hAnsi="Times New Roman" w:cs="Times New Roman"/>
          <w:bCs/>
          <w:iCs/>
          <w:noProof/>
          <w:color w:val="000000" w:themeColor="text1"/>
          <w:sz w:val="24"/>
          <w:szCs w:val="24"/>
          <w:lang w:val="en-GB"/>
        </w:rPr>
      </w:pPr>
      <w:r>
        <w:rPr>
          <w:rFonts w:ascii="Times New Roman" w:hAnsi="Times New Roman" w:cs="Times New Roman"/>
          <w:bCs/>
          <w:iCs/>
          <w:noProof/>
          <w:color w:val="000000" w:themeColor="text1"/>
          <w:sz w:val="24"/>
          <w:szCs w:val="24"/>
          <w:lang w:val="en-GB"/>
        </w:rPr>
        <w:t xml:space="preserve">The evaluation assessed the EIF against the mandatory evaluation criteria laid down in the Commission’s </w:t>
      </w:r>
      <w:r>
        <w:rPr>
          <w:rFonts w:ascii="Times New Roman" w:hAnsi="Times New Roman" w:cs="Times New Roman"/>
          <w:bCs/>
          <w:i/>
          <w:iCs/>
          <w:noProof/>
          <w:color w:val="000000" w:themeColor="text1"/>
          <w:sz w:val="24"/>
          <w:szCs w:val="24"/>
          <w:lang w:val="en-GB"/>
        </w:rPr>
        <w:t>Better Regulation Guidelines</w:t>
      </w:r>
      <w:r>
        <w:rPr>
          <w:rFonts w:ascii="Times New Roman" w:hAnsi="Times New Roman" w:cs="Times New Roman"/>
          <w:bCs/>
          <w:iCs/>
          <w:noProof/>
          <w:color w:val="000000" w:themeColor="text1"/>
          <w:sz w:val="24"/>
          <w:szCs w:val="24"/>
          <w:lang w:val="en-GB"/>
        </w:rPr>
        <w:t xml:space="preserve"> (effectiveness, efficiency, relevance, sustainability, coherence and EU added value). In addition, sustainability and compl</w:t>
      </w:r>
      <w:r>
        <w:rPr>
          <w:rFonts w:ascii="Times New Roman" w:hAnsi="Times New Roman" w:cs="Times New Roman"/>
          <w:bCs/>
          <w:iCs/>
          <w:noProof/>
          <w:color w:val="000000" w:themeColor="text1"/>
          <w:sz w:val="24"/>
          <w:szCs w:val="24"/>
          <w:lang w:val="en-GB"/>
        </w:rPr>
        <w:t xml:space="preserve">ementarity of the co-financed actions were also assessed. To do so, 16 evaluation questions were set out in the terms of reference of the evaluation study and related directly to the Fund's objectives; they are listed </w:t>
      </w:r>
      <w:r>
        <w:rPr>
          <w:rFonts w:ascii="Times New Roman" w:hAnsi="Times New Roman" w:cs="Times New Roman"/>
          <w:noProof/>
          <w:color w:val="000000" w:themeColor="text1"/>
          <w:sz w:val="24"/>
          <w:lang w:val="en-GB"/>
        </w:rPr>
        <w:t xml:space="preserve">in Annex </w:t>
      </w:r>
      <w:r>
        <w:rPr>
          <w:rFonts w:ascii="Times New Roman" w:hAnsi="Times New Roman" w:cs="Times New Roman"/>
          <w:bCs/>
          <w:iCs/>
          <w:noProof/>
          <w:color w:val="000000" w:themeColor="text1"/>
          <w:sz w:val="24"/>
          <w:szCs w:val="24"/>
          <w:lang w:val="en-GB"/>
        </w:rPr>
        <w:t>4 and their detailed analysis</w:t>
      </w:r>
      <w:r>
        <w:rPr>
          <w:rFonts w:ascii="Times New Roman" w:hAnsi="Times New Roman" w:cs="Times New Roman"/>
          <w:bCs/>
          <w:iCs/>
          <w:noProof/>
          <w:color w:val="000000" w:themeColor="text1"/>
          <w:sz w:val="24"/>
          <w:szCs w:val="24"/>
          <w:lang w:val="en-GB"/>
        </w:rPr>
        <w:t xml:space="preserve"> is provided in Section 6.</w:t>
      </w:r>
      <w:bookmarkStart w:id="5" w:name="_Toc473272934"/>
      <w:bookmarkStart w:id="6" w:name="_Toc473274546"/>
      <w:bookmarkStart w:id="7" w:name="_Toc473274569"/>
      <w:bookmarkEnd w:id="5"/>
      <w:bookmarkEnd w:id="6"/>
      <w:bookmarkEnd w:id="7"/>
    </w:p>
    <w:p w:rsidR="00821F17" w:rsidRDefault="00821F17">
      <w:pPr>
        <w:rPr>
          <w:b/>
          <w:noProof/>
          <w:u w:val="single"/>
        </w:rPr>
      </w:pPr>
    </w:p>
    <w:p w:rsidR="00821F17" w:rsidRDefault="006B159E">
      <w:pPr>
        <w:pStyle w:val="Heading1"/>
        <w:rPr>
          <w:noProof/>
          <w:lang w:val="en-GB"/>
        </w:rPr>
      </w:pPr>
      <w:bookmarkStart w:id="8" w:name="_Toc501546848"/>
      <w:r>
        <w:rPr>
          <w:noProof/>
          <w:lang w:val="en-GB"/>
        </w:rPr>
        <w:t>Method</w:t>
      </w:r>
      <w:bookmarkEnd w:id="8"/>
      <w:r>
        <w:rPr>
          <w:noProof/>
          <w:lang w:val="en-GB"/>
        </w:rPr>
        <w:t xml:space="preserve"> </w:t>
      </w:r>
    </w:p>
    <w:p w:rsidR="00821F17" w:rsidRDefault="006B159E">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An ex post evaluation study of the Fund was carried out between April 2016 and December 2016 by a consulting firm specialised in evaluation.</w:t>
      </w:r>
    </w:p>
    <w:p w:rsidR="00821F17" w:rsidRDefault="006B159E">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The methodology combined desk research and qualitative and quantitative analysi</w:t>
      </w:r>
      <w:r>
        <w:rPr>
          <w:rFonts w:ascii="Times New Roman" w:hAnsi="Times New Roman" w:cs="Times New Roman"/>
          <w:noProof/>
          <w:sz w:val="24"/>
          <w:szCs w:val="24"/>
        </w:rPr>
        <w:t xml:space="preserve">s. The methodology required a systemic synthesis of the evidence regarding the implementation of the Fund. Information was derived mainly </w:t>
      </w:r>
      <w:r>
        <w:rPr>
          <w:rFonts w:ascii="Times New Roman" w:hAnsi="Times New Roman" w:cs="Times New Roman"/>
          <w:noProof/>
          <w:color w:val="000000" w:themeColor="text1"/>
          <w:sz w:val="24"/>
          <w:szCs w:val="24"/>
        </w:rPr>
        <w:t>from the 26</w:t>
      </w:r>
      <w:r>
        <w:rPr>
          <w:rStyle w:val="FootnoteReference"/>
          <w:rFonts w:ascii="Times New Roman" w:hAnsi="Times New Roman" w:cs="Times New Roman"/>
          <w:noProof/>
          <w:color w:val="000000" w:themeColor="text1"/>
          <w:sz w:val="24"/>
          <w:szCs w:val="24"/>
        </w:rPr>
        <w:footnoteReference w:id="11"/>
      </w:r>
      <w:r>
        <w:rPr>
          <w:rFonts w:ascii="Times New Roman" w:hAnsi="Times New Roman" w:cs="Times New Roman"/>
          <w:noProof/>
          <w:color w:val="000000" w:themeColor="text1"/>
          <w:sz w:val="24"/>
          <w:szCs w:val="24"/>
        </w:rPr>
        <w:t xml:space="preserve"> </w:t>
      </w:r>
      <w:r>
        <w:rPr>
          <w:rFonts w:ascii="Times New Roman" w:hAnsi="Times New Roman" w:cs="Times New Roman"/>
          <w:noProof/>
          <w:sz w:val="24"/>
          <w:szCs w:val="24"/>
        </w:rPr>
        <w:t>national evaluation reports and the annual work programmes of the Member States. The annual work programm</w:t>
      </w:r>
      <w:r>
        <w:rPr>
          <w:rFonts w:ascii="Times New Roman" w:hAnsi="Times New Roman" w:cs="Times New Roman"/>
          <w:noProof/>
          <w:sz w:val="24"/>
          <w:szCs w:val="24"/>
        </w:rPr>
        <w:t>es set out the operational objectives for each year and the national evaluation reports provided information on outputs, results and impacts of the Fund. All the information contained in the 26 evaluation reports was first assessed to check its completenes</w:t>
      </w:r>
      <w:r>
        <w:rPr>
          <w:rFonts w:ascii="Times New Roman" w:hAnsi="Times New Roman" w:cs="Times New Roman"/>
          <w:noProof/>
          <w:sz w:val="24"/>
          <w:szCs w:val="24"/>
        </w:rPr>
        <w:t xml:space="preserve">s, comparability, quality and reliability. Shortcomings were found in four national reports, where gaps, inconsistencies and unclear statements were identified. Data included in the evaluation reports were crosschecked against other sources of information </w:t>
      </w:r>
      <w:r>
        <w:rPr>
          <w:rFonts w:ascii="Times New Roman" w:hAnsi="Times New Roman" w:cs="Times New Roman"/>
          <w:noProof/>
          <w:sz w:val="24"/>
          <w:szCs w:val="24"/>
        </w:rPr>
        <w:t>and follow-ups undertaken with the responsible authorities in Member States. The quantitative data was crosschecked with other sources, including annual programmes closure reports, to ensure consistency. The desk research included also relevant official st</w:t>
      </w:r>
      <w:r>
        <w:rPr>
          <w:rFonts w:ascii="Times New Roman" w:hAnsi="Times New Roman" w:cs="Times New Roman"/>
          <w:noProof/>
          <w:sz w:val="24"/>
          <w:szCs w:val="24"/>
        </w:rPr>
        <w:t>atistics (i.e. the OECD and European Commission’s Immigrant Integration Indicators</w:t>
      </w:r>
      <w:r>
        <w:rPr>
          <w:rFonts w:ascii="Times New Roman" w:hAnsi="Times New Roman" w:cs="Times New Roman"/>
          <w:noProof/>
          <w:sz w:val="24"/>
          <w:szCs w:val="24"/>
          <w:vertAlign w:val="superscript"/>
        </w:rPr>
        <w:footnoteReference w:id="12"/>
      </w:r>
      <w:r>
        <w:rPr>
          <w:rFonts w:ascii="Times New Roman" w:hAnsi="Times New Roman" w:cs="Times New Roman"/>
          <w:noProof/>
          <w:sz w:val="24"/>
          <w:szCs w:val="24"/>
        </w:rPr>
        <w:t xml:space="preserve"> and MIPEX</w:t>
      </w:r>
      <w:r>
        <w:rPr>
          <w:rFonts w:ascii="Times New Roman" w:hAnsi="Times New Roman" w:cs="Times New Roman"/>
          <w:noProof/>
          <w:sz w:val="24"/>
          <w:szCs w:val="24"/>
          <w:vertAlign w:val="superscript"/>
        </w:rPr>
        <w:footnoteReference w:id="13"/>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w:t>
      </w:r>
    </w:p>
    <w:p w:rsidR="00821F17" w:rsidRDefault="006B159E">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Further information was obtained from more than 100 in-depth interviews with EU-level stakeholders (national Responsible authorities, beneficiaries, EU </w:t>
      </w:r>
      <w:r>
        <w:rPr>
          <w:rFonts w:ascii="Times New Roman" w:hAnsi="Times New Roman" w:cs="Times New Roman"/>
          <w:noProof/>
          <w:sz w:val="24"/>
          <w:szCs w:val="24"/>
        </w:rPr>
        <w:t>officials and case study respondents), eight case studies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and a public consultation. A detailed analysis of the stakeholder consultation is provided in Annex 2.</w:t>
      </w:r>
    </w:p>
    <w:p w:rsidR="00821F17" w:rsidRDefault="00821F17">
      <w:pPr>
        <w:spacing w:after="0" w:line="240" w:lineRule="auto"/>
        <w:jc w:val="both"/>
        <w:rPr>
          <w:rFonts w:ascii="Times New Roman" w:hAnsi="Times New Roman" w:cs="Times New Roman"/>
          <w:noProof/>
          <w:sz w:val="24"/>
          <w:szCs w:val="24"/>
        </w:rPr>
      </w:pPr>
    </w:p>
    <w:p w:rsidR="00821F17" w:rsidRDefault="006B159E">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Data on Community Actions funded by the EIF over the period 2011-2013 was collected and analysed through a combination of desk research and targeted data collection. In addition, Commission officials who coordinated/administered the Community Actions were </w:t>
      </w:r>
      <w:r>
        <w:rPr>
          <w:rFonts w:ascii="Times New Roman" w:hAnsi="Times New Roman" w:cs="Times New Roman"/>
          <w:noProof/>
          <w:sz w:val="24"/>
          <w:szCs w:val="24"/>
        </w:rPr>
        <w:t xml:space="preserve">interviewed and a phone survey was undertaken in relation to a sample of projects funded under the EIF 2011-2013 (35 beneficiaries, 20 project managers and four national Responsible authorities). </w:t>
      </w:r>
    </w:p>
    <w:p w:rsidR="00821F17" w:rsidRDefault="006B159E">
      <w:pPr>
        <w:pStyle w:val="Heading1"/>
        <w:numPr>
          <w:ilvl w:val="1"/>
          <w:numId w:val="2"/>
        </w:numPr>
        <w:rPr>
          <w:noProof/>
        </w:rPr>
      </w:pPr>
      <w:r>
        <w:rPr>
          <w:noProof/>
          <w:lang w:val="en-GB"/>
        </w:rPr>
        <w:t>limitations</w:t>
      </w:r>
    </w:p>
    <w:p w:rsidR="00821F17" w:rsidRDefault="006B159E">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Assessing the coherence and complementarity of </w:t>
      </w:r>
      <w:r>
        <w:rPr>
          <w:rFonts w:ascii="Times New Roman" w:hAnsi="Times New Roman" w:cs="Times New Roman"/>
          <w:noProof/>
          <w:sz w:val="24"/>
          <w:szCs w:val="24"/>
        </w:rPr>
        <w:t>the Community Actions with National Actions as well as the effectiveness of projects proved to be difficult, due mainly to the fact that the Responsible Authorities did not have a substantial awareness of Community Actions as they were often not systematic</w:t>
      </w:r>
      <w:r>
        <w:rPr>
          <w:rFonts w:ascii="Times New Roman" w:hAnsi="Times New Roman" w:cs="Times New Roman"/>
          <w:noProof/>
          <w:sz w:val="24"/>
          <w:szCs w:val="24"/>
        </w:rPr>
        <w:t>ally informed by the beneficiary organisations of projects implemented in this way. This also posed difficulties when assessing the survey carried out on the Community Actions. To partly overcome this difficulty, the evaluation experts have analysed additi</w:t>
      </w:r>
      <w:r>
        <w:rPr>
          <w:rFonts w:ascii="Times New Roman" w:hAnsi="Times New Roman" w:cs="Times New Roman"/>
          <w:noProof/>
          <w:sz w:val="24"/>
          <w:szCs w:val="24"/>
        </w:rPr>
        <w:t>onal documentation on project activities, outputs and results provided by the Commission.</w:t>
      </w:r>
    </w:p>
    <w:p w:rsidR="00821F17" w:rsidRDefault="00821F17">
      <w:pPr>
        <w:spacing w:after="0" w:line="360" w:lineRule="auto"/>
        <w:jc w:val="both"/>
        <w:rPr>
          <w:rFonts w:ascii="Times New Roman" w:hAnsi="Times New Roman" w:cs="Times New Roman"/>
          <w:noProof/>
          <w:sz w:val="24"/>
          <w:szCs w:val="24"/>
        </w:rPr>
      </w:pPr>
    </w:p>
    <w:p w:rsidR="00821F17" w:rsidRDefault="006B159E">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Another difficulty was that the original design of the Fund did not foresee the obligation for the Member States to set a baseline, nor did it include EU targets lin</w:t>
      </w:r>
      <w:r>
        <w:rPr>
          <w:rFonts w:ascii="Times New Roman" w:hAnsi="Times New Roman" w:cs="Times New Roman"/>
          <w:noProof/>
          <w:sz w:val="24"/>
          <w:szCs w:val="24"/>
        </w:rPr>
        <w:t>ked to operational objectives. This made it difficult to measure the results of the EIF. To assess the effectiveness of the Fund, the evaluators relied mainly on programme targets set by national authorities and interviews with Member States. The lack of q</w:t>
      </w:r>
      <w:r>
        <w:rPr>
          <w:rFonts w:ascii="Times New Roman" w:hAnsi="Times New Roman" w:cs="Times New Roman"/>
          <w:noProof/>
          <w:sz w:val="24"/>
          <w:szCs w:val="24"/>
        </w:rPr>
        <w:t>uantitative data has also limited the evaluation of the efficiency criteria. Furthermore, Member States and beneficiaries did not monitor what happened to TCNs after they received support from the EIF, so it is very difficult to quantify the extent to whic</w:t>
      </w:r>
      <w:r>
        <w:rPr>
          <w:rFonts w:ascii="Times New Roman" w:hAnsi="Times New Roman" w:cs="Times New Roman"/>
          <w:noProof/>
          <w:sz w:val="24"/>
          <w:szCs w:val="24"/>
        </w:rPr>
        <w:t>h the Fund contributed to the integration of TCNs. These issues are further discussed in section 6.3 (Efficiency). Additional information on the methodology is provided in Annex 3.</w:t>
      </w:r>
    </w:p>
    <w:p w:rsidR="00821F17" w:rsidRDefault="006B159E">
      <w:pPr>
        <w:rPr>
          <w:rFonts w:ascii="Times New Roman" w:hAnsi="Times New Roman" w:cs="Times New Roman"/>
          <w:b/>
          <w:noProof/>
          <w:sz w:val="24"/>
          <w:szCs w:val="24"/>
          <w:u w:val="single"/>
        </w:rPr>
      </w:pPr>
      <w:r>
        <w:rPr>
          <w:rFonts w:ascii="Times New Roman" w:hAnsi="Times New Roman" w:cs="Times New Roman"/>
          <w:b/>
          <w:noProof/>
          <w:sz w:val="24"/>
          <w:szCs w:val="24"/>
          <w:u w:val="single"/>
        </w:rPr>
        <w:br w:type="page"/>
      </w:r>
    </w:p>
    <w:p w:rsidR="00821F17" w:rsidRDefault="006B159E">
      <w:pPr>
        <w:pStyle w:val="Heading1"/>
        <w:rPr>
          <w:noProof/>
          <w:lang w:val="en-GB"/>
        </w:rPr>
      </w:pPr>
      <w:bookmarkStart w:id="9" w:name="_Toc501546849"/>
      <w:r>
        <w:rPr>
          <w:noProof/>
          <w:lang w:val="en-GB"/>
        </w:rPr>
        <w:t>Implementation state of play</w:t>
      </w:r>
      <w:bookmarkEnd w:id="9"/>
    </w:p>
    <w:p w:rsidR="00821F17" w:rsidRDefault="006B159E">
      <w:pPr>
        <w:jc w:val="both"/>
        <w:rPr>
          <w:rFonts w:ascii="Times New Roman" w:hAnsi="Times New Roman" w:cs="Times New Roman"/>
          <w:noProof/>
          <w:sz w:val="24"/>
          <w:szCs w:val="24"/>
          <w:lang w:val="en"/>
        </w:rPr>
      </w:pPr>
      <w:r>
        <w:rPr>
          <w:rFonts w:ascii="Times New Roman" w:hAnsi="Times New Roman" w:cs="Times New Roman"/>
          <w:noProof/>
          <w:sz w:val="24"/>
          <w:szCs w:val="24"/>
          <w:lang w:val="en"/>
        </w:rPr>
        <w:t>The European fund for the integration of thi</w:t>
      </w:r>
      <w:r>
        <w:rPr>
          <w:rFonts w:ascii="Times New Roman" w:hAnsi="Times New Roman" w:cs="Times New Roman"/>
          <w:noProof/>
          <w:sz w:val="24"/>
          <w:szCs w:val="24"/>
          <w:lang w:val="en"/>
        </w:rPr>
        <w:t>rd country nationals was launched in 2007 and implemented in two cycles: 2007-2010 and 2011-2013. The initial budget of the Fund was EUR 825 million, out of which EUR 467 million for the period 2011-2013 were distributed as follows:</w:t>
      </w:r>
    </w:p>
    <w:p w:rsidR="00821F17" w:rsidRDefault="006B159E">
      <w:pPr>
        <w:pStyle w:val="ListParagraph"/>
        <w:numPr>
          <w:ilvl w:val="1"/>
          <w:numId w:val="3"/>
        </w:numPr>
        <w:spacing w:line="276" w:lineRule="auto"/>
        <w:ind w:left="1134" w:hanging="283"/>
        <w:jc w:val="both"/>
        <w:rPr>
          <w:rFonts w:ascii="Times New Roman" w:hAnsi="Times New Roman"/>
          <w:noProof/>
          <w:sz w:val="24"/>
          <w:lang w:val="en"/>
        </w:rPr>
      </w:pPr>
      <w:r>
        <w:rPr>
          <w:rFonts w:ascii="Times New Roman" w:hAnsi="Times New Roman"/>
          <w:noProof/>
          <w:sz w:val="24"/>
          <w:lang w:val="en"/>
        </w:rPr>
        <w:t>National programmes (sh</w:t>
      </w:r>
      <w:r>
        <w:rPr>
          <w:rFonts w:ascii="Times New Roman" w:hAnsi="Times New Roman"/>
          <w:noProof/>
          <w:sz w:val="24"/>
          <w:lang w:val="en"/>
        </w:rPr>
        <w:t>ared management): EUR 447 million</w:t>
      </w:r>
      <w:r>
        <w:rPr>
          <w:rStyle w:val="FootnoteReference"/>
          <w:rFonts w:ascii="Times New Roman" w:hAnsi="Times New Roman"/>
          <w:noProof/>
          <w:sz w:val="24"/>
          <w:lang w:val="en"/>
        </w:rPr>
        <w:footnoteReference w:id="16"/>
      </w:r>
      <w:r>
        <w:rPr>
          <w:rFonts w:ascii="Times New Roman" w:hAnsi="Times New Roman"/>
          <w:noProof/>
          <w:sz w:val="24"/>
          <w:lang w:val="en"/>
        </w:rPr>
        <w:t xml:space="preserve">, </w:t>
      </w:r>
    </w:p>
    <w:p w:rsidR="00821F17" w:rsidRDefault="006B159E">
      <w:pPr>
        <w:pStyle w:val="ListParagraph"/>
        <w:numPr>
          <w:ilvl w:val="1"/>
          <w:numId w:val="3"/>
        </w:numPr>
        <w:spacing w:line="276" w:lineRule="auto"/>
        <w:ind w:left="1134" w:hanging="283"/>
        <w:jc w:val="both"/>
        <w:rPr>
          <w:rFonts w:ascii="Times New Roman" w:hAnsi="Times New Roman"/>
          <w:noProof/>
          <w:sz w:val="24"/>
          <w:lang w:val="en"/>
        </w:rPr>
      </w:pPr>
      <w:r>
        <w:rPr>
          <w:rFonts w:ascii="Times New Roman" w:hAnsi="Times New Roman"/>
          <w:noProof/>
          <w:sz w:val="24"/>
          <w:lang w:val="en"/>
        </w:rPr>
        <w:t>Community actions (direct management): EUR 20 million</w:t>
      </w:r>
      <w:r>
        <w:rPr>
          <w:rStyle w:val="FootnoteReference"/>
          <w:rFonts w:ascii="Times New Roman" w:hAnsi="Times New Roman"/>
          <w:noProof/>
          <w:sz w:val="24"/>
          <w:lang w:val="en"/>
        </w:rPr>
        <w:footnoteReference w:id="17"/>
      </w:r>
      <w:r>
        <w:rPr>
          <w:rFonts w:ascii="Times New Roman" w:hAnsi="Times New Roman"/>
          <w:noProof/>
          <w:sz w:val="24"/>
          <w:lang w:val="en"/>
        </w:rPr>
        <w:t xml:space="preserve">. </w:t>
      </w:r>
    </w:p>
    <w:p w:rsidR="00821F17" w:rsidRDefault="00821F17">
      <w:pPr>
        <w:jc w:val="both"/>
        <w:rPr>
          <w:rFonts w:ascii="Times New Roman" w:hAnsi="Times New Roman" w:cs="Times New Roman"/>
          <w:b/>
          <w:noProof/>
          <w:sz w:val="24"/>
          <w:szCs w:val="24"/>
          <w:u w:val="single"/>
          <w:lang w:val="en"/>
        </w:rPr>
      </w:pPr>
    </w:p>
    <w:p w:rsidR="00821F17" w:rsidRDefault="006B159E">
      <w:pPr>
        <w:jc w:val="both"/>
        <w:rPr>
          <w:rFonts w:ascii="Times New Roman" w:hAnsi="Times New Roman" w:cs="Times New Roman"/>
          <w:b/>
          <w:noProof/>
          <w:sz w:val="24"/>
          <w:szCs w:val="24"/>
          <w:u w:val="single"/>
          <w:lang w:val="en"/>
        </w:rPr>
      </w:pPr>
      <w:r>
        <w:rPr>
          <w:rFonts w:ascii="Times New Roman" w:hAnsi="Times New Roman" w:cs="Times New Roman"/>
          <w:b/>
          <w:noProof/>
          <w:sz w:val="24"/>
          <w:szCs w:val="24"/>
          <w:u w:val="single"/>
          <w:lang w:val="en"/>
        </w:rPr>
        <w:t>Implementation through shared management</w:t>
      </w:r>
    </w:p>
    <w:p w:rsidR="00821F17" w:rsidRDefault="006B159E">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lang w:val="en"/>
        </w:rPr>
        <w:t>The absorption rate</w:t>
      </w:r>
      <w:r>
        <w:rPr>
          <w:rStyle w:val="FootnoteReference"/>
          <w:rFonts w:ascii="Times New Roman" w:hAnsi="Times New Roman" w:cs="Times New Roman"/>
          <w:noProof/>
          <w:sz w:val="24"/>
          <w:szCs w:val="24"/>
          <w:lang w:val="en"/>
        </w:rPr>
        <w:footnoteReference w:id="18"/>
      </w:r>
      <w:r>
        <w:rPr>
          <w:rFonts w:ascii="Times New Roman" w:hAnsi="Times New Roman" w:cs="Times New Roman"/>
          <w:noProof/>
          <w:sz w:val="24"/>
          <w:szCs w:val="24"/>
          <w:lang w:val="en"/>
        </w:rPr>
        <w:t xml:space="preserve"> varied over time and from a Member State to another. Globally, the average absorption rate of EIF 2011-2013 equals 77%, with the highest performance in 2013, when it reached 83%. </w:t>
      </w:r>
      <w:r>
        <w:rPr>
          <w:rFonts w:ascii="Times New Roman" w:hAnsi="Times New Roman" w:cs="Times New Roman"/>
          <w:noProof/>
          <w:sz w:val="24"/>
          <w:szCs w:val="24"/>
        </w:rPr>
        <w:t xml:space="preserve">Programmed EU financing rose progressively from 2007-2013 by at least 12% </w:t>
      </w:r>
      <w:r>
        <w:rPr>
          <w:rFonts w:ascii="Times New Roman" w:hAnsi="Times New Roman" w:cs="Times New Roman"/>
          <w:i/>
          <w:noProof/>
          <w:sz w:val="24"/>
          <w:szCs w:val="24"/>
        </w:rPr>
        <w:t>pe</w:t>
      </w:r>
      <w:r>
        <w:rPr>
          <w:rFonts w:ascii="Times New Roman" w:hAnsi="Times New Roman" w:cs="Times New Roman"/>
          <w:i/>
          <w:noProof/>
          <w:sz w:val="24"/>
          <w:szCs w:val="24"/>
        </w:rPr>
        <w:t>r annum</w:t>
      </w:r>
      <w:r>
        <w:rPr>
          <w:rFonts w:ascii="Times New Roman" w:hAnsi="Times New Roman" w:cs="Times New Roman"/>
          <w:noProof/>
          <w:sz w:val="24"/>
          <w:szCs w:val="24"/>
        </w:rPr>
        <w:t xml:space="preserve">, most notably from 2008-2009 (26%) and from 2011-2012 (25%). </w:t>
      </w:r>
    </w:p>
    <w:p w:rsidR="00821F17" w:rsidRDefault="006B159E">
      <w:pPr>
        <w:spacing w:line="360" w:lineRule="auto"/>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The implementation of the actions under national </w:t>
      </w:r>
      <w:r>
        <w:rPr>
          <w:rFonts w:ascii="Times New Roman" w:hAnsi="Times New Roman" w:cs="Times New Roman"/>
          <w:noProof/>
          <w:sz w:val="24"/>
          <w:szCs w:val="24"/>
        </w:rPr>
        <w:t>programmes</w:t>
      </w:r>
      <w:r>
        <w:rPr>
          <w:rFonts w:ascii="Times New Roman" w:hAnsi="Times New Roman" w:cs="Times New Roman"/>
          <w:noProof/>
          <w:sz w:val="24"/>
          <w:szCs w:val="24"/>
          <w:lang w:val="en"/>
        </w:rPr>
        <w:t xml:space="preserve"> ran until the end of 2015</w:t>
      </w:r>
      <w:r>
        <w:rPr>
          <w:rStyle w:val="FootnoteReference"/>
          <w:rFonts w:ascii="Times New Roman" w:hAnsi="Times New Roman" w:cs="Times New Roman"/>
          <w:noProof/>
          <w:sz w:val="24"/>
          <w:szCs w:val="24"/>
          <w:lang w:val="en"/>
        </w:rPr>
        <w:footnoteReference w:id="19"/>
      </w:r>
      <w:r>
        <w:rPr>
          <w:rFonts w:ascii="Times New Roman" w:hAnsi="Times New Roman" w:cs="Times New Roman"/>
          <w:noProof/>
          <w:sz w:val="24"/>
          <w:szCs w:val="24"/>
          <w:lang w:val="en"/>
        </w:rPr>
        <w:t xml:space="preserve"> and for this reason 15 national programmes out of 78 were not closed yet when the evaluation study </w:t>
      </w:r>
      <w:r>
        <w:rPr>
          <w:rFonts w:ascii="Times New Roman" w:hAnsi="Times New Roman" w:cs="Times New Roman"/>
          <w:noProof/>
          <w:sz w:val="24"/>
          <w:szCs w:val="24"/>
          <w:lang w:val="en"/>
        </w:rPr>
        <w:t>was completed at the end of 2016. Implementation statistics presented in this document are based on an updated extraction of data from ABAC/SFC</w:t>
      </w:r>
      <w:r>
        <w:rPr>
          <w:rStyle w:val="FootnoteReference"/>
          <w:rFonts w:ascii="Times New Roman" w:hAnsi="Times New Roman" w:cs="Times New Roman"/>
          <w:noProof/>
          <w:sz w:val="24"/>
          <w:szCs w:val="24"/>
          <w:lang w:val="en"/>
        </w:rPr>
        <w:footnoteReference w:id="20"/>
      </w:r>
      <w:r>
        <w:rPr>
          <w:rFonts w:ascii="Times New Roman" w:hAnsi="Times New Roman" w:cs="Times New Roman"/>
          <w:noProof/>
          <w:sz w:val="24"/>
          <w:szCs w:val="24"/>
          <w:lang w:val="en"/>
        </w:rPr>
        <w:t xml:space="preserve"> dated 31/12/2016. </w:t>
      </w:r>
    </w:p>
    <w:p w:rsidR="00821F17" w:rsidRDefault="00821F17">
      <w:pPr>
        <w:spacing w:line="360" w:lineRule="auto"/>
        <w:jc w:val="both"/>
        <w:rPr>
          <w:rFonts w:ascii="Times New Roman" w:hAnsi="Times New Roman" w:cs="Times New Roman"/>
          <w:noProof/>
          <w:sz w:val="24"/>
          <w:szCs w:val="24"/>
          <w:lang w:val="en"/>
        </w:rPr>
      </w:pPr>
    </w:p>
    <w:p w:rsidR="00821F17" w:rsidRDefault="00821F17">
      <w:pPr>
        <w:spacing w:line="360" w:lineRule="auto"/>
        <w:jc w:val="both"/>
        <w:rPr>
          <w:rFonts w:ascii="Times New Roman" w:hAnsi="Times New Roman" w:cs="Times New Roman"/>
          <w:noProof/>
          <w:sz w:val="24"/>
          <w:szCs w:val="24"/>
          <w:lang w:val="en"/>
        </w:rPr>
      </w:pPr>
    </w:p>
    <w:p w:rsidR="00821F17" w:rsidRDefault="006B159E">
      <w:pPr>
        <w:rPr>
          <w:noProof/>
          <w:sz w:val="18"/>
          <w:szCs w:val="18"/>
          <w:lang w:val="en"/>
        </w:rPr>
      </w:pPr>
      <w:r>
        <w:rPr>
          <w:noProof/>
          <w:lang w:eastAsia="en-GB"/>
        </w:rPr>
        <w:drawing>
          <wp:inline distT="0" distB="0" distL="0" distR="0" wp14:anchorId="0CBCA459" wp14:editId="3BF9A860">
            <wp:extent cx="5589767" cy="2512612"/>
            <wp:effectExtent l="0" t="0" r="11430" b="2159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21F17" w:rsidRDefault="006B159E">
      <w:pPr>
        <w:rPr>
          <w:noProof/>
          <w:sz w:val="18"/>
          <w:szCs w:val="18"/>
          <w:lang w:val="en"/>
        </w:rPr>
      </w:pPr>
      <w:r>
        <w:rPr>
          <w:noProof/>
          <w:color w:val="000000" w:themeColor="text1"/>
          <w:sz w:val="18"/>
          <w:szCs w:val="18"/>
          <w:lang w:val="en"/>
        </w:rPr>
        <w:t xml:space="preserve">Figure 1: </w:t>
      </w:r>
      <w:r>
        <w:rPr>
          <w:noProof/>
          <w:sz w:val="18"/>
          <w:szCs w:val="18"/>
          <w:lang w:val="en"/>
        </w:rPr>
        <w:t xml:space="preserve">Programmed and net EU contributions and absorption rates by year, EIF Shared </w:t>
      </w:r>
      <w:r>
        <w:rPr>
          <w:noProof/>
          <w:sz w:val="18"/>
          <w:szCs w:val="18"/>
          <w:lang w:val="en"/>
        </w:rPr>
        <w:t>Management, 2007-2013. Source: European Commission (ABAC) at 31.12.2016</w:t>
      </w:r>
    </w:p>
    <w:p w:rsidR="00821F17" w:rsidRDefault="00821F17">
      <w:pPr>
        <w:rPr>
          <w:rFonts w:ascii="Times New Roman" w:hAnsi="Times New Roman" w:cs="Times New Roman"/>
          <w:noProof/>
          <w:sz w:val="24"/>
          <w:szCs w:val="24"/>
          <w:lang w:val="en"/>
        </w:rPr>
      </w:pPr>
    </w:p>
    <w:p w:rsidR="00821F17" w:rsidRDefault="006B159E">
      <w:pPr>
        <w:spacing w:line="360" w:lineRule="auto"/>
        <w:jc w:val="both"/>
        <w:rPr>
          <w:rFonts w:ascii="Times New Roman" w:hAnsi="Times New Roman" w:cs="Times New Roman"/>
          <w:noProof/>
          <w:color w:val="FF0000"/>
          <w:sz w:val="24"/>
          <w:szCs w:val="24"/>
          <w:lang w:val="en"/>
        </w:rPr>
      </w:pPr>
      <w:r>
        <w:rPr>
          <w:rFonts w:ascii="Times New Roman" w:hAnsi="Times New Roman" w:cs="Times New Roman"/>
          <w:noProof/>
          <w:sz w:val="24"/>
          <w:szCs w:val="24"/>
          <w:lang w:val="en"/>
        </w:rPr>
        <w:t xml:space="preserve">As highlighted in figure 2, </w:t>
      </w:r>
      <w:r>
        <w:rPr>
          <w:rFonts w:ascii="Times New Roman" w:hAnsi="Times New Roman" w:cs="Times New Roman"/>
          <w:noProof/>
          <w:sz w:val="24"/>
          <w:szCs w:val="24"/>
        </w:rPr>
        <w:t>programmed and utilised EU financing was highest in Italy, the United Kingdom, Spain, Germany and France. These five countries accounted for 51% of the tot</w:t>
      </w:r>
      <w:r>
        <w:rPr>
          <w:rFonts w:ascii="Times New Roman" w:hAnsi="Times New Roman" w:cs="Times New Roman"/>
          <w:noProof/>
          <w:sz w:val="24"/>
          <w:szCs w:val="24"/>
        </w:rPr>
        <w:t xml:space="preserve">al </w:t>
      </w:r>
      <w:r>
        <w:rPr>
          <w:rFonts w:ascii="Times New Roman" w:hAnsi="Times New Roman" w:cs="Times New Roman"/>
          <w:noProof/>
          <w:color w:val="000000" w:themeColor="text1"/>
          <w:sz w:val="24"/>
          <w:szCs w:val="24"/>
        </w:rPr>
        <w:t>programmed and 72% of the total final EU contributions</w:t>
      </w:r>
      <w:r>
        <w:rPr>
          <w:rFonts w:ascii="Times New Roman" w:hAnsi="Times New Roman" w:cs="Times New Roman"/>
          <w:noProof/>
          <w:sz w:val="24"/>
          <w:szCs w:val="24"/>
        </w:rPr>
        <w:t xml:space="preserve">. </w:t>
      </w:r>
    </w:p>
    <w:p w:rsidR="00821F17" w:rsidRDefault="006B159E">
      <w:pPr>
        <w:spacing w:line="360" w:lineRule="auto"/>
        <w:jc w:val="both"/>
        <w:rPr>
          <w:rFonts w:ascii="Times New Roman" w:hAnsi="Times New Roman" w:cs="Times New Roman"/>
          <w:noProof/>
          <w:sz w:val="24"/>
          <w:szCs w:val="24"/>
          <w:lang w:val="en"/>
        </w:rPr>
      </w:pPr>
      <w:r>
        <w:rPr>
          <w:rFonts w:ascii="Times New Roman" w:hAnsi="Times New Roman" w:cs="Times New Roman"/>
          <w:noProof/>
          <w:sz w:val="24"/>
          <w:szCs w:val="24"/>
          <w:lang w:val="en"/>
        </w:rPr>
        <w:t>The methodology to calculate the amount of funds to be attributed to each Member State was set in the legal base: EUR 500,000 per annum for Member States which would accede to the European Union d</w:t>
      </w:r>
      <w:r>
        <w:rPr>
          <w:rFonts w:ascii="Times New Roman" w:hAnsi="Times New Roman" w:cs="Times New Roman"/>
          <w:noProof/>
          <w:sz w:val="24"/>
          <w:szCs w:val="24"/>
          <w:lang w:val="en"/>
        </w:rPr>
        <w:t>uring the period from 2007 to 2013 and the remainder of the available annual resources broken down between the Member States as follows:</w:t>
      </w:r>
    </w:p>
    <w:p w:rsidR="00821F17" w:rsidRDefault="006B159E">
      <w:pPr>
        <w:spacing w:line="360" w:lineRule="auto"/>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(a) 40 % in proportion to the average of the total number of legally residing third-country nationals in Member States </w:t>
      </w:r>
      <w:r>
        <w:rPr>
          <w:rFonts w:ascii="Times New Roman" w:hAnsi="Times New Roman" w:cs="Times New Roman"/>
          <w:noProof/>
          <w:sz w:val="24"/>
          <w:szCs w:val="24"/>
          <w:lang w:val="en"/>
        </w:rPr>
        <w:t>over the previous three years; and</w:t>
      </w:r>
    </w:p>
    <w:p w:rsidR="00821F17" w:rsidRDefault="006B159E">
      <w:pPr>
        <w:spacing w:line="360" w:lineRule="auto"/>
        <w:jc w:val="both"/>
        <w:rPr>
          <w:rFonts w:ascii="Times New Roman" w:hAnsi="Times New Roman" w:cs="Times New Roman"/>
          <w:noProof/>
          <w:sz w:val="24"/>
          <w:szCs w:val="24"/>
          <w:lang w:val="en"/>
        </w:rPr>
      </w:pPr>
      <w:r>
        <w:rPr>
          <w:rFonts w:ascii="Times New Roman" w:hAnsi="Times New Roman" w:cs="Times New Roman"/>
          <w:noProof/>
          <w:sz w:val="24"/>
          <w:szCs w:val="24"/>
          <w:lang w:val="en"/>
        </w:rPr>
        <w:t>(b) 60% in proportion to the number of third-country nationals who have obtained an authorisation issued by a Member State to reside on its territory over the previous three years.</w:t>
      </w:r>
    </w:p>
    <w:p w:rsidR="00821F17" w:rsidRDefault="006B159E">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lang w:val="en"/>
        </w:rPr>
        <w:t>The allocation mechanism based on statis</w:t>
      </w:r>
      <w:r>
        <w:rPr>
          <w:rFonts w:ascii="Times New Roman" w:hAnsi="Times New Roman" w:cs="Times New Roman"/>
          <w:noProof/>
          <w:sz w:val="24"/>
          <w:szCs w:val="24"/>
          <w:lang w:val="en"/>
        </w:rPr>
        <w:t>tics of the three previous years aimed to ensure a distribution of resources proportionate to the inflows registered by the Member States and thus the need to provide integration support to the target groups of EIF. However, the allocation system didn't al</w:t>
      </w:r>
      <w:r>
        <w:rPr>
          <w:rFonts w:ascii="Times New Roman" w:hAnsi="Times New Roman" w:cs="Times New Roman"/>
          <w:noProof/>
          <w:sz w:val="24"/>
          <w:szCs w:val="24"/>
          <w:lang w:val="en"/>
        </w:rPr>
        <w:t>ways reflect Member States' short term evolving needs. This lack of flexibility of the Fund (common to all SOLID Funds) was mitigated by the Emergency Measures mechanism and by the possibility for the Member States to modify their NPs at any time and to re</w:t>
      </w:r>
      <w:r>
        <w:rPr>
          <w:rFonts w:ascii="Times New Roman" w:hAnsi="Times New Roman" w:cs="Times New Roman"/>
          <w:noProof/>
          <w:sz w:val="24"/>
          <w:szCs w:val="24"/>
          <w:lang w:val="en"/>
        </w:rPr>
        <w:t xml:space="preserve">allocate Funds in the area which required a more important financial support. </w:t>
      </w:r>
    </w:p>
    <w:p w:rsidR="00821F17" w:rsidRDefault="006B159E">
      <w:pPr>
        <w:rPr>
          <w:noProof/>
          <w:sz w:val="18"/>
          <w:szCs w:val="18"/>
          <w:lang w:val="en"/>
        </w:rPr>
      </w:pPr>
      <w:r>
        <w:rPr>
          <w:rFonts w:ascii="Times New Roman" w:hAnsi="Times New Roman" w:cs="Times New Roman"/>
          <w:noProof/>
          <w:sz w:val="24"/>
          <w:szCs w:val="24"/>
          <w:lang w:eastAsia="en-GB"/>
        </w:rPr>
        <w:drawing>
          <wp:inline distT="0" distB="0" distL="0" distR="0" wp14:anchorId="73BD2DA2" wp14:editId="3B8C99FC">
            <wp:extent cx="6074796" cy="2392444"/>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76020" cy="2392926"/>
                    </a:xfrm>
                    <a:prstGeom prst="rect">
                      <a:avLst/>
                    </a:prstGeom>
                    <a:noFill/>
                  </pic:spPr>
                </pic:pic>
              </a:graphicData>
            </a:graphic>
          </wp:inline>
        </w:drawing>
      </w:r>
      <w:r>
        <w:rPr>
          <w:noProof/>
          <w:sz w:val="18"/>
          <w:szCs w:val="18"/>
          <w:lang w:val="en"/>
        </w:rPr>
        <w:t xml:space="preserve">Figure </w:t>
      </w:r>
      <w:r>
        <w:rPr>
          <w:noProof/>
          <w:color w:val="000000" w:themeColor="text1"/>
          <w:sz w:val="18"/>
          <w:szCs w:val="18"/>
          <w:lang w:val="en"/>
        </w:rPr>
        <w:t>2:</w:t>
      </w:r>
      <w:r>
        <w:rPr>
          <w:noProof/>
          <w:sz w:val="18"/>
          <w:szCs w:val="18"/>
          <w:lang w:val="en"/>
        </w:rPr>
        <w:t xml:space="preserve"> Programmed and net EU contributions and absorption rates by participating country, EIF, 2011-2013. Source: ABAC</w:t>
      </w:r>
    </w:p>
    <w:p w:rsidR="00821F17" w:rsidRDefault="006B159E">
      <w:pPr>
        <w:rPr>
          <w:rFonts w:ascii="Times New Roman" w:hAnsi="Times New Roman" w:cs="Times New Roman"/>
          <w:b/>
          <w:noProof/>
          <w:sz w:val="24"/>
          <w:szCs w:val="24"/>
          <w:u w:val="single"/>
        </w:rPr>
      </w:pPr>
      <w:r>
        <w:rPr>
          <w:rFonts w:ascii="Times New Roman" w:hAnsi="Times New Roman" w:cs="Times New Roman"/>
          <w:b/>
          <w:noProof/>
          <w:sz w:val="24"/>
          <w:szCs w:val="24"/>
          <w:u w:val="single"/>
          <w:lang w:val="en"/>
        </w:rPr>
        <w:t xml:space="preserve">Implementation through </w:t>
      </w:r>
      <w:r>
        <w:rPr>
          <w:rFonts w:ascii="Times New Roman" w:hAnsi="Times New Roman" w:cs="Times New Roman"/>
          <w:b/>
          <w:noProof/>
          <w:sz w:val="24"/>
          <w:szCs w:val="24"/>
          <w:u w:val="single"/>
        </w:rPr>
        <w:t>direct management</w:t>
      </w:r>
    </w:p>
    <w:p w:rsidR="00821F17" w:rsidRDefault="006B159E">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total amount of </w:t>
      </w:r>
      <w:r>
        <w:rPr>
          <w:rFonts w:ascii="Times New Roman" w:hAnsi="Times New Roman" w:cs="Times New Roman"/>
          <w:noProof/>
          <w:spacing w:val="-2"/>
          <w:sz w:val="24"/>
          <w:szCs w:val="24"/>
        </w:rPr>
        <w:t xml:space="preserve">EUR </w:t>
      </w:r>
      <w:r>
        <w:rPr>
          <w:rFonts w:ascii="Times New Roman" w:hAnsi="Times New Roman" w:cs="Times New Roman"/>
          <w:noProof/>
          <w:sz w:val="24"/>
          <w:szCs w:val="24"/>
        </w:rPr>
        <w:t>20.8 million was allocated for Community Actions for 2011-2013 to finance cooperation between Member States, corresponding to 4% of the EIF. Despite the very small budget, 35 projects were awarded a contribution (9 in 2011; 15 in 2012</w:t>
      </w:r>
      <w:r>
        <w:rPr>
          <w:rFonts w:ascii="Times New Roman" w:hAnsi="Times New Roman" w:cs="Times New Roman"/>
          <w:noProof/>
          <w:sz w:val="24"/>
          <w:szCs w:val="24"/>
        </w:rPr>
        <w:t xml:space="preserve"> and 11 in 2013). They received grants ranging between </w:t>
      </w:r>
      <w:r>
        <w:rPr>
          <w:rFonts w:ascii="Times New Roman" w:hAnsi="Times New Roman" w:cs="Times New Roman"/>
          <w:noProof/>
          <w:spacing w:val="-2"/>
          <w:sz w:val="24"/>
          <w:szCs w:val="24"/>
        </w:rPr>
        <w:t xml:space="preserve">EUR </w:t>
      </w:r>
      <w:r>
        <w:rPr>
          <w:rFonts w:ascii="Times New Roman" w:hAnsi="Times New Roman" w:cs="Times New Roman"/>
          <w:noProof/>
          <w:sz w:val="24"/>
          <w:szCs w:val="24"/>
        </w:rPr>
        <w:t xml:space="preserve">400,000 and </w:t>
      </w:r>
      <w:r>
        <w:rPr>
          <w:rFonts w:ascii="Times New Roman" w:hAnsi="Times New Roman" w:cs="Times New Roman"/>
          <w:noProof/>
          <w:spacing w:val="-2"/>
          <w:sz w:val="24"/>
          <w:szCs w:val="24"/>
        </w:rPr>
        <w:t xml:space="preserve">EUR </w:t>
      </w:r>
      <w:r>
        <w:rPr>
          <w:rFonts w:ascii="Times New Roman" w:hAnsi="Times New Roman" w:cs="Times New Roman"/>
          <w:noProof/>
          <w:sz w:val="24"/>
          <w:szCs w:val="24"/>
        </w:rPr>
        <w:t>1 million, with a  maximum rate of co-financing set in the annual work programmes at 90% of the eligible costs. The absorption rate varied between 47% and 100%, averaging 90% in 201</w:t>
      </w:r>
      <w:r>
        <w:rPr>
          <w:rFonts w:ascii="Times New Roman" w:hAnsi="Times New Roman" w:cs="Times New Roman"/>
          <w:noProof/>
          <w:sz w:val="24"/>
          <w:szCs w:val="24"/>
        </w:rPr>
        <w:t xml:space="preserve">1, 78% in 2012 and 92% in 2013. </w:t>
      </w:r>
    </w:p>
    <w:p w:rsidR="00821F17" w:rsidRDefault="006B159E">
      <w:pPr>
        <w:spacing w:line="360" w:lineRule="auto"/>
        <w:jc w:val="both"/>
        <w:rPr>
          <w:rFonts w:ascii="Times New Roman" w:hAnsi="Times New Roman" w:cs="Times New Roman"/>
          <w:i/>
          <w:noProof/>
          <w:sz w:val="24"/>
          <w:szCs w:val="24"/>
          <w:lang w:val="en"/>
        </w:rPr>
      </w:pPr>
      <w:r>
        <w:rPr>
          <w:rFonts w:ascii="Times New Roman" w:hAnsi="Times New Roman" w:cs="Times New Roman"/>
          <w:i/>
          <w:noProof/>
          <w:sz w:val="24"/>
          <w:szCs w:val="24"/>
          <w:lang w:val="en"/>
        </w:rPr>
        <w:t>Beneficiaries</w:t>
      </w:r>
    </w:p>
    <w:p w:rsidR="00821F17" w:rsidRDefault="006B159E">
      <w:pPr>
        <w:spacing w:line="360" w:lineRule="auto"/>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NGOs and research </w:t>
      </w:r>
      <w:r>
        <w:rPr>
          <w:rFonts w:ascii="Times New Roman" w:hAnsi="Times New Roman" w:cs="Times New Roman"/>
          <w:noProof/>
          <w:sz w:val="24"/>
          <w:szCs w:val="24"/>
        </w:rPr>
        <w:t>organisations</w:t>
      </w:r>
      <w:r>
        <w:rPr>
          <w:rFonts w:ascii="Times New Roman" w:hAnsi="Times New Roman" w:cs="Times New Roman"/>
          <w:noProof/>
          <w:sz w:val="24"/>
          <w:szCs w:val="24"/>
          <w:lang w:val="en"/>
        </w:rPr>
        <w:t xml:space="preserve"> were the main beneficiaries. Dissemination of results, development of new tools, research and awareness-raising were the predominant subjects of the projects. Italian organisati</w:t>
      </w:r>
      <w:r>
        <w:rPr>
          <w:rFonts w:ascii="Times New Roman" w:hAnsi="Times New Roman" w:cs="Times New Roman"/>
          <w:noProof/>
          <w:sz w:val="24"/>
          <w:szCs w:val="24"/>
          <w:lang w:val="en"/>
        </w:rPr>
        <w:t>ons proved to be very active (26 organisations) along with organisations from Spain (19), Germany (16), Belgium and the UK (14 each). Italy also dominated among leading beneficiaries, heading up to 12 of the 35 projects.</w:t>
      </w:r>
    </w:p>
    <w:p w:rsidR="00821F17" w:rsidRDefault="00821F17">
      <w:pPr>
        <w:spacing w:line="360" w:lineRule="auto"/>
        <w:jc w:val="both"/>
        <w:rPr>
          <w:rFonts w:ascii="Times New Roman" w:hAnsi="Times New Roman" w:cs="Times New Roman"/>
          <w:noProof/>
          <w:sz w:val="24"/>
          <w:szCs w:val="24"/>
          <w:lang w:val="en"/>
        </w:rPr>
      </w:pPr>
      <w:bookmarkStart w:id="10" w:name="_Toc485818684"/>
      <w:bookmarkEnd w:id="10"/>
    </w:p>
    <w:p w:rsidR="00821F17" w:rsidRDefault="006B159E">
      <w:pPr>
        <w:pStyle w:val="Heading1"/>
        <w:pageBreakBefore/>
        <w:rPr>
          <w:noProof/>
          <w:lang w:val="en-GB"/>
        </w:rPr>
      </w:pPr>
      <w:bookmarkStart w:id="11" w:name="_Toc501546850"/>
      <w:r>
        <w:rPr>
          <w:noProof/>
          <w:lang w:val="en-GB"/>
        </w:rPr>
        <w:t>Answers to the evaluation question</w:t>
      </w:r>
      <w:r>
        <w:rPr>
          <w:noProof/>
          <w:lang w:val="en-GB"/>
        </w:rPr>
        <w:t>s</w:t>
      </w:r>
      <w:bookmarkEnd w:id="11"/>
    </w:p>
    <w:p w:rsidR="00821F17" w:rsidRDefault="00821F17">
      <w:pPr>
        <w:jc w:val="both"/>
        <w:rPr>
          <w:rFonts w:ascii="Times New Roman" w:hAnsi="Times New Roman" w:cs="Times New Roman"/>
          <w:noProof/>
          <w:sz w:val="24"/>
          <w:szCs w:val="24"/>
        </w:rPr>
      </w:pPr>
    </w:p>
    <w:p w:rsidR="00821F17" w:rsidRDefault="006B159E">
      <w:pPr>
        <w:pStyle w:val="Heading2"/>
        <w:numPr>
          <w:ilvl w:val="1"/>
          <w:numId w:val="6"/>
        </w:numPr>
        <w:rPr>
          <w:noProof/>
        </w:rPr>
      </w:pPr>
      <w:bookmarkStart w:id="12" w:name="_Toc501546851"/>
      <w:r>
        <w:rPr>
          <w:noProof/>
        </w:rPr>
        <w:t>Relevance</w:t>
      </w:r>
      <w:bookmarkEnd w:id="12"/>
    </w:p>
    <w:p w:rsidR="00821F17" w:rsidRDefault="006B159E">
      <w:pPr>
        <w:pStyle w:val="NormalIndent"/>
        <w:pBdr>
          <w:top w:val="single" w:sz="4" w:space="1" w:color="auto"/>
          <w:left w:val="single" w:sz="4" w:space="4" w:color="auto"/>
          <w:bottom w:val="single" w:sz="4" w:space="1" w:color="auto"/>
          <w:right w:val="single" w:sz="4" w:space="4" w:color="auto"/>
        </w:pBdr>
        <w:spacing w:after="0" w:line="360" w:lineRule="auto"/>
        <w:ind w:left="0"/>
        <w:rPr>
          <w:rFonts w:ascii="Times New Roman" w:hAnsi="Times New Roman" w:cs="Times New Roman"/>
          <w:i/>
          <w:noProof/>
          <w:color w:val="000000" w:themeColor="text1"/>
          <w:sz w:val="24"/>
          <w:szCs w:val="24"/>
          <w:lang w:val="en-GB"/>
        </w:rPr>
      </w:pPr>
      <w:r>
        <w:rPr>
          <w:rFonts w:ascii="Times New Roman" w:hAnsi="Times New Roman" w:cs="Times New Roman"/>
          <w:b/>
          <w:noProof/>
          <w:sz w:val="24"/>
          <w:szCs w:val="24"/>
          <w:lang w:val="en-GB"/>
        </w:rPr>
        <w:t>EQ13 and 14:</w:t>
      </w:r>
      <w:r>
        <w:rPr>
          <w:rFonts w:ascii="Times New Roman" w:hAnsi="Times New Roman" w:cs="Times New Roman"/>
          <w:i/>
          <w:noProof/>
          <w:sz w:val="24"/>
          <w:szCs w:val="24"/>
          <w:lang w:val="en-GB"/>
        </w:rPr>
        <w:t xml:space="preserve"> To what extent did </w:t>
      </w:r>
      <w:r>
        <w:rPr>
          <w:rFonts w:ascii="Times New Roman" w:hAnsi="Times New Roman" w:cs="Times New Roman"/>
          <w:i/>
          <w:noProof/>
          <w:color w:val="000000" w:themeColor="text1"/>
          <w:sz w:val="24"/>
          <w:szCs w:val="24"/>
          <w:lang w:val="en-GB"/>
        </w:rPr>
        <w:t xml:space="preserve">the EIF’s objectives correspond to needs related to the integration of TCNs into the European societies? To what extent did the objectives of the actions under the EIF correspond to the needs in the field of </w:t>
      </w:r>
      <w:r>
        <w:rPr>
          <w:rFonts w:ascii="Times New Roman" w:hAnsi="Times New Roman" w:cs="Times New Roman"/>
          <w:i/>
          <w:noProof/>
          <w:color w:val="000000" w:themeColor="text1"/>
          <w:sz w:val="24"/>
          <w:szCs w:val="24"/>
          <w:lang w:val="en-GB"/>
        </w:rPr>
        <w:t>integration of TCNs?</w:t>
      </w:r>
    </w:p>
    <w:p w:rsidR="00821F17" w:rsidRDefault="00821F17">
      <w:pPr>
        <w:pStyle w:val="NormalWeb"/>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noProof/>
        </w:rPr>
      </w:pPr>
    </w:p>
    <w:p w:rsidR="00821F17" w:rsidRDefault="006B159E">
      <w:pPr>
        <w:pStyle w:val="NormalWeb"/>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noProof/>
        </w:rPr>
      </w:pPr>
      <w:r>
        <w:rPr>
          <w:b/>
          <w:noProof/>
        </w:rPr>
        <w:t>Main conclusion:</w:t>
      </w:r>
      <w:r>
        <w:rPr>
          <w:noProof/>
        </w:rPr>
        <w:t xml:space="preserve"> The evaluation showed that the EIF was broad enough to cater for the various types of needs identified by the Member States, and proved flexible enough to adapt to changing needs. However, the restrictive definition o</w:t>
      </w:r>
      <w:r>
        <w:rPr>
          <w:noProof/>
        </w:rPr>
        <w:t xml:space="preserve">f the target group was felt as a limitation by some Member States, whilst others pointed at the lack of interest of local administrations and NGOs as an obstacle to the achievement of better results. </w:t>
      </w:r>
    </w:p>
    <w:p w:rsidR="00821F17" w:rsidRDefault="00821F17">
      <w:pPr>
        <w:pStyle w:val="NormalWeb"/>
        <w:spacing w:before="0" w:beforeAutospacing="0" w:after="0" w:afterAutospacing="0" w:line="360" w:lineRule="auto"/>
        <w:jc w:val="both"/>
        <w:rPr>
          <w:noProof/>
        </w:rPr>
      </w:pPr>
    </w:p>
    <w:p w:rsidR="00821F17" w:rsidRDefault="006B159E">
      <w:pPr>
        <w:pStyle w:val="NormalWeb"/>
        <w:spacing w:line="360" w:lineRule="auto"/>
        <w:jc w:val="both"/>
        <w:rPr>
          <w:noProof/>
        </w:rPr>
      </w:pPr>
      <w:r>
        <w:rPr>
          <w:noProof/>
        </w:rPr>
        <w:t>Overall, the EIF responded to needs in the area of integration and the evaluation showed a high level of alignment between needs and actual results/impacts. The large majority of stakeholders agreed that the objectives of the Annual National Programmes and</w:t>
      </w:r>
      <w:r>
        <w:rPr>
          <w:noProof/>
        </w:rPr>
        <w:t xml:space="preserve"> of the Annual work programmes were relevant to the needs not only at the time of their formulation, but also during the implementation of the Fund, as the objectives were formulated in a way that allowed some adaptation of the response to changing circums</w:t>
      </w:r>
      <w:r>
        <w:rPr>
          <w:noProof/>
        </w:rPr>
        <w:t>tances in Member States. For instance, in Spain, the RA revised the Annual National Programme to be able to support TCNs in precarious situations due to loss of employment (and consequent risk of losing their resident status) because of the economic crisis</w:t>
      </w:r>
      <w:r>
        <w:rPr>
          <w:noProof/>
        </w:rPr>
        <w:t xml:space="preserve">. </w:t>
      </w:r>
    </w:p>
    <w:p w:rsidR="00821F17" w:rsidRDefault="006B159E">
      <w:pPr>
        <w:pStyle w:val="NormalWeb"/>
        <w:spacing w:line="360" w:lineRule="auto"/>
        <w:jc w:val="both"/>
        <w:rPr>
          <w:noProof/>
        </w:rPr>
      </w:pPr>
      <w:r>
        <w:rPr>
          <w:noProof/>
        </w:rPr>
        <w:t>However, some issues were identified:</w:t>
      </w:r>
    </w:p>
    <w:p w:rsidR="00821F17" w:rsidRDefault="006B159E">
      <w:pPr>
        <w:pStyle w:val="NormalWeb"/>
        <w:numPr>
          <w:ilvl w:val="0"/>
          <w:numId w:val="12"/>
        </w:numPr>
        <w:spacing w:line="360" w:lineRule="auto"/>
        <w:jc w:val="both"/>
        <w:rPr>
          <w:noProof/>
        </w:rPr>
      </w:pPr>
      <w:r>
        <w:rPr>
          <w:noProof/>
        </w:rPr>
        <w:t>The need to increase the availability of integration services and measures to cater for the necessities of a growing target group;</w:t>
      </w:r>
    </w:p>
    <w:p w:rsidR="00821F17" w:rsidRDefault="006B159E">
      <w:pPr>
        <w:pStyle w:val="NormalWeb"/>
        <w:numPr>
          <w:ilvl w:val="0"/>
          <w:numId w:val="12"/>
        </w:numPr>
        <w:spacing w:line="360" w:lineRule="auto"/>
        <w:jc w:val="both"/>
        <w:rPr>
          <w:noProof/>
        </w:rPr>
      </w:pPr>
      <w:r>
        <w:rPr>
          <w:noProof/>
        </w:rPr>
        <w:t>The need to target more specifically some vulnerable groups, in particular women and</w:t>
      </w:r>
      <w:r>
        <w:rPr>
          <w:noProof/>
        </w:rPr>
        <w:t xml:space="preserve"> children;</w:t>
      </w:r>
    </w:p>
    <w:p w:rsidR="00821F17" w:rsidRDefault="006B159E">
      <w:pPr>
        <w:pStyle w:val="NormalWeb"/>
        <w:numPr>
          <w:ilvl w:val="0"/>
          <w:numId w:val="12"/>
        </w:numPr>
        <w:spacing w:line="360" w:lineRule="auto"/>
        <w:jc w:val="both"/>
        <w:rPr>
          <w:noProof/>
        </w:rPr>
      </w:pPr>
      <w:r>
        <w:rPr>
          <w:noProof/>
        </w:rPr>
        <w:t>For some Member States</w:t>
      </w:r>
      <w:r>
        <w:rPr>
          <w:rStyle w:val="FootnoteReference"/>
          <w:noProof/>
        </w:rPr>
        <w:footnoteReference w:id="21"/>
      </w:r>
      <w:r>
        <w:rPr>
          <w:noProof/>
        </w:rPr>
        <w:t>, the need to define better the target group of the Fund, given that projects for asylum seekers and persons benefiting from refugee and subsidiary protection status who do not fall within the Commission’s definition of th</w:t>
      </w:r>
      <w:r>
        <w:rPr>
          <w:noProof/>
        </w:rPr>
        <w:t xml:space="preserve">ird country nationals were not eligible under the EIF. </w:t>
      </w:r>
    </w:p>
    <w:p w:rsidR="00821F17" w:rsidRDefault="006B159E">
      <w:pPr>
        <w:pStyle w:val="NormalWeb"/>
        <w:spacing w:line="360" w:lineRule="auto"/>
        <w:jc w:val="both"/>
        <w:rPr>
          <w:noProof/>
        </w:rPr>
      </w:pPr>
      <w:r>
        <w:rPr>
          <w:noProof/>
        </w:rPr>
        <w:t>The last point refers to a twofold issue: support for integration may be needed also for second- and third-generation migrants (already citizens of the destination country), and according to some Memb</w:t>
      </w:r>
      <w:r>
        <w:rPr>
          <w:noProof/>
        </w:rPr>
        <w:t>er States it should not be limited to “newly arrived”. Furthermore, the restrictive interpretation of “newly arrived” by some Responsible authorities was perceived as an obstacle by beneficiary organisations.</w:t>
      </w:r>
    </w:p>
    <w:p w:rsidR="00821F17" w:rsidRDefault="006B159E">
      <w:pPr>
        <w:pStyle w:val="NormalWeb"/>
        <w:spacing w:line="360" w:lineRule="auto"/>
        <w:jc w:val="both"/>
        <w:rPr>
          <w:noProof/>
        </w:rPr>
      </w:pPr>
      <w:r>
        <w:rPr>
          <w:noProof/>
        </w:rPr>
        <w:t>Nine Member States</w:t>
      </w:r>
      <w:r>
        <w:rPr>
          <w:rStyle w:val="FootnoteReference"/>
          <w:noProof/>
        </w:rPr>
        <w:footnoteReference w:id="22"/>
      </w:r>
      <w:r>
        <w:rPr>
          <w:noProof/>
        </w:rPr>
        <w:t xml:space="preserve"> identified an issue in the </w:t>
      </w:r>
      <w:r>
        <w:rPr>
          <w:noProof/>
        </w:rPr>
        <w:t xml:space="preserve">lack of interest in contributing to the Fund's activities of certain stakeholders and target groups (i.e. local level policy makers, NGOs and TCNs), but could not explain the reasons. 65% of the project managers of Community actions reported in reply to a </w:t>
      </w:r>
      <w:r>
        <w:rPr>
          <w:noProof/>
        </w:rPr>
        <w:t xml:space="preserve">survey that their projects corresponded to the identified needs to some extent. However, the evaluation did not find evidence of a structured exchange between the Commission and national authorities on Community Actions, so it was not possible to evaluate </w:t>
      </w:r>
      <w:r>
        <w:rPr>
          <w:noProof/>
        </w:rPr>
        <w:t xml:space="preserve">the extent to which Community Action projects also corresponded to the needs at national level. </w:t>
      </w:r>
    </w:p>
    <w:p w:rsidR="00821F17" w:rsidRDefault="00821F17">
      <w:pPr>
        <w:pStyle w:val="NormalIndent"/>
        <w:spacing w:after="0"/>
        <w:ind w:left="0"/>
        <w:rPr>
          <w:rFonts w:ascii="Times New Roman" w:hAnsi="Times New Roman" w:cs="Times New Roman"/>
          <w:b/>
          <w:noProof/>
          <w:sz w:val="24"/>
          <w:szCs w:val="24"/>
          <w:lang w:val="en-GB"/>
        </w:rPr>
      </w:pPr>
    </w:p>
    <w:p w:rsidR="00821F17" w:rsidRDefault="006B159E">
      <w:pPr>
        <w:pStyle w:val="Heading2"/>
        <w:numPr>
          <w:ilvl w:val="1"/>
          <w:numId w:val="6"/>
        </w:numPr>
        <w:rPr>
          <w:noProof/>
        </w:rPr>
      </w:pPr>
      <w:bookmarkStart w:id="13" w:name="_Toc501546852"/>
      <w:r>
        <w:rPr>
          <w:noProof/>
        </w:rPr>
        <w:t>Effectiveness</w:t>
      </w:r>
      <w:bookmarkEnd w:id="13"/>
    </w:p>
    <w:p w:rsidR="00821F17" w:rsidRDefault="006B159E">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To assess the effectiveness of the Fund, the evaluation looked at the extent to which the EIF 2011-2013 actions contributed to the achievement o</w:t>
      </w:r>
      <w:r>
        <w:rPr>
          <w:rFonts w:ascii="Times New Roman" w:hAnsi="Times New Roman" w:cs="Times New Roman"/>
          <w:noProof/>
          <w:sz w:val="24"/>
          <w:szCs w:val="24"/>
        </w:rPr>
        <w:t>f the general objective of the Fund, which was to support the Member States in their efforts to enable TCNs to fulfil the conditions of residence and to facilitate their integration into the European societies. Member States and beneficiaries did not monit</w:t>
      </w:r>
      <w:r>
        <w:rPr>
          <w:rFonts w:ascii="Times New Roman" w:hAnsi="Times New Roman" w:cs="Times New Roman"/>
          <w:noProof/>
          <w:sz w:val="24"/>
          <w:szCs w:val="24"/>
        </w:rPr>
        <w:t xml:space="preserve">or what happened to TCNs after they have received support from the EIF, so it is very difficult to quantify the extent to which the Fund contributed to the integration of TCNs. Effectiveness is measured in terms of an overall increase in TCNs supported by </w:t>
      </w:r>
      <w:r>
        <w:rPr>
          <w:rFonts w:ascii="Times New Roman" w:hAnsi="Times New Roman" w:cs="Times New Roman"/>
          <w:noProof/>
          <w:sz w:val="24"/>
          <w:szCs w:val="24"/>
        </w:rPr>
        <w:t>the Fund rather than as a percentage of TCNs supported out of a total number of TCNs.</w:t>
      </w:r>
    </w:p>
    <w:p w:rsidR="00821F17" w:rsidRDefault="006B159E">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Instrumental to the achievement of the general objective was the progress towards the four specific objectives set in the legal base and illustrated in Section 2. The ana</w:t>
      </w:r>
      <w:r>
        <w:rPr>
          <w:rFonts w:ascii="Times New Roman" w:hAnsi="Times New Roman" w:cs="Times New Roman"/>
          <w:noProof/>
          <w:sz w:val="24"/>
          <w:szCs w:val="24"/>
        </w:rPr>
        <w:t>lysis of the effectiveness of the Fund is presented per specific objective, each of them dealt with by specific evaluation questions, as shown below:</w:t>
      </w:r>
    </w:p>
    <w:p w:rsidR="00821F17" w:rsidRDefault="00821F17">
      <w:pPr>
        <w:spacing w:after="0" w:line="360" w:lineRule="auto"/>
        <w:jc w:val="both"/>
        <w:rPr>
          <w:rFonts w:ascii="Times New Roman" w:hAnsi="Times New Roman" w:cs="Times New Roman"/>
          <w:noProof/>
          <w:sz w:val="24"/>
          <w:szCs w:val="24"/>
        </w:rPr>
      </w:pPr>
    </w:p>
    <w:p w:rsidR="00821F17" w:rsidRDefault="006B159E">
      <w:pPr>
        <w:spacing w:after="0" w:line="360" w:lineRule="auto"/>
        <w:jc w:val="both"/>
        <w:rPr>
          <w:rFonts w:ascii="Times New Roman" w:hAnsi="Times New Roman" w:cs="Times New Roman"/>
          <w:noProof/>
          <w:sz w:val="24"/>
          <w:szCs w:val="24"/>
        </w:rPr>
      </w:pPr>
      <w:hyperlink r:id="rId24" w:anchor="_OBJECTIVE_A" w:history="1">
        <w:r>
          <w:rPr>
            <w:rStyle w:val="Hyperlink"/>
            <w:rFonts w:ascii="Times New Roman" w:hAnsi="Times New Roman" w:cs="Times New Roman"/>
            <w:noProof/>
            <w:color w:val="000000" w:themeColor="text1"/>
            <w:sz w:val="24"/>
            <w:szCs w:val="24"/>
            <w:lang w:eastAsia="en-GB"/>
          </w:rPr>
          <w:t>Objective A</w:t>
        </w:r>
        <w:r>
          <w:rPr>
            <w:rStyle w:val="Hyperlink"/>
            <w:rFonts w:ascii="Times New Roman" w:hAnsi="Times New Roman" w:cs="Times New Roman"/>
            <w:noProof/>
            <w:color w:val="000000" w:themeColor="text1"/>
            <w:sz w:val="24"/>
            <w:szCs w:val="24"/>
            <w:u w:val="none"/>
            <w:lang w:eastAsia="en-GB"/>
          </w:rPr>
          <w:t xml:space="preserve"> </w:t>
        </w:r>
        <w:r>
          <w:rPr>
            <w:rStyle w:val="Hyperlink"/>
            <w:rFonts w:ascii="Times New Roman" w:hAnsi="Times New Roman" w:cs="Times New Roman"/>
            <w:noProof/>
            <w:sz w:val="24"/>
            <w:szCs w:val="24"/>
            <w:u w:val="none"/>
            <w:lang w:eastAsia="en-GB"/>
          </w:rPr>
          <w:t>-</w:t>
        </w:r>
      </w:hyperlink>
      <w:r>
        <w:rPr>
          <w:rFonts w:ascii="Times New Roman" w:hAnsi="Times New Roman" w:cs="Times New Roman"/>
          <w:noProof/>
          <w:sz w:val="24"/>
          <w:szCs w:val="24"/>
          <w:lang w:eastAsia="en-GB"/>
        </w:rPr>
        <w:t xml:space="preserve"> Facilitation of the development and implementation of admission procedures relevant to and supportive of the integration process of TCNs: evaluation questions 2 and 3.</w:t>
      </w:r>
      <w:r>
        <w:rPr>
          <w:rFonts w:ascii="Times New Roman" w:hAnsi="Times New Roman" w:cs="Times New Roman"/>
          <w:noProof/>
          <w:sz w:val="24"/>
          <w:szCs w:val="24"/>
        </w:rPr>
        <w:t xml:space="preserve"> </w:t>
      </w:r>
    </w:p>
    <w:p w:rsidR="00821F17" w:rsidRDefault="00821F17">
      <w:pPr>
        <w:spacing w:after="0" w:line="360" w:lineRule="auto"/>
        <w:jc w:val="both"/>
        <w:rPr>
          <w:rFonts w:ascii="Times New Roman" w:hAnsi="Times New Roman" w:cs="Times New Roman"/>
          <w:noProof/>
          <w:sz w:val="24"/>
          <w:szCs w:val="24"/>
        </w:rPr>
      </w:pPr>
    </w:p>
    <w:p w:rsidR="00821F17" w:rsidRDefault="006B159E">
      <w:pPr>
        <w:spacing w:after="0" w:line="36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u w:val="single"/>
          <w:lang w:eastAsia="en-GB"/>
        </w:rPr>
        <w:t>Objective B</w:t>
      </w:r>
      <w:r>
        <w:rPr>
          <w:rFonts w:ascii="Times New Roman" w:hAnsi="Times New Roman" w:cs="Times New Roman"/>
          <w:noProof/>
          <w:sz w:val="24"/>
          <w:szCs w:val="24"/>
          <w:lang w:eastAsia="en-GB"/>
        </w:rPr>
        <w:t xml:space="preserve"> - Development and implementation of the integration process of newly arri</w:t>
      </w:r>
      <w:r>
        <w:rPr>
          <w:rFonts w:ascii="Times New Roman" w:hAnsi="Times New Roman" w:cs="Times New Roman"/>
          <w:noProof/>
          <w:sz w:val="24"/>
          <w:szCs w:val="24"/>
          <w:lang w:eastAsia="en-GB"/>
        </w:rPr>
        <w:t xml:space="preserve">ved TCNs in Member States: evaluation questions 4 and </w:t>
      </w:r>
      <w:r>
        <w:rPr>
          <w:rFonts w:ascii="Times New Roman" w:hAnsi="Times New Roman" w:cs="Times New Roman"/>
          <w:noProof/>
          <w:color w:val="000000" w:themeColor="text1"/>
          <w:sz w:val="24"/>
          <w:szCs w:val="24"/>
          <w:lang w:eastAsia="en-GB"/>
        </w:rPr>
        <w:t>7.</w:t>
      </w:r>
    </w:p>
    <w:p w:rsidR="00821F17" w:rsidRDefault="00821F17">
      <w:pPr>
        <w:spacing w:after="0" w:line="360" w:lineRule="auto"/>
        <w:jc w:val="both"/>
        <w:rPr>
          <w:rFonts w:ascii="Times New Roman" w:hAnsi="Times New Roman" w:cs="Times New Roman"/>
          <w:noProof/>
          <w:sz w:val="24"/>
          <w:szCs w:val="24"/>
          <w:lang w:eastAsia="en-GB"/>
        </w:rPr>
      </w:pPr>
    </w:p>
    <w:p w:rsidR="00821F17" w:rsidRDefault="006B159E">
      <w:pPr>
        <w:spacing w:after="0" w:line="360" w:lineRule="auto"/>
        <w:jc w:val="both"/>
        <w:rPr>
          <w:rFonts w:ascii="Times New Roman" w:hAnsi="Times New Roman" w:cs="Times New Roman"/>
          <w:noProof/>
          <w:sz w:val="24"/>
          <w:szCs w:val="24"/>
          <w:lang w:eastAsia="en-GB"/>
        </w:rPr>
      </w:pPr>
      <w:hyperlink r:id="rId25" w:anchor="_OBJECTIVE_C" w:history="1">
        <w:r>
          <w:rPr>
            <w:rStyle w:val="Hyperlink"/>
            <w:rFonts w:ascii="Times New Roman" w:hAnsi="Times New Roman" w:cs="Times New Roman"/>
            <w:noProof/>
            <w:color w:val="000000" w:themeColor="text1"/>
            <w:sz w:val="24"/>
            <w:szCs w:val="24"/>
            <w:lang w:eastAsia="en-GB"/>
          </w:rPr>
          <w:t>Objective C</w:t>
        </w:r>
      </w:hyperlink>
      <w:r>
        <w:rPr>
          <w:rFonts w:ascii="Times New Roman" w:hAnsi="Times New Roman" w:cs="Times New Roman"/>
          <w:noProof/>
          <w:sz w:val="24"/>
          <w:szCs w:val="24"/>
          <w:lang w:eastAsia="en-GB"/>
        </w:rPr>
        <w:t xml:space="preserve"> - Increasing of the capacity of Member States to develop, implement, monitor and evaluate policies and measures for the integration of TCNs: evaluation questions 5 and 8.</w:t>
      </w:r>
    </w:p>
    <w:p w:rsidR="00821F17" w:rsidRDefault="00821F17">
      <w:pPr>
        <w:spacing w:after="0" w:line="360" w:lineRule="auto"/>
        <w:jc w:val="both"/>
        <w:rPr>
          <w:rFonts w:ascii="Times New Roman" w:hAnsi="Times New Roman" w:cs="Times New Roman"/>
          <w:noProof/>
          <w:sz w:val="24"/>
          <w:szCs w:val="24"/>
          <w:lang w:eastAsia="en-GB"/>
        </w:rPr>
      </w:pPr>
    </w:p>
    <w:p w:rsidR="00821F17" w:rsidRDefault="006B159E">
      <w:pPr>
        <w:spacing w:after="0" w:line="360" w:lineRule="auto"/>
        <w:jc w:val="both"/>
        <w:rPr>
          <w:rFonts w:ascii="Times New Roman" w:hAnsi="Times New Roman" w:cs="Times New Roman"/>
          <w:noProof/>
          <w:sz w:val="24"/>
          <w:szCs w:val="24"/>
          <w:lang w:eastAsia="en-GB"/>
        </w:rPr>
      </w:pPr>
      <w:hyperlink r:id="rId26" w:anchor="_OBJECTIVE_D" w:history="1">
        <w:r>
          <w:rPr>
            <w:rStyle w:val="Hyperlink"/>
            <w:rFonts w:ascii="Times New Roman" w:hAnsi="Times New Roman" w:cs="Times New Roman"/>
            <w:noProof/>
            <w:color w:val="000000" w:themeColor="text1"/>
            <w:sz w:val="24"/>
            <w:szCs w:val="24"/>
            <w:lang w:eastAsia="en-GB"/>
          </w:rPr>
          <w:t>Objective D</w:t>
        </w:r>
      </w:hyperlink>
      <w:r>
        <w:rPr>
          <w:rFonts w:ascii="Times New Roman" w:hAnsi="Times New Roman" w:cs="Times New Roman"/>
          <w:noProof/>
          <w:color w:val="000000" w:themeColor="text1"/>
          <w:sz w:val="24"/>
          <w:szCs w:val="24"/>
          <w:lang w:eastAsia="en-GB"/>
        </w:rPr>
        <w:t xml:space="preserve"> </w:t>
      </w:r>
      <w:r>
        <w:rPr>
          <w:rFonts w:ascii="Times New Roman" w:hAnsi="Times New Roman" w:cs="Times New Roman"/>
          <w:noProof/>
          <w:sz w:val="24"/>
          <w:szCs w:val="24"/>
          <w:lang w:eastAsia="en-GB"/>
        </w:rPr>
        <w:t>- Exchange of information, best practices and cooperatio</w:t>
      </w:r>
      <w:r>
        <w:rPr>
          <w:rFonts w:ascii="Times New Roman" w:hAnsi="Times New Roman" w:cs="Times New Roman"/>
          <w:noProof/>
          <w:sz w:val="24"/>
          <w:szCs w:val="24"/>
          <w:lang w:eastAsia="en-GB"/>
        </w:rPr>
        <w:t>n in and between Member States in developing, implementing, monitoring and evaluating policies and measures for the integration of TCNs: evaluation questions 6, 9, 10 and 11.</w:t>
      </w:r>
    </w:p>
    <w:p w:rsidR="00821F17" w:rsidRDefault="00821F17">
      <w:pPr>
        <w:pStyle w:val="BodyText"/>
        <w:spacing w:line="360" w:lineRule="auto"/>
        <w:rPr>
          <w:noProof/>
          <w:szCs w:val="24"/>
        </w:rPr>
      </w:pPr>
    </w:p>
    <w:p w:rsidR="00821F17" w:rsidRDefault="006B159E">
      <w:pPr>
        <w:pStyle w:val="BodyText"/>
        <w:spacing w:line="360" w:lineRule="auto"/>
        <w:rPr>
          <w:noProof/>
          <w:szCs w:val="24"/>
        </w:rPr>
      </w:pPr>
      <w:r>
        <w:rPr>
          <w:noProof/>
          <w:szCs w:val="24"/>
        </w:rPr>
        <w:t>The evaluation question 1 provides a global assessment of the effectiveness of t</w:t>
      </w:r>
      <w:r>
        <w:rPr>
          <w:noProof/>
          <w:szCs w:val="24"/>
        </w:rPr>
        <w:t xml:space="preserve">he Fund. </w:t>
      </w:r>
    </w:p>
    <w:tbl>
      <w:tblPr>
        <w:tblStyle w:val="TableGrid"/>
        <w:tblW w:w="0" w:type="auto"/>
        <w:tblLook w:val="04A0" w:firstRow="1" w:lastRow="0" w:firstColumn="1" w:lastColumn="0" w:noHBand="0" w:noVBand="1"/>
      </w:tblPr>
      <w:tblGrid>
        <w:gridCol w:w="9288"/>
      </w:tblGrid>
      <w:tr w:rsidR="00821F17">
        <w:tc>
          <w:tcPr>
            <w:tcW w:w="9288" w:type="dxa"/>
            <w:tcBorders>
              <w:top w:val="single" w:sz="4" w:space="0" w:color="auto"/>
              <w:left w:val="single" w:sz="4" w:space="0" w:color="auto"/>
              <w:bottom w:val="single" w:sz="4" w:space="0" w:color="auto"/>
              <w:right w:val="single" w:sz="4" w:space="0" w:color="auto"/>
            </w:tcBorders>
          </w:tcPr>
          <w:p w:rsidR="00821F17" w:rsidRDefault="006B159E">
            <w:pPr>
              <w:spacing w:line="360" w:lineRule="auto"/>
              <w:jc w:val="both"/>
              <w:rPr>
                <w:rFonts w:ascii="Times New Roman" w:hAnsi="Times New Roman" w:cs="Times New Roman"/>
                <w:i/>
                <w:noProof/>
                <w:sz w:val="24"/>
                <w:szCs w:val="24"/>
              </w:rPr>
            </w:pPr>
            <w:r>
              <w:rPr>
                <w:rFonts w:ascii="Times New Roman" w:hAnsi="Times New Roman" w:cs="Times New Roman"/>
                <w:b/>
                <w:noProof/>
                <w:sz w:val="24"/>
                <w:szCs w:val="24"/>
              </w:rPr>
              <w:t>EQ1:</w:t>
            </w:r>
            <w:r>
              <w:rPr>
                <w:rFonts w:ascii="Times New Roman" w:hAnsi="Times New Roman" w:cs="Times New Roman"/>
                <w:i/>
                <w:noProof/>
                <w:sz w:val="24"/>
                <w:szCs w:val="24"/>
              </w:rPr>
              <w:t xml:space="preserve"> To what extent did the EIF 2011-2013 actions contribute to the achievement of the objectives defined in Articles 2 and 3 of Decision No 2007/435/EC and to the priorities defined by the Strategic Guidelines (2007)3926 of 21/08/2007)?</w:t>
            </w:r>
          </w:p>
          <w:p w:rsidR="00821F17" w:rsidRDefault="00821F17">
            <w:pPr>
              <w:spacing w:line="360" w:lineRule="auto"/>
              <w:jc w:val="both"/>
              <w:rPr>
                <w:rFonts w:ascii="Times New Roman" w:hAnsi="Times New Roman" w:cs="Times New Roman"/>
                <w:i/>
                <w:noProof/>
                <w:sz w:val="24"/>
                <w:szCs w:val="24"/>
              </w:rPr>
            </w:pPr>
          </w:p>
          <w:p w:rsidR="00821F17" w:rsidRDefault="006B159E">
            <w:pPr>
              <w:keepNext/>
              <w:spacing w:after="240" w:line="360" w:lineRule="auto"/>
              <w:jc w:val="both"/>
              <w:outlineLvl w:val="3"/>
              <w:rPr>
                <w:rFonts w:ascii="Times New Roman" w:hAnsi="Times New Roman" w:cs="Times New Roman"/>
                <w:noProof/>
                <w:sz w:val="24"/>
                <w:szCs w:val="24"/>
              </w:rPr>
            </w:pPr>
            <w:r>
              <w:rPr>
                <w:rFonts w:ascii="Times New Roman" w:hAnsi="Times New Roman" w:cs="Times New Roman"/>
                <w:b/>
                <w:noProof/>
                <w:sz w:val="24"/>
                <w:szCs w:val="24"/>
              </w:rPr>
              <w:t xml:space="preserve">Main conclusion: </w:t>
            </w:r>
            <w:r>
              <w:rPr>
                <w:rFonts w:ascii="Times New Roman" w:hAnsi="Times New Roman" w:cs="Times New Roman"/>
                <w:noProof/>
                <w:sz w:val="24"/>
                <w:szCs w:val="24"/>
              </w:rPr>
              <w:t>Overall, the EIF achieved progress towards its objectives, though to varying degrees. The Fund enhanced the direct support to the integration of TCNs and made an important contribution to the integration process in the majority of EU Membe</w:t>
            </w:r>
            <w:r>
              <w:rPr>
                <w:rFonts w:ascii="Times New Roman" w:hAnsi="Times New Roman" w:cs="Times New Roman"/>
                <w:noProof/>
                <w:sz w:val="24"/>
                <w:szCs w:val="24"/>
              </w:rPr>
              <w:t>r States. It led to increased and improved offer of services and increased attendance by TCNs. It was effective in putting the Common Basic Principles on Integration into action, but it achieved only partially the objective of enhancing cooperation between</w:t>
            </w:r>
            <w:r>
              <w:rPr>
                <w:rFonts w:ascii="Times New Roman" w:hAnsi="Times New Roman" w:cs="Times New Roman"/>
                <w:noProof/>
                <w:sz w:val="24"/>
                <w:szCs w:val="24"/>
              </w:rPr>
              <w:t xml:space="preserve"> Member States. </w:t>
            </w:r>
          </w:p>
        </w:tc>
      </w:tr>
    </w:tbl>
    <w:p w:rsidR="00821F17" w:rsidRDefault="00821F17">
      <w:pPr>
        <w:spacing w:line="360" w:lineRule="auto"/>
        <w:jc w:val="both"/>
        <w:rPr>
          <w:rFonts w:ascii="Times New Roman" w:hAnsi="Times New Roman" w:cs="Times New Roman"/>
          <w:noProof/>
          <w:sz w:val="24"/>
          <w:szCs w:val="24"/>
        </w:rPr>
      </w:pPr>
    </w:p>
    <w:p w:rsidR="00821F17" w:rsidRDefault="006B159E">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The evaluation concluded that the EIF was effective in the development and implementation of the integration process of newly-arrived TCNs (specific objective 2), and in increasing the capacity of Member States to develop, monitor, imple</w:t>
      </w:r>
      <w:r>
        <w:rPr>
          <w:rFonts w:ascii="Times New Roman" w:hAnsi="Times New Roman" w:cs="Times New Roman"/>
          <w:noProof/>
          <w:sz w:val="24"/>
          <w:szCs w:val="24"/>
        </w:rPr>
        <w:t>ment and evaluate policies and measures for the integration of TCNs (specific objective 3).</w:t>
      </w:r>
    </w:p>
    <w:p w:rsidR="00821F17" w:rsidRDefault="006B159E">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Overall, Member States implemented 7 279 projects with EIF support, reaching more than 2.5 million TCNs in various ways. This included 463 990 TCNs belonging to spe</w:t>
      </w:r>
      <w:r>
        <w:rPr>
          <w:rFonts w:ascii="Times New Roman" w:hAnsi="Times New Roman" w:cs="Times New Roman"/>
          <w:noProof/>
          <w:sz w:val="24"/>
          <w:szCs w:val="24"/>
        </w:rPr>
        <w:t xml:space="preserve">cific target groups and at least 3 081 minors. In addition to TCNs, end recipients of the Fund were also staff working with TCNs, staff in relevant services of other Member States and members of the public. Member States implementing the largest number of </w:t>
      </w:r>
      <w:r>
        <w:rPr>
          <w:rFonts w:ascii="Times New Roman" w:hAnsi="Times New Roman" w:cs="Times New Roman"/>
          <w:noProof/>
          <w:sz w:val="24"/>
          <w:szCs w:val="24"/>
        </w:rPr>
        <w:t>projects were Italy (883 736), Spain (533 028), Poland (228 612), Germany (114 215), France (94 234) and Czech Republic (64 579). The implementation of the EIF through activities targeting directly the end recipients proved to be more efficient than expect</w:t>
      </w:r>
      <w:r>
        <w:rPr>
          <w:rFonts w:ascii="Times New Roman" w:hAnsi="Times New Roman" w:cs="Times New Roman"/>
          <w:noProof/>
          <w:sz w:val="24"/>
          <w:szCs w:val="24"/>
        </w:rPr>
        <w:t xml:space="preserve">ed. For example, 11 Member States planned pre-departure measures to benefit 99 799 TCNs in 53 projects. All projects except one went ahead and reached 108 837 end recipients altogether.  </w:t>
      </w:r>
    </w:p>
    <w:p w:rsidR="00821F17" w:rsidRDefault="006B159E">
      <w:pPr>
        <w:keepNext/>
        <w:spacing w:line="360" w:lineRule="auto"/>
        <w:jc w:val="both"/>
        <w:rPr>
          <w:rFonts w:ascii="Times New Roman" w:eastAsiaTheme="majorEastAsia" w:hAnsi="Times New Roman" w:cs="Times New Roman"/>
          <w:bCs/>
          <w:noProof/>
          <w:sz w:val="24"/>
          <w:szCs w:val="24"/>
          <w:lang w:eastAsia="en-GB"/>
        </w:rPr>
      </w:pPr>
      <w:r>
        <w:rPr>
          <w:rFonts w:ascii="Times New Roman" w:eastAsiaTheme="majorEastAsia" w:hAnsi="Times New Roman" w:cs="Times New Roman"/>
          <w:b/>
          <w:bCs/>
          <w:noProof/>
          <w:sz w:val="24"/>
          <w:szCs w:val="24"/>
          <w:lang w:eastAsia="en-GB"/>
        </w:rPr>
        <w:t xml:space="preserve">Objective A - </w:t>
      </w:r>
      <w:r>
        <w:rPr>
          <w:rFonts w:ascii="Times New Roman" w:eastAsiaTheme="majorEastAsia" w:hAnsi="Times New Roman" w:cs="Times New Roman"/>
          <w:bCs/>
          <w:noProof/>
          <w:sz w:val="24"/>
          <w:szCs w:val="24"/>
          <w:lang w:eastAsia="en-GB"/>
        </w:rPr>
        <w:t xml:space="preserve">Facilitation of the development and implementation of </w:t>
      </w:r>
      <w:r>
        <w:rPr>
          <w:rFonts w:ascii="Times New Roman" w:eastAsiaTheme="majorEastAsia" w:hAnsi="Times New Roman" w:cs="Times New Roman"/>
          <w:bCs/>
          <w:noProof/>
          <w:sz w:val="24"/>
          <w:szCs w:val="24"/>
          <w:lang w:eastAsia="en-GB"/>
        </w:rPr>
        <w:t xml:space="preserve">admission procedures relevant to and supportive of the integration process of TCNs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288"/>
      </w:tblGrid>
      <w:tr w:rsidR="00821F17">
        <w:tc>
          <w:tcPr>
            <w:tcW w:w="9288" w:type="dxa"/>
            <w:tcBorders>
              <w:top w:val="single" w:sz="4" w:space="0" w:color="auto"/>
              <w:left w:val="single" w:sz="4" w:space="0" w:color="auto"/>
              <w:bottom w:val="single" w:sz="4" w:space="0" w:color="auto"/>
              <w:right w:val="single" w:sz="4" w:space="0" w:color="auto"/>
            </w:tcBorders>
            <w:shd w:val="clear" w:color="auto" w:fill="FFFFFF" w:themeFill="background1"/>
          </w:tcPr>
          <w:p w:rsidR="00821F17" w:rsidRDefault="006B159E">
            <w:pPr>
              <w:keepNext/>
              <w:tabs>
                <w:tab w:val="left" w:pos="0"/>
              </w:tabs>
              <w:spacing w:line="360" w:lineRule="auto"/>
              <w:jc w:val="both"/>
              <w:rPr>
                <w:rFonts w:ascii="Times New Roman" w:hAnsi="Times New Roman" w:cs="Times New Roman"/>
                <w:i/>
                <w:noProof/>
                <w:sz w:val="24"/>
                <w:szCs w:val="24"/>
              </w:rPr>
            </w:pPr>
            <w:r>
              <w:rPr>
                <w:rFonts w:ascii="Times New Roman" w:eastAsiaTheme="majorEastAsia" w:hAnsi="Times New Roman" w:cs="Times New Roman"/>
                <w:b/>
                <w:bCs/>
                <w:noProof/>
                <w:sz w:val="24"/>
                <w:szCs w:val="24"/>
                <w:lang w:eastAsia="en-GB"/>
              </w:rPr>
              <w:t xml:space="preserve">EQ3: </w:t>
            </w:r>
            <w:r>
              <w:rPr>
                <w:rFonts w:ascii="Times New Roman" w:eastAsiaTheme="majorEastAsia" w:hAnsi="Times New Roman" w:cs="Times New Roman"/>
                <w:bCs/>
                <w:i/>
                <w:noProof/>
                <w:sz w:val="24"/>
                <w:szCs w:val="24"/>
                <w:lang w:eastAsia="en-GB"/>
              </w:rPr>
              <w:t>To what extent did the EIF 2011-2013 actions contribute to the facilitation of the development and implementation of admission procedures relevant to and supportive o</w:t>
            </w:r>
            <w:r>
              <w:rPr>
                <w:rFonts w:ascii="Times New Roman" w:eastAsiaTheme="majorEastAsia" w:hAnsi="Times New Roman" w:cs="Times New Roman"/>
                <w:bCs/>
                <w:i/>
                <w:noProof/>
                <w:sz w:val="24"/>
                <w:szCs w:val="24"/>
                <w:lang w:eastAsia="en-GB"/>
              </w:rPr>
              <w:t>f the integration process of TCNs?</w:t>
            </w:r>
          </w:p>
          <w:p w:rsidR="00821F17" w:rsidRDefault="00821F17">
            <w:pPr>
              <w:keepNext/>
              <w:tabs>
                <w:tab w:val="left" w:pos="0"/>
              </w:tabs>
              <w:spacing w:line="360" w:lineRule="auto"/>
              <w:jc w:val="both"/>
              <w:rPr>
                <w:rFonts w:ascii="Times New Roman" w:hAnsi="Times New Roman" w:cs="Times New Roman"/>
                <w:i/>
                <w:noProof/>
                <w:sz w:val="24"/>
                <w:szCs w:val="24"/>
              </w:rPr>
            </w:pPr>
          </w:p>
          <w:p w:rsidR="00821F17" w:rsidRDefault="006B159E">
            <w:pPr>
              <w:keepNext/>
              <w:tabs>
                <w:tab w:val="left" w:pos="0"/>
              </w:tabs>
              <w:spacing w:line="360" w:lineRule="auto"/>
              <w:jc w:val="both"/>
              <w:rPr>
                <w:rFonts w:ascii="Times New Roman" w:hAnsi="Times New Roman" w:cs="Times New Roman"/>
                <w:noProof/>
                <w:sz w:val="24"/>
                <w:szCs w:val="24"/>
              </w:rPr>
            </w:pPr>
            <w:r>
              <w:rPr>
                <w:rFonts w:ascii="Times New Roman" w:hAnsi="Times New Roman" w:cs="Times New Roman"/>
                <w:b/>
                <w:noProof/>
                <w:sz w:val="24"/>
                <w:szCs w:val="24"/>
              </w:rPr>
              <w:t>Main conclusion:</w:t>
            </w:r>
            <w:r>
              <w:rPr>
                <w:rFonts w:ascii="Times New Roman" w:hAnsi="Times New Roman" w:cs="Times New Roman"/>
                <w:noProof/>
                <w:sz w:val="24"/>
                <w:szCs w:val="24"/>
              </w:rPr>
              <w:t xml:space="preserve"> Both National and Community Actions had limited impact on the facilitation of the development and implementation of admission procedures relevant to and supportive of the integration process of TCNs. Thi</w:t>
            </w:r>
            <w:r>
              <w:rPr>
                <w:rFonts w:ascii="Times New Roman" w:hAnsi="Times New Roman" w:cs="Times New Roman"/>
                <w:noProof/>
                <w:sz w:val="24"/>
                <w:szCs w:val="24"/>
              </w:rPr>
              <w:t>s is due to the fact that only a few Member States considered this as a priority, as reflected in their annual programmes, and the focus was more on increasing knowledge of admission procedures than directly on their improvement. However, the projects carr</w:t>
            </w:r>
            <w:r>
              <w:rPr>
                <w:rFonts w:ascii="Times New Roman" w:hAnsi="Times New Roman" w:cs="Times New Roman"/>
                <w:noProof/>
                <w:sz w:val="24"/>
                <w:szCs w:val="24"/>
              </w:rPr>
              <w:t>ied out under this objective generated some regulatory changes.</w:t>
            </w:r>
          </w:p>
        </w:tc>
      </w:tr>
    </w:tbl>
    <w:p w:rsidR="00821F17" w:rsidRDefault="00821F17">
      <w:pPr>
        <w:keepNext/>
        <w:tabs>
          <w:tab w:val="left" w:pos="0"/>
        </w:tabs>
        <w:spacing w:after="0" w:line="360" w:lineRule="auto"/>
        <w:jc w:val="both"/>
        <w:rPr>
          <w:rFonts w:ascii="Times New Roman" w:hAnsi="Times New Roman" w:cs="Times New Roman"/>
          <w:noProof/>
          <w:sz w:val="24"/>
          <w:szCs w:val="24"/>
        </w:rPr>
      </w:pPr>
    </w:p>
    <w:p w:rsidR="00821F17" w:rsidRDefault="006B159E">
      <w:pPr>
        <w:keepNext/>
        <w:tabs>
          <w:tab w:val="left" w:pos="0"/>
        </w:tabs>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Projects aiming to develop and improve admission procedures or pre-departure measures quasi-achieved or over-achieved their pre-defined targets in terms of the number of projects carried out (98%) and TCNs targeted by pre-departure measures (109% with over</w:t>
      </w:r>
      <w:r>
        <w:rPr>
          <w:rFonts w:ascii="Times New Roman" w:hAnsi="Times New Roman" w:cs="Times New Roman"/>
          <w:noProof/>
          <w:sz w:val="24"/>
          <w:szCs w:val="24"/>
        </w:rPr>
        <w:t xml:space="preserve"> 9 000 more TCNs reached than planned). However, the degree of achievement varied between Member States: Germany, Hungary and the UK over-achieved their objectives in terms of number of TCNs, whilst the Netherlands under-achieved them. </w:t>
      </w:r>
    </w:p>
    <w:p w:rsidR="00821F17" w:rsidRDefault="006B159E">
      <w:pPr>
        <w:keepNext/>
        <w:tabs>
          <w:tab w:val="left" w:pos="0"/>
        </w:tabs>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The projects carrie</w:t>
      </w:r>
      <w:r>
        <w:rPr>
          <w:rFonts w:ascii="Times New Roman" w:hAnsi="Times New Roman" w:cs="Times New Roman"/>
          <w:noProof/>
          <w:sz w:val="24"/>
          <w:szCs w:val="24"/>
        </w:rPr>
        <w:t>d out under this objective generated some regulatory changes (legal amendments): for instance, changes to the regulation of admission procedures were undertaken in 10 Member States</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Changes to the organisation of admission procedures were undertaken too</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w:t>
      </w:r>
      <w:r>
        <w:rPr>
          <w:rFonts w:ascii="Times New Roman" w:hAnsi="Times New Roman" w:cs="Times New Roman"/>
          <w:noProof/>
          <w:sz w:val="24"/>
          <w:szCs w:val="24"/>
        </w:rPr>
        <w:t xml:space="preserve"> namely changes in the institutional set-up for immigration policy</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or the establishment of one-stop agency (Citizenship and Migration Affairs)</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However, only five Member States</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out of 24 considered that the EIF strongly contributed to the development or</w:t>
      </w:r>
      <w:r>
        <w:rPr>
          <w:rFonts w:ascii="Times New Roman" w:hAnsi="Times New Roman" w:cs="Times New Roman"/>
          <w:noProof/>
          <w:sz w:val="24"/>
          <w:szCs w:val="24"/>
        </w:rPr>
        <w:t xml:space="preserve"> improvement of national admission procedures supportive of the integration process, and three Member States</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considered this to have a medium impact. 12 Member States</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indicated that the impact for them was weak and three of them</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indicated that the EIF h</w:t>
      </w:r>
      <w:r>
        <w:rPr>
          <w:rFonts w:ascii="Times New Roman" w:hAnsi="Times New Roman" w:cs="Times New Roman"/>
          <w:noProof/>
          <w:sz w:val="24"/>
          <w:szCs w:val="24"/>
        </w:rPr>
        <w:t>ad not contributed to the improvement of the national admission procedures. The evaluation concluded that national actions supported by the EIF contributed to the facilitation of the development and implementation of admission procedures only in those Memb</w:t>
      </w:r>
      <w:r>
        <w:rPr>
          <w:rFonts w:ascii="Times New Roman" w:hAnsi="Times New Roman" w:cs="Times New Roman"/>
          <w:noProof/>
          <w:sz w:val="24"/>
          <w:szCs w:val="24"/>
        </w:rPr>
        <w:t>er States where such procedures were established as priorities.</w:t>
      </w:r>
    </w:p>
    <w:p w:rsidR="00821F17" w:rsidRDefault="006B159E">
      <w:pPr>
        <w:keepNext/>
        <w:tabs>
          <w:tab w:val="left" w:pos="0"/>
        </w:tabs>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This trend was confirmed also at EU level, as the Commission did not include the admission procedures in the annual work programmes of the Community Actions 2011-2013, in light of respect to t</w:t>
      </w:r>
      <w:r>
        <w:rPr>
          <w:rFonts w:ascii="Times New Roman" w:hAnsi="Times New Roman" w:cs="Times New Roman"/>
          <w:noProof/>
          <w:sz w:val="24"/>
          <w:szCs w:val="24"/>
        </w:rPr>
        <w:t xml:space="preserve">he principle of subsidiarity. </w:t>
      </w:r>
    </w:p>
    <w:p w:rsidR="00821F17" w:rsidRDefault="00821F17">
      <w:pPr>
        <w:keepNext/>
        <w:tabs>
          <w:tab w:val="left" w:pos="0"/>
        </w:tabs>
        <w:spacing w:after="0" w:line="36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288"/>
      </w:tblGrid>
      <w:tr w:rsidR="00821F17">
        <w:tc>
          <w:tcPr>
            <w:tcW w:w="9288" w:type="dxa"/>
            <w:tcBorders>
              <w:top w:val="single" w:sz="4" w:space="0" w:color="auto"/>
              <w:left w:val="single" w:sz="4" w:space="0" w:color="auto"/>
              <w:bottom w:val="single" w:sz="4" w:space="0" w:color="auto"/>
              <w:right w:val="single" w:sz="4" w:space="0" w:color="auto"/>
            </w:tcBorders>
          </w:tcPr>
          <w:p w:rsidR="00821F17" w:rsidRDefault="006B159E">
            <w:pPr>
              <w:keepNext/>
              <w:tabs>
                <w:tab w:val="left" w:pos="0"/>
              </w:tabs>
              <w:spacing w:line="360" w:lineRule="auto"/>
              <w:jc w:val="both"/>
              <w:rPr>
                <w:rFonts w:ascii="Times New Roman" w:hAnsi="Times New Roman" w:cs="Times New Roman"/>
                <w:i/>
                <w:noProof/>
                <w:sz w:val="24"/>
                <w:szCs w:val="24"/>
              </w:rPr>
            </w:pPr>
            <w:r>
              <w:rPr>
                <w:rFonts w:ascii="Times New Roman" w:hAnsi="Times New Roman" w:cs="Times New Roman"/>
                <w:b/>
                <w:noProof/>
                <w:sz w:val="24"/>
                <w:szCs w:val="24"/>
              </w:rPr>
              <w:t>EQ2:</w:t>
            </w:r>
            <w:r>
              <w:rPr>
                <w:rFonts w:ascii="Times New Roman" w:hAnsi="Times New Roman" w:cs="Times New Roman"/>
                <w:noProof/>
                <w:sz w:val="24"/>
                <w:szCs w:val="24"/>
              </w:rPr>
              <w:t xml:space="preserve"> </w:t>
            </w:r>
            <w:r>
              <w:rPr>
                <w:rFonts w:ascii="Times New Roman" w:hAnsi="Times New Roman" w:cs="Times New Roman"/>
                <w:i/>
                <w:noProof/>
                <w:sz w:val="24"/>
                <w:szCs w:val="24"/>
              </w:rPr>
              <w:t>To what extent did the EIF actions contribute to the integration of newly arrived TCNs?</w:t>
            </w:r>
          </w:p>
          <w:p w:rsidR="00821F17" w:rsidRDefault="00821F17">
            <w:pPr>
              <w:keepNext/>
              <w:tabs>
                <w:tab w:val="left" w:pos="0"/>
              </w:tabs>
              <w:spacing w:line="360" w:lineRule="auto"/>
              <w:jc w:val="both"/>
              <w:rPr>
                <w:rFonts w:ascii="Times New Roman" w:hAnsi="Times New Roman" w:cs="Times New Roman"/>
                <w:i/>
                <w:noProof/>
                <w:sz w:val="24"/>
                <w:szCs w:val="24"/>
              </w:rPr>
            </w:pPr>
          </w:p>
          <w:p w:rsidR="00821F17" w:rsidRDefault="006B159E">
            <w:pPr>
              <w:keepNext/>
              <w:tabs>
                <w:tab w:val="left" w:pos="0"/>
              </w:tabs>
              <w:spacing w:line="360" w:lineRule="auto"/>
              <w:jc w:val="both"/>
              <w:rPr>
                <w:rFonts w:ascii="Times New Roman" w:hAnsi="Times New Roman" w:cs="Times New Roman"/>
                <w:noProof/>
                <w:sz w:val="24"/>
                <w:szCs w:val="24"/>
              </w:rPr>
            </w:pPr>
            <w:r>
              <w:rPr>
                <w:rFonts w:ascii="Times New Roman" w:hAnsi="Times New Roman" w:cs="Times New Roman"/>
                <w:b/>
                <w:noProof/>
                <w:sz w:val="24"/>
                <w:szCs w:val="24"/>
              </w:rPr>
              <w:t>Main conclusion:</w:t>
            </w:r>
            <w:r>
              <w:rPr>
                <w:rFonts w:ascii="Times New Roman" w:hAnsi="Times New Roman" w:cs="Times New Roman"/>
                <w:noProof/>
                <w:sz w:val="24"/>
                <w:szCs w:val="24"/>
              </w:rPr>
              <w:t xml:space="preserve"> The evaluation showed that the EIF National and Community Actions contributed significantly to the integration of</w:t>
            </w:r>
            <w:r>
              <w:rPr>
                <w:rFonts w:ascii="Times New Roman" w:hAnsi="Times New Roman" w:cs="Times New Roman"/>
                <w:noProof/>
                <w:sz w:val="24"/>
                <w:szCs w:val="24"/>
              </w:rPr>
              <w:t xml:space="preserve"> newly-arrived TCNs, especially through the improvement of access to services, employment and education in the host society. The evaluation concluded that this area was the primary focus of EIF. </w:t>
            </w:r>
          </w:p>
        </w:tc>
      </w:tr>
    </w:tbl>
    <w:p w:rsidR="00821F17" w:rsidRDefault="00821F17">
      <w:pPr>
        <w:keepNext/>
        <w:tabs>
          <w:tab w:val="left" w:pos="0"/>
        </w:tabs>
        <w:spacing w:after="0" w:line="360" w:lineRule="auto"/>
        <w:jc w:val="both"/>
        <w:rPr>
          <w:rFonts w:ascii="Times New Roman" w:hAnsi="Times New Roman" w:cs="Times New Roman"/>
          <w:noProof/>
          <w:sz w:val="24"/>
          <w:szCs w:val="24"/>
        </w:rPr>
      </w:pPr>
    </w:p>
    <w:p w:rsidR="00821F17" w:rsidRDefault="006B159E">
      <w:pPr>
        <w:keepNext/>
        <w:tabs>
          <w:tab w:val="left" w:pos="0"/>
        </w:tabs>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actions aiming to facilitate the integration process </w:t>
      </w:r>
      <w:r>
        <w:rPr>
          <w:rFonts w:ascii="Times New Roman" w:hAnsi="Times New Roman" w:cs="Times New Roman"/>
          <w:noProof/>
          <w:sz w:val="24"/>
          <w:szCs w:val="24"/>
        </w:rPr>
        <w:t>of newly arrived TCNs included the provision of general and practical information, social and legal guidance and counselling</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civic orientation</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xml:space="preserve"> and language proficiency</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These are known as “introductory programmes”, and the majority of the Member States</w:t>
      </w:r>
      <w:r>
        <w:rPr>
          <w:rFonts w:ascii="Times New Roman" w:hAnsi="Times New Roman" w:cs="Times New Roman"/>
          <w:noProof/>
          <w:sz w:val="24"/>
          <w:szCs w:val="24"/>
        </w:rPr>
        <w:t xml:space="preserve"> </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acknowledged the strong impact of the EIF on the development and improvement of the quality of these programmes. </w:t>
      </w:r>
    </w:p>
    <w:p w:rsidR="00821F17" w:rsidRDefault="006B159E">
      <w:pPr>
        <w:keepNext/>
        <w:tabs>
          <w:tab w:val="left" w:pos="0"/>
        </w:tabs>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In general, Member States implementing at least one of the above types of action exceeded their targets, as they reached a higher number of</w:t>
      </w:r>
      <w:r>
        <w:rPr>
          <w:rFonts w:ascii="Times New Roman" w:hAnsi="Times New Roman" w:cs="Times New Roman"/>
          <w:noProof/>
          <w:sz w:val="24"/>
          <w:szCs w:val="24"/>
        </w:rPr>
        <w:t xml:space="preserve"> TCNs than originally planned. </w:t>
      </w:r>
    </w:p>
    <w:p w:rsidR="00821F17" w:rsidRDefault="006B159E">
      <w:pPr>
        <w:keepNext/>
        <w:tabs>
          <w:tab w:val="left" w:pos="0"/>
        </w:tabs>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Ten Member States</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identified the projects providing language courses as being particularly important, because they allowed newly arrived TCNs to access and understand other important information, which is crucial to underst</w:t>
      </w:r>
      <w:r>
        <w:rPr>
          <w:rFonts w:ascii="Times New Roman" w:hAnsi="Times New Roman" w:cs="Times New Roman"/>
          <w:noProof/>
          <w:sz w:val="24"/>
          <w:szCs w:val="24"/>
        </w:rPr>
        <w:t>and essential introductory information about the receiving society</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w:t>
      </w:r>
    </w:p>
    <w:p w:rsidR="00821F17" w:rsidRDefault="006B159E">
      <w:pPr>
        <w:keepNext/>
        <w:tabs>
          <w:tab w:val="left" w:pos="0"/>
        </w:tabs>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Projects implemented through Community Actions</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focused mainly on labour integration and perception/intercultural relations, so TCNs’ access to services, employment and education in the h</w:t>
      </w:r>
      <w:r>
        <w:rPr>
          <w:rFonts w:ascii="Times New Roman" w:hAnsi="Times New Roman" w:cs="Times New Roman"/>
          <w:noProof/>
          <w:sz w:val="24"/>
          <w:szCs w:val="24"/>
        </w:rPr>
        <w:t xml:space="preserve">ost society was facilitated and their knowledge of the receiving society improved. </w:t>
      </w:r>
    </w:p>
    <w:p w:rsidR="00821F17" w:rsidRDefault="00821F17">
      <w:pPr>
        <w:keepNext/>
        <w:tabs>
          <w:tab w:val="left" w:pos="0"/>
        </w:tabs>
        <w:spacing w:after="0" w:line="360" w:lineRule="auto"/>
        <w:jc w:val="both"/>
        <w:rPr>
          <w:rFonts w:ascii="Times New Roman" w:hAnsi="Times New Roman" w:cs="Times New Roman"/>
          <w:noProof/>
          <w:sz w:val="24"/>
          <w:szCs w:val="24"/>
        </w:rPr>
      </w:pPr>
    </w:p>
    <w:p w:rsidR="00821F17" w:rsidRDefault="006B159E">
      <w:pPr>
        <w:keepNext/>
        <w:tabs>
          <w:tab w:val="left" w:pos="0"/>
        </w:tabs>
        <w:spacing w:after="0" w:line="36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Objective B - </w:t>
      </w:r>
      <w:r>
        <w:rPr>
          <w:rFonts w:ascii="Times New Roman" w:hAnsi="Times New Roman" w:cs="Times New Roman"/>
          <w:noProof/>
          <w:sz w:val="24"/>
          <w:szCs w:val="24"/>
        </w:rPr>
        <w:t xml:space="preserve">Development and implementation of the integration process of newly arrived TCNs in Member States </w:t>
      </w:r>
    </w:p>
    <w:p w:rsidR="00821F17" w:rsidRDefault="00821F17">
      <w:pPr>
        <w:tabs>
          <w:tab w:val="left" w:pos="0"/>
        </w:tabs>
        <w:spacing w:after="0" w:line="360" w:lineRule="auto"/>
        <w:jc w:val="both"/>
        <w:rPr>
          <w:rFonts w:ascii="Times New Roman" w:hAnsi="Times New Roman" w:cs="Times New Roman"/>
          <w:noProof/>
          <w:sz w:val="24"/>
          <w:szCs w:val="24"/>
        </w:rPr>
      </w:pPr>
    </w:p>
    <w:p w:rsidR="00821F17" w:rsidRDefault="006B159E">
      <w:pPr>
        <w:pBdr>
          <w:top w:val="single" w:sz="4" w:space="1" w:color="auto"/>
          <w:left w:val="single" w:sz="4" w:space="4" w:color="auto"/>
          <w:bottom w:val="single" w:sz="4" w:space="1" w:color="auto"/>
          <w:right w:val="single" w:sz="4" w:space="4" w:color="auto"/>
        </w:pBdr>
        <w:tabs>
          <w:tab w:val="left" w:pos="0"/>
        </w:tabs>
        <w:spacing w:after="0" w:line="360" w:lineRule="auto"/>
        <w:jc w:val="both"/>
        <w:rPr>
          <w:rFonts w:ascii="Times New Roman" w:hAnsi="Times New Roman" w:cs="Times New Roman"/>
          <w:noProof/>
          <w:sz w:val="24"/>
          <w:szCs w:val="24"/>
          <w:lang w:eastAsia="en-GB"/>
        </w:rPr>
      </w:pPr>
      <w:r>
        <w:rPr>
          <w:rFonts w:ascii="Times New Roman" w:eastAsiaTheme="majorEastAsia" w:hAnsi="Times New Roman" w:cs="Times New Roman"/>
          <w:b/>
          <w:bCs/>
          <w:noProof/>
          <w:sz w:val="24"/>
          <w:szCs w:val="24"/>
          <w:lang w:eastAsia="en-GB"/>
        </w:rPr>
        <w:t xml:space="preserve">EQ4: </w:t>
      </w:r>
      <w:r>
        <w:rPr>
          <w:rFonts w:ascii="Times New Roman" w:eastAsiaTheme="majorEastAsia" w:hAnsi="Times New Roman" w:cs="Times New Roman"/>
          <w:bCs/>
          <w:i/>
          <w:noProof/>
          <w:sz w:val="24"/>
          <w:szCs w:val="24"/>
          <w:lang w:eastAsia="en-GB"/>
        </w:rPr>
        <w:t xml:space="preserve">To what extent did the EIF actions contribute to the </w:t>
      </w:r>
      <w:r>
        <w:rPr>
          <w:rFonts w:ascii="Times New Roman" w:eastAsiaTheme="majorEastAsia" w:hAnsi="Times New Roman" w:cs="Times New Roman"/>
          <w:bCs/>
          <w:i/>
          <w:noProof/>
          <w:sz w:val="24"/>
          <w:szCs w:val="24"/>
          <w:lang w:eastAsia="en-GB"/>
        </w:rPr>
        <w:t>development and implementation of the integration process of newly arrived TCNs in Member States?</w:t>
      </w:r>
    </w:p>
    <w:p w:rsidR="00821F17" w:rsidRDefault="00821F17">
      <w:pPr>
        <w:pBdr>
          <w:top w:val="single" w:sz="4" w:space="1" w:color="auto"/>
          <w:left w:val="single" w:sz="4" w:space="4" w:color="auto"/>
          <w:bottom w:val="single" w:sz="4" w:space="1" w:color="auto"/>
          <w:right w:val="single" w:sz="4" w:space="4" w:color="auto"/>
        </w:pBdr>
        <w:tabs>
          <w:tab w:val="left" w:pos="0"/>
        </w:tabs>
        <w:spacing w:after="0" w:line="360" w:lineRule="auto"/>
        <w:jc w:val="both"/>
        <w:rPr>
          <w:rFonts w:ascii="Times New Roman" w:hAnsi="Times New Roman" w:cs="Times New Roman"/>
          <w:noProof/>
          <w:sz w:val="24"/>
          <w:szCs w:val="24"/>
          <w:lang w:eastAsia="en-GB"/>
        </w:rPr>
      </w:pPr>
    </w:p>
    <w:p w:rsidR="00821F17" w:rsidRDefault="006B159E">
      <w:pPr>
        <w:pBdr>
          <w:top w:val="single" w:sz="4" w:space="1" w:color="auto"/>
          <w:left w:val="single" w:sz="4" w:space="4" w:color="auto"/>
          <w:bottom w:val="single" w:sz="4" w:space="1" w:color="auto"/>
          <w:right w:val="single" w:sz="4" w:space="4" w:color="auto"/>
        </w:pBdr>
        <w:tabs>
          <w:tab w:val="left" w:pos="0"/>
        </w:tabs>
        <w:spacing w:after="0" w:line="360" w:lineRule="auto"/>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Main conclusion:</w:t>
      </w:r>
      <w:r>
        <w:rPr>
          <w:rFonts w:ascii="Times New Roman" w:hAnsi="Times New Roman" w:cs="Times New Roman"/>
          <w:noProof/>
          <w:sz w:val="24"/>
          <w:szCs w:val="24"/>
          <w:lang w:eastAsia="en-GB"/>
        </w:rPr>
        <w:t xml:space="preserve"> Overall, a majority of Member States (18) considered that the EIF has had a strong impact on the development and implementation of the integ</w:t>
      </w:r>
      <w:r>
        <w:rPr>
          <w:rFonts w:ascii="Times New Roman" w:hAnsi="Times New Roman" w:cs="Times New Roman"/>
          <w:noProof/>
          <w:sz w:val="24"/>
          <w:szCs w:val="24"/>
          <w:lang w:eastAsia="en-GB"/>
        </w:rPr>
        <w:t>ration process of TCNs, as it allowed the national authorities to develop new skills in public and private organisations dealing with TCNs, thus enhancing the capacity to respond to diverse and increasing needs. At output level, the targets set in national</w:t>
      </w:r>
      <w:r>
        <w:rPr>
          <w:rFonts w:ascii="Times New Roman" w:hAnsi="Times New Roman" w:cs="Times New Roman"/>
          <w:noProof/>
          <w:sz w:val="24"/>
          <w:szCs w:val="24"/>
          <w:lang w:eastAsia="en-GB"/>
        </w:rPr>
        <w:t xml:space="preserve"> programmes were often overachieved in terms of TCNs reached by the services.  </w:t>
      </w:r>
    </w:p>
    <w:p w:rsidR="00821F17" w:rsidRDefault="00821F17">
      <w:pPr>
        <w:tabs>
          <w:tab w:val="left" w:pos="0"/>
        </w:tabs>
        <w:spacing w:after="0" w:line="360" w:lineRule="auto"/>
        <w:jc w:val="both"/>
        <w:rPr>
          <w:rFonts w:ascii="Times New Roman" w:hAnsi="Times New Roman" w:cs="Times New Roman"/>
          <w:b/>
          <w:noProof/>
          <w:sz w:val="24"/>
          <w:szCs w:val="24"/>
          <w:lang w:eastAsia="en-GB"/>
        </w:rPr>
      </w:pPr>
    </w:p>
    <w:p w:rsidR="00821F17" w:rsidRDefault="006B159E">
      <w:pPr>
        <w:tabs>
          <w:tab w:val="left" w:pos="0"/>
        </w:tabs>
        <w:spacing w:after="0" w:line="36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Three types of actions contributed to the development and implementation of the integration process of newly arrived TCNs. All of them highly over-achieved the targeted number</w:t>
      </w:r>
      <w:r>
        <w:rPr>
          <w:rFonts w:ascii="Times New Roman" w:hAnsi="Times New Roman" w:cs="Times New Roman"/>
          <w:noProof/>
          <w:sz w:val="24"/>
          <w:szCs w:val="24"/>
          <w:lang w:eastAsia="en-GB"/>
        </w:rPr>
        <w:t xml:space="preserve"> of TCNs and staff involved.</w:t>
      </w:r>
    </w:p>
    <w:p w:rsidR="00821F17" w:rsidRDefault="006B159E">
      <w:pPr>
        <w:tabs>
          <w:tab w:val="left" w:pos="0"/>
        </w:tabs>
        <w:spacing w:after="0" w:line="36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First, </w:t>
      </w:r>
      <w:r>
        <w:rPr>
          <w:rFonts w:ascii="Times New Roman" w:hAnsi="Times New Roman"/>
          <w:noProof/>
          <w:sz w:val="24"/>
        </w:rPr>
        <w:t>public and private services</w:t>
      </w:r>
      <w:r>
        <w:rPr>
          <w:rFonts w:ascii="Times New Roman" w:hAnsi="Times New Roman" w:cs="Times New Roman"/>
          <w:noProof/>
          <w:sz w:val="24"/>
          <w:szCs w:val="24"/>
          <w:lang w:eastAsia="en-GB"/>
        </w:rPr>
        <w:t xml:space="preserve"> were developed in several Member States</w:t>
      </w:r>
      <w:r>
        <w:rPr>
          <w:rStyle w:val="FootnoteReference"/>
          <w:rFonts w:ascii="Times New Roman" w:hAnsi="Times New Roman" w:cs="Times New Roman"/>
          <w:noProof/>
          <w:sz w:val="24"/>
          <w:szCs w:val="24"/>
          <w:lang w:eastAsia="en-GB"/>
        </w:rPr>
        <w:footnoteReference w:id="38"/>
      </w:r>
      <w:r>
        <w:rPr>
          <w:rFonts w:ascii="Times New Roman" w:hAnsi="Times New Roman" w:cs="Times New Roman"/>
          <w:noProof/>
          <w:sz w:val="24"/>
          <w:szCs w:val="24"/>
          <w:lang w:eastAsia="en-GB"/>
        </w:rPr>
        <w:t xml:space="preserve"> and included a wide range of activities aimed at adjusting or developing existing services. The rate of staff involved increased to 136%, hence more th</w:t>
      </w:r>
      <w:r>
        <w:rPr>
          <w:rFonts w:ascii="Times New Roman" w:hAnsi="Times New Roman" w:cs="Times New Roman"/>
          <w:noProof/>
          <w:sz w:val="24"/>
          <w:szCs w:val="24"/>
          <w:lang w:eastAsia="en-GB"/>
        </w:rPr>
        <w:t>an 25,000 additional staff members were involved, as compared to the targets set in the national programmes.</w:t>
      </w:r>
    </w:p>
    <w:p w:rsidR="00821F17" w:rsidRDefault="006B159E">
      <w:pPr>
        <w:tabs>
          <w:tab w:val="left" w:pos="0"/>
        </w:tabs>
        <w:spacing w:after="0" w:line="36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Second, several </w:t>
      </w:r>
      <w:r>
        <w:rPr>
          <w:rFonts w:ascii="Times New Roman" w:hAnsi="Times New Roman"/>
          <w:noProof/>
          <w:sz w:val="24"/>
        </w:rPr>
        <w:t>platforms</w:t>
      </w:r>
      <w:r>
        <w:rPr>
          <w:rFonts w:ascii="Times New Roman" w:hAnsi="Times New Roman" w:cs="Times New Roman"/>
          <w:noProof/>
          <w:sz w:val="24"/>
          <w:szCs w:val="24"/>
          <w:lang w:eastAsia="en-GB"/>
        </w:rPr>
        <w:t xml:space="preserve"> were organised for TCNs</w:t>
      </w:r>
      <w:r>
        <w:rPr>
          <w:rStyle w:val="FootnoteReference"/>
          <w:rFonts w:ascii="Times New Roman" w:hAnsi="Times New Roman" w:cs="Times New Roman"/>
          <w:noProof/>
          <w:sz w:val="24"/>
          <w:szCs w:val="24"/>
          <w:lang w:eastAsia="en-GB"/>
        </w:rPr>
        <w:footnoteReference w:id="39"/>
      </w:r>
      <w:r>
        <w:rPr>
          <w:rFonts w:ascii="Times New Roman" w:hAnsi="Times New Roman" w:cs="Times New Roman"/>
          <w:noProof/>
          <w:sz w:val="24"/>
          <w:szCs w:val="24"/>
          <w:lang w:eastAsia="en-GB"/>
        </w:rPr>
        <w:t>, offering them the possibility to provide feedback and/or proposing developments to the integrat</w:t>
      </w:r>
      <w:r>
        <w:rPr>
          <w:rFonts w:ascii="Times New Roman" w:hAnsi="Times New Roman" w:cs="Times New Roman"/>
          <w:noProof/>
          <w:sz w:val="24"/>
          <w:szCs w:val="24"/>
          <w:lang w:eastAsia="en-GB"/>
        </w:rPr>
        <w:t>ion process. Although only 56% of the planned projects were achieved, the participation rate reached 111% (39 562 TCNs were targeted and 44 149 TCNs were actually consulted via the platforms).</w:t>
      </w:r>
    </w:p>
    <w:p w:rsidR="00821F17" w:rsidRDefault="006B159E">
      <w:pPr>
        <w:tabs>
          <w:tab w:val="left" w:pos="0"/>
        </w:tabs>
        <w:spacing w:after="0" w:line="36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Finally, actions on </w:t>
      </w:r>
      <w:r>
        <w:rPr>
          <w:rFonts w:ascii="Times New Roman" w:hAnsi="Times New Roman"/>
          <w:noProof/>
          <w:sz w:val="24"/>
        </w:rPr>
        <w:t>intercultural</w:t>
      </w:r>
      <w:r>
        <w:rPr>
          <w:rFonts w:ascii="Times New Roman" w:hAnsi="Times New Roman"/>
          <w:b/>
          <w:noProof/>
          <w:sz w:val="24"/>
        </w:rPr>
        <w:t xml:space="preserve"> </w:t>
      </w:r>
      <w:r>
        <w:rPr>
          <w:rFonts w:ascii="Times New Roman" w:hAnsi="Times New Roman"/>
          <w:i/>
          <w:noProof/>
          <w:sz w:val="24"/>
        </w:rPr>
        <w:t>and</w:t>
      </w:r>
      <w:r>
        <w:rPr>
          <w:rFonts w:ascii="Times New Roman" w:hAnsi="Times New Roman"/>
          <w:b/>
          <w:noProof/>
          <w:sz w:val="24"/>
        </w:rPr>
        <w:t xml:space="preserve"> </w:t>
      </w:r>
      <w:r>
        <w:rPr>
          <w:rFonts w:ascii="Times New Roman" w:hAnsi="Times New Roman"/>
          <w:noProof/>
          <w:sz w:val="24"/>
        </w:rPr>
        <w:t>inter-religious dialogue</w:t>
      </w:r>
      <w:r>
        <w:rPr>
          <w:rFonts w:ascii="Times New Roman" w:hAnsi="Times New Roman" w:cs="Times New Roman"/>
          <w:noProof/>
          <w:sz w:val="24"/>
          <w:szCs w:val="24"/>
          <w:lang w:eastAsia="en-GB"/>
        </w:rPr>
        <w:t xml:space="preserve"> </w:t>
      </w:r>
      <w:r>
        <w:rPr>
          <w:rFonts w:ascii="Times New Roman" w:hAnsi="Times New Roman" w:cs="Times New Roman"/>
          <w:noProof/>
          <w:sz w:val="24"/>
          <w:szCs w:val="24"/>
          <w:lang w:eastAsia="en-GB"/>
        </w:rPr>
        <w:t>were implemented to enhance and facilitate dialogue between host society and TCNs, through inter-cultural and inter-religious themes.</w:t>
      </w:r>
      <w:r>
        <w:rPr>
          <w:rStyle w:val="FootnoteReference"/>
          <w:rFonts w:ascii="Times New Roman" w:hAnsi="Times New Roman" w:cs="Times New Roman"/>
          <w:noProof/>
          <w:sz w:val="24"/>
          <w:szCs w:val="24"/>
          <w:lang w:eastAsia="en-GB"/>
        </w:rPr>
        <w:footnoteReference w:id="40"/>
      </w:r>
      <w:r>
        <w:rPr>
          <w:rFonts w:ascii="Times New Roman" w:hAnsi="Times New Roman" w:cs="Times New Roman"/>
          <w:noProof/>
          <w:sz w:val="24"/>
          <w:szCs w:val="24"/>
          <w:lang w:eastAsia="en-GB"/>
        </w:rPr>
        <w:t xml:space="preserve"> In terms of achievement, the average is below the target with 199 projects completed out of 329 planned. However, the rat</w:t>
      </w:r>
      <w:r>
        <w:rPr>
          <w:rFonts w:ascii="Times New Roman" w:hAnsi="Times New Roman" w:cs="Times New Roman"/>
          <w:noProof/>
          <w:sz w:val="24"/>
          <w:szCs w:val="24"/>
          <w:lang w:eastAsia="en-GB"/>
        </w:rPr>
        <w:t>e of TCNs reached is 106%.</w:t>
      </w:r>
    </w:p>
    <w:p w:rsidR="00821F17" w:rsidRDefault="006B159E">
      <w:pPr>
        <w:tabs>
          <w:tab w:val="left" w:pos="0"/>
        </w:tabs>
        <w:spacing w:after="0" w:line="36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case studies confirmed that the EIF helped beneficiary organisations testing </w:t>
      </w:r>
      <w:r>
        <w:rPr>
          <w:rFonts w:ascii="Times New Roman" w:hAnsi="Times New Roman"/>
          <w:noProof/>
          <w:sz w:val="24"/>
        </w:rPr>
        <w:t>innovative initiatives</w:t>
      </w:r>
      <w:r>
        <w:rPr>
          <w:rFonts w:ascii="Times New Roman" w:hAnsi="Times New Roman" w:cs="Times New Roman"/>
          <w:noProof/>
          <w:sz w:val="24"/>
          <w:szCs w:val="24"/>
          <w:lang w:eastAsia="en-GB"/>
        </w:rPr>
        <w:t>, also through the establishment of networks of specialised organisations.</w:t>
      </w:r>
    </w:p>
    <w:p w:rsidR="00821F17" w:rsidRDefault="006B159E">
      <w:pPr>
        <w:tabs>
          <w:tab w:val="left" w:pos="0"/>
        </w:tabs>
        <w:spacing w:after="0" w:line="36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results evaluated as very significant by the Me</w:t>
      </w:r>
      <w:r>
        <w:rPr>
          <w:rFonts w:ascii="Times New Roman" w:hAnsi="Times New Roman" w:cs="Times New Roman"/>
          <w:noProof/>
          <w:sz w:val="24"/>
          <w:szCs w:val="24"/>
          <w:lang w:eastAsia="en-GB"/>
        </w:rPr>
        <w:t>mber States include the improved access of TCNs to public and private goods and services in the Member States</w:t>
      </w:r>
      <w:r>
        <w:rPr>
          <w:rStyle w:val="FootnoteReference"/>
          <w:rFonts w:ascii="Times New Roman" w:hAnsi="Times New Roman" w:cs="Times New Roman"/>
          <w:noProof/>
          <w:sz w:val="24"/>
          <w:szCs w:val="24"/>
          <w:lang w:eastAsia="en-GB"/>
        </w:rPr>
        <w:footnoteReference w:id="41"/>
      </w:r>
      <w:r>
        <w:rPr>
          <w:rFonts w:ascii="Times New Roman" w:hAnsi="Times New Roman" w:cs="Times New Roman"/>
          <w:noProof/>
          <w:sz w:val="24"/>
          <w:szCs w:val="24"/>
          <w:lang w:eastAsia="en-GB"/>
        </w:rPr>
        <w:t xml:space="preserve"> (training courses for TCNs, access to health services and accommodation). Another important result achieved is the improved access to information</w:t>
      </w:r>
      <w:r>
        <w:rPr>
          <w:rFonts w:ascii="Times New Roman" w:hAnsi="Times New Roman" w:cs="Times New Roman"/>
          <w:noProof/>
          <w:sz w:val="24"/>
          <w:szCs w:val="24"/>
          <w:lang w:eastAsia="en-GB"/>
        </w:rPr>
        <w:t xml:space="preserve"> regarding the </w:t>
      </w:r>
      <w:r>
        <w:rPr>
          <w:rFonts w:ascii="Times New Roman" w:hAnsi="Times New Roman"/>
          <w:b/>
          <w:noProof/>
          <w:sz w:val="24"/>
        </w:rPr>
        <w:t>access of TCNs to public and private goods and services</w:t>
      </w:r>
      <w:r>
        <w:rPr>
          <w:rFonts w:ascii="Times New Roman" w:hAnsi="Times New Roman" w:cs="Times New Roman"/>
          <w:noProof/>
          <w:sz w:val="24"/>
          <w:szCs w:val="24"/>
          <w:lang w:eastAsia="en-GB"/>
        </w:rPr>
        <w:t xml:space="preserve"> (in nine Member States</w:t>
      </w:r>
      <w:r>
        <w:rPr>
          <w:rFonts w:ascii="Times New Roman" w:hAnsi="Times New Roman" w:cs="Times New Roman"/>
          <w:noProof/>
          <w:sz w:val="24"/>
          <w:szCs w:val="24"/>
          <w:vertAlign w:val="superscript"/>
          <w:lang w:eastAsia="en-GB"/>
        </w:rPr>
        <w:footnoteReference w:id="42"/>
      </w:r>
      <w:r>
        <w:rPr>
          <w:rFonts w:ascii="Times New Roman" w:hAnsi="Times New Roman" w:cs="Times New Roman"/>
          <w:noProof/>
          <w:sz w:val="24"/>
          <w:szCs w:val="24"/>
          <w:lang w:eastAsia="en-GB"/>
        </w:rPr>
        <w:t>). Furthermore, the majority of Member States</w:t>
      </w:r>
      <w:r>
        <w:rPr>
          <w:rStyle w:val="FootnoteReference"/>
          <w:rFonts w:ascii="Times New Roman" w:hAnsi="Times New Roman" w:cs="Times New Roman"/>
          <w:noProof/>
          <w:sz w:val="24"/>
          <w:szCs w:val="24"/>
          <w:lang w:eastAsia="en-GB"/>
        </w:rPr>
        <w:footnoteReference w:id="43"/>
      </w:r>
      <w:r>
        <w:rPr>
          <w:rFonts w:ascii="Times New Roman" w:hAnsi="Times New Roman" w:cs="Times New Roman"/>
          <w:noProof/>
          <w:sz w:val="24"/>
          <w:szCs w:val="24"/>
          <w:lang w:eastAsia="en-GB"/>
        </w:rPr>
        <w:t xml:space="preserve"> recognised the strong impact that the EIF had on the development and improvement of the quality of the </w:t>
      </w:r>
      <w:r>
        <w:rPr>
          <w:rFonts w:ascii="Times New Roman" w:hAnsi="Times New Roman"/>
          <w:noProof/>
          <w:sz w:val="24"/>
        </w:rPr>
        <w:t>introductory</w:t>
      </w:r>
      <w:r>
        <w:rPr>
          <w:rFonts w:ascii="Times New Roman" w:hAnsi="Times New Roman"/>
          <w:noProof/>
          <w:sz w:val="24"/>
        </w:rPr>
        <w:t xml:space="preserve"> programmes</w:t>
      </w:r>
      <w:r>
        <w:rPr>
          <w:rFonts w:ascii="Times New Roman" w:hAnsi="Times New Roman" w:cs="Times New Roman"/>
          <w:noProof/>
          <w:sz w:val="24"/>
          <w:szCs w:val="24"/>
          <w:lang w:eastAsia="en-GB"/>
        </w:rPr>
        <w:t>.</w:t>
      </w:r>
    </w:p>
    <w:p w:rsidR="00821F17" w:rsidRDefault="006B159E">
      <w:pPr>
        <w:tabs>
          <w:tab w:val="left" w:pos="0"/>
        </w:tabs>
        <w:spacing w:after="0" w:line="36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However, an obstacle to the implementation of the integration process of TCNs was the fact that without a common definition of "newly arrived" TCNs in the legislation, Member States interpreted the target group very differently. The Commission</w:t>
      </w:r>
      <w:r>
        <w:rPr>
          <w:rFonts w:ascii="Times New Roman" w:hAnsi="Times New Roman" w:cs="Times New Roman"/>
          <w:noProof/>
          <w:sz w:val="24"/>
          <w:szCs w:val="24"/>
          <w:lang w:eastAsia="en-GB"/>
        </w:rPr>
        <w:t xml:space="preserve"> clarified that there was no intention to limit the target group, but some Member States applied a limited definition (i.e. by applying the residency criterion, newly arrived TCNs are all those who have not legally resided in the hosting country for more t</w:t>
      </w:r>
      <w:r>
        <w:rPr>
          <w:rFonts w:ascii="Times New Roman" w:hAnsi="Times New Roman" w:cs="Times New Roman"/>
          <w:noProof/>
          <w:sz w:val="24"/>
          <w:szCs w:val="24"/>
          <w:lang w:eastAsia="en-GB"/>
        </w:rPr>
        <w:t xml:space="preserve">han three years). As a consequence, some Member States targeted only newly-arrived TCNs, rather than second or third generation TCNs needing integration support. </w:t>
      </w:r>
    </w:p>
    <w:p w:rsidR="00821F17" w:rsidRDefault="00821F17">
      <w:pPr>
        <w:tabs>
          <w:tab w:val="left" w:pos="0"/>
        </w:tabs>
        <w:spacing w:after="0" w:line="360" w:lineRule="auto"/>
        <w:jc w:val="both"/>
        <w:rPr>
          <w:rFonts w:ascii="Times New Roman" w:hAnsi="Times New Roman" w:cs="Times New Roman"/>
          <w:noProof/>
          <w:sz w:val="24"/>
          <w:szCs w:val="24"/>
          <w:lang w:eastAsia="en-GB"/>
        </w:rPr>
      </w:pPr>
    </w:p>
    <w:p w:rsidR="00821F17" w:rsidRDefault="006B159E">
      <w:pPr>
        <w:tabs>
          <w:tab w:val="left" w:pos="0"/>
        </w:tabs>
        <w:spacing w:after="0" w:line="360" w:lineRule="auto"/>
        <w:jc w:val="both"/>
        <w:rPr>
          <w:rFonts w:ascii="Times New Roman" w:hAnsi="Times New Roman" w:cs="Times New Roman"/>
          <w:noProof/>
          <w:sz w:val="24"/>
          <w:szCs w:val="24"/>
          <w:lang w:eastAsia="en-GB"/>
        </w:rPr>
      </w:pPr>
      <w:r>
        <w:rPr>
          <w:rFonts w:ascii="Times New Roman" w:hAnsi="Times New Roman" w:cs="Times New Roman"/>
          <w:noProof/>
          <w:color w:val="000000" w:themeColor="text1"/>
          <w:sz w:val="24"/>
          <w:szCs w:val="24"/>
          <w:lang w:eastAsia="en-GB"/>
        </w:rPr>
        <w:t xml:space="preserve">As regards Community Actions </w:t>
      </w:r>
      <w:r>
        <w:rPr>
          <w:rFonts w:ascii="Times New Roman" w:hAnsi="Times New Roman" w:cs="Times New Roman"/>
          <w:noProof/>
          <w:sz w:val="24"/>
          <w:szCs w:val="24"/>
          <w:lang w:eastAsia="en-GB"/>
        </w:rPr>
        <w:t xml:space="preserve">for the period 2011-2013, the majority of project managers and </w:t>
      </w:r>
      <w:r>
        <w:rPr>
          <w:rFonts w:ascii="Times New Roman" w:hAnsi="Times New Roman" w:cs="Times New Roman"/>
          <w:noProof/>
          <w:sz w:val="24"/>
          <w:szCs w:val="24"/>
          <w:lang w:eastAsia="en-GB"/>
        </w:rPr>
        <w:t>local beneficiaries confirmed that the projects contributed to the development (65%, 17 out of 26 sampled projects) and/or implementation (62%, 16 out of 26 projects) of the process of integrating newly arrived TCNs to a great and/or certain extent. Slight</w:t>
      </w:r>
      <w:r>
        <w:rPr>
          <w:rFonts w:ascii="Times New Roman" w:hAnsi="Times New Roman" w:cs="Times New Roman"/>
          <w:noProof/>
          <w:sz w:val="24"/>
          <w:szCs w:val="24"/>
          <w:lang w:eastAsia="en-GB"/>
        </w:rPr>
        <w:t>ly less than half of the project managers interviewed (46%) also reported influencing Member States’ integration processes to a certain extent. The tangible contribution of projects focusing on research-oriented topics to the development and/or implementat</w:t>
      </w:r>
      <w:r>
        <w:rPr>
          <w:rFonts w:ascii="Times New Roman" w:hAnsi="Times New Roman" w:cs="Times New Roman"/>
          <w:noProof/>
          <w:sz w:val="24"/>
          <w:szCs w:val="24"/>
          <w:lang w:eastAsia="en-GB"/>
        </w:rPr>
        <w:t>ion of integration policies was very difficult to assess. However, research was considered by several stakeholders as a starting point to facilitate dialogue between policy makers in complementary areas and to improve integration policies.</w:t>
      </w:r>
    </w:p>
    <w:p w:rsidR="00821F17" w:rsidRDefault="00821F17">
      <w:pPr>
        <w:tabs>
          <w:tab w:val="left" w:pos="0"/>
        </w:tabs>
        <w:spacing w:after="0" w:line="360" w:lineRule="auto"/>
        <w:jc w:val="both"/>
        <w:rPr>
          <w:rFonts w:ascii="Times New Roman" w:hAnsi="Times New Roman" w:cs="Times New Roman"/>
          <w:noProof/>
          <w:sz w:val="24"/>
          <w:szCs w:val="24"/>
        </w:rPr>
      </w:pPr>
    </w:p>
    <w:p w:rsidR="00821F17" w:rsidRDefault="006B159E">
      <w:pPr>
        <w:pBdr>
          <w:top w:val="single" w:sz="4" w:space="1" w:color="auto"/>
          <w:left w:val="single" w:sz="4" w:space="4" w:color="auto"/>
          <w:bottom w:val="single" w:sz="4" w:space="1" w:color="auto"/>
          <w:right w:val="single" w:sz="4" w:space="4" w:color="auto"/>
        </w:pBdr>
        <w:tabs>
          <w:tab w:val="left" w:pos="0"/>
        </w:tabs>
        <w:spacing w:after="0" w:line="360" w:lineRule="auto"/>
        <w:jc w:val="both"/>
        <w:rPr>
          <w:rFonts w:ascii="Times New Roman" w:hAnsi="Times New Roman" w:cs="Times New Roman"/>
          <w:noProof/>
          <w:sz w:val="24"/>
          <w:szCs w:val="24"/>
          <w:lang w:eastAsia="en-GB"/>
        </w:rPr>
      </w:pPr>
      <w:r>
        <w:rPr>
          <w:rFonts w:ascii="Times New Roman" w:eastAsiaTheme="majorEastAsia" w:hAnsi="Times New Roman" w:cs="Times New Roman"/>
          <w:b/>
          <w:bCs/>
          <w:noProof/>
          <w:sz w:val="24"/>
          <w:szCs w:val="24"/>
          <w:lang w:eastAsia="en-GB"/>
        </w:rPr>
        <w:t xml:space="preserve">EQ7: </w:t>
      </w:r>
      <w:r>
        <w:rPr>
          <w:rFonts w:ascii="Times New Roman" w:eastAsiaTheme="majorEastAsia" w:hAnsi="Times New Roman" w:cs="Times New Roman"/>
          <w:bCs/>
          <w:i/>
          <w:noProof/>
          <w:sz w:val="24"/>
          <w:szCs w:val="24"/>
          <w:lang w:eastAsia="en-GB"/>
        </w:rPr>
        <w:t xml:space="preserve">To what extent did the EIF actions contribute to implementation of actions designed to put the "Common Basic Principles for immigrant integration policy in the European Union" into practice? </w:t>
      </w:r>
    </w:p>
    <w:p w:rsidR="00821F17" w:rsidRDefault="006B159E">
      <w:pPr>
        <w:pBdr>
          <w:top w:val="single" w:sz="4" w:space="1" w:color="auto"/>
          <w:left w:val="single" w:sz="4" w:space="4" w:color="auto"/>
          <w:bottom w:val="single" w:sz="4" w:space="1" w:color="auto"/>
          <w:right w:val="single" w:sz="4" w:space="4" w:color="auto"/>
        </w:pBdr>
        <w:tabs>
          <w:tab w:val="left" w:pos="0"/>
        </w:tabs>
        <w:spacing w:after="0" w:line="360" w:lineRule="auto"/>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 xml:space="preserve">Main conclusion: </w:t>
      </w:r>
      <w:r>
        <w:rPr>
          <w:rFonts w:ascii="Times New Roman" w:hAnsi="Times New Roman" w:cs="Times New Roman"/>
          <w:noProof/>
          <w:sz w:val="24"/>
          <w:szCs w:val="24"/>
          <w:lang w:eastAsia="en-GB"/>
        </w:rPr>
        <w:t>-24 Member States focused on the implementation</w:t>
      </w:r>
      <w:r>
        <w:rPr>
          <w:rFonts w:ascii="Times New Roman" w:hAnsi="Times New Roman" w:cs="Times New Roman"/>
          <w:noProof/>
          <w:sz w:val="24"/>
          <w:szCs w:val="24"/>
          <w:lang w:eastAsia="en-GB"/>
        </w:rPr>
        <w:t xml:space="preserve"> of activities which prepared TCNs for labour market participation through training courses, information services and assistance to become better acquainted with the host society. Through the implementation of 615 projects, Member States reached nearly 1 m</w:t>
      </w:r>
      <w:r>
        <w:rPr>
          <w:rFonts w:ascii="Times New Roman" w:hAnsi="Times New Roman" w:cs="Times New Roman"/>
          <w:noProof/>
          <w:sz w:val="24"/>
          <w:szCs w:val="24"/>
          <w:lang w:eastAsia="en-GB"/>
        </w:rPr>
        <w:t>illion TCNs during the implementation period.</w:t>
      </w:r>
    </w:p>
    <w:p w:rsidR="00821F17" w:rsidRDefault="00821F17">
      <w:pPr>
        <w:tabs>
          <w:tab w:val="left" w:pos="0"/>
        </w:tabs>
        <w:spacing w:after="0" w:line="360" w:lineRule="auto"/>
        <w:jc w:val="both"/>
        <w:rPr>
          <w:rFonts w:ascii="Times New Roman" w:hAnsi="Times New Roman" w:cs="Times New Roman"/>
          <w:noProof/>
          <w:sz w:val="24"/>
          <w:szCs w:val="24"/>
          <w:lang w:eastAsia="en-GB"/>
        </w:rPr>
      </w:pPr>
    </w:p>
    <w:p w:rsidR="00821F17" w:rsidRDefault="006B159E">
      <w:pPr>
        <w:tabs>
          <w:tab w:val="left" w:pos="0"/>
        </w:tabs>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lang w:eastAsia="en-GB"/>
        </w:rPr>
        <w:t>Since the common basic principles</w:t>
      </w:r>
      <w:r>
        <w:rPr>
          <w:noProof/>
        </w:rPr>
        <w:t xml:space="preserve"> </w:t>
      </w:r>
      <w:r>
        <w:rPr>
          <w:rFonts w:ascii="Times New Roman" w:hAnsi="Times New Roman" w:cs="Times New Roman"/>
          <w:noProof/>
          <w:sz w:val="24"/>
          <w:szCs w:val="24"/>
          <w:lang w:eastAsia="en-GB"/>
        </w:rPr>
        <w:t>for immigrant integration policy in the European Union</w:t>
      </w:r>
      <w:r>
        <w:rPr>
          <w:rStyle w:val="FootnoteReference"/>
          <w:rFonts w:ascii="Times New Roman" w:hAnsi="Times New Roman" w:cs="Times New Roman"/>
          <w:noProof/>
          <w:sz w:val="24"/>
          <w:szCs w:val="24"/>
          <w:lang w:eastAsia="en-GB"/>
        </w:rPr>
        <w:footnoteReference w:id="44"/>
      </w:r>
      <w:r>
        <w:rPr>
          <w:rFonts w:ascii="Times New Roman" w:hAnsi="Times New Roman" w:cs="Times New Roman"/>
          <w:noProof/>
          <w:sz w:val="24"/>
          <w:szCs w:val="24"/>
          <w:lang w:eastAsia="en-GB"/>
        </w:rPr>
        <w:t xml:space="preserve"> cover all four priorities of the EIF, and hence are reflected in all the evaluation questions under the effectiveness t</w:t>
      </w:r>
      <w:r>
        <w:rPr>
          <w:rFonts w:ascii="Times New Roman" w:hAnsi="Times New Roman" w:cs="Times New Roman"/>
          <w:noProof/>
          <w:sz w:val="24"/>
          <w:szCs w:val="24"/>
          <w:lang w:eastAsia="en-GB"/>
        </w:rPr>
        <w:t>heme , the assessment of this evaluation question draws on the findings from several other questions (in particular EQs 2, 4, 5 and 8). Notwithstanding the categories of actions covered under the other EQs mentioned above, the Common Basic Principles are t</w:t>
      </w:r>
      <w:r>
        <w:rPr>
          <w:rFonts w:ascii="Times New Roman" w:hAnsi="Times New Roman" w:cs="Times New Roman"/>
          <w:noProof/>
          <w:sz w:val="24"/>
          <w:szCs w:val="24"/>
          <w:lang w:eastAsia="en-GB"/>
        </w:rPr>
        <w:t xml:space="preserve">ranslated into practice by five additional key categories of actions: </w:t>
      </w:r>
    </w:p>
    <w:p w:rsidR="00821F17" w:rsidRDefault="006B159E">
      <w:pPr>
        <w:pStyle w:val="ListParagraph"/>
        <w:numPr>
          <w:ilvl w:val="0"/>
          <w:numId w:val="29"/>
        </w:numPr>
        <w:tabs>
          <w:tab w:val="left" w:pos="0"/>
        </w:tabs>
        <w:spacing w:line="360" w:lineRule="auto"/>
        <w:jc w:val="both"/>
        <w:rPr>
          <w:rFonts w:ascii="Times New Roman" w:hAnsi="Times New Roman"/>
          <w:noProof/>
          <w:sz w:val="24"/>
        </w:rPr>
      </w:pPr>
      <w:r>
        <w:rPr>
          <w:rFonts w:ascii="Times New Roman" w:hAnsi="Times New Roman"/>
          <w:noProof/>
          <w:sz w:val="24"/>
        </w:rPr>
        <w:t>Other forms of education, preliminary actions to facilitate access to the labour market, participation in employment, economic life and self-sufficiency: activities which prepare TCNs for labour market participation through trainings, courses, information,</w:t>
      </w:r>
      <w:r>
        <w:rPr>
          <w:rFonts w:ascii="Times New Roman" w:hAnsi="Times New Roman"/>
          <w:noProof/>
          <w:sz w:val="24"/>
        </w:rPr>
        <w:t xml:space="preserve"> and assistance with understanding the host society labour market. The achievement rate for this category of action was high, at 113% for projects (meaning 615 compared to 542 planned) and 101% for TCNs involved (in total 90 013 TCNs were involved compared</w:t>
      </w:r>
      <w:r>
        <w:rPr>
          <w:rFonts w:ascii="Times New Roman" w:hAnsi="Times New Roman"/>
          <w:noProof/>
          <w:sz w:val="24"/>
        </w:rPr>
        <w:t xml:space="preserve"> to 88 949). </w:t>
      </w:r>
    </w:p>
    <w:p w:rsidR="00821F17" w:rsidRDefault="006B159E">
      <w:pPr>
        <w:pStyle w:val="ListParagraph"/>
        <w:numPr>
          <w:ilvl w:val="0"/>
          <w:numId w:val="29"/>
        </w:numPr>
        <w:tabs>
          <w:tab w:val="left" w:pos="0"/>
        </w:tabs>
        <w:spacing w:line="360" w:lineRule="auto"/>
        <w:jc w:val="both"/>
        <w:rPr>
          <w:rFonts w:ascii="Times New Roman" w:hAnsi="Times New Roman"/>
          <w:noProof/>
          <w:sz w:val="24"/>
          <w:lang w:eastAsia="en-GB"/>
        </w:rPr>
      </w:pPr>
      <w:r>
        <w:rPr>
          <w:rFonts w:ascii="Times New Roman" w:hAnsi="Times New Roman"/>
          <w:noProof/>
          <w:sz w:val="24"/>
        </w:rPr>
        <w:t>Health care:</w:t>
      </w:r>
      <w:r>
        <w:rPr>
          <w:noProof/>
        </w:rPr>
        <w:t xml:space="preserve"> </w:t>
      </w:r>
      <w:r>
        <w:rPr>
          <w:rFonts w:ascii="Times New Roman" w:hAnsi="Times New Roman"/>
          <w:noProof/>
          <w:sz w:val="24"/>
        </w:rPr>
        <w:t>activities which help improve access to healthcare for TCNs, for example through information on rights or host society’s healthcare system, counselling, or interpretation for the purpose of healthcare. At EU level, 14 Member Stat</w:t>
      </w:r>
      <w:r>
        <w:rPr>
          <w:rFonts w:ascii="Times New Roman" w:hAnsi="Times New Roman"/>
          <w:noProof/>
          <w:sz w:val="24"/>
        </w:rPr>
        <w:t>es had an achievement rate of 126%, meaning that 36 additional projects were implemented compared to the number planned. However, this did not deliver a high achievement rate for the involvement of TCNs, which was 93%, meaning that 6 691 fewer TCNs were in</w:t>
      </w:r>
      <w:r>
        <w:rPr>
          <w:rFonts w:ascii="Times New Roman" w:hAnsi="Times New Roman"/>
          <w:noProof/>
          <w:sz w:val="24"/>
        </w:rPr>
        <w:t>volved than planned.</w:t>
      </w:r>
    </w:p>
    <w:p w:rsidR="00821F17" w:rsidRDefault="006B159E">
      <w:pPr>
        <w:pStyle w:val="ListParagraph"/>
        <w:numPr>
          <w:ilvl w:val="0"/>
          <w:numId w:val="29"/>
        </w:numPr>
        <w:tabs>
          <w:tab w:val="left" w:pos="0"/>
        </w:tabs>
        <w:spacing w:line="360" w:lineRule="auto"/>
        <w:jc w:val="both"/>
        <w:rPr>
          <w:rFonts w:ascii="Times New Roman" w:hAnsi="Times New Roman"/>
          <w:noProof/>
          <w:sz w:val="24"/>
          <w:lang w:eastAsia="en-GB"/>
        </w:rPr>
      </w:pPr>
      <w:r>
        <w:rPr>
          <w:rFonts w:ascii="Times New Roman" w:hAnsi="Times New Roman"/>
          <w:noProof/>
          <w:sz w:val="24"/>
        </w:rPr>
        <w:t>Assistance in housing and means of subsistence: activities which support TCNs in accessing housing and means of subsistence.</w:t>
      </w:r>
      <w:r>
        <w:rPr>
          <w:noProof/>
        </w:rPr>
        <w:t xml:space="preserve"> </w:t>
      </w:r>
      <w:r>
        <w:rPr>
          <w:rFonts w:ascii="Times New Roman" w:hAnsi="Times New Roman"/>
          <w:noProof/>
          <w:sz w:val="24"/>
        </w:rPr>
        <w:t>At EU level, there was a moderate achievement rate of 84% for the number of projects, and a good achievement r</w:t>
      </w:r>
      <w:r>
        <w:rPr>
          <w:rFonts w:ascii="Times New Roman" w:hAnsi="Times New Roman"/>
          <w:noProof/>
          <w:sz w:val="24"/>
        </w:rPr>
        <w:t>ate of 96% for the involvement of TCNs.</w:t>
      </w:r>
    </w:p>
    <w:p w:rsidR="00821F17" w:rsidRDefault="006B159E">
      <w:pPr>
        <w:pStyle w:val="ListParagraph"/>
        <w:numPr>
          <w:ilvl w:val="0"/>
          <w:numId w:val="29"/>
        </w:numPr>
        <w:tabs>
          <w:tab w:val="left" w:pos="0"/>
        </w:tabs>
        <w:spacing w:line="360" w:lineRule="auto"/>
        <w:jc w:val="both"/>
        <w:rPr>
          <w:rFonts w:ascii="Times New Roman" w:hAnsi="Times New Roman"/>
          <w:noProof/>
          <w:sz w:val="24"/>
        </w:rPr>
      </w:pPr>
      <w:r>
        <w:rPr>
          <w:rFonts w:ascii="Times New Roman" w:hAnsi="Times New Roman"/>
          <w:noProof/>
          <w:sz w:val="24"/>
        </w:rPr>
        <w:t>Actions to promote meaningful contact and dialogue with the receiving society, involvement of the media:</w:t>
      </w:r>
      <w:r>
        <w:rPr>
          <w:noProof/>
        </w:rPr>
        <w:t xml:space="preserve"> </w:t>
      </w:r>
      <w:r>
        <w:rPr>
          <w:rFonts w:ascii="Times New Roman" w:hAnsi="Times New Roman"/>
          <w:noProof/>
          <w:sz w:val="24"/>
        </w:rPr>
        <w:t>Activities which support TCNs and host society in meeting each other, raising awareness of TCNs in host society</w:t>
      </w:r>
      <w:r>
        <w:rPr>
          <w:rFonts w:ascii="Times New Roman" w:hAnsi="Times New Roman"/>
          <w:noProof/>
          <w:sz w:val="24"/>
        </w:rPr>
        <w:t xml:space="preserve"> and other measures to enhance the interactions between TCNs and host society. At EU level, not all operations planned to support this were carried out, but the achievement rate was acceptable at 92% (98 fewer operations implemented than planned), and the </w:t>
      </w:r>
      <w:r>
        <w:rPr>
          <w:rFonts w:ascii="Times New Roman" w:hAnsi="Times New Roman"/>
          <w:noProof/>
          <w:sz w:val="24"/>
        </w:rPr>
        <w:t>achievement rates for TCNs involved was 101%, meaning/implying that nearly half a million TCNs took part in such operations.</w:t>
      </w:r>
    </w:p>
    <w:p w:rsidR="00821F17" w:rsidRDefault="006B159E">
      <w:pPr>
        <w:pStyle w:val="ListParagraph"/>
        <w:numPr>
          <w:ilvl w:val="0"/>
          <w:numId w:val="29"/>
        </w:numPr>
        <w:tabs>
          <w:tab w:val="left" w:pos="0"/>
        </w:tabs>
        <w:spacing w:line="360" w:lineRule="auto"/>
        <w:jc w:val="both"/>
        <w:rPr>
          <w:rFonts w:ascii="Times New Roman" w:hAnsi="Times New Roman"/>
          <w:noProof/>
          <w:sz w:val="24"/>
        </w:rPr>
      </w:pPr>
      <w:r>
        <w:rPr>
          <w:rFonts w:ascii="Times New Roman" w:hAnsi="Times New Roman"/>
          <w:noProof/>
          <w:sz w:val="24"/>
        </w:rPr>
        <w:t>Actions targeted at vulnerable groups: activities which target groups such as children, youth, women, the elderly, illiterate or di</w:t>
      </w:r>
      <w:r>
        <w:rPr>
          <w:rFonts w:ascii="Times New Roman" w:hAnsi="Times New Roman"/>
          <w:noProof/>
          <w:sz w:val="24"/>
        </w:rPr>
        <w:t>sabled, for example by tailoring the activities to their needs. At the EU level, there was a very good achievement rate of 103% for the number of operations, with 33 additional operations implemented compared to those planned. For the TCNs involved, the ac</w:t>
      </w:r>
      <w:r>
        <w:rPr>
          <w:rFonts w:ascii="Times New Roman" w:hAnsi="Times New Roman"/>
          <w:noProof/>
          <w:sz w:val="24"/>
        </w:rPr>
        <w:t>hievement rate was lower, at 87%, meaning that 35,000 fewer TCNs were involved than planned.</w:t>
      </w:r>
    </w:p>
    <w:p w:rsidR="00821F17" w:rsidRDefault="006B159E">
      <w:pPr>
        <w:tabs>
          <w:tab w:val="left" w:pos="0"/>
        </w:tabs>
        <w:spacing w:after="0" w:line="360" w:lineRule="auto"/>
        <w:jc w:val="both"/>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On the impact level, out of 26 MS, 11 reported that the contribution received from the EIF was ‘strong’ in terms of improving TCN’s access to public and private go</w:t>
      </w:r>
      <w:r>
        <w:rPr>
          <w:rFonts w:ascii="Times New Roman" w:hAnsi="Times New Roman" w:cs="Times New Roman"/>
          <w:noProof/>
          <w:sz w:val="24"/>
          <w:szCs w:val="24"/>
          <w:lang w:eastAsia="en-GB"/>
        </w:rPr>
        <w:t>ods and services, and enhance diversity management. Six MS indicated the level of contribution as medium. Influencing factors which prevented Member States from achieving strong contributions from the EIF in this respect were: despite significant contribut</w:t>
      </w:r>
      <w:r>
        <w:rPr>
          <w:rFonts w:ascii="Times New Roman" w:hAnsi="Times New Roman" w:cs="Times New Roman"/>
          <w:noProof/>
          <w:sz w:val="24"/>
          <w:szCs w:val="24"/>
          <w:lang w:eastAsia="en-GB"/>
        </w:rPr>
        <w:t>ions made to the provision of services for TCNs, the provision of goods was very limited or not addressed by projects at all and while some EIF projects made some strong contributions, in reality they made only a medium level contribution to already strong</w:t>
      </w:r>
      <w:r>
        <w:rPr>
          <w:rFonts w:ascii="Times New Roman" w:hAnsi="Times New Roman" w:cs="Times New Roman"/>
          <w:noProof/>
          <w:sz w:val="24"/>
          <w:szCs w:val="24"/>
          <w:lang w:eastAsia="en-GB"/>
        </w:rPr>
        <w:t xml:space="preserve"> national governments’ efforts in the area of integration. Only 3 Member States reported a weak contribution, mainly due to the low amount of EU funding compared to the national investment in this area. </w:t>
      </w:r>
    </w:p>
    <w:p w:rsidR="00821F17" w:rsidRDefault="00821F17">
      <w:pPr>
        <w:tabs>
          <w:tab w:val="left" w:pos="0"/>
        </w:tabs>
        <w:spacing w:after="0" w:line="240" w:lineRule="auto"/>
        <w:jc w:val="both"/>
        <w:rPr>
          <w:rFonts w:ascii="Times New Roman" w:hAnsi="Times New Roman" w:cs="Times New Roman"/>
          <w:noProof/>
          <w:sz w:val="24"/>
          <w:szCs w:val="24"/>
          <w:lang w:eastAsia="en-GB"/>
        </w:rPr>
      </w:pPr>
    </w:p>
    <w:p w:rsidR="00821F17" w:rsidRDefault="006B159E">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br w:type="page"/>
      </w:r>
    </w:p>
    <w:p w:rsidR="00821F17" w:rsidRDefault="006B159E">
      <w:pPr>
        <w:tabs>
          <w:tab w:val="left" w:pos="0"/>
        </w:tabs>
        <w:spacing w:after="0" w:line="360" w:lineRule="auto"/>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Objective C</w:t>
      </w:r>
      <w:r>
        <w:rPr>
          <w:rFonts w:ascii="Times New Roman" w:hAnsi="Times New Roman" w:cs="Times New Roman"/>
          <w:noProof/>
          <w:sz w:val="24"/>
          <w:szCs w:val="24"/>
          <w:lang w:eastAsia="en-GB"/>
        </w:rPr>
        <w:t xml:space="preserve"> - Increasing of the capacity of Membe</w:t>
      </w:r>
      <w:r>
        <w:rPr>
          <w:rFonts w:ascii="Times New Roman" w:hAnsi="Times New Roman" w:cs="Times New Roman"/>
          <w:noProof/>
          <w:sz w:val="24"/>
          <w:szCs w:val="24"/>
          <w:lang w:eastAsia="en-GB"/>
        </w:rPr>
        <w:t xml:space="preserve">r States to develop, implement, monitor and evaluate policies and measures for the integration of TCNs </w:t>
      </w:r>
      <w:r>
        <w:rPr>
          <w:rFonts w:ascii="Times New Roman" w:hAnsi="Times New Roman" w:cs="Times New Roman"/>
          <w:noProof/>
          <w:sz w:val="24"/>
          <w:szCs w:val="24"/>
        </w:rPr>
        <w:t>(evaluation questions 5 and 8)</w:t>
      </w:r>
    </w:p>
    <w:tbl>
      <w:tblPr>
        <w:tblStyle w:val="TableGrid"/>
        <w:tblW w:w="0" w:type="auto"/>
        <w:tblLook w:val="04A0" w:firstRow="1" w:lastRow="0" w:firstColumn="1" w:lastColumn="0" w:noHBand="0" w:noVBand="1"/>
      </w:tblPr>
      <w:tblGrid>
        <w:gridCol w:w="9288"/>
      </w:tblGrid>
      <w:tr w:rsidR="00821F17">
        <w:tc>
          <w:tcPr>
            <w:tcW w:w="9288" w:type="dxa"/>
          </w:tcPr>
          <w:p w:rsidR="00821F17" w:rsidRDefault="006B159E">
            <w:pPr>
              <w:tabs>
                <w:tab w:val="left" w:pos="0"/>
              </w:tabs>
              <w:spacing w:line="360" w:lineRule="auto"/>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EQ5:</w:t>
            </w:r>
            <w:r>
              <w:rPr>
                <w:rFonts w:ascii="Times New Roman" w:hAnsi="Times New Roman" w:cs="Times New Roman"/>
                <w:noProof/>
                <w:sz w:val="24"/>
                <w:szCs w:val="24"/>
                <w:lang w:eastAsia="en-GB"/>
              </w:rPr>
              <w:t xml:space="preserve"> </w:t>
            </w:r>
            <w:r>
              <w:rPr>
                <w:rFonts w:ascii="Times New Roman" w:hAnsi="Times New Roman" w:cs="Times New Roman"/>
                <w:i/>
                <w:noProof/>
                <w:sz w:val="24"/>
                <w:szCs w:val="24"/>
                <w:lang w:eastAsia="en-GB"/>
              </w:rPr>
              <w:t>To what extent did the EIF 2011-2013 actions contribute to increasing the capacity of Member States to develop, imple</w:t>
            </w:r>
            <w:r>
              <w:rPr>
                <w:rFonts w:ascii="Times New Roman" w:hAnsi="Times New Roman" w:cs="Times New Roman"/>
                <w:i/>
                <w:noProof/>
                <w:sz w:val="24"/>
                <w:szCs w:val="24"/>
                <w:lang w:eastAsia="en-GB"/>
              </w:rPr>
              <w:t>ment, monitor and evaluate policies and measures for the integration of TCNs?</w:t>
            </w:r>
          </w:p>
          <w:p w:rsidR="00821F17" w:rsidRDefault="006B159E">
            <w:pPr>
              <w:tabs>
                <w:tab w:val="left" w:pos="0"/>
              </w:tabs>
              <w:spacing w:line="360" w:lineRule="auto"/>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EQ8:</w:t>
            </w:r>
            <w:r>
              <w:rPr>
                <w:rFonts w:ascii="Times New Roman" w:hAnsi="Times New Roman" w:cs="Times New Roman"/>
                <w:noProof/>
                <w:sz w:val="24"/>
                <w:szCs w:val="24"/>
                <w:lang w:eastAsia="en-GB"/>
              </w:rPr>
              <w:t xml:space="preserve"> </w:t>
            </w:r>
            <w:r>
              <w:rPr>
                <w:rFonts w:ascii="Times New Roman" w:hAnsi="Times New Roman" w:cs="Times New Roman"/>
                <w:i/>
                <w:noProof/>
                <w:sz w:val="24"/>
                <w:szCs w:val="24"/>
                <w:lang w:eastAsia="en-GB"/>
              </w:rPr>
              <w:t>To what extent did the EIF 2011-2013 actions contribute to the development of indicators and evaluation methodologies to assess progress, adjust policies and measures and to</w:t>
            </w:r>
            <w:r>
              <w:rPr>
                <w:rFonts w:ascii="Times New Roman" w:hAnsi="Times New Roman" w:cs="Times New Roman"/>
                <w:i/>
                <w:noProof/>
                <w:sz w:val="24"/>
                <w:szCs w:val="24"/>
                <w:lang w:eastAsia="en-GB"/>
              </w:rPr>
              <w:t xml:space="preserve"> facilitate co-ordination of comparative learning?</w:t>
            </w:r>
            <w:r>
              <w:rPr>
                <w:rFonts w:ascii="Times New Roman" w:hAnsi="Times New Roman" w:cs="Times New Roman"/>
                <w:noProof/>
                <w:sz w:val="24"/>
                <w:szCs w:val="24"/>
                <w:lang w:eastAsia="en-GB"/>
              </w:rPr>
              <w:t xml:space="preserve"> </w:t>
            </w:r>
          </w:p>
          <w:p w:rsidR="00821F17" w:rsidRDefault="00821F17">
            <w:pPr>
              <w:tabs>
                <w:tab w:val="left" w:pos="0"/>
              </w:tabs>
              <w:spacing w:line="360" w:lineRule="auto"/>
              <w:jc w:val="both"/>
              <w:rPr>
                <w:rFonts w:ascii="Times New Roman" w:hAnsi="Times New Roman" w:cs="Times New Roman"/>
                <w:noProof/>
                <w:sz w:val="24"/>
                <w:szCs w:val="24"/>
                <w:lang w:eastAsia="en-GB"/>
              </w:rPr>
            </w:pPr>
          </w:p>
          <w:p w:rsidR="00821F17" w:rsidRDefault="006B159E">
            <w:pPr>
              <w:tabs>
                <w:tab w:val="left" w:pos="0"/>
              </w:tabs>
              <w:spacing w:line="360" w:lineRule="auto"/>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 xml:space="preserve">Main conclusion: </w:t>
            </w:r>
            <w:r>
              <w:rPr>
                <w:rFonts w:ascii="Times New Roman" w:hAnsi="Times New Roman" w:cs="Times New Roman"/>
                <w:noProof/>
                <w:sz w:val="24"/>
                <w:szCs w:val="24"/>
                <w:lang w:eastAsia="en-GB"/>
              </w:rPr>
              <w:t xml:space="preserve">The EIF made a significant contribution to the development, implementation, monitoring and evaluation policies and measures for the integration of TCNs in the majority of Member States. </w:t>
            </w:r>
          </w:p>
        </w:tc>
      </w:tr>
    </w:tbl>
    <w:p w:rsidR="00821F17" w:rsidRDefault="00821F17">
      <w:pPr>
        <w:tabs>
          <w:tab w:val="left" w:pos="0"/>
        </w:tabs>
        <w:spacing w:after="0" w:line="360" w:lineRule="auto"/>
        <w:jc w:val="both"/>
        <w:rPr>
          <w:rFonts w:ascii="Times New Roman" w:hAnsi="Times New Roman" w:cs="Times New Roman"/>
          <w:noProof/>
          <w:sz w:val="24"/>
          <w:szCs w:val="24"/>
          <w:lang w:eastAsia="en-GB"/>
        </w:rPr>
      </w:pPr>
    </w:p>
    <w:p w:rsidR="00821F17" w:rsidRDefault="006B159E">
      <w:pPr>
        <w:tabs>
          <w:tab w:val="left" w:pos="0"/>
        </w:tabs>
        <w:spacing w:after="0" w:line="36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12 Member States</w:t>
      </w:r>
      <w:r>
        <w:rPr>
          <w:rFonts w:ascii="Times New Roman" w:hAnsi="Times New Roman" w:cs="Times New Roman"/>
          <w:noProof/>
          <w:sz w:val="24"/>
          <w:szCs w:val="24"/>
          <w:vertAlign w:val="superscript"/>
          <w:lang w:eastAsia="en-GB"/>
        </w:rPr>
        <w:footnoteReference w:id="45"/>
      </w:r>
      <w:r>
        <w:rPr>
          <w:rFonts w:ascii="Times New Roman" w:hAnsi="Times New Roman" w:cs="Times New Roman"/>
          <w:noProof/>
          <w:sz w:val="24"/>
          <w:szCs w:val="24"/>
          <w:lang w:eastAsia="en-GB"/>
        </w:rPr>
        <w:t xml:space="preserve"> assessed the impact of EIF in this area as strong, because it fostered the set-up and/or the adaptation of integration strategies, thus improving the effectiveness of national integration measures and policies. 8 Member States considered the impact as med</w:t>
      </w:r>
      <w:r>
        <w:rPr>
          <w:rFonts w:ascii="Times New Roman" w:hAnsi="Times New Roman" w:cs="Times New Roman"/>
          <w:noProof/>
          <w:sz w:val="24"/>
          <w:szCs w:val="24"/>
          <w:lang w:eastAsia="en-GB"/>
        </w:rPr>
        <w:t>ium</w:t>
      </w:r>
      <w:r>
        <w:rPr>
          <w:rFonts w:ascii="Times New Roman" w:hAnsi="Times New Roman" w:cs="Times New Roman"/>
          <w:noProof/>
          <w:sz w:val="24"/>
          <w:szCs w:val="24"/>
          <w:vertAlign w:val="superscript"/>
          <w:lang w:eastAsia="en-GB"/>
        </w:rPr>
        <w:footnoteReference w:id="46"/>
      </w:r>
      <w:r>
        <w:rPr>
          <w:rFonts w:ascii="Times New Roman" w:hAnsi="Times New Roman" w:cs="Times New Roman"/>
          <w:noProof/>
          <w:sz w:val="24"/>
          <w:szCs w:val="24"/>
          <w:lang w:eastAsia="en-GB"/>
        </w:rPr>
        <w:t>and only two</w:t>
      </w:r>
      <w:r>
        <w:rPr>
          <w:rFonts w:ascii="Times New Roman" w:hAnsi="Times New Roman" w:cs="Times New Roman"/>
          <w:noProof/>
          <w:sz w:val="24"/>
          <w:szCs w:val="24"/>
          <w:vertAlign w:val="superscript"/>
          <w:lang w:eastAsia="en-GB"/>
        </w:rPr>
        <w:footnoteReference w:id="47"/>
      </w:r>
      <w:r>
        <w:rPr>
          <w:rFonts w:ascii="Times New Roman" w:hAnsi="Times New Roman" w:cs="Times New Roman"/>
          <w:noProof/>
          <w:sz w:val="24"/>
          <w:szCs w:val="24"/>
          <w:lang w:eastAsia="en-GB"/>
        </w:rPr>
        <w:t xml:space="preserve"> of them as weak. This is mainly due  to the fact that these MSs did not invest EIF funds in this area.</w:t>
      </w:r>
    </w:p>
    <w:p w:rsidR="00821F17" w:rsidRDefault="00821F17">
      <w:pPr>
        <w:tabs>
          <w:tab w:val="left" w:pos="0"/>
        </w:tabs>
        <w:spacing w:after="0" w:line="360" w:lineRule="auto"/>
        <w:jc w:val="both"/>
        <w:rPr>
          <w:rFonts w:ascii="Times New Roman" w:hAnsi="Times New Roman" w:cs="Times New Roman"/>
          <w:noProof/>
          <w:sz w:val="24"/>
          <w:szCs w:val="24"/>
          <w:lang w:eastAsia="en-GB"/>
        </w:rPr>
      </w:pPr>
    </w:p>
    <w:p w:rsidR="00821F17" w:rsidRDefault="006B159E">
      <w:pPr>
        <w:tabs>
          <w:tab w:val="left" w:pos="0"/>
        </w:tabs>
        <w:spacing w:after="0" w:line="36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21 Member States implemented 328 projects to improve data collection and analysis, which facilitated the development of indicators and</w:t>
      </w:r>
      <w:r>
        <w:rPr>
          <w:rFonts w:ascii="Times New Roman" w:hAnsi="Times New Roman" w:cs="Times New Roman"/>
          <w:noProof/>
          <w:sz w:val="24"/>
          <w:szCs w:val="24"/>
          <w:lang w:eastAsia="en-GB"/>
        </w:rPr>
        <w:t xml:space="preserve"> monitoring/evaluation methodologies for their integration policies. The number of projects targeted was surpassed in all Member States, except in Cyprus and Finland. In 12 Member States</w:t>
      </w:r>
      <w:r>
        <w:rPr>
          <w:rStyle w:val="FootnoteReference"/>
          <w:rFonts w:ascii="Times New Roman" w:hAnsi="Times New Roman" w:cs="Times New Roman"/>
          <w:noProof/>
          <w:sz w:val="24"/>
          <w:szCs w:val="24"/>
          <w:lang w:eastAsia="en-GB"/>
        </w:rPr>
        <w:footnoteReference w:id="48"/>
      </w:r>
      <w:r>
        <w:rPr>
          <w:rFonts w:ascii="Times New Roman" w:hAnsi="Times New Roman" w:cs="Times New Roman"/>
          <w:noProof/>
          <w:sz w:val="24"/>
          <w:szCs w:val="24"/>
          <w:lang w:eastAsia="en-GB"/>
        </w:rPr>
        <w:t xml:space="preserve"> these projects contributed to the development of new and increasingl</w:t>
      </w:r>
      <w:r>
        <w:rPr>
          <w:rFonts w:ascii="Times New Roman" w:hAnsi="Times New Roman" w:cs="Times New Roman"/>
          <w:noProof/>
          <w:sz w:val="24"/>
          <w:szCs w:val="24"/>
          <w:lang w:eastAsia="en-GB"/>
        </w:rPr>
        <w:t xml:space="preserve">y evidence-based integration strategies, presented in official documents and/or reports.  </w:t>
      </w:r>
    </w:p>
    <w:p w:rsidR="00821F17" w:rsidRDefault="006B159E">
      <w:pPr>
        <w:tabs>
          <w:tab w:val="left" w:pos="0"/>
        </w:tabs>
        <w:spacing w:after="0" w:line="36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In addition, Community Action projects proved to be complementary to the efforts made by the Member States through their projects at national level, as they targeted</w:t>
      </w:r>
      <w:r>
        <w:rPr>
          <w:rFonts w:ascii="Times New Roman" w:hAnsi="Times New Roman" w:cs="Times New Roman"/>
          <w:noProof/>
          <w:sz w:val="24"/>
          <w:szCs w:val="24"/>
          <w:lang w:eastAsia="en-GB"/>
        </w:rPr>
        <w:t xml:space="preserve"> mainly national stakeholders and aimed to strengthen their capacity to develop, monitor, implement and evaluate policies and measures for the integration of TCNs. 11 out of 20 Community Actions 2011-2013 analysed in this evaluation focused on this area. T</w:t>
      </w:r>
      <w:r>
        <w:rPr>
          <w:rFonts w:ascii="Times New Roman" w:hAnsi="Times New Roman" w:cs="Times New Roman"/>
          <w:noProof/>
          <w:sz w:val="24"/>
          <w:szCs w:val="24"/>
          <w:lang w:eastAsia="en-GB"/>
        </w:rPr>
        <w:t>hey included research, design and delivery of seminars, workshops and training courses, awareness-raising campaigns and development of indicators. Examples of indicators developed include the measuring of public and community attitudes, behaviours and beli</w:t>
      </w:r>
      <w:r>
        <w:rPr>
          <w:rFonts w:ascii="Times New Roman" w:hAnsi="Times New Roman" w:cs="Times New Roman"/>
          <w:noProof/>
          <w:sz w:val="24"/>
          <w:szCs w:val="24"/>
          <w:lang w:eastAsia="en-GB"/>
        </w:rPr>
        <w:t xml:space="preserve">efs, and the measuring of well-being in the thematic areas of recreation, work/education, public space and order, family, peers, media and culture.  </w:t>
      </w:r>
      <w:r>
        <w:rPr>
          <w:noProof/>
        </w:rPr>
        <w:t xml:space="preserve"> </w:t>
      </w:r>
      <w:r>
        <w:rPr>
          <w:rFonts w:ascii="Times New Roman" w:hAnsi="Times New Roman" w:cs="Times New Roman"/>
          <w:noProof/>
          <w:sz w:val="24"/>
          <w:szCs w:val="24"/>
          <w:lang w:eastAsia="en-GB"/>
        </w:rPr>
        <w:t>When discussing the impacts of the projects concerned with project managers, responses were overall positi</w:t>
      </w:r>
      <w:r>
        <w:rPr>
          <w:rFonts w:ascii="Times New Roman" w:hAnsi="Times New Roman" w:cs="Times New Roman"/>
          <w:noProof/>
          <w:sz w:val="24"/>
          <w:szCs w:val="24"/>
          <w:lang w:eastAsia="en-GB"/>
        </w:rPr>
        <w:t>ve. Most projects of both periods were reported to have contributed to a great or certain extent to increasing the capacity of Member States. Examples include seminars or other activities to inform and exchange best practices among public authorities. Some</w:t>
      </w:r>
      <w:r>
        <w:rPr>
          <w:rFonts w:ascii="Times New Roman" w:hAnsi="Times New Roman" w:cs="Times New Roman"/>
          <w:noProof/>
          <w:sz w:val="24"/>
          <w:szCs w:val="24"/>
          <w:lang w:eastAsia="en-GB"/>
        </w:rPr>
        <w:t xml:space="preserve"> project managers were neutral and only a very small number of them reported limited or no contribution. In relation to these projects, similarly for both periods, project managers referred to the weak link between the Community Actions’ activities and nat</w:t>
      </w:r>
      <w:r>
        <w:rPr>
          <w:rFonts w:ascii="Times New Roman" w:hAnsi="Times New Roman" w:cs="Times New Roman"/>
          <w:noProof/>
          <w:sz w:val="24"/>
          <w:szCs w:val="24"/>
          <w:lang w:eastAsia="en-GB"/>
        </w:rPr>
        <w:t>ional policies. Furthermore, project managers were often unaware of whether their results and recommendations were transformed into the development of implementation of national capacities or national policies.</w:t>
      </w:r>
    </w:p>
    <w:p w:rsidR="00821F17" w:rsidRDefault="00821F17">
      <w:pPr>
        <w:tabs>
          <w:tab w:val="left" w:pos="0"/>
        </w:tabs>
        <w:spacing w:after="0" w:line="360" w:lineRule="auto"/>
        <w:jc w:val="both"/>
        <w:rPr>
          <w:rFonts w:ascii="Times New Roman" w:hAnsi="Times New Roman" w:cs="Times New Roman"/>
          <w:noProof/>
          <w:sz w:val="24"/>
          <w:szCs w:val="24"/>
          <w:lang w:eastAsia="en-GB"/>
        </w:rPr>
      </w:pPr>
    </w:p>
    <w:p w:rsidR="00821F17" w:rsidRDefault="006B159E">
      <w:pPr>
        <w:tabs>
          <w:tab w:val="left" w:pos="0"/>
        </w:tabs>
        <w:spacing w:after="0" w:line="360" w:lineRule="auto"/>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Objective D</w:t>
      </w:r>
      <w:r>
        <w:rPr>
          <w:rFonts w:ascii="Times New Roman" w:hAnsi="Times New Roman" w:cs="Times New Roman"/>
          <w:noProof/>
          <w:sz w:val="24"/>
          <w:szCs w:val="24"/>
          <w:lang w:eastAsia="en-GB"/>
        </w:rPr>
        <w:t xml:space="preserve"> - Exchange of information, best </w:t>
      </w:r>
      <w:r>
        <w:rPr>
          <w:rFonts w:ascii="Times New Roman" w:hAnsi="Times New Roman" w:cs="Times New Roman"/>
          <w:noProof/>
          <w:sz w:val="24"/>
          <w:szCs w:val="24"/>
          <w:lang w:eastAsia="en-GB"/>
        </w:rPr>
        <w:t xml:space="preserve">practices and cooperation </w:t>
      </w:r>
      <w:r>
        <w:rPr>
          <w:rFonts w:ascii="Times New Roman" w:hAnsi="Times New Roman" w:cs="Times New Roman"/>
          <w:noProof/>
          <w:sz w:val="24"/>
          <w:szCs w:val="24"/>
          <w:u w:val="single"/>
          <w:lang w:eastAsia="en-GB"/>
        </w:rPr>
        <w:t>in</w:t>
      </w:r>
      <w:r>
        <w:rPr>
          <w:rFonts w:ascii="Times New Roman" w:hAnsi="Times New Roman" w:cs="Times New Roman"/>
          <w:noProof/>
          <w:sz w:val="24"/>
          <w:szCs w:val="24"/>
          <w:lang w:eastAsia="en-GB"/>
        </w:rPr>
        <w:t xml:space="preserve"> and </w:t>
      </w:r>
      <w:r>
        <w:rPr>
          <w:rFonts w:ascii="Times New Roman" w:hAnsi="Times New Roman" w:cs="Times New Roman"/>
          <w:noProof/>
          <w:sz w:val="24"/>
          <w:szCs w:val="24"/>
          <w:u w:val="single"/>
          <w:lang w:eastAsia="en-GB"/>
        </w:rPr>
        <w:t>between</w:t>
      </w:r>
      <w:r>
        <w:rPr>
          <w:rFonts w:ascii="Times New Roman" w:hAnsi="Times New Roman" w:cs="Times New Roman"/>
          <w:noProof/>
          <w:sz w:val="24"/>
          <w:szCs w:val="24"/>
          <w:lang w:eastAsia="en-GB"/>
        </w:rPr>
        <w:t xml:space="preserve"> Member States in developing, implementing, monitoring and evaluating policies and measures for the integration of TCNs </w:t>
      </w:r>
      <w:r>
        <w:rPr>
          <w:rFonts w:ascii="Times New Roman" w:hAnsi="Times New Roman" w:cs="Times New Roman"/>
          <w:noProof/>
          <w:sz w:val="24"/>
          <w:szCs w:val="24"/>
        </w:rPr>
        <w:t>(evaluation questions 6, 9 and 10)</w:t>
      </w:r>
      <w:r>
        <w:rPr>
          <w:rFonts w:ascii="Times New Roman" w:hAnsi="Times New Roman" w:cs="Times New Roman"/>
          <w:b/>
          <w:noProof/>
          <w:sz w:val="24"/>
          <w:szCs w:val="24"/>
          <w:lang w:eastAsia="en-GB"/>
        </w:rPr>
        <w:t>.</w:t>
      </w:r>
    </w:p>
    <w:p w:rsidR="00821F17" w:rsidRDefault="00821F17">
      <w:pPr>
        <w:tabs>
          <w:tab w:val="left" w:pos="0"/>
        </w:tabs>
        <w:spacing w:after="0" w:line="360" w:lineRule="auto"/>
        <w:jc w:val="both"/>
        <w:rPr>
          <w:rFonts w:ascii="Times New Roman" w:hAnsi="Times New Roman" w:cs="Times New Roman"/>
          <w:b/>
          <w:noProof/>
          <w:sz w:val="24"/>
          <w:szCs w:val="24"/>
          <w:lang w:eastAsia="en-GB"/>
        </w:rPr>
      </w:pPr>
    </w:p>
    <w:tbl>
      <w:tblPr>
        <w:tblStyle w:val="TableGrid"/>
        <w:tblW w:w="0" w:type="auto"/>
        <w:tblLook w:val="04A0" w:firstRow="1" w:lastRow="0" w:firstColumn="1" w:lastColumn="0" w:noHBand="0" w:noVBand="1"/>
      </w:tblPr>
      <w:tblGrid>
        <w:gridCol w:w="9288"/>
      </w:tblGrid>
      <w:tr w:rsidR="00821F17">
        <w:tc>
          <w:tcPr>
            <w:tcW w:w="9288" w:type="dxa"/>
          </w:tcPr>
          <w:p w:rsidR="00821F17" w:rsidRDefault="006B159E">
            <w:pPr>
              <w:tabs>
                <w:tab w:val="left" w:pos="0"/>
              </w:tabs>
              <w:spacing w:line="360" w:lineRule="auto"/>
              <w:contextualSpacing/>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 xml:space="preserve">EQ6: </w:t>
            </w:r>
            <w:r>
              <w:rPr>
                <w:rFonts w:ascii="Times New Roman" w:hAnsi="Times New Roman" w:cs="Times New Roman"/>
                <w:i/>
                <w:noProof/>
                <w:sz w:val="24"/>
                <w:szCs w:val="24"/>
                <w:lang w:eastAsia="en-GB"/>
              </w:rPr>
              <w:t>To what extent did the EIF 2011-2013 actions contribut</w:t>
            </w:r>
            <w:r>
              <w:rPr>
                <w:rFonts w:ascii="Times New Roman" w:hAnsi="Times New Roman" w:cs="Times New Roman"/>
                <w:i/>
                <w:noProof/>
                <w:sz w:val="24"/>
                <w:szCs w:val="24"/>
                <w:lang w:eastAsia="en-GB"/>
              </w:rPr>
              <w:t>e to the exchange of information, best practices and cooperation in and between Member States in developing, implementing, monitoring and evaluation policies and measures for the integration of TCNs?</w:t>
            </w:r>
            <w:r>
              <w:rPr>
                <w:rFonts w:ascii="Times New Roman" w:hAnsi="Times New Roman" w:cs="Times New Roman"/>
                <w:b/>
                <w:noProof/>
                <w:sz w:val="24"/>
                <w:szCs w:val="24"/>
                <w:lang w:eastAsia="en-GB"/>
              </w:rPr>
              <w:t xml:space="preserve"> </w:t>
            </w:r>
          </w:p>
          <w:p w:rsidR="00821F17" w:rsidRDefault="006B159E">
            <w:pPr>
              <w:tabs>
                <w:tab w:val="left" w:pos="0"/>
              </w:tabs>
              <w:spacing w:line="360" w:lineRule="auto"/>
              <w:contextualSpacing/>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EQ9</w:t>
            </w:r>
            <w:r>
              <w:rPr>
                <w:rFonts w:ascii="Times New Roman" w:hAnsi="Times New Roman" w:cs="Times New Roman"/>
                <w:noProof/>
                <w:sz w:val="24"/>
                <w:szCs w:val="24"/>
              </w:rPr>
              <w:t xml:space="preserve">: </w:t>
            </w:r>
            <w:r>
              <w:rPr>
                <w:rFonts w:ascii="Times New Roman" w:hAnsi="Times New Roman" w:cs="Times New Roman"/>
                <w:i/>
                <w:noProof/>
                <w:sz w:val="24"/>
                <w:szCs w:val="24"/>
              </w:rPr>
              <w:t xml:space="preserve">To what extent did the EIF </w:t>
            </w:r>
            <w:r>
              <w:rPr>
                <w:rFonts w:ascii="Times New Roman" w:hAnsi="Times New Roman" w:cs="Times New Roman"/>
                <w:i/>
                <w:noProof/>
                <w:sz w:val="24"/>
                <w:szCs w:val="24"/>
                <w:lang w:eastAsia="en-GB"/>
              </w:rPr>
              <w:t xml:space="preserve">2011-2013 </w:t>
            </w:r>
            <w:r>
              <w:rPr>
                <w:rFonts w:ascii="Times New Roman" w:hAnsi="Times New Roman" w:cs="Times New Roman"/>
                <w:i/>
                <w:noProof/>
                <w:sz w:val="24"/>
                <w:szCs w:val="24"/>
              </w:rPr>
              <w:t>actions contr</w:t>
            </w:r>
            <w:r>
              <w:rPr>
                <w:rFonts w:ascii="Times New Roman" w:hAnsi="Times New Roman" w:cs="Times New Roman"/>
                <w:i/>
                <w:noProof/>
                <w:sz w:val="24"/>
                <w:szCs w:val="24"/>
              </w:rPr>
              <w:t>ibute to policy capacity building, co-ordination and intercultural competence building in the Member States across the different levels and departments of government?</w:t>
            </w:r>
          </w:p>
          <w:p w:rsidR="00821F17" w:rsidRDefault="006B159E">
            <w:pPr>
              <w:tabs>
                <w:tab w:val="left" w:pos="0"/>
              </w:tabs>
              <w:spacing w:line="360" w:lineRule="auto"/>
              <w:contextualSpacing/>
              <w:jc w:val="both"/>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 xml:space="preserve">EQ10: </w:t>
            </w:r>
            <w:r>
              <w:rPr>
                <w:rFonts w:ascii="Times New Roman" w:hAnsi="Times New Roman" w:cs="Times New Roman"/>
                <w:i/>
                <w:noProof/>
                <w:sz w:val="24"/>
                <w:szCs w:val="24"/>
                <w:lang w:eastAsia="en-GB"/>
              </w:rPr>
              <w:t xml:space="preserve">To what extent did the EIF 2011-2013 actions contribute to the exchange of </w:t>
            </w:r>
            <w:r>
              <w:rPr>
                <w:rFonts w:ascii="Times New Roman" w:hAnsi="Times New Roman" w:cs="Times New Roman"/>
                <w:i/>
                <w:noProof/>
                <w:sz w:val="24"/>
                <w:szCs w:val="24"/>
                <w:lang w:eastAsia="en-GB"/>
              </w:rPr>
              <w:t>experience, good practice and information on integration between the Member States?</w:t>
            </w:r>
            <w:r>
              <w:rPr>
                <w:rFonts w:ascii="Times New Roman" w:hAnsi="Times New Roman" w:cs="Times New Roman"/>
                <w:b/>
                <w:noProof/>
                <w:sz w:val="24"/>
                <w:szCs w:val="24"/>
                <w:lang w:eastAsia="en-GB"/>
              </w:rPr>
              <w:t xml:space="preserve"> </w:t>
            </w:r>
            <w:r>
              <w:rPr>
                <w:rFonts w:ascii="Times New Roman" w:hAnsi="Times New Roman" w:cs="Times New Roman"/>
                <w:noProof/>
                <w:sz w:val="24"/>
                <w:szCs w:val="24"/>
              </w:rPr>
              <w:t xml:space="preserve"> </w:t>
            </w:r>
          </w:p>
          <w:p w:rsidR="00821F17" w:rsidRDefault="00821F17">
            <w:pPr>
              <w:tabs>
                <w:tab w:val="left" w:pos="0"/>
              </w:tabs>
              <w:spacing w:line="360" w:lineRule="auto"/>
              <w:jc w:val="both"/>
              <w:rPr>
                <w:rFonts w:ascii="Times New Roman" w:hAnsi="Times New Roman" w:cs="Times New Roman"/>
                <w:b/>
                <w:noProof/>
                <w:sz w:val="24"/>
                <w:szCs w:val="24"/>
                <w:lang w:eastAsia="en-GB"/>
              </w:rPr>
            </w:pPr>
          </w:p>
          <w:p w:rsidR="00821F17" w:rsidRDefault="006B159E">
            <w:pPr>
              <w:tabs>
                <w:tab w:val="left" w:pos="0"/>
              </w:tabs>
              <w:spacing w:line="360" w:lineRule="auto"/>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 xml:space="preserve">Main conclusion: </w:t>
            </w:r>
            <w:r>
              <w:rPr>
                <w:rFonts w:ascii="Times New Roman" w:hAnsi="Times New Roman" w:cs="Times New Roman"/>
                <w:noProof/>
                <w:sz w:val="24"/>
                <w:szCs w:val="24"/>
                <w:lang w:eastAsia="en-GB"/>
              </w:rPr>
              <w:t xml:space="preserve">The EIF made an important contribution to the exchange of information, best practices and cooperation </w:t>
            </w:r>
            <w:r>
              <w:rPr>
                <w:rFonts w:ascii="Times New Roman" w:hAnsi="Times New Roman" w:cs="Times New Roman"/>
                <w:noProof/>
                <w:sz w:val="24"/>
                <w:szCs w:val="24"/>
                <w:u w:val="single"/>
                <w:lang w:eastAsia="en-GB"/>
              </w:rPr>
              <w:t>within</w:t>
            </w:r>
            <w:r>
              <w:rPr>
                <w:rFonts w:ascii="Times New Roman" w:hAnsi="Times New Roman" w:cs="Times New Roman"/>
                <w:noProof/>
                <w:sz w:val="24"/>
                <w:szCs w:val="24"/>
                <w:lang w:eastAsia="en-GB"/>
              </w:rPr>
              <w:t xml:space="preserve"> Member States in developing and implementin</w:t>
            </w:r>
            <w:r>
              <w:rPr>
                <w:rFonts w:ascii="Times New Roman" w:hAnsi="Times New Roman" w:cs="Times New Roman"/>
                <w:noProof/>
                <w:sz w:val="24"/>
                <w:szCs w:val="24"/>
                <w:lang w:eastAsia="en-GB"/>
              </w:rPr>
              <w:t>g monitoring and evaluation policies and measures for the integration of TCNs through the National Actions. Conversely, the Community Actions contributed to this objective to a limited extent as the awareness regarding the Community Actions was limited. Ov</w:t>
            </w:r>
            <w:r>
              <w:rPr>
                <w:rFonts w:ascii="Times New Roman" w:hAnsi="Times New Roman" w:cs="Times New Roman"/>
                <w:noProof/>
                <w:sz w:val="24"/>
                <w:szCs w:val="24"/>
                <w:lang w:eastAsia="en-GB"/>
              </w:rPr>
              <w:t xml:space="preserve">erall, the EIF contributed to policy capacity building, co-ordination and intercultural competence building </w:t>
            </w:r>
            <w:r>
              <w:rPr>
                <w:rFonts w:ascii="Times New Roman" w:hAnsi="Times New Roman" w:cs="Times New Roman"/>
                <w:noProof/>
                <w:sz w:val="24"/>
                <w:szCs w:val="24"/>
                <w:u w:val="single"/>
                <w:lang w:eastAsia="en-GB"/>
              </w:rPr>
              <w:t>in the Member States</w:t>
            </w:r>
            <w:r>
              <w:rPr>
                <w:rFonts w:ascii="Times New Roman" w:hAnsi="Times New Roman" w:cs="Times New Roman"/>
                <w:noProof/>
                <w:sz w:val="24"/>
                <w:szCs w:val="24"/>
                <w:lang w:eastAsia="en-GB"/>
              </w:rPr>
              <w:t xml:space="preserve"> across the different levels and departments of government, but had only a limited impact on the exchange of experience, good pr</w:t>
            </w:r>
            <w:r>
              <w:rPr>
                <w:rFonts w:ascii="Times New Roman" w:hAnsi="Times New Roman" w:cs="Times New Roman"/>
                <w:noProof/>
                <w:sz w:val="24"/>
                <w:szCs w:val="24"/>
                <w:lang w:eastAsia="en-GB"/>
              </w:rPr>
              <w:t xml:space="preserve">actice and information on integration </w:t>
            </w:r>
            <w:r>
              <w:rPr>
                <w:rFonts w:ascii="Times New Roman" w:hAnsi="Times New Roman" w:cs="Times New Roman"/>
                <w:noProof/>
                <w:sz w:val="24"/>
                <w:szCs w:val="24"/>
                <w:u w:val="single"/>
                <w:lang w:eastAsia="en-GB"/>
              </w:rPr>
              <w:t>among Member States</w:t>
            </w:r>
            <w:r>
              <w:rPr>
                <w:rFonts w:ascii="Times New Roman" w:hAnsi="Times New Roman" w:cs="Times New Roman"/>
                <w:noProof/>
                <w:sz w:val="24"/>
                <w:szCs w:val="24"/>
                <w:lang w:eastAsia="en-GB"/>
              </w:rPr>
              <w:t>.</w:t>
            </w:r>
          </w:p>
        </w:tc>
      </w:tr>
    </w:tbl>
    <w:p w:rsidR="00821F17" w:rsidRDefault="00821F17">
      <w:pPr>
        <w:tabs>
          <w:tab w:val="left" w:pos="0"/>
        </w:tabs>
        <w:spacing w:after="0" w:line="360" w:lineRule="auto"/>
        <w:jc w:val="both"/>
        <w:rPr>
          <w:rFonts w:ascii="Times New Roman" w:hAnsi="Times New Roman" w:cs="Times New Roman"/>
          <w:noProof/>
          <w:sz w:val="24"/>
          <w:szCs w:val="24"/>
          <w:lang w:eastAsia="en-GB"/>
        </w:rPr>
      </w:pPr>
    </w:p>
    <w:p w:rsidR="00821F17" w:rsidRDefault="006B159E">
      <w:pPr>
        <w:tabs>
          <w:tab w:val="left" w:pos="0"/>
        </w:tabs>
        <w:spacing w:after="0" w:line="36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Based on the analysis of the national evaluation reports, it appears that Member States implemented three times more projects aiming to exchange information internally than those promoting exchan</w:t>
      </w:r>
      <w:r>
        <w:rPr>
          <w:rFonts w:ascii="Times New Roman" w:hAnsi="Times New Roman" w:cs="Times New Roman"/>
          <w:noProof/>
          <w:sz w:val="24"/>
          <w:szCs w:val="24"/>
          <w:lang w:eastAsia="en-GB"/>
        </w:rPr>
        <w:t>ge with other Member States. This is reflected also in the number of Member States having reported projects in this area:</w:t>
      </w:r>
    </w:p>
    <w:p w:rsidR="00821F17" w:rsidRDefault="006B159E">
      <w:pPr>
        <w:pStyle w:val="ListParagraph"/>
        <w:numPr>
          <w:ilvl w:val="0"/>
          <w:numId w:val="16"/>
        </w:numPr>
        <w:tabs>
          <w:tab w:val="left" w:pos="0"/>
        </w:tabs>
        <w:spacing w:line="360" w:lineRule="auto"/>
        <w:jc w:val="both"/>
        <w:rPr>
          <w:rFonts w:ascii="Times New Roman" w:hAnsi="Times New Roman"/>
          <w:noProof/>
          <w:sz w:val="24"/>
          <w:lang w:eastAsia="en-GB"/>
        </w:rPr>
      </w:pPr>
      <w:r>
        <w:rPr>
          <w:rFonts w:ascii="Times New Roman" w:hAnsi="Times New Roman"/>
          <w:noProof/>
          <w:sz w:val="24"/>
          <w:lang w:eastAsia="en-GB"/>
        </w:rPr>
        <w:t>18 Member States</w:t>
      </w:r>
      <w:r>
        <w:rPr>
          <w:rStyle w:val="FootnoteReference"/>
          <w:rFonts w:ascii="Times New Roman" w:hAnsi="Times New Roman"/>
          <w:noProof/>
          <w:sz w:val="24"/>
          <w:lang w:eastAsia="en-GB"/>
        </w:rPr>
        <w:footnoteReference w:id="49"/>
      </w:r>
      <w:r>
        <w:rPr>
          <w:rFonts w:ascii="Times New Roman" w:hAnsi="Times New Roman"/>
          <w:noProof/>
          <w:sz w:val="24"/>
          <w:lang w:eastAsia="en-GB"/>
        </w:rPr>
        <w:t xml:space="preserve"> reported projects aimed at the exchange of information between various actors at national level, be they centralised or decentralised bodies, </w:t>
      </w:r>
    </w:p>
    <w:p w:rsidR="00821F17" w:rsidRDefault="006B159E">
      <w:pPr>
        <w:pStyle w:val="ListParagraph"/>
        <w:numPr>
          <w:ilvl w:val="0"/>
          <w:numId w:val="16"/>
        </w:numPr>
        <w:tabs>
          <w:tab w:val="left" w:pos="0"/>
        </w:tabs>
        <w:spacing w:line="360" w:lineRule="auto"/>
        <w:jc w:val="both"/>
        <w:rPr>
          <w:rFonts w:ascii="Times New Roman" w:hAnsi="Times New Roman"/>
          <w:noProof/>
          <w:sz w:val="24"/>
          <w:lang w:eastAsia="en-GB"/>
        </w:rPr>
      </w:pPr>
      <w:r>
        <w:rPr>
          <w:rFonts w:ascii="Times New Roman" w:hAnsi="Times New Roman"/>
          <w:noProof/>
          <w:sz w:val="24"/>
          <w:lang w:eastAsia="en-GB"/>
        </w:rPr>
        <w:t>only 12 Member States</w:t>
      </w:r>
      <w:r>
        <w:rPr>
          <w:rStyle w:val="FootnoteReference"/>
          <w:rFonts w:ascii="Times New Roman" w:hAnsi="Times New Roman"/>
          <w:noProof/>
          <w:sz w:val="24"/>
          <w:lang w:eastAsia="en-GB"/>
        </w:rPr>
        <w:footnoteReference w:id="50"/>
      </w:r>
      <w:r>
        <w:rPr>
          <w:rFonts w:ascii="Times New Roman" w:hAnsi="Times New Roman"/>
          <w:noProof/>
          <w:sz w:val="24"/>
          <w:lang w:eastAsia="en-GB"/>
        </w:rPr>
        <w:t xml:space="preserve"> reported projects on exchange of information and best practices with other Member States.</w:t>
      </w:r>
      <w:r>
        <w:rPr>
          <w:rFonts w:ascii="Times New Roman" w:hAnsi="Times New Roman"/>
          <w:noProof/>
          <w:sz w:val="24"/>
          <w:lang w:eastAsia="en-GB"/>
        </w:rPr>
        <w:t xml:space="preserve">  </w:t>
      </w:r>
    </w:p>
    <w:p w:rsidR="00821F17" w:rsidRDefault="00821F17">
      <w:pPr>
        <w:tabs>
          <w:tab w:val="left" w:pos="0"/>
        </w:tabs>
        <w:spacing w:after="0" w:line="360" w:lineRule="auto"/>
        <w:jc w:val="both"/>
        <w:rPr>
          <w:rFonts w:ascii="Times New Roman" w:hAnsi="Times New Roman" w:cs="Times New Roman"/>
          <w:noProof/>
          <w:sz w:val="24"/>
          <w:szCs w:val="24"/>
          <w:lang w:eastAsia="en-GB"/>
        </w:rPr>
      </w:pPr>
    </w:p>
    <w:p w:rsidR="00821F17" w:rsidRDefault="006B159E">
      <w:pPr>
        <w:tabs>
          <w:tab w:val="left" w:pos="0"/>
        </w:tabs>
        <w:spacing w:after="0" w:line="36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This  is explained by the ease of dialogue and exchange amongst organisations and public bodies within the same Member State, as they operate under common administrative and legal frameworks, and can count on existing cooperation and exchange mechanism</w:t>
      </w:r>
      <w:r>
        <w:rPr>
          <w:rFonts w:ascii="Times New Roman" w:hAnsi="Times New Roman" w:cs="Times New Roman"/>
          <w:noProof/>
          <w:sz w:val="24"/>
          <w:szCs w:val="24"/>
          <w:lang w:eastAsia="en-GB"/>
        </w:rPr>
        <w:t xml:space="preserve">s (local networks of institutions, NGOs).   </w:t>
      </w:r>
    </w:p>
    <w:p w:rsidR="00821F17" w:rsidRDefault="006B159E">
      <w:pPr>
        <w:tabs>
          <w:tab w:val="left" w:pos="0"/>
        </w:tabs>
        <w:spacing w:after="0" w:line="36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activities implemented through the EIF national programmes focused mainly on the following areas:</w:t>
      </w:r>
    </w:p>
    <w:p w:rsidR="00821F17" w:rsidRDefault="006B159E">
      <w:pPr>
        <w:pStyle w:val="ListParagraph"/>
        <w:numPr>
          <w:ilvl w:val="0"/>
          <w:numId w:val="15"/>
        </w:numPr>
        <w:tabs>
          <w:tab w:val="left" w:pos="0"/>
        </w:tabs>
        <w:spacing w:line="360" w:lineRule="auto"/>
        <w:jc w:val="both"/>
        <w:rPr>
          <w:rFonts w:ascii="Times New Roman" w:hAnsi="Times New Roman"/>
          <w:noProof/>
          <w:sz w:val="24"/>
          <w:lang w:eastAsia="en-GB"/>
        </w:rPr>
      </w:pPr>
      <w:r>
        <w:rPr>
          <w:rFonts w:ascii="Times New Roman" w:hAnsi="Times New Roman"/>
          <w:noProof/>
          <w:sz w:val="24"/>
          <w:lang w:eastAsia="en-GB"/>
        </w:rPr>
        <w:t>capacity building of responsible institutions/organisations</w:t>
      </w:r>
      <w:r>
        <w:rPr>
          <w:rStyle w:val="FootnoteReference"/>
          <w:rFonts w:ascii="Times New Roman" w:hAnsi="Times New Roman"/>
          <w:noProof/>
          <w:sz w:val="24"/>
          <w:lang w:eastAsia="en-GB"/>
        </w:rPr>
        <w:footnoteReference w:id="51"/>
      </w:r>
      <w:r>
        <w:rPr>
          <w:rFonts w:ascii="Times New Roman" w:hAnsi="Times New Roman"/>
          <w:noProof/>
          <w:sz w:val="24"/>
          <w:lang w:eastAsia="en-GB"/>
        </w:rPr>
        <w:t xml:space="preserve"> </w:t>
      </w:r>
    </w:p>
    <w:p w:rsidR="00821F17" w:rsidRDefault="006B159E">
      <w:pPr>
        <w:pStyle w:val="ListParagraph"/>
        <w:numPr>
          <w:ilvl w:val="0"/>
          <w:numId w:val="15"/>
        </w:numPr>
        <w:tabs>
          <w:tab w:val="left" w:pos="0"/>
        </w:tabs>
        <w:spacing w:line="360" w:lineRule="auto"/>
        <w:jc w:val="both"/>
        <w:rPr>
          <w:rFonts w:ascii="Times New Roman" w:hAnsi="Times New Roman"/>
          <w:noProof/>
          <w:sz w:val="24"/>
          <w:lang w:eastAsia="en-GB"/>
        </w:rPr>
      </w:pPr>
      <w:r>
        <w:rPr>
          <w:rFonts w:ascii="Times New Roman" w:hAnsi="Times New Roman"/>
          <w:noProof/>
          <w:sz w:val="24"/>
          <w:lang w:eastAsia="en-GB"/>
        </w:rPr>
        <w:t xml:space="preserve">capacity building in public institutions </w:t>
      </w:r>
      <w:r>
        <w:rPr>
          <w:rFonts w:ascii="Times New Roman" w:hAnsi="Times New Roman"/>
          <w:noProof/>
          <w:sz w:val="24"/>
          <w:lang w:eastAsia="en-GB"/>
        </w:rPr>
        <w:t>providing services and goods to migrants</w:t>
      </w:r>
      <w:r>
        <w:rPr>
          <w:rStyle w:val="FootnoteReference"/>
          <w:rFonts w:ascii="Times New Roman" w:hAnsi="Times New Roman"/>
          <w:noProof/>
          <w:sz w:val="24"/>
          <w:lang w:eastAsia="en-GB"/>
        </w:rPr>
        <w:footnoteReference w:id="52"/>
      </w:r>
      <w:r>
        <w:rPr>
          <w:rFonts w:ascii="Times New Roman" w:hAnsi="Times New Roman"/>
          <w:noProof/>
          <w:sz w:val="24"/>
          <w:lang w:eastAsia="en-GB"/>
        </w:rPr>
        <w:t xml:space="preserve"> </w:t>
      </w:r>
    </w:p>
    <w:p w:rsidR="00821F17" w:rsidRDefault="006B159E">
      <w:pPr>
        <w:pStyle w:val="ListParagraph"/>
        <w:numPr>
          <w:ilvl w:val="0"/>
          <w:numId w:val="15"/>
        </w:numPr>
        <w:tabs>
          <w:tab w:val="left" w:pos="0"/>
        </w:tabs>
        <w:spacing w:line="360" w:lineRule="auto"/>
        <w:jc w:val="both"/>
        <w:rPr>
          <w:rFonts w:ascii="Times New Roman" w:hAnsi="Times New Roman"/>
          <w:noProof/>
          <w:sz w:val="24"/>
          <w:lang w:eastAsia="en-GB"/>
        </w:rPr>
      </w:pPr>
      <w:r>
        <w:rPr>
          <w:rFonts w:ascii="Times New Roman" w:hAnsi="Times New Roman"/>
          <w:noProof/>
          <w:sz w:val="24"/>
          <w:lang w:eastAsia="en-GB"/>
        </w:rPr>
        <w:t>creation and/or improvement of structures for information exchange</w:t>
      </w:r>
      <w:r>
        <w:rPr>
          <w:rStyle w:val="FootnoteReference"/>
          <w:rFonts w:ascii="Times New Roman" w:hAnsi="Times New Roman"/>
          <w:noProof/>
          <w:sz w:val="24"/>
          <w:lang w:eastAsia="en-GB"/>
        </w:rPr>
        <w:footnoteReference w:id="53"/>
      </w:r>
    </w:p>
    <w:p w:rsidR="00821F17" w:rsidRDefault="006B159E">
      <w:pPr>
        <w:pStyle w:val="ListParagraph"/>
        <w:numPr>
          <w:ilvl w:val="0"/>
          <w:numId w:val="15"/>
        </w:numPr>
        <w:tabs>
          <w:tab w:val="left" w:pos="0"/>
        </w:tabs>
        <w:spacing w:line="360" w:lineRule="auto"/>
        <w:jc w:val="both"/>
        <w:rPr>
          <w:rFonts w:ascii="Times New Roman" w:hAnsi="Times New Roman"/>
          <w:noProof/>
          <w:sz w:val="24"/>
          <w:lang w:eastAsia="en-GB"/>
        </w:rPr>
      </w:pPr>
      <w:r>
        <w:rPr>
          <w:rFonts w:ascii="Times New Roman" w:hAnsi="Times New Roman"/>
          <w:noProof/>
          <w:sz w:val="24"/>
          <w:lang w:eastAsia="en-GB"/>
        </w:rPr>
        <w:t>development of indicators for monitoring results</w:t>
      </w:r>
      <w:r>
        <w:rPr>
          <w:rStyle w:val="FootnoteReference"/>
          <w:rFonts w:ascii="Times New Roman" w:hAnsi="Times New Roman"/>
          <w:noProof/>
          <w:sz w:val="24"/>
          <w:lang w:eastAsia="en-GB"/>
        </w:rPr>
        <w:footnoteReference w:id="54"/>
      </w:r>
      <w:r>
        <w:rPr>
          <w:rFonts w:ascii="Times New Roman" w:hAnsi="Times New Roman"/>
          <w:noProof/>
          <w:sz w:val="24"/>
          <w:lang w:eastAsia="en-GB"/>
        </w:rPr>
        <w:t xml:space="preserve"> </w:t>
      </w:r>
    </w:p>
    <w:p w:rsidR="00821F17" w:rsidRDefault="00821F17">
      <w:pPr>
        <w:tabs>
          <w:tab w:val="left" w:pos="0"/>
        </w:tabs>
        <w:spacing w:after="0" w:line="360" w:lineRule="auto"/>
        <w:jc w:val="both"/>
        <w:rPr>
          <w:rFonts w:ascii="Times New Roman" w:hAnsi="Times New Roman" w:cs="Times New Roman"/>
          <w:noProof/>
          <w:sz w:val="24"/>
          <w:szCs w:val="24"/>
          <w:lang w:eastAsia="en-GB"/>
        </w:rPr>
      </w:pPr>
    </w:p>
    <w:p w:rsidR="00821F17" w:rsidRDefault="006B159E">
      <w:pPr>
        <w:tabs>
          <w:tab w:val="left" w:pos="0"/>
        </w:tabs>
        <w:spacing w:after="0" w:line="36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In terms of impacts, 12 Member States</w:t>
      </w:r>
      <w:r>
        <w:rPr>
          <w:rStyle w:val="FootnoteReference"/>
          <w:rFonts w:ascii="Times New Roman" w:hAnsi="Times New Roman" w:cs="Times New Roman"/>
          <w:noProof/>
          <w:sz w:val="24"/>
          <w:szCs w:val="24"/>
          <w:lang w:eastAsia="en-GB"/>
        </w:rPr>
        <w:footnoteReference w:id="55"/>
      </w:r>
      <w:r>
        <w:rPr>
          <w:rFonts w:ascii="Times New Roman" w:hAnsi="Times New Roman" w:cs="Times New Roman"/>
          <w:noProof/>
          <w:sz w:val="24"/>
          <w:szCs w:val="24"/>
          <w:lang w:eastAsia="en-GB"/>
        </w:rPr>
        <w:t xml:space="preserve"> out of 25 stated that the EIF strongly contributed to </w:t>
      </w:r>
      <w:r>
        <w:rPr>
          <w:rFonts w:ascii="Times New Roman" w:hAnsi="Times New Roman" w:cs="Times New Roman"/>
          <w:noProof/>
          <w:sz w:val="24"/>
          <w:szCs w:val="24"/>
          <w:lang w:eastAsia="en-GB"/>
        </w:rPr>
        <w:t xml:space="preserve">the improvement of mechanisms for exchange of information, best practices and cooperation on the integration of TCNs. </w:t>
      </w:r>
    </w:p>
    <w:p w:rsidR="00821F17" w:rsidRDefault="00821F17">
      <w:pPr>
        <w:tabs>
          <w:tab w:val="left" w:pos="0"/>
        </w:tabs>
        <w:spacing w:after="0" w:line="360" w:lineRule="auto"/>
        <w:jc w:val="both"/>
        <w:rPr>
          <w:rFonts w:ascii="Times New Roman" w:hAnsi="Times New Roman" w:cs="Times New Roman"/>
          <w:noProof/>
          <w:sz w:val="24"/>
          <w:szCs w:val="24"/>
          <w:lang w:eastAsia="en-GB"/>
        </w:rPr>
      </w:pPr>
    </w:p>
    <w:p w:rsidR="00821F17" w:rsidRDefault="006B159E">
      <w:pPr>
        <w:tabs>
          <w:tab w:val="left" w:pos="0"/>
        </w:tabs>
        <w:spacing w:after="0" w:line="36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Community Actions implemented during the period 2011-2013 contributed to the set-up of structured approaches to sharing information </w:t>
      </w:r>
      <w:r>
        <w:rPr>
          <w:rFonts w:ascii="Times New Roman" w:hAnsi="Times New Roman" w:cs="Times New Roman"/>
          <w:noProof/>
          <w:sz w:val="24"/>
          <w:szCs w:val="24"/>
          <w:lang w:eastAsia="en-GB"/>
        </w:rPr>
        <w:t>and best practices, such as networks or the organisation of regular meetings of public organisations and NGOs active in design and delivery of integration services. Through cooperation and exchanges, the projects supported by the Community Actions contribu</w:t>
      </w:r>
      <w:r>
        <w:rPr>
          <w:rFonts w:ascii="Times New Roman" w:hAnsi="Times New Roman" w:cs="Times New Roman"/>
          <w:noProof/>
          <w:sz w:val="24"/>
          <w:szCs w:val="24"/>
          <w:lang w:eastAsia="en-GB"/>
        </w:rPr>
        <w:t>ted to raising awareness of migration and integration policies, and to improving knowledge and understanding of a variety of stakeholders at regional and local level.However, it was shown that more far-reaching results such as expanding voting rights or po</w:t>
      </w:r>
      <w:r>
        <w:rPr>
          <w:rFonts w:ascii="Times New Roman" w:hAnsi="Times New Roman" w:cs="Times New Roman"/>
          <w:noProof/>
          <w:sz w:val="24"/>
          <w:szCs w:val="24"/>
          <w:lang w:eastAsia="en-GB"/>
        </w:rPr>
        <w:t xml:space="preserve">litical representation of TCNs could not be reached.  National policy makers were most of the time unaware of projects supported by the Community Actions, as the cooperation activities took place mainly at the decentralised level. </w:t>
      </w:r>
    </w:p>
    <w:p w:rsidR="00821F17" w:rsidRDefault="00821F17">
      <w:pPr>
        <w:tabs>
          <w:tab w:val="left" w:pos="0"/>
        </w:tabs>
        <w:spacing w:after="0" w:line="240" w:lineRule="auto"/>
        <w:jc w:val="both"/>
        <w:rPr>
          <w:rFonts w:ascii="Times New Roman" w:hAnsi="Times New Roman" w:cs="Times New Roman"/>
          <w:noProof/>
          <w:sz w:val="24"/>
          <w:szCs w:val="24"/>
          <w:lang w:eastAsia="en-GB"/>
        </w:rPr>
      </w:pPr>
    </w:p>
    <w:p w:rsidR="00821F17" w:rsidRDefault="00821F17">
      <w:pPr>
        <w:tabs>
          <w:tab w:val="left" w:pos="0"/>
        </w:tabs>
        <w:spacing w:after="0" w:line="240" w:lineRule="auto"/>
        <w:jc w:val="both"/>
        <w:rPr>
          <w:rFonts w:ascii="Times New Roman" w:hAnsi="Times New Roman" w:cs="Times New Roman"/>
          <w:noProof/>
          <w:sz w:val="24"/>
          <w:szCs w:val="24"/>
          <w:lang w:eastAsia="en-GB"/>
        </w:rPr>
      </w:pPr>
    </w:p>
    <w:p w:rsidR="00821F17" w:rsidRDefault="006B159E">
      <w:pPr>
        <w:pStyle w:val="Heading2"/>
        <w:numPr>
          <w:ilvl w:val="1"/>
          <w:numId w:val="6"/>
        </w:numPr>
        <w:rPr>
          <w:noProof/>
        </w:rPr>
      </w:pPr>
      <w:bookmarkStart w:id="14" w:name="_OBJECTIVE_C"/>
      <w:bookmarkStart w:id="15" w:name="_OBJECTIVE_B"/>
      <w:bookmarkStart w:id="16" w:name="_Evaluation_Question_10:"/>
      <w:bookmarkStart w:id="17" w:name="_Evaluation_Question_3:"/>
      <w:bookmarkStart w:id="18" w:name="_OBJECTIVE_D"/>
      <w:bookmarkStart w:id="19" w:name="_Evaluation_Question_6:"/>
      <w:bookmarkStart w:id="20" w:name="_OBJECTIVE_A"/>
      <w:bookmarkStart w:id="21" w:name="_Evaluation_Question_2:"/>
      <w:bookmarkStart w:id="22" w:name="_Evaluation_Question_5:"/>
      <w:bookmarkStart w:id="23" w:name="_Toc501546853"/>
      <w:bookmarkEnd w:id="14"/>
      <w:bookmarkEnd w:id="15"/>
      <w:bookmarkEnd w:id="16"/>
      <w:bookmarkEnd w:id="17"/>
      <w:bookmarkEnd w:id="18"/>
      <w:bookmarkEnd w:id="19"/>
      <w:bookmarkEnd w:id="20"/>
      <w:bookmarkEnd w:id="21"/>
      <w:bookmarkEnd w:id="22"/>
      <w:r>
        <w:rPr>
          <w:noProof/>
        </w:rPr>
        <w:t>Efficiency</w:t>
      </w:r>
      <w:bookmarkEnd w:id="23"/>
    </w:p>
    <w:p w:rsidR="00821F17" w:rsidRDefault="006B159E">
      <w:pPr>
        <w:pStyle w:val="NormalIndent"/>
        <w:pBdr>
          <w:top w:val="single" w:sz="4" w:space="1" w:color="auto"/>
          <w:left w:val="single" w:sz="4" w:space="4" w:color="auto"/>
          <w:bottom w:val="single" w:sz="4" w:space="1" w:color="auto"/>
          <w:right w:val="single" w:sz="4" w:space="4" w:color="auto"/>
        </w:pBdr>
        <w:spacing w:after="0" w:line="360" w:lineRule="auto"/>
        <w:ind w:left="0"/>
        <w:rPr>
          <w:rFonts w:ascii="Times New Roman" w:hAnsi="Times New Roman" w:cs="Times New Roman"/>
          <w:i/>
          <w:iCs/>
          <w:noProof/>
          <w:sz w:val="24"/>
          <w:szCs w:val="24"/>
          <w:lang w:val="en-GB"/>
        </w:rPr>
      </w:pPr>
      <w:r>
        <w:rPr>
          <w:rFonts w:ascii="Times New Roman" w:hAnsi="Times New Roman" w:cs="Times New Roman"/>
          <w:b/>
          <w:iCs/>
          <w:noProof/>
          <w:sz w:val="24"/>
          <w:szCs w:val="24"/>
          <w:lang w:val="en-GB"/>
        </w:rPr>
        <w:t xml:space="preserve">EQ11: </w:t>
      </w:r>
      <w:r>
        <w:rPr>
          <w:rFonts w:ascii="Times New Roman" w:hAnsi="Times New Roman" w:cs="Times New Roman"/>
          <w:i/>
          <w:iCs/>
          <w:noProof/>
          <w:sz w:val="24"/>
          <w:szCs w:val="24"/>
          <w:lang w:val="en-GB"/>
        </w:rPr>
        <w:t>To wh</w:t>
      </w:r>
      <w:r>
        <w:rPr>
          <w:rFonts w:ascii="Times New Roman" w:hAnsi="Times New Roman" w:cs="Times New Roman"/>
          <w:i/>
          <w:iCs/>
          <w:noProof/>
          <w:sz w:val="24"/>
          <w:szCs w:val="24"/>
          <w:lang w:val="en-GB"/>
        </w:rPr>
        <w:t xml:space="preserve">at extent were the effects of the EIF 2011-2013 actions achieved at a reasonable cost in terms of the financial and human resources deployed? </w:t>
      </w:r>
    </w:p>
    <w:p w:rsidR="00821F17" w:rsidRDefault="00821F17">
      <w:pPr>
        <w:pStyle w:val="NormalIndent"/>
        <w:pBdr>
          <w:top w:val="single" w:sz="4" w:space="1" w:color="auto"/>
          <w:left w:val="single" w:sz="4" w:space="4" w:color="auto"/>
          <w:bottom w:val="single" w:sz="4" w:space="1" w:color="auto"/>
          <w:right w:val="single" w:sz="4" w:space="4" w:color="auto"/>
        </w:pBdr>
        <w:spacing w:after="0" w:line="360" w:lineRule="auto"/>
        <w:ind w:left="0"/>
        <w:rPr>
          <w:rFonts w:ascii="Times New Roman" w:hAnsi="Times New Roman" w:cs="Times New Roman"/>
          <w:i/>
          <w:iCs/>
          <w:noProof/>
          <w:sz w:val="24"/>
          <w:szCs w:val="24"/>
          <w:lang w:val="en-GB"/>
        </w:rPr>
      </w:pPr>
    </w:p>
    <w:p w:rsidR="00821F17" w:rsidRDefault="006B159E">
      <w:pPr>
        <w:pStyle w:val="NormalIndent"/>
        <w:pBdr>
          <w:top w:val="single" w:sz="4" w:space="1" w:color="auto"/>
          <w:left w:val="single" w:sz="4" w:space="4" w:color="auto"/>
          <w:bottom w:val="single" w:sz="4" w:space="1" w:color="auto"/>
          <w:right w:val="single" w:sz="4" w:space="4" w:color="auto"/>
        </w:pBdr>
        <w:spacing w:after="0" w:line="360" w:lineRule="auto"/>
        <w:ind w:left="0"/>
        <w:rPr>
          <w:rFonts w:ascii="Times New Roman" w:hAnsi="Times New Roman" w:cs="Times New Roman"/>
          <w:b/>
          <w:iCs/>
          <w:noProof/>
          <w:sz w:val="24"/>
          <w:szCs w:val="24"/>
          <w:lang w:val="en-GB"/>
        </w:rPr>
      </w:pPr>
      <w:r>
        <w:rPr>
          <w:rFonts w:ascii="Times New Roman" w:hAnsi="Times New Roman" w:cs="Times New Roman"/>
          <w:b/>
          <w:iCs/>
          <w:noProof/>
          <w:sz w:val="24"/>
          <w:szCs w:val="24"/>
          <w:lang w:val="en-GB"/>
        </w:rPr>
        <w:t xml:space="preserve">Main conclusion: </w:t>
      </w:r>
      <w:r>
        <w:rPr>
          <w:rFonts w:ascii="Times New Roman" w:hAnsi="Times New Roman" w:cs="Times New Roman"/>
          <w:iCs/>
          <w:noProof/>
          <w:sz w:val="24"/>
          <w:szCs w:val="24"/>
          <w:lang w:val="en-GB"/>
        </w:rPr>
        <w:t xml:space="preserve">The assessment of the efficiency of the EIF actions has been limited by the lack of </w:t>
      </w:r>
      <w:r>
        <w:rPr>
          <w:rFonts w:ascii="Times New Roman" w:hAnsi="Times New Roman" w:cs="Times New Roman"/>
          <w:iCs/>
          <w:noProof/>
          <w:sz w:val="24"/>
          <w:szCs w:val="24"/>
          <w:lang w:val="en-GB"/>
        </w:rPr>
        <w:t>quantitative data and common indicators. The evaluation relied primarily on the stakeholders' assessment of the results achieved in terms of overheads and deployed human resources. The vast majority of Member States made a positive assessment of the cost a</w:t>
      </w:r>
      <w:r>
        <w:rPr>
          <w:rFonts w:ascii="Times New Roman" w:hAnsi="Times New Roman" w:cs="Times New Roman"/>
          <w:iCs/>
          <w:noProof/>
          <w:sz w:val="24"/>
          <w:szCs w:val="24"/>
          <w:lang w:val="en-GB"/>
        </w:rPr>
        <w:t>t which EIF actions were achieved and provided suggestions to increase efficiency. They considered that the costs were proportional with the outputs of the projects and that it would not have been possible or would have been difficult to achieve the same r</w:t>
      </w:r>
      <w:r>
        <w:rPr>
          <w:rFonts w:ascii="Times New Roman" w:hAnsi="Times New Roman" w:cs="Times New Roman"/>
          <w:iCs/>
          <w:noProof/>
          <w:sz w:val="24"/>
          <w:szCs w:val="24"/>
          <w:lang w:val="en-GB"/>
        </w:rPr>
        <w:t>esults at a lower cost. Room for improvement was identified with regard to the speed of cash-flow between the Commission and the Member States and with the administrative burden that impacted the efficiency of the implementation of the Fund.</w:t>
      </w:r>
    </w:p>
    <w:p w:rsidR="00821F17" w:rsidRDefault="00821F17">
      <w:pPr>
        <w:pStyle w:val="Body"/>
        <w:spacing w:after="0" w:line="360" w:lineRule="auto"/>
        <w:rPr>
          <w:rFonts w:ascii="Times New Roman" w:hAnsi="Times New Roman" w:cs="Times New Roman"/>
          <w:b/>
          <w:noProof/>
          <w:sz w:val="24"/>
          <w:szCs w:val="24"/>
          <w:lang w:val="en-GB"/>
        </w:rPr>
      </w:pPr>
    </w:p>
    <w:p w:rsidR="00821F17" w:rsidRDefault="006B159E">
      <w:pPr>
        <w:pStyle w:val="Body"/>
        <w:spacing w:after="0" w:line="36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As the legal </w:t>
      </w:r>
      <w:r>
        <w:rPr>
          <w:rFonts w:ascii="Times New Roman" w:hAnsi="Times New Roman" w:cs="Times New Roman"/>
          <w:noProof/>
          <w:sz w:val="24"/>
          <w:szCs w:val="24"/>
          <w:lang w:val="en-GB"/>
        </w:rPr>
        <w:t>basis of the Fund did not require national Responsible Authorities to collect data suitable for the assessment of efficiency, the lack of quantitative data represented a limitation to the assessment of efficiency. However, qualitative information made avai</w:t>
      </w:r>
      <w:r>
        <w:rPr>
          <w:rFonts w:ascii="Times New Roman" w:hAnsi="Times New Roman" w:cs="Times New Roman"/>
          <w:noProof/>
          <w:sz w:val="24"/>
          <w:szCs w:val="24"/>
          <w:lang w:val="en-GB"/>
        </w:rPr>
        <w:t xml:space="preserve">lable by the national authorities and the implementing bodies, in addition to the analysis included in the national evaluation reports, have been used as a basis for this part of the evaluation. </w:t>
      </w:r>
    </w:p>
    <w:p w:rsidR="00821F17" w:rsidRDefault="006B159E">
      <w:pPr>
        <w:pStyle w:val="Body"/>
        <w:spacing w:after="0" w:line="36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For 19 Member States</w:t>
      </w:r>
      <w:r>
        <w:rPr>
          <w:rStyle w:val="FootnoteReference"/>
          <w:rFonts w:ascii="Times New Roman" w:hAnsi="Times New Roman" w:cs="Times New Roman"/>
          <w:noProof/>
          <w:sz w:val="24"/>
          <w:szCs w:val="24"/>
          <w:lang w:val="en-GB"/>
        </w:rPr>
        <w:footnoteReference w:id="56"/>
      </w:r>
      <w:r>
        <w:rPr>
          <w:rFonts w:ascii="Times New Roman" w:hAnsi="Times New Roman" w:cs="Times New Roman"/>
          <w:noProof/>
          <w:sz w:val="24"/>
          <w:szCs w:val="24"/>
          <w:lang w:val="en-GB"/>
        </w:rPr>
        <w:t xml:space="preserve"> the resources allocated were sufficien</w:t>
      </w:r>
      <w:r>
        <w:rPr>
          <w:rFonts w:ascii="Times New Roman" w:hAnsi="Times New Roman" w:cs="Times New Roman"/>
          <w:noProof/>
          <w:sz w:val="24"/>
          <w:szCs w:val="24"/>
          <w:lang w:val="en-GB"/>
        </w:rPr>
        <w:t>t to deliver the activities supported by the Fund. In some cases, an improvement in efficiency was recognised for the 2011-2013 period compared to the previous one (2007-2010). This can be explained by the increased familiarity with the procedures acquired</w:t>
      </w:r>
      <w:r>
        <w:rPr>
          <w:rFonts w:ascii="Times New Roman" w:hAnsi="Times New Roman" w:cs="Times New Roman"/>
          <w:noProof/>
          <w:sz w:val="24"/>
          <w:szCs w:val="24"/>
          <w:lang w:val="en-GB"/>
        </w:rPr>
        <w:t xml:space="preserve"> over time by the bodies in charge of planning and implementing the Fund.</w:t>
      </w:r>
    </w:p>
    <w:p w:rsidR="00821F17" w:rsidRDefault="006B159E">
      <w:pPr>
        <w:pStyle w:val="Body"/>
        <w:spacing w:after="0" w:line="36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Overall, the majority of Member States considered the costs incurred to implement the Fund proportional to the projects' outputs. For example, the design of educational tools and the</w:t>
      </w:r>
      <w:r>
        <w:rPr>
          <w:rFonts w:ascii="Times New Roman" w:hAnsi="Times New Roman" w:cs="Times New Roman"/>
          <w:noProof/>
          <w:sz w:val="24"/>
          <w:szCs w:val="24"/>
          <w:lang w:val="en-GB"/>
        </w:rPr>
        <w:t xml:space="preserve"> counselling activities were considered to be amongst the most cost-effective activities for two main reasons: </w:t>
      </w:r>
    </w:p>
    <w:p w:rsidR="00821F17" w:rsidRDefault="006B159E">
      <w:pPr>
        <w:pStyle w:val="Body"/>
        <w:numPr>
          <w:ilvl w:val="0"/>
          <w:numId w:val="17"/>
        </w:numPr>
        <w:spacing w:after="0" w:line="36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the educational tools were disseminated to potential users outside the boundaries of the financed projects, thus ensuring a larger use of the ou</w:t>
      </w:r>
      <w:r>
        <w:rPr>
          <w:rFonts w:ascii="Times New Roman" w:hAnsi="Times New Roman" w:cs="Times New Roman"/>
          <w:noProof/>
          <w:sz w:val="24"/>
          <w:szCs w:val="24"/>
          <w:lang w:val="en-GB"/>
        </w:rPr>
        <w:t xml:space="preserve">tputs of the financed projects,  </w:t>
      </w:r>
    </w:p>
    <w:p w:rsidR="00821F17" w:rsidRDefault="006B159E">
      <w:pPr>
        <w:pStyle w:val="Body"/>
        <w:numPr>
          <w:ilvl w:val="0"/>
          <w:numId w:val="17"/>
        </w:numPr>
        <w:spacing w:after="0" w:line="36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the provision of counselling was seen as a service allowing TCNs to access other services.</w:t>
      </w:r>
    </w:p>
    <w:p w:rsidR="00821F17" w:rsidRDefault="006B159E">
      <w:pPr>
        <w:pStyle w:val="Body"/>
        <w:spacing w:after="0" w:line="36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Some Member States</w:t>
      </w:r>
      <w:r>
        <w:rPr>
          <w:rStyle w:val="FootnoteReference"/>
          <w:rFonts w:ascii="Times New Roman" w:hAnsi="Times New Roman" w:cs="Times New Roman"/>
          <w:noProof/>
          <w:sz w:val="24"/>
          <w:szCs w:val="24"/>
          <w:lang w:val="en-GB"/>
        </w:rPr>
        <w:footnoteReference w:id="57"/>
      </w:r>
      <w:r>
        <w:rPr>
          <w:rFonts w:ascii="Times New Roman" w:hAnsi="Times New Roman" w:cs="Times New Roman"/>
          <w:noProof/>
          <w:sz w:val="24"/>
          <w:szCs w:val="24"/>
          <w:lang w:val="en-GB"/>
        </w:rPr>
        <w:t xml:space="preserve"> tried to assess the costs incurred to implement the EIF against those of other EU funding instruments</w:t>
      </w:r>
      <w:r>
        <w:rPr>
          <w:rStyle w:val="FootnoteReference"/>
          <w:rFonts w:ascii="Times New Roman" w:hAnsi="Times New Roman" w:cs="Times New Roman"/>
          <w:noProof/>
          <w:sz w:val="24"/>
          <w:szCs w:val="24"/>
          <w:lang w:val="en-GB"/>
        </w:rPr>
        <w:footnoteReference w:id="58"/>
      </w:r>
      <w:r>
        <w:rPr>
          <w:rFonts w:ascii="Times New Roman" w:hAnsi="Times New Roman" w:cs="Times New Roman"/>
          <w:noProof/>
          <w:sz w:val="24"/>
          <w:szCs w:val="24"/>
          <w:lang w:val="en-GB"/>
        </w:rPr>
        <w:t xml:space="preserve"> or natio</w:t>
      </w:r>
      <w:r>
        <w:rPr>
          <w:rFonts w:ascii="Times New Roman" w:hAnsi="Times New Roman" w:cs="Times New Roman"/>
          <w:noProof/>
          <w:sz w:val="24"/>
          <w:szCs w:val="24"/>
          <w:lang w:val="en-GB"/>
        </w:rPr>
        <w:t>nal funds. However, due to the differences in the target groups, for the majority of the Member States the comparison with other EU sources was not appropriate from a methodological standpoint.</w:t>
      </w:r>
    </w:p>
    <w:p w:rsidR="00821F17" w:rsidRDefault="006B159E">
      <w:pPr>
        <w:pStyle w:val="Body"/>
        <w:spacing w:after="0" w:line="36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Other Member States</w:t>
      </w:r>
      <w:r>
        <w:rPr>
          <w:rStyle w:val="FootnoteReference"/>
          <w:rFonts w:ascii="Times New Roman" w:hAnsi="Times New Roman" w:cs="Times New Roman"/>
          <w:noProof/>
          <w:sz w:val="24"/>
          <w:szCs w:val="24"/>
          <w:lang w:val="en-GB"/>
        </w:rPr>
        <w:footnoteReference w:id="59"/>
      </w:r>
      <w:r>
        <w:rPr>
          <w:rFonts w:ascii="Times New Roman" w:hAnsi="Times New Roman" w:cs="Times New Roman"/>
          <w:noProof/>
          <w:sz w:val="24"/>
          <w:szCs w:val="24"/>
          <w:lang w:val="en-GB"/>
        </w:rPr>
        <w:t xml:space="preserve"> reported factors/ mechanisms that increas</w:t>
      </w:r>
      <w:r>
        <w:rPr>
          <w:rFonts w:ascii="Times New Roman" w:hAnsi="Times New Roman" w:cs="Times New Roman"/>
          <w:noProof/>
          <w:sz w:val="24"/>
          <w:szCs w:val="24"/>
          <w:lang w:val="en-GB"/>
        </w:rPr>
        <w:t xml:space="preserve">ed the cost-effectiveness in the project's implementation. For instance, they considered that the use of the procurement procedure contributed to the efficiency of the process. Moreover, two Member States stated that the cost-effectiveness of the projects </w:t>
      </w:r>
      <w:r>
        <w:rPr>
          <w:rFonts w:ascii="Times New Roman" w:hAnsi="Times New Roman" w:cs="Times New Roman"/>
          <w:noProof/>
          <w:sz w:val="24"/>
          <w:szCs w:val="24"/>
          <w:lang w:val="en-GB"/>
        </w:rPr>
        <w:t>was enhanced by the monitoring and audit procedures which allowed corrections in due course</w:t>
      </w:r>
      <w:r>
        <w:rPr>
          <w:rStyle w:val="FootnoteReference"/>
          <w:rFonts w:ascii="Times New Roman" w:hAnsi="Times New Roman" w:cs="Times New Roman"/>
          <w:noProof/>
          <w:sz w:val="24"/>
          <w:szCs w:val="24"/>
          <w:lang w:val="en-GB"/>
        </w:rPr>
        <w:footnoteReference w:id="60"/>
      </w:r>
      <w:r>
        <w:rPr>
          <w:rFonts w:ascii="Times New Roman" w:hAnsi="Times New Roman" w:cs="Times New Roman"/>
          <w:noProof/>
          <w:sz w:val="24"/>
          <w:szCs w:val="24"/>
          <w:lang w:val="en-GB"/>
        </w:rPr>
        <w:t xml:space="preserve">. </w:t>
      </w:r>
    </w:p>
    <w:p w:rsidR="00821F17" w:rsidRDefault="006B159E">
      <w:pPr>
        <w:spacing w:line="36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With regards to the degree of timely availability of EIF financial resources, according to 14 Member States</w:t>
      </w:r>
      <w:r>
        <w:rPr>
          <w:rStyle w:val="FootnoteReference"/>
          <w:rFonts w:ascii="Times New Roman" w:eastAsia="Times New Roman" w:hAnsi="Times New Roman" w:cs="Times New Roman"/>
          <w:noProof/>
          <w:sz w:val="24"/>
          <w:szCs w:val="24"/>
        </w:rPr>
        <w:footnoteReference w:id="61"/>
      </w:r>
      <w:r>
        <w:rPr>
          <w:rFonts w:ascii="Times New Roman" w:eastAsia="Times New Roman" w:hAnsi="Times New Roman" w:cs="Times New Roman"/>
          <w:noProof/>
          <w:sz w:val="24"/>
          <w:szCs w:val="24"/>
        </w:rPr>
        <w:t xml:space="preserve"> the resources were generally available on time; however, some delays in respecting the timing were reported by 11 Member States</w:t>
      </w:r>
      <w:r>
        <w:rPr>
          <w:rStyle w:val="FootnoteReference"/>
          <w:rFonts w:ascii="Times New Roman" w:eastAsia="Times New Roman" w:hAnsi="Times New Roman" w:cs="Times New Roman"/>
          <w:noProof/>
          <w:sz w:val="24"/>
          <w:szCs w:val="24"/>
        </w:rPr>
        <w:footnoteReference w:id="62"/>
      </w:r>
      <w:r>
        <w:rPr>
          <w:rFonts w:ascii="Times New Roman" w:eastAsia="Times New Roman" w:hAnsi="Times New Roman" w:cs="Times New Roman"/>
          <w:noProof/>
          <w:sz w:val="24"/>
          <w:szCs w:val="24"/>
        </w:rPr>
        <w:t>. Hereunder some of the most frequently reported issues:</w:t>
      </w:r>
    </w:p>
    <w:p w:rsidR="00821F17" w:rsidRDefault="006B159E">
      <w:pPr>
        <w:pStyle w:val="ListParagraph"/>
        <w:numPr>
          <w:ilvl w:val="0"/>
          <w:numId w:val="18"/>
        </w:numPr>
        <w:spacing w:line="360" w:lineRule="auto"/>
        <w:jc w:val="both"/>
        <w:rPr>
          <w:rFonts w:ascii="Times New Roman" w:hAnsi="Times New Roman"/>
          <w:noProof/>
          <w:sz w:val="24"/>
        </w:rPr>
      </w:pPr>
      <w:r>
        <w:rPr>
          <w:rFonts w:ascii="Times New Roman" w:hAnsi="Times New Roman"/>
          <w:noProof/>
          <w:sz w:val="24"/>
        </w:rPr>
        <w:t>Pre-financing period: several Member States were dissatisfied with the</w:t>
      </w:r>
      <w:r>
        <w:rPr>
          <w:rFonts w:ascii="Times New Roman" w:hAnsi="Times New Roman"/>
          <w:noProof/>
          <w:sz w:val="24"/>
        </w:rPr>
        <w:t xml:space="preserve"> long pre-financing phase and/or reported delays in disbursement</w:t>
      </w:r>
      <w:r>
        <w:rPr>
          <w:rStyle w:val="FootnoteReference"/>
          <w:rFonts w:ascii="Times New Roman" w:hAnsi="Times New Roman"/>
          <w:noProof/>
          <w:sz w:val="24"/>
        </w:rPr>
        <w:footnoteReference w:id="63"/>
      </w:r>
      <w:r>
        <w:rPr>
          <w:rFonts w:ascii="Times New Roman" w:hAnsi="Times New Roman"/>
          <w:noProof/>
          <w:sz w:val="24"/>
        </w:rPr>
        <w:t xml:space="preserve"> and delays in advance payments</w:t>
      </w:r>
      <w:r>
        <w:rPr>
          <w:rStyle w:val="FootnoteReference"/>
          <w:rFonts w:ascii="Times New Roman" w:hAnsi="Times New Roman"/>
          <w:noProof/>
          <w:sz w:val="24"/>
        </w:rPr>
        <w:footnoteReference w:id="64"/>
      </w:r>
      <w:r>
        <w:rPr>
          <w:rFonts w:ascii="Times New Roman" w:hAnsi="Times New Roman"/>
          <w:noProof/>
          <w:sz w:val="24"/>
        </w:rPr>
        <w:t xml:space="preserve">. Furthermore, in some cases the implementing organisations have been negatively impacted due to the long delays in payment of salaries. It has been suggested </w:t>
      </w:r>
      <w:r>
        <w:rPr>
          <w:rFonts w:ascii="Times New Roman" w:hAnsi="Times New Roman"/>
          <w:noProof/>
          <w:sz w:val="24"/>
        </w:rPr>
        <w:t xml:space="preserve">that this problem relates to the Responsible Authorities’ own requirements and constraints. </w:t>
      </w:r>
    </w:p>
    <w:p w:rsidR="00821F17" w:rsidRDefault="006B159E">
      <w:pPr>
        <w:pStyle w:val="ListParagraph"/>
        <w:numPr>
          <w:ilvl w:val="0"/>
          <w:numId w:val="18"/>
        </w:numPr>
        <w:spacing w:line="360" w:lineRule="auto"/>
        <w:jc w:val="both"/>
        <w:rPr>
          <w:rFonts w:ascii="Times New Roman" w:hAnsi="Times New Roman"/>
          <w:noProof/>
          <w:sz w:val="24"/>
        </w:rPr>
      </w:pPr>
      <w:r>
        <w:rPr>
          <w:rFonts w:ascii="Times New Roman" w:hAnsi="Times New Roman"/>
          <w:noProof/>
          <w:sz w:val="24"/>
        </w:rPr>
        <w:t>Administrative burden: some Member States stated that the administrative procedures reduced the efficient implementation of the projects</w:t>
      </w:r>
      <w:r>
        <w:rPr>
          <w:rStyle w:val="FootnoteReference"/>
          <w:rFonts w:ascii="Times New Roman" w:hAnsi="Times New Roman"/>
          <w:noProof/>
          <w:sz w:val="24"/>
        </w:rPr>
        <w:footnoteReference w:id="65"/>
      </w:r>
      <w:r>
        <w:rPr>
          <w:rFonts w:ascii="Times New Roman" w:hAnsi="Times New Roman"/>
          <w:noProof/>
          <w:sz w:val="24"/>
        </w:rPr>
        <w:t>. In some cases, organisat</w:t>
      </w:r>
      <w:r>
        <w:rPr>
          <w:rFonts w:ascii="Times New Roman" w:hAnsi="Times New Roman"/>
          <w:noProof/>
          <w:sz w:val="24"/>
        </w:rPr>
        <w:t>ions did not have the experience required to deal efficiently with the legal and financial procedures associated with the use of public funds. Some Member States (FR and SE) said that the availability of resources was negatively affected by the heavy admin</w:t>
      </w:r>
      <w:r>
        <w:rPr>
          <w:rFonts w:ascii="Times New Roman" w:hAnsi="Times New Roman"/>
          <w:noProof/>
          <w:sz w:val="24"/>
        </w:rPr>
        <w:t xml:space="preserve">istrative constraints. </w:t>
      </w:r>
    </w:p>
    <w:p w:rsidR="00821F17" w:rsidRDefault="00821F17">
      <w:pPr>
        <w:pStyle w:val="ListParagraph"/>
        <w:spacing w:line="360" w:lineRule="auto"/>
        <w:jc w:val="both"/>
        <w:rPr>
          <w:rFonts w:ascii="Times New Roman" w:hAnsi="Times New Roman"/>
          <w:noProof/>
          <w:sz w:val="24"/>
        </w:rPr>
      </w:pPr>
    </w:p>
    <w:p w:rsidR="00821F17" w:rsidRDefault="006B159E">
      <w:pPr>
        <w:spacing w:line="36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When  requested to state if it would have been possible to achieve equal results at lower costs by improving the procedures, 14 Member States</w:t>
      </w:r>
      <w:r>
        <w:rPr>
          <w:rStyle w:val="FootnoteReference"/>
          <w:rFonts w:ascii="Times New Roman" w:eastAsia="Times New Roman" w:hAnsi="Times New Roman" w:cs="Times New Roman"/>
          <w:noProof/>
          <w:sz w:val="24"/>
          <w:szCs w:val="24"/>
        </w:rPr>
        <w:footnoteReference w:id="66"/>
      </w:r>
      <w:r>
        <w:rPr>
          <w:rFonts w:ascii="Times New Roman" w:eastAsia="Times New Roman" w:hAnsi="Times New Roman" w:cs="Times New Roman"/>
          <w:noProof/>
          <w:sz w:val="24"/>
          <w:szCs w:val="24"/>
        </w:rPr>
        <w:t xml:space="preserve"> reported that it would not have been possible and four Member States</w:t>
      </w:r>
      <w:r>
        <w:rPr>
          <w:rStyle w:val="FootnoteReference"/>
          <w:rFonts w:ascii="Times New Roman" w:eastAsia="Times New Roman" w:hAnsi="Times New Roman" w:cs="Times New Roman"/>
          <w:noProof/>
          <w:sz w:val="24"/>
          <w:szCs w:val="24"/>
        </w:rPr>
        <w:footnoteReference w:id="67"/>
      </w:r>
      <w:r>
        <w:rPr>
          <w:rFonts w:ascii="Times New Roman" w:eastAsia="Times New Roman" w:hAnsi="Times New Roman" w:cs="Times New Roman"/>
          <w:noProof/>
          <w:sz w:val="24"/>
          <w:szCs w:val="24"/>
        </w:rPr>
        <w:t xml:space="preserve"> argued that reduci</w:t>
      </w:r>
      <w:r>
        <w:rPr>
          <w:rFonts w:ascii="Times New Roman" w:eastAsia="Times New Roman" w:hAnsi="Times New Roman" w:cs="Times New Roman"/>
          <w:noProof/>
          <w:sz w:val="24"/>
          <w:szCs w:val="24"/>
        </w:rPr>
        <w:t>ng the costs would have also reduced the volume and the quality of services (and hence the number of beneficiary TCNs).</w:t>
      </w:r>
    </w:p>
    <w:p w:rsidR="00821F17" w:rsidRDefault="006B159E">
      <w:pPr>
        <w:spacing w:line="36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Nine Member States </w:t>
      </w:r>
      <w:r>
        <w:rPr>
          <w:rStyle w:val="FootnoteReference"/>
          <w:rFonts w:ascii="Times New Roman" w:eastAsia="Times New Roman" w:hAnsi="Times New Roman" w:cs="Times New Roman"/>
          <w:noProof/>
          <w:sz w:val="24"/>
          <w:szCs w:val="24"/>
        </w:rPr>
        <w:footnoteReference w:id="68"/>
      </w:r>
      <w:r>
        <w:rPr>
          <w:rFonts w:ascii="Times New Roman" w:eastAsia="Times New Roman" w:hAnsi="Times New Roman" w:cs="Times New Roman"/>
          <w:noProof/>
          <w:sz w:val="24"/>
          <w:szCs w:val="24"/>
        </w:rPr>
        <w:t xml:space="preserve"> provided suggestions to increase efficiency: </w:t>
      </w:r>
    </w:p>
    <w:p w:rsidR="00821F17" w:rsidRDefault="006B159E">
      <w:pPr>
        <w:pStyle w:val="ListParagraph"/>
        <w:numPr>
          <w:ilvl w:val="0"/>
          <w:numId w:val="19"/>
        </w:numPr>
        <w:spacing w:line="360" w:lineRule="auto"/>
        <w:jc w:val="both"/>
        <w:rPr>
          <w:rFonts w:ascii="Times New Roman" w:hAnsi="Times New Roman"/>
          <w:noProof/>
          <w:sz w:val="24"/>
        </w:rPr>
      </w:pPr>
      <w:r>
        <w:rPr>
          <w:rFonts w:ascii="Times New Roman" w:hAnsi="Times New Roman"/>
          <w:noProof/>
          <w:sz w:val="24"/>
        </w:rPr>
        <w:t xml:space="preserve">Higher cost effectiveness could be achieved by putting more emphasis </w:t>
      </w:r>
      <w:r>
        <w:rPr>
          <w:rFonts w:ascii="Times New Roman" w:hAnsi="Times New Roman"/>
          <w:noProof/>
          <w:sz w:val="24"/>
        </w:rPr>
        <w:t>on the creation of synergies between projects with similar goals and their consolidation into larger multiannual projects</w:t>
      </w:r>
      <w:r>
        <w:rPr>
          <w:rStyle w:val="FootnoteReference"/>
          <w:rFonts w:ascii="Times New Roman" w:hAnsi="Times New Roman"/>
          <w:noProof/>
          <w:sz w:val="24"/>
        </w:rPr>
        <w:footnoteReference w:id="69"/>
      </w:r>
      <w:r>
        <w:rPr>
          <w:rFonts w:ascii="Times New Roman" w:hAnsi="Times New Roman"/>
          <w:noProof/>
          <w:sz w:val="24"/>
        </w:rPr>
        <w:t xml:space="preserve">. </w:t>
      </w:r>
    </w:p>
    <w:p w:rsidR="00821F17" w:rsidRDefault="006B159E">
      <w:pPr>
        <w:pStyle w:val="ListParagraph"/>
        <w:numPr>
          <w:ilvl w:val="0"/>
          <w:numId w:val="19"/>
        </w:numPr>
        <w:spacing w:line="360" w:lineRule="auto"/>
        <w:jc w:val="both"/>
        <w:rPr>
          <w:rFonts w:ascii="Times New Roman" w:hAnsi="Times New Roman"/>
          <w:noProof/>
          <w:sz w:val="24"/>
        </w:rPr>
      </w:pPr>
      <w:r>
        <w:rPr>
          <w:rFonts w:ascii="Times New Roman" w:hAnsi="Times New Roman"/>
          <w:noProof/>
          <w:sz w:val="24"/>
        </w:rPr>
        <w:t xml:space="preserve">Cost efficiency could be achieved by paying more attention to personnel costs in project budgets (FI). </w:t>
      </w:r>
    </w:p>
    <w:p w:rsidR="00821F17" w:rsidRDefault="006B159E">
      <w:pPr>
        <w:pStyle w:val="ListParagraph"/>
        <w:numPr>
          <w:ilvl w:val="0"/>
          <w:numId w:val="19"/>
        </w:numPr>
        <w:spacing w:line="360" w:lineRule="auto"/>
        <w:jc w:val="both"/>
        <w:rPr>
          <w:rFonts w:ascii="Times New Roman" w:hAnsi="Times New Roman"/>
          <w:noProof/>
          <w:sz w:val="24"/>
        </w:rPr>
      </w:pPr>
      <w:r>
        <w:rPr>
          <w:rFonts w:ascii="Times New Roman" w:hAnsi="Times New Roman"/>
          <w:noProof/>
          <w:sz w:val="24"/>
        </w:rPr>
        <w:t xml:space="preserve">Setting up more precise indicators would improve the calculation of unit costs (SK). </w:t>
      </w:r>
    </w:p>
    <w:p w:rsidR="00821F17" w:rsidRDefault="006B159E">
      <w:pPr>
        <w:pStyle w:val="ListParagraph"/>
        <w:numPr>
          <w:ilvl w:val="0"/>
          <w:numId w:val="19"/>
        </w:numPr>
        <w:spacing w:line="360" w:lineRule="auto"/>
        <w:jc w:val="both"/>
        <w:rPr>
          <w:rFonts w:ascii="Times New Roman" w:hAnsi="Times New Roman"/>
          <w:noProof/>
          <w:sz w:val="24"/>
        </w:rPr>
      </w:pPr>
      <w:r>
        <w:rPr>
          <w:rFonts w:ascii="Times New Roman" w:hAnsi="Times New Roman"/>
          <w:noProof/>
          <w:sz w:val="24"/>
        </w:rPr>
        <w:t>Standard unit costs and ceiling amounts should be introduced at European level (IT).</w:t>
      </w:r>
    </w:p>
    <w:p w:rsidR="00821F17" w:rsidRDefault="006B159E">
      <w:pPr>
        <w:spacing w:line="360" w:lineRule="auto"/>
        <w:jc w:val="both"/>
        <w:rPr>
          <w:rFonts w:ascii="Times New Roman" w:eastAsia="Times New Roman" w:hAnsi="Times New Roman" w:cs="Times New Roman"/>
          <w:noProof/>
          <w:sz w:val="24"/>
          <w:szCs w:val="24"/>
        </w:rPr>
      </w:pPr>
      <w:r>
        <w:rPr>
          <w:rFonts w:ascii="Times New Roman" w:hAnsi="Times New Roman"/>
          <w:noProof/>
          <w:sz w:val="24"/>
        </w:rPr>
        <w:t xml:space="preserve">On the implementation of projects supported by the Community Actions, </w:t>
      </w:r>
      <w:r>
        <w:rPr>
          <w:rFonts w:ascii="Times New Roman" w:eastAsia="Times New Roman" w:hAnsi="Times New Roman" w:cs="Times New Roman"/>
          <w:noProof/>
          <w:sz w:val="24"/>
          <w:szCs w:val="24"/>
        </w:rPr>
        <w:t xml:space="preserve">more than half </w:t>
      </w:r>
      <w:r>
        <w:rPr>
          <w:rFonts w:ascii="Times New Roman" w:eastAsia="Times New Roman" w:hAnsi="Times New Roman" w:cs="Times New Roman"/>
          <w:noProof/>
          <w:sz w:val="24"/>
          <w:szCs w:val="24"/>
        </w:rPr>
        <w:t>of the respondents found that administrative requirements related to project implementation were reasonable to a great or to a certain extent (59%, 20 out of 34 responses). Project managers stated that they understood the need for administrative procedures</w:t>
      </w:r>
      <w:r>
        <w:rPr>
          <w:rFonts w:ascii="Times New Roman" w:eastAsia="Times New Roman" w:hAnsi="Times New Roman" w:cs="Times New Roman"/>
          <w:noProof/>
          <w:sz w:val="24"/>
          <w:szCs w:val="24"/>
        </w:rPr>
        <w:t xml:space="preserve"> to ensure that the funds granted were spent as intended. Projects run by large organisations with previous experience in the use of EU funds managed to absorb more funds and did not find the administrative procedures as burdensome. However, an issue was r</w:t>
      </w:r>
      <w:r>
        <w:rPr>
          <w:rFonts w:ascii="Times New Roman" w:eastAsia="Times New Roman" w:hAnsi="Times New Roman" w:cs="Times New Roman"/>
          <w:noProof/>
          <w:sz w:val="24"/>
          <w:szCs w:val="24"/>
        </w:rPr>
        <w:t>aised on the time taken by the Commission to approve requests for changes in project plans: for instance, changes in smaller deliverables such as the planning of seminars will be obsolete if the answer is not received quickly. Some interviewees said that i</w:t>
      </w:r>
      <w:r>
        <w:rPr>
          <w:rFonts w:ascii="Times New Roman" w:eastAsia="Times New Roman" w:hAnsi="Times New Roman" w:cs="Times New Roman"/>
          <w:noProof/>
          <w:sz w:val="24"/>
          <w:szCs w:val="24"/>
        </w:rPr>
        <w:t xml:space="preserve">n their experience the Commission took up to two months to provide answers, which made the feedback of little or no use in some cases. </w:t>
      </w:r>
    </w:p>
    <w:p w:rsidR="00821F17" w:rsidRDefault="006B159E">
      <w:pPr>
        <w:pStyle w:val="Heading2"/>
        <w:numPr>
          <w:ilvl w:val="1"/>
          <w:numId w:val="6"/>
        </w:numPr>
        <w:spacing w:line="360" w:lineRule="auto"/>
        <w:rPr>
          <w:noProof/>
        </w:rPr>
      </w:pPr>
      <w:bookmarkStart w:id="24" w:name="_Toc501546854"/>
      <w:r>
        <w:rPr>
          <w:noProof/>
        </w:rPr>
        <w:t>Sustainability</w:t>
      </w:r>
      <w:bookmarkEnd w:id="24"/>
    </w:p>
    <w:p w:rsidR="00821F17" w:rsidRDefault="006B159E">
      <w:pPr>
        <w:pStyle w:val="NormalIndent"/>
        <w:pBdr>
          <w:top w:val="single" w:sz="4" w:space="1" w:color="auto"/>
          <w:left w:val="single" w:sz="4" w:space="4" w:color="auto"/>
          <w:bottom w:val="single" w:sz="4" w:space="1" w:color="auto"/>
          <w:right w:val="single" w:sz="4" w:space="4" w:color="auto"/>
        </w:pBdr>
        <w:spacing w:after="0" w:line="360" w:lineRule="auto"/>
        <w:ind w:left="0"/>
        <w:rPr>
          <w:rFonts w:ascii="Times New Roman" w:hAnsi="Times New Roman" w:cs="Times New Roman"/>
          <w:i/>
          <w:iCs/>
          <w:noProof/>
          <w:sz w:val="24"/>
          <w:szCs w:val="24"/>
          <w:lang w:val="en-GB"/>
        </w:rPr>
      </w:pPr>
      <w:r>
        <w:rPr>
          <w:rFonts w:ascii="Times New Roman" w:hAnsi="Times New Roman" w:cs="Times New Roman"/>
          <w:b/>
          <w:iCs/>
          <w:noProof/>
          <w:sz w:val="24"/>
          <w:szCs w:val="24"/>
          <w:lang w:val="en-GB"/>
        </w:rPr>
        <w:t xml:space="preserve">EQ12: </w:t>
      </w:r>
      <w:r>
        <w:rPr>
          <w:rFonts w:ascii="Times New Roman" w:hAnsi="Times New Roman" w:cs="Times New Roman"/>
          <w:i/>
          <w:iCs/>
          <w:noProof/>
          <w:sz w:val="24"/>
          <w:szCs w:val="24"/>
          <w:lang w:val="en-GB"/>
        </w:rPr>
        <w:t>To what extent have the positive effects of the EIF 2011-2013 actions lasted after the intervention</w:t>
      </w:r>
      <w:r>
        <w:rPr>
          <w:rFonts w:ascii="Times New Roman" w:hAnsi="Times New Roman" w:cs="Times New Roman"/>
          <w:i/>
          <w:iCs/>
          <w:noProof/>
          <w:sz w:val="24"/>
          <w:szCs w:val="24"/>
          <w:lang w:val="en-GB"/>
        </w:rPr>
        <w:t>s were terminated?</w:t>
      </w:r>
    </w:p>
    <w:p w:rsidR="00821F17" w:rsidRDefault="00821F17">
      <w:pPr>
        <w:pStyle w:val="NormalIndent"/>
        <w:pBdr>
          <w:top w:val="single" w:sz="4" w:space="1" w:color="auto"/>
          <w:left w:val="single" w:sz="4" w:space="4" w:color="auto"/>
          <w:bottom w:val="single" w:sz="4" w:space="1" w:color="auto"/>
          <w:right w:val="single" w:sz="4" w:space="4" w:color="auto"/>
        </w:pBdr>
        <w:spacing w:after="0" w:line="360" w:lineRule="auto"/>
        <w:ind w:left="0"/>
        <w:rPr>
          <w:rFonts w:ascii="Times New Roman" w:hAnsi="Times New Roman" w:cs="Times New Roman"/>
          <w:b/>
          <w:iCs/>
          <w:noProof/>
          <w:sz w:val="24"/>
          <w:szCs w:val="24"/>
          <w:lang w:val="en-GB"/>
        </w:rPr>
      </w:pPr>
    </w:p>
    <w:p w:rsidR="00821F17" w:rsidRDefault="006B159E">
      <w:pPr>
        <w:pStyle w:val="NormalIndent"/>
        <w:pBdr>
          <w:top w:val="single" w:sz="4" w:space="1" w:color="auto"/>
          <w:left w:val="single" w:sz="4" w:space="4" w:color="auto"/>
          <w:bottom w:val="single" w:sz="4" w:space="1" w:color="auto"/>
          <w:right w:val="single" w:sz="4" w:space="4" w:color="auto"/>
        </w:pBdr>
        <w:spacing w:after="0" w:line="360" w:lineRule="auto"/>
        <w:ind w:left="0"/>
        <w:rPr>
          <w:rFonts w:ascii="Times New Roman" w:hAnsi="Times New Roman" w:cs="Times New Roman"/>
          <w:iCs/>
          <w:noProof/>
          <w:sz w:val="24"/>
          <w:szCs w:val="24"/>
          <w:lang w:val="en-GB"/>
        </w:rPr>
      </w:pPr>
      <w:r>
        <w:rPr>
          <w:rFonts w:ascii="Times New Roman" w:hAnsi="Times New Roman" w:cs="Times New Roman"/>
          <w:b/>
          <w:iCs/>
          <w:noProof/>
          <w:sz w:val="24"/>
          <w:szCs w:val="24"/>
          <w:lang w:val="en-GB"/>
        </w:rPr>
        <w:t xml:space="preserve">Main conclusion: </w:t>
      </w:r>
      <w:r>
        <w:rPr>
          <w:rFonts w:ascii="Times New Roman" w:hAnsi="Times New Roman" w:cs="Times New Roman"/>
          <w:iCs/>
          <w:noProof/>
          <w:sz w:val="24"/>
          <w:szCs w:val="24"/>
          <w:lang w:val="en-GB"/>
        </w:rPr>
        <w:t>Although</w:t>
      </w:r>
      <w:r>
        <w:rPr>
          <w:rFonts w:ascii="Times New Roman" w:hAnsi="Times New Roman" w:cs="Times New Roman"/>
          <w:b/>
          <w:iCs/>
          <w:noProof/>
          <w:sz w:val="24"/>
          <w:szCs w:val="24"/>
          <w:lang w:val="en-GB"/>
        </w:rPr>
        <w:t xml:space="preserve"> </w:t>
      </w:r>
      <w:r>
        <w:rPr>
          <w:rFonts w:ascii="Times New Roman" w:hAnsi="Times New Roman" w:cs="Times New Roman"/>
          <w:iCs/>
          <w:noProof/>
          <w:sz w:val="24"/>
          <w:szCs w:val="24"/>
          <w:lang w:val="en-GB"/>
        </w:rPr>
        <w:t xml:space="preserve">the positive effects of the EIF 2011-2013 actions lasted to a moderate degree after EIF funding for National Actions and Community Actions terminated, those effects were important, as tools and methodologies </w:t>
      </w:r>
      <w:r>
        <w:rPr>
          <w:rFonts w:ascii="Times New Roman" w:hAnsi="Times New Roman" w:cs="Times New Roman"/>
          <w:iCs/>
          <w:noProof/>
          <w:sz w:val="24"/>
          <w:szCs w:val="24"/>
          <w:lang w:val="en-GB"/>
        </w:rPr>
        <w:t>developed with EIF support remained available for use also in the framework of other initiatives. The evaluation showed that only a few projects targeting the delivery of services to TCNs were successful in seeking alternative funds once the support throug</w:t>
      </w:r>
      <w:r>
        <w:rPr>
          <w:rFonts w:ascii="Times New Roman" w:hAnsi="Times New Roman" w:cs="Times New Roman"/>
          <w:iCs/>
          <w:noProof/>
          <w:sz w:val="24"/>
          <w:szCs w:val="24"/>
          <w:lang w:val="en-GB"/>
        </w:rPr>
        <w:t>h EIF ceased. However, some of them could continue under the successor fund (AMIF).</w:t>
      </w:r>
    </w:p>
    <w:p w:rsidR="00821F17" w:rsidRDefault="00821F17">
      <w:pPr>
        <w:pStyle w:val="bullet"/>
        <w:numPr>
          <w:ilvl w:val="0"/>
          <w:numId w:val="0"/>
        </w:numPr>
        <w:spacing w:line="360" w:lineRule="auto"/>
        <w:rPr>
          <w:rFonts w:ascii="Times New Roman" w:hAnsi="Times New Roman"/>
          <w:noProof/>
          <w:sz w:val="24"/>
          <w:szCs w:val="24"/>
        </w:rPr>
      </w:pPr>
    </w:p>
    <w:p w:rsidR="00821F17" w:rsidRDefault="006B159E">
      <w:pPr>
        <w:pStyle w:val="bullet"/>
        <w:numPr>
          <w:ilvl w:val="0"/>
          <w:numId w:val="0"/>
        </w:numPr>
        <w:spacing w:line="360" w:lineRule="auto"/>
        <w:rPr>
          <w:rFonts w:ascii="Times New Roman" w:hAnsi="Times New Roman"/>
          <w:noProof/>
          <w:sz w:val="24"/>
          <w:szCs w:val="24"/>
        </w:rPr>
      </w:pPr>
      <w:r>
        <w:rPr>
          <w:rFonts w:ascii="Times New Roman" w:hAnsi="Times New Roman"/>
          <w:noProof/>
          <w:sz w:val="24"/>
          <w:szCs w:val="24"/>
        </w:rPr>
        <w:t>A significant number of Member States</w:t>
      </w:r>
      <w:r>
        <w:rPr>
          <w:rStyle w:val="FootnoteReference"/>
          <w:rFonts w:ascii="Times New Roman" w:hAnsi="Times New Roman"/>
          <w:noProof/>
          <w:sz w:val="24"/>
          <w:szCs w:val="24"/>
        </w:rPr>
        <w:footnoteReference w:id="70"/>
      </w:r>
      <w:r>
        <w:rPr>
          <w:rFonts w:ascii="Times New Roman" w:hAnsi="Times New Roman"/>
          <w:noProof/>
          <w:sz w:val="24"/>
          <w:szCs w:val="24"/>
        </w:rPr>
        <w:t xml:space="preserve"> reported that the effects of the 2011-2013 EIF actions lasted to a great extent after funding ended, whilst for some</w:t>
      </w:r>
      <w:r>
        <w:rPr>
          <w:rStyle w:val="FootnoteReference"/>
          <w:rFonts w:ascii="Times New Roman" w:hAnsi="Times New Roman"/>
          <w:noProof/>
          <w:sz w:val="24"/>
          <w:szCs w:val="24"/>
        </w:rPr>
        <w:footnoteReference w:id="71"/>
      </w:r>
      <w:r>
        <w:rPr>
          <w:rFonts w:ascii="Times New Roman" w:hAnsi="Times New Roman"/>
          <w:noProof/>
          <w:sz w:val="24"/>
          <w:szCs w:val="24"/>
        </w:rPr>
        <w:t>, the effects w</w:t>
      </w:r>
      <w:r>
        <w:rPr>
          <w:rFonts w:ascii="Times New Roman" w:hAnsi="Times New Roman"/>
          <w:noProof/>
          <w:sz w:val="24"/>
          <w:szCs w:val="24"/>
        </w:rPr>
        <w:t>ere less enduring, with the degree of sustainability varying from one project to another.</w:t>
      </w:r>
    </w:p>
    <w:p w:rsidR="00821F17" w:rsidRDefault="006B159E">
      <w:pPr>
        <w:pStyle w:val="bullet"/>
        <w:numPr>
          <w:ilvl w:val="0"/>
          <w:numId w:val="0"/>
        </w:numPr>
        <w:spacing w:line="360" w:lineRule="auto"/>
        <w:rPr>
          <w:rFonts w:ascii="Times New Roman" w:hAnsi="Times New Roman"/>
          <w:noProof/>
          <w:sz w:val="24"/>
          <w:szCs w:val="24"/>
        </w:rPr>
      </w:pPr>
      <w:r>
        <w:rPr>
          <w:rFonts w:ascii="Times New Roman" w:hAnsi="Times New Roman"/>
          <w:noProof/>
          <w:sz w:val="24"/>
          <w:szCs w:val="24"/>
        </w:rPr>
        <w:t>The most significant factors influencing sustainability were networking and cooperation between authorities and organisations</w:t>
      </w:r>
      <w:r>
        <w:rPr>
          <w:rStyle w:val="FootnoteReference"/>
          <w:rFonts w:ascii="Times New Roman" w:hAnsi="Times New Roman"/>
          <w:noProof/>
          <w:sz w:val="24"/>
          <w:szCs w:val="24"/>
        </w:rPr>
        <w:footnoteReference w:id="72"/>
      </w:r>
      <w:r>
        <w:rPr>
          <w:rFonts w:ascii="Times New Roman" w:hAnsi="Times New Roman"/>
          <w:noProof/>
          <w:sz w:val="24"/>
          <w:szCs w:val="24"/>
        </w:rPr>
        <w:t>. When these actions were missing, the c</w:t>
      </w:r>
      <w:r>
        <w:rPr>
          <w:rFonts w:ascii="Times New Roman" w:hAnsi="Times New Roman"/>
          <w:noProof/>
          <w:sz w:val="24"/>
          <w:szCs w:val="24"/>
        </w:rPr>
        <w:t>apacity of other actions to have a lasting impact remained limited. Furthermore, the nature of activities/projects implemented was also found to have contributed significantly to ensuring sustainability, for example language courses had an important impact</w:t>
      </w:r>
      <w:r>
        <w:rPr>
          <w:rFonts w:ascii="Times New Roman" w:hAnsi="Times New Roman"/>
          <w:noProof/>
          <w:sz w:val="24"/>
          <w:szCs w:val="24"/>
        </w:rPr>
        <w:t xml:space="preserve"> on integration</w:t>
      </w:r>
      <w:r>
        <w:rPr>
          <w:rStyle w:val="FootnoteReference"/>
          <w:rFonts w:ascii="Times New Roman" w:hAnsi="Times New Roman"/>
          <w:noProof/>
          <w:sz w:val="24"/>
          <w:szCs w:val="24"/>
        </w:rPr>
        <w:footnoteReference w:id="73"/>
      </w:r>
      <w:r>
        <w:rPr>
          <w:rFonts w:ascii="Times New Roman" w:hAnsi="Times New Roman"/>
          <w:noProof/>
          <w:sz w:val="24"/>
          <w:szCs w:val="24"/>
        </w:rPr>
        <w:t>.</w:t>
      </w:r>
    </w:p>
    <w:p w:rsidR="00821F17" w:rsidRDefault="006B159E">
      <w:pPr>
        <w:pStyle w:val="bullet"/>
        <w:numPr>
          <w:ilvl w:val="0"/>
          <w:numId w:val="0"/>
        </w:numPr>
        <w:spacing w:line="360" w:lineRule="auto"/>
        <w:rPr>
          <w:rFonts w:ascii="Times New Roman" w:hAnsi="Times New Roman"/>
          <w:noProof/>
          <w:sz w:val="24"/>
          <w:szCs w:val="24"/>
        </w:rPr>
      </w:pPr>
      <w:r>
        <w:rPr>
          <w:rFonts w:ascii="Times New Roman" w:hAnsi="Times New Roman"/>
          <w:noProof/>
          <w:sz w:val="24"/>
          <w:szCs w:val="24"/>
        </w:rPr>
        <w:t>Factors impacting negatively on the sustainability included long pre-financing periods</w:t>
      </w:r>
      <w:r>
        <w:rPr>
          <w:rStyle w:val="FootnoteReference"/>
          <w:rFonts w:ascii="Times New Roman" w:hAnsi="Times New Roman"/>
          <w:noProof/>
          <w:sz w:val="24"/>
          <w:szCs w:val="24"/>
        </w:rPr>
        <w:footnoteReference w:id="74"/>
      </w:r>
      <w:r>
        <w:rPr>
          <w:rFonts w:ascii="Times New Roman" w:hAnsi="Times New Roman"/>
          <w:noProof/>
          <w:sz w:val="24"/>
          <w:szCs w:val="24"/>
        </w:rPr>
        <w:t>, the limited political commitment and support at national level</w:t>
      </w:r>
      <w:r>
        <w:rPr>
          <w:rStyle w:val="FootnoteReference"/>
          <w:rFonts w:ascii="Times New Roman" w:hAnsi="Times New Roman"/>
          <w:noProof/>
          <w:sz w:val="24"/>
          <w:szCs w:val="24"/>
        </w:rPr>
        <w:footnoteReference w:id="75"/>
      </w:r>
      <w:r>
        <w:rPr>
          <w:rFonts w:ascii="Times New Roman" w:hAnsi="Times New Roman"/>
          <w:noProof/>
          <w:sz w:val="24"/>
          <w:szCs w:val="24"/>
        </w:rPr>
        <w:t xml:space="preserve"> to continue activities previously financed by EIF, limited amount of financial resour</w:t>
      </w:r>
      <w:r>
        <w:rPr>
          <w:rFonts w:ascii="Times New Roman" w:hAnsi="Times New Roman"/>
          <w:noProof/>
          <w:sz w:val="24"/>
          <w:szCs w:val="24"/>
        </w:rPr>
        <w:t>ces to complement EIF</w:t>
      </w:r>
      <w:r>
        <w:rPr>
          <w:rStyle w:val="FootnoteReference"/>
          <w:rFonts w:ascii="Times New Roman" w:hAnsi="Times New Roman"/>
          <w:noProof/>
          <w:sz w:val="24"/>
          <w:szCs w:val="24"/>
        </w:rPr>
        <w:footnoteReference w:id="76"/>
      </w:r>
      <w:r>
        <w:rPr>
          <w:rFonts w:ascii="Times New Roman" w:hAnsi="Times New Roman"/>
          <w:noProof/>
          <w:sz w:val="24"/>
          <w:szCs w:val="24"/>
        </w:rPr>
        <w:t>, and the lack of project monitoring</w:t>
      </w:r>
      <w:r>
        <w:rPr>
          <w:rStyle w:val="FootnoteReference"/>
          <w:rFonts w:ascii="Times New Roman" w:hAnsi="Times New Roman"/>
          <w:noProof/>
          <w:sz w:val="24"/>
          <w:szCs w:val="24"/>
        </w:rPr>
        <w:footnoteReference w:id="77"/>
      </w:r>
      <w:r>
        <w:rPr>
          <w:rFonts w:ascii="Times New Roman" w:hAnsi="Times New Roman"/>
          <w:noProof/>
          <w:sz w:val="24"/>
          <w:szCs w:val="24"/>
        </w:rPr>
        <w:t xml:space="preserve">. </w:t>
      </w:r>
    </w:p>
    <w:p w:rsidR="00821F17" w:rsidRDefault="006B159E">
      <w:pPr>
        <w:pStyle w:val="bullet"/>
        <w:numPr>
          <w:ilvl w:val="0"/>
          <w:numId w:val="0"/>
        </w:numPr>
        <w:spacing w:line="360" w:lineRule="auto"/>
        <w:rPr>
          <w:rFonts w:ascii="Times New Roman" w:hAnsi="Times New Roman"/>
          <w:noProof/>
          <w:sz w:val="24"/>
          <w:szCs w:val="24"/>
        </w:rPr>
      </w:pPr>
      <w:r>
        <w:rPr>
          <w:rFonts w:ascii="Times New Roman" w:hAnsi="Times New Roman"/>
          <w:noProof/>
          <w:sz w:val="24"/>
          <w:szCs w:val="24"/>
        </w:rPr>
        <w:t>Concrete examples of sustainable actions and outputs of the EIF were the development of training materials and products which continued to benefit TCNs even after the intervention ended</w:t>
      </w:r>
      <w:r>
        <w:rPr>
          <w:rStyle w:val="FootnoteReference"/>
          <w:rFonts w:ascii="Times New Roman" w:hAnsi="Times New Roman"/>
          <w:noProof/>
          <w:sz w:val="24"/>
          <w:szCs w:val="24"/>
        </w:rPr>
        <w:footnoteReference w:id="78"/>
      </w:r>
      <w:r>
        <w:rPr>
          <w:rFonts w:ascii="Times New Roman" w:hAnsi="Times New Roman"/>
          <w:noProof/>
          <w:sz w:val="24"/>
          <w:szCs w:val="24"/>
        </w:rPr>
        <w:t xml:space="preserve"> and</w:t>
      </w:r>
      <w:r>
        <w:rPr>
          <w:rFonts w:ascii="Times New Roman" w:eastAsiaTheme="minorHAnsi" w:hAnsi="Times New Roman" w:cstheme="minorBidi"/>
          <w:noProof/>
          <w:sz w:val="24"/>
          <w:szCs w:val="24"/>
          <w:lang w:eastAsia="en-US"/>
        </w:rPr>
        <w:t xml:space="preserve"> </w:t>
      </w:r>
      <w:r>
        <w:rPr>
          <w:rFonts w:ascii="Times New Roman" w:hAnsi="Times New Roman"/>
          <w:noProof/>
          <w:sz w:val="24"/>
          <w:szCs w:val="24"/>
        </w:rPr>
        <w:t>ele</w:t>
      </w:r>
      <w:r>
        <w:rPr>
          <w:rFonts w:ascii="Times New Roman" w:hAnsi="Times New Roman"/>
          <w:noProof/>
          <w:sz w:val="24"/>
          <w:szCs w:val="24"/>
        </w:rPr>
        <w:t>ctronic platforms developed in the framework of EIF projects</w:t>
      </w:r>
      <w:r>
        <w:rPr>
          <w:rStyle w:val="FootnoteReference"/>
          <w:rFonts w:ascii="Times New Roman" w:hAnsi="Times New Roman"/>
          <w:noProof/>
          <w:sz w:val="24"/>
          <w:szCs w:val="24"/>
        </w:rPr>
        <w:footnoteReference w:id="79"/>
      </w:r>
      <w:r>
        <w:rPr>
          <w:rFonts w:ascii="Times New Roman" w:hAnsi="Times New Roman"/>
          <w:noProof/>
          <w:sz w:val="24"/>
          <w:szCs w:val="24"/>
        </w:rPr>
        <w:t>.</w:t>
      </w:r>
    </w:p>
    <w:p w:rsidR="00821F17" w:rsidRDefault="006B159E">
      <w:pPr>
        <w:pStyle w:val="bullet"/>
        <w:numPr>
          <w:ilvl w:val="0"/>
          <w:numId w:val="0"/>
        </w:numPr>
        <w:spacing w:line="360" w:lineRule="auto"/>
        <w:rPr>
          <w:rFonts w:ascii="Times New Roman" w:hAnsi="Times New Roman"/>
          <w:noProof/>
          <w:sz w:val="24"/>
          <w:szCs w:val="24"/>
        </w:rPr>
      </w:pPr>
      <w:r>
        <w:rPr>
          <w:rFonts w:ascii="Times New Roman" w:hAnsi="Times New Roman"/>
          <w:noProof/>
          <w:sz w:val="24"/>
          <w:szCs w:val="24"/>
        </w:rPr>
        <w:t>A majority of projects under the Community Actions created positive effects which lasted, although many were reduced in scope after the end of EIF's financial support.</w:t>
      </w:r>
    </w:p>
    <w:p w:rsidR="00821F17" w:rsidRDefault="006B159E">
      <w:pPr>
        <w:pStyle w:val="bullet"/>
        <w:numPr>
          <w:ilvl w:val="0"/>
          <w:numId w:val="0"/>
        </w:numPr>
        <w:spacing w:line="360" w:lineRule="auto"/>
        <w:rPr>
          <w:rFonts w:ascii="Times New Roman" w:hAnsi="Times New Roman"/>
          <w:noProof/>
          <w:sz w:val="24"/>
          <w:szCs w:val="24"/>
        </w:rPr>
      </w:pPr>
      <w:r>
        <w:rPr>
          <w:rFonts w:ascii="Times New Roman" w:hAnsi="Times New Roman"/>
          <w:noProof/>
          <w:sz w:val="24"/>
          <w:szCs w:val="24"/>
        </w:rPr>
        <w:t xml:space="preserve">Long-lasting effects </w:t>
      </w:r>
      <w:r>
        <w:rPr>
          <w:rFonts w:ascii="Times New Roman" w:hAnsi="Times New Roman"/>
          <w:noProof/>
          <w:sz w:val="24"/>
          <w:szCs w:val="24"/>
        </w:rPr>
        <w:t>include the use of monitoring and evaluation methods developed with EIF support, and the continued activity of networks developed under the EIF. The evaluation found that research projects, however, did not seem to generate sustainable effects, there being</w:t>
      </w:r>
      <w:r>
        <w:rPr>
          <w:rFonts w:ascii="Times New Roman" w:hAnsi="Times New Roman"/>
          <w:noProof/>
          <w:sz w:val="24"/>
          <w:szCs w:val="24"/>
        </w:rPr>
        <w:t xml:space="preserve"> an apparent lack of political will to make use of the results.</w:t>
      </w:r>
    </w:p>
    <w:p w:rsidR="00821F17" w:rsidRDefault="006B159E">
      <w:pPr>
        <w:pStyle w:val="bullet"/>
        <w:numPr>
          <w:ilvl w:val="0"/>
          <w:numId w:val="0"/>
        </w:numPr>
        <w:spacing w:line="360" w:lineRule="auto"/>
        <w:rPr>
          <w:rFonts w:ascii="Times New Roman" w:hAnsi="Times New Roman"/>
          <w:noProof/>
          <w:sz w:val="24"/>
          <w:szCs w:val="24"/>
        </w:rPr>
      </w:pPr>
      <w:r>
        <w:rPr>
          <w:rFonts w:ascii="Times New Roman" w:hAnsi="Times New Roman"/>
          <w:noProof/>
          <w:sz w:val="24"/>
          <w:szCs w:val="24"/>
        </w:rPr>
        <w:t xml:space="preserve">Project managers suggested that the sustainability of projects could be improved by adopting a systematic approach to the dissemination of research results within and by the Commission and by </w:t>
      </w:r>
      <w:r>
        <w:rPr>
          <w:rFonts w:ascii="Times New Roman" w:hAnsi="Times New Roman"/>
          <w:noProof/>
          <w:sz w:val="24"/>
          <w:szCs w:val="24"/>
        </w:rPr>
        <w:t xml:space="preserve">adopting longer funding periods. This could allow needs assessments to take place at the beginning of projects, along with better follow-up and evaluation of activities after project implementation. </w:t>
      </w:r>
    </w:p>
    <w:p w:rsidR="00821F17" w:rsidRDefault="006B159E">
      <w:pPr>
        <w:pStyle w:val="bullet"/>
        <w:numPr>
          <w:ilvl w:val="0"/>
          <w:numId w:val="0"/>
        </w:numPr>
        <w:spacing w:line="360" w:lineRule="auto"/>
        <w:rPr>
          <w:rFonts w:ascii="Times New Roman" w:hAnsi="Times New Roman"/>
          <w:noProof/>
          <w:sz w:val="24"/>
          <w:szCs w:val="24"/>
        </w:rPr>
      </w:pPr>
      <w:r>
        <w:rPr>
          <w:rFonts w:ascii="Times New Roman" w:hAnsi="Times New Roman"/>
          <w:noProof/>
          <w:sz w:val="24"/>
          <w:szCs w:val="24"/>
        </w:rPr>
        <w:t>The lack of a systematic approach to ensuring sustainabi</w:t>
      </w:r>
      <w:r>
        <w:rPr>
          <w:rFonts w:ascii="Times New Roman" w:hAnsi="Times New Roman"/>
          <w:noProof/>
          <w:sz w:val="24"/>
          <w:szCs w:val="24"/>
        </w:rPr>
        <w:t xml:space="preserve">lity has been addressed under AMIF, where sustainability has been included in the criteria for the evaluation of project proposals leading to the award decision. </w:t>
      </w:r>
    </w:p>
    <w:p w:rsidR="00821F17" w:rsidRDefault="006B159E">
      <w:pPr>
        <w:rPr>
          <w:rFonts w:ascii="Times New Roman" w:eastAsia="Times New Roman" w:hAnsi="Times New Roman" w:cs="Times New Roman"/>
          <w:noProof/>
          <w:sz w:val="24"/>
          <w:szCs w:val="24"/>
          <w:lang w:eastAsia="de-DE"/>
        </w:rPr>
      </w:pPr>
      <w:r>
        <w:rPr>
          <w:rFonts w:ascii="Times New Roman" w:hAnsi="Times New Roman"/>
          <w:noProof/>
          <w:sz w:val="24"/>
          <w:szCs w:val="24"/>
        </w:rPr>
        <w:br w:type="page"/>
      </w:r>
    </w:p>
    <w:p w:rsidR="00821F17" w:rsidRDefault="006B159E">
      <w:pPr>
        <w:pStyle w:val="Heading2"/>
        <w:numPr>
          <w:ilvl w:val="1"/>
          <w:numId w:val="6"/>
        </w:numPr>
        <w:spacing w:line="360" w:lineRule="auto"/>
        <w:rPr>
          <w:noProof/>
        </w:rPr>
      </w:pPr>
      <w:bookmarkStart w:id="25" w:name="_Toc501546855"/>
      <w:r>
        <w:rPr>
          <w:noProof/>
        </w:rPr>
        <w:t>Complementarity and Coherence</w:t>
      </w:r>
      <w:bookmarkEnd w:id="25"/>
    </w:p>
    <w:p w:rsidR="00821F17" w:rsidRDefault="006B159E">
      <w:pPr>
        <w:pStyle w:val="NormalIndent"/>
        <w:pBdr>
          <w:top w:val="single" w:sz="4" w:space="1" w:color="auto"/>
          <w:left w:val="single" w:sz="4" w:space="4" w:color="auto"/>
          <w:bottom w:val="single" w:sz="4" w:space="1" w:color="auto"/>
          <w:right w:val="single" w:sz="4" w:space="4" w:color="auto"/>
        </w:pBdr>
        <w:spacing w:after="0" w:line="360" w:lineRule="auto"/>
        <w:ind w:left="0"/>
        <w:rPr>
          <w:rFonts w:ascii="Times New Roman" w:hAnsi="Times New Roman" w:cs="Times New Roman"/>
          <w:i/>
          <w:iCs/>
          <w:noProof/>
          <w:sz w:val="24"/>
          <w:szCs w:val="24"/>
          <w:lang w:val="en-GB"/>
        </w:rPr>
      </w:pPr>
      <w:r>
        <w:rPr>
          <w:rFonts w:ascii="Times New Roman" w:hAnsi="Times New Roman" w:cs="Times New Roman"/>
          <w:b/>
          <w:iCs/>
          <w:noProof/>
          <w:sz w:val="24"/>
          <w:szCs w:val="24"/>
          <w:lang w:val="en-GB"/>
        </w:rPr>
        <w:t xml:space="preserve">EQ15: </w:t>
      </w:r>
      <w:r>
        <w:rPr>
          <w:rFonts w:ascii="Times New Roman" w:hAnsi="Times New Roman" w:cs="Times New Roman"/>
          <w:i/>
          <w:iCs/>
          <w:noProof/>
          <w:sz w:val="24"/>
          <w:szCs w:val="24"/>
          <w:lang w:val="en-GB"/>
        </w:rPr>
        <w:t xml:space="preserve">To what extent were the EIF 2011-2013 actions coherent </w:t>
      </w:r>
      <w:r>
        <w:rPr>
          <w:rFonts w:ascii="Times New Roman" w:hAnsi="Times New Roman" w:cs="Times New Roman"/>
          <w:i/>
          <w:iCs/>
          <w:noProof/>
          <w:sz w:val="24"/>
          <w:szCs w:val="24"/>
          <w:lang w:val="en-GB"/>
        </w:rPr>
        <w:t>with and complementary to other actions related to integration of TCNs, financed by national resources of the Member States and other EU financial instruments?</w:t>
      </w:r>
    </w:p>
    <w:p w:rsidR="00821F17" w:rsidRDefault="00821F17">
      <w:pPr>
        <w:pStyle w:val="NormalIndent"/>
        <w:pBdr>
          <w:top w:val="single" w:sz="4" w:space="1" w:color="auto"/>
          <w:left w:val="single" w:sz="4" w:space="4" w:color="auto"/>
          <w:bottom w:val="single" w:sz="4" w:space="1" w:color="auto"/>
          <w:right w:val="single" w:sz="4" w:space="4" w:color="auto"/>
        </w:pBdr>
        <w:spacing w:after="0" w:line="360" w:lineRule="auto"/>
        <w:ind w:left="0"/>
        <w:rPr>
          <w:rFonts w:ascii="Times New Roman" w:hAnsi="Times New Roman" w:cs="Times New Roman"/>
          <w:i/>
          <w:iCs/>
          <w:noProof/>
          <w:sz w:val="24"/>
          <w:szCs w:val="24"/>
          <w:lang w:val="en-GB"/>
        </w:rPr>
      </w:pPr>
    </w:p>
    <w:p w:rsidR="00821F17" w:rsidRDefault="006B159E">
      <w:pPr>
        <w:pStyle w:val="NormalIndent"/>
        <w:pBdr>
          <w:top w:val="single" w:sz="4" w:space="1" w:color="auto"/>
          <w:left w:val="single" w:sz="4" w:space="4" w:color="auto"/>
          <w:bottom w:val="single" w:sz="4" w:space="1" w:color="auto"/>
          <w:right w:val="single" w:sz="4" w:space="4" w:color="auto"/>
        </w:pBdr>
        <w:spacing w:after="0" w:line="360" w:lineRule="auto"/>
        <w:ind w:left="0"/>
        <w:rPr>
          <w:rFonts w:ascii="Times New Roman" w:hAnsi="Times New Roman" w:cs="Times New Roman"/>
          <w:iCs/>
          <w:noProof/>
          <w:sz w:val="24"/>
          <w:szCs w:val="24"/>
          <w:lang w:val="en-GB"/>
        </w:rPr>
      </w:pPr>
      <w:r>
        <w:rPr>
          <w:rFonts w:ascii="Times New Roman" w:hAnsi="Times New Roman" w:cs="Times New Roman"/>
          <w:b/>
          <w:iCs/>
          <w:noProof/>
          <w:sz w:val="24"/>
          <w:szCs w:val="24"/>
          <w:lang w:val="en-GB"/>
        </w:rPr>
        <w:t xml:space="preserve">Main conclusion: </w:t>
      </w:r>
      <w:r>
        <w:rPr>
          <w:rFonts w:ascii="Times New Roman" w:hAnsi="Times New Roman" w:cs="Times New Roman"/>
          <w:iCs/>
          <w:noProof/>
          <w:sz w:val="24"/>
          <w:szCs w:val="24"/>
          <w:lang w:val="en-GB"/>
        </w:rPr>
        <w:t>Overall,</w:t>
      </w:r>
      <w:r>
        <w:rPr>
          <w:rFonts w:ascii="Times New Roman" w:hAnsi="Times New Roman" w:cs="Times New Roman"/>
          <w:b/>
          <w:iCs/>
          <w:noProof/>
          <w:sz w:val="24"/>
          <w:szCs w:val="24"/>
          <w:lang w:val="en-GB"/>
        </w:rPr>
        <w:t xml:space="preserve"> </w:t>
      </w:r>
      <w:r>
        <w:rPr>
          <w:rFonts w:ascii="Times New Roman" w:hAnsi="Times New Roman" w:cs="Times New Roman"/>
          <w:iCs/>
          <w:noProof/>
          <w:sz w:val="24"/>
          <w:szCs w:val="24"/>
          <w:lang w:val="en-GB"/>
        </w:rPr>
        <w:t>the evaluation did not find evidence of overlaps between the fund and</w:t>
      </w:r>
      <w:r>
        <w:rPr>
          <w:rFonts w:ascii="Times New Roman" w:hAnsi="Times New Roman" w:cs="Times New Roman"/>
          <w:iCs/>
          <w:noProof/>
          <w:sz w:val="24"/>
          <w:szCs w:val="24"/>
          <w:lang w:val="en-GB"/>
        </w:rPr>
        <w:t xml:space="preserve"> other EU funds or with the actions carried-out at national level.</w:t>
      </w:r>
      <w:r>
        <w:rPr>
          <w:rFonts w:ascii="Times New Roman" w:hAnsi="Times New Roman" w:cs="Times New Roman"/>
          <w:b/>
          <w:iCs/>
          <w:noProof/>
          <w:sz w:val="24"/>
          <w:szCs w:val="24"/>
          <w:lang w:val="en-GB"/>
        </w:rPr>
        <w:t xml:space="preserve"> </w:t>
      </w:r>
      <w:r>
        <w:rPr>
          <w:rFonts w:ascii="Times New Roman" w:hAnsi="Times New Roman" w:cs="Times New Roman"/>
          <w:iCs/>
          <w:noProof/>
          <w:sz w:val="24"/>
          <w:szCs w:val="24"/>
          <w:lang w:val="en-GB"/>
        </w:rPr>
        <w:t>Actions implemented under the EIF have been deemed by the stakeholders as coherent with and complementary to other actions related to the integration of TCNs which had been financed uniquel</w:t>
      </w:r>
      <w:r>
        <w:rPr>
          <w:rFonts w:ascii="Times New Roman" w:hAnsi="Times New Roman" w:cs="Times New Roman"/>
          <w:iCs/>
          <w:noProof/>
          <w:sz w:val="24"/>
          <w:szCs w:val="24"/>
          <w:lang w:val="en-GB"/>
        </w:rPr>
        <w:t>y at national level and by other EU financial instruments. However, the approach used to ensure coherence and complementarity between the Community Actions and national and other EU level actions and projects was not systematic.</w:t>
      </w:r>
    </w:p>
    <w:p w:rsidR="00821F17" w:rsidRDefault="00821F17">
      <w:pPr>
        <w:pStyle w:val="NormalIndent"/>
        <w:spacing w:after="0" w:line="360" w:lineRule="auto"/>
        <w:ind w:left="0"/>
        <w:rPr>
          <w:rFonts w:ascii="Times New Roman" w:hAnsi="Times New Roman" w:cs="Times New Roman"/>
          <w:i/>
          <w:noProof/>
          <w:sz w:val="24"/>
          <w:szCs w:val="24"/>
          <w:lang w:val="en-GB"/>
        </w:rPr>
      </w:pPr>
    </w:p>
    <w:p w:rsidR="00821F17" w:rsidRDefault="006B159E">
      <w:pPr>
        <w:pStyle w:val="NormalIndent"/>
        <w:spacing w:after="0" w:line="360" w:lineRule="auto"/>
        <w:ind w:left="0"/>
        <w:rPr>
          <w:rFonts w:ascii="Times New Roman" w:hAnsi="Times New Roman" w:cs="Times New Roman"/>
          <w:i/>
          <w:noProof/>
          <w:sz w:val="24"/>
          <w:szCs w:val="24"/>
          <w:lang w:val="en-GB"/>
        </w:rPr>
      </w:pPr>
      <w:r>
        <w:rPr>
          <w:rFonts w:ascii="Times New Roman" w:hAnsi="Times New Roman" w:cs="Times New Roman"/>
          <w:noProof/>
          <w:sz w:val="24"/>
          <w:szCs w:val="24"/>
          <w:lang w:val="en-GB"/>
        </w:rPr>
        <w:t>The majority of Member Sta</w:t>
      </w:r>
      <w:r>
        <w:rPr>
          <w:rFonts w:ascii="Times New Roman" w:hAnsi="Times New Roman" w:cs="Times New Roman"/>
          <w:noProof/>
          <w:sz w:val="24"/>
          <w:szCs w:val="24"/>
          <w:lang w:val="en-GB"/>
        </w:rPr>
        <w:t>tes</w:t>
      </w:r>
      <w:r>
        <w:rPr>
          <w:rStyle w:val="FootnoteReference"/>
          <w:rFonts w:ascii="Times New Roman" w:hAnsi="Times New Roman" w:cs="Times New Roman"/>
          <w:noProof/>
          <w:sz w:val="24"/>
          <w:szCs w:val="24"/>
          <w:lang w:val="en-GB"/>
        </w:rPr>
        <w:footnoteReference w:id="80"/>
      </w:r>
      <w:r>
        <w:rPr>
          <w:rFonts w:ascii="Times New Roman" w:hAnsi="Times New Roman" w:cs="Times New Roman"/>
          <w:noProof/>
          <w:sz w:val="24"/>
          <w:szCs w:val="24"/>
          <w:lang w:val="en-GB"/>
        </w:rPr>
        <w:t xml:space="preserve"> reported that EIF-funded actions were coherent with and complementary to activities carried out at national level. Some national authorities</w:t>
      </w:r>
      <w:r>
        <w:rPr>
          <w:rStyle w:val="FootnoteReference"/>
          <w:rFonts w:ascii="Times New Roman" w:hAnsi="Times New Roman" w:cs="Times New Roman"/>
          <w:noProof/>
          <w:sz w:val="24"/>
          <w:szCs w:val="24"/>
          <w:lang w:val="en-GB"/>
        </w:rPr>
        <w:footnoteReference w:id="81"/>
      </w:r>
      <w:r>
        <w:rPr>
          <w:rFonts w:ascii="Times New Roman" w:hAnsi="Times New Roman" w:cs="Times New Roman"/>
          <w:noProof/>
          <w:sz w:val="24"/>
          <w:szCs w:val="24"/>
          <w:lang w:val="en-GB"/>
        </w:rPr>
        <w:t xml:space="preserve"> indicating that the EIF was actually one of the few sources of funding targeting the integration of migrants in their countries. </w:t>
      </w:r>
    </w:p>
    <w:p w:rsidR="00821F17" w:rsidRDefault="006B159E">
      <w:pPr>
        <w:pStyle w:val="NormalIndent"/>
        <w:spacing w:after="0" w:line="360" w:lineRule="auto"/>
        <w:ind w:left="0"/>
        <w:rPr>
          <w:rFonts w:ascii="Times New Roman" w:hAnsi="Times New Roman" w:cs="Times New Roman"/>
          <w:noProof/>
          <w:sz w:val="24"/>
          <w:szCs w:val="24"/>
          <w:lang w:val="en-GB"/>
        </w:rPr>
      </w:pPr>
      <w:r>
        <w:rPr>
          <w:rFonts w:ascii="Times New Roman" w:hAnsi="Times New Roman" w:cs="Times New Roman"/>
          <w:noProof/>
          <w:sz w:val="24"/>
          <w:szCs w:val="24"/>
          <w:lang w:val="en-GB"/>
        </w:rPr>
        <w:t>The evaluation found that efforts were undertaken at both national and EU level to mitigate risks of overlaps and to help ens</w:t>
      </w:r>
      <w:r>
        <w:rPr>
          <w:rFonts w:ascii="Times New Roman" w:hAnsi="Times New Roman" w:cs="Times New Roman"/>
          <w:noProof/>
          <w:sz w:val="24"/>
          <w:szCs w:val="24"/>
          <w:lang w:val="en-GB"/>
        </w:rPr>
        <w:t xml:space="preserve">ure coherence and complementarity.   </w:t>
      </w:r>
    </w:p>
    <w:p w:rsidR="00821F17" w:rsidRDefault="006B159E">
      <w:pPr>
        <w:pStyle w:val="NormalIndent"/>
        <w:spacing w:after="0" w:line="360" w:lineRule="auto"/>
        <w:ind w:left="0"/>
        <w:rPr>
          <w:rFonts w:ascii="Times New Roman" w:hAnsi="Times New Roman" w:cs="Times New Roman"/>
          <w:noProof/>
          <w:sz w:val="24"/>
          <w:szCs w:val="24"/>
          <w:lang w:val="en-GB"/>
        </w:rPr>
      </w:pPr>
      <w:r>
        <w:rPr>
          <w:rFonts w:ascii="Times New Roman" w:hAnsi="Times New Roman" w:cs="Times New Roman"/>
          <w:noProof/>
          <w:sz w:val="24"/>
          <w:szCs w:val="24"/>
          <w:lang w:val="en-GB"/>
        </w:rPr>
        <w:t>At EU (Commission) level, complementarity was ensured through coordination and dialogue between DG HOME and the other DGs (such as via inter-service consultation), participation in technical fora, and consultation at n</w:t>
      </w:r>
      <w:r>
        <w:rPr>
          <w:rFonts w:ascii="Times New Roman" w:hAnsi="Times New Roman" w:cs="Times New Roman"/>
          <w:noProof/>
          <w:sz w:val="24"/>
          <w:szCs w:val="24"/>
          <w:lang w:val="en-GB"/>
        </w:rPr>
        <w:t>ational level.</w:t>
      </w:r>
    </w:p>
    <w:p w:rsidR="00821F17" w:rsidRDefault="006B159E">
      <w:pPr>
        <w:pStyle w:val="NormalIndent"/>
        <w:spacing w:after="0" w:line="360" w:lineRule="auto"/>
        <w:ind w:left="0"/>
        <w:rPr>
          <w:rFonts w:ascii="Times New Roman" w:hAnsi="Times New Roman" w:cs="Times New Roman"/>
          <w:noProof/>
          <w:sz w:val="24"/>
          <w:szCs w:val="24"/>
          <w:lang w:val="en-GB"/>
        </w:rPr>
      </w:pPr>
      <w:r>
        <w:rPr>
          <w:rFonts w:ascii="Times New Roman" w:hAnsi="Times New Roman" w:cs="Times New Roman"/>
          <w:noProof/>
          <w:sz w:val="24"/>
          <w:szCs w:val="24"/>
          <w:lang w:val="en-GB"/>
        </w:rPr>
        <w:t>Member States indicated various measures put in place to ensure coherence and complementarity, for instance, coordination and cooperation between the authorities managing different funds</w:t>
      </w:r>
      <w:r>
        <w:rPr>
          <w:rStyle w:val="FootnoteReference"/>
          <w:rFonts w:ascii="Times New Roman" w:hAnsi="Times New Roman" w:cs="Times New Roman"/>
          <w:noProof/>
          <w:sz w:val="24"/>
          <w:szCs w:val="24"/>
          <w:lang w:val="en-GB"/>
        </w:rPr>
        <w:footnoteReference w:id="82"/>
      </w:r>
      <w:r>
        <w:rPr>
          <w:rFonts w:ascii="Times New Roman" w:hAnsi="Times New Roman" w:cs="Times New Roman"/>
          <w:noProof/>
          <w:sz w:val="24"/>
          <w:szCs w:val="24"/>
          <w:lang w:val="en-GB"/>
        </w:rPr>
        <w:t>, and coordination at the central level of different f</w:t>
      </w:r>
      <w:r>
        <w:rPr>
          <w:rFonts w:ascii="Times New Roman" w:hAnsi="Times New Roman" w:cs="Times New Roman"/>
          <w:noProof/>
          <w:sz w:val="24"/>
          <w:szCs w:val="24"/>
          <w:lang w:val="en-GB"/>
        </w:rPr>
        <w:t>unding sources in order to avoid overlap and the risk of double-financing</w:t>
      </w:r>
      <w:r>
        <w:rPr>
          <w:rStyle w:val="FootnoteReference"/>
          <w:rFonts w:ascii="Times New Roman" w:hAnsi="Times New Roman" w:cs="Times New Roman"/>
          <w:noProof/>
          <w:sz w:val="24"/>
          <w:szCs w:val="24"/>
          <w:lang w:val="en-GB"/>
        </w:rPr>
        <w:footnoteReference w:id="83"/>
      </w:r>
      <w:r>
        <w:rPr>
          <w:rFonts w:ascii="Times New Roman" w:hAnsi="Times New Roman" w:cs="Times New Roman"/>
          <w:noProof/>
          <w:sz w:val="24"/>
          <w:szCs w:val="24"/>
          <w:lang w:val="en-GB"/>
        </w:rPr>
        <w:t>.</w:t>
      </w:r>
    </w:p>
    <w:p w:rsidR="00821F17" w:rsidRDefault="006B159E">
      <w:pPr>
        <w:pStyle w:val="NormalIndent"/>
        <w:spacing w:after="0" w:line="360" w:lineRule="auto"/>
        <w:ind w:left="0"/>
        <w:rPr>
          <w:rFonts w:ascii="Times New Roman" w:hAnsi="Times New Roman" w:cs="Times New Roman"/>
          <w:noProof/>
          <w:sz w:val="24"/>
          <w:szCs w:val="24"/>
          <w:lang w:val="en-GB"/>
        </w:rPr>
      </w:pPr>
      <w:r>
        <w:rPr>
          <w:rFonts w:ascii="Times New Roman" w:hAnsi="Times New Roman" w:cs="Times New Roman"/>
          <w:noProof/>
          <w:sz w:val="24"/>
          <w:szCs w:val="24"/>
          <w:lang w:val="en-GB"/>
        </w:rPr>
        <w:t>Nevertheless, the evaluation found that the differences in timelines of the relevant funds brought certain challenges with regards to checking and ensuring complementarity, especia</w:t>
      </w:r>
      <w:r>
        <w:rPr>
          <w:rFonts w:ascii="Times New Roman" w:hAnsi="Times New Roman" w:cs="Times New Roman"/>
          <w:noProof/>
          <w:sz w:val="24"/>
          <w:szCs w:val="24"/>
          <w:lang w:val="en-GB"/>
        </w:rPr>
        <w:t>lly in relation to the programming of the funds. Several Member States</w:t>
      </w:r>
      <w:r>
        <w:rPr>
          <w:rStyle w:val="FootnoteReference"/>
          <w:rFonts w:ascii="Times New Roman" w:hAnsi="Times New Roman" w:cs="Times New Roman"/>
          <w:noProof/>
          <w:sz w:val="24"/>
          <w:szCs w:val="24"/>
          <w:lang w:val="en-GB"/>
        </w:rPr>
        <w:footnoteReference w:id="84"/>
      </w:r>
      <w:r>
        <w:rPr>
          <w:rFonts w:ascii="Times New Roman" w:hAnsi="Times New Roman" w:cs="Times New Roman"/>
          <w:noProof/>
          <w:sz w:val="24"/>
          <w:szCs w:val="24"/>
          <w:lang w:val="en-GB"/>
        </w:rPr>
        <w:t xml:space="preserve"> indicated that the fact that target groups and the focus of existing funding mechanisms were different</w:t>
      </w:r>
      <w:r>
        <w:rPr>
          <w:rFonts w:ascii="Times New Roman" w:eastAsiaTheme="minorHAnsi" w:hAnsi="Times New Roman" w:cs="Times New Roman"/>
          <w:noProof/>
          <w:sz w:val="24"/>
          <w:szCs w:val="24"/>
          <w:lang w:val="en-GB"/>
        </w:rPr>
        <w:t xml:space="preserve"> facilitated </w:t>
      </w:r>
      <w:r>
        <w:rPr>
          <w:rFonts w:ascii="Times New Roman" w:hAnsi="Times New Roman" w:cs="Times New Roman"/>
          <w:noProof/>
          <w:sz w:val="24"/>
          <w:szCs w:val="24"/>
          <w:lang w:val="en-GB"/>
        </w:rPr>
        <w:t>avoiding overlaps.</w:t>
      </w:r>
    </w:p>
    <w:p w:rsidR="00821F17" w:rsidRDefault="006B159E">
      <w:pPr>
        <w:pStyle w:val="NormalIndent"/>
        <w:spacing w:after="0" w:line="360" w:lineRule="auto"/>
        <w:ind w:left="0"/>
        <w:rPr>
          <w:rFonts w:ascii="Times New Roman" w:hAnsi="Times New Roman" w:cs="Times New Roman"/>
          <w:b/>
          <w:noProof/>
          <w:sz w:val="24"/>
          <w:szCs w:val="24"/>
          <w:lang w:val="en-GB"/>
        </w:rPr>
      </w:pPr>
      <w:r>
        <w:rPr>
          <w:rFonts w:ascii="Times New Roman" w:hAnsi="Times New Roman" w:cs="Times New Roman"/>
          <w:noProof/>
          <w:sz w:val="24"/>
          <w:szCs w:val="24"/>
          <w:lang w:val="en-GB"/>
        </w:rPr>
        <w:t>Building synergies between the EIF and other EU in</w:t>
      </w:r>
      <w:r>
        <w:rPr>
          <w:rFonts w:ascii="Times New Roman" w:hAnsi="Times New Roman" w:cs="Times New Roman"/>
          <w:noProof/>
          <w:sz w:val="24"/>
          <w:szCs w:val="24"/>
          <w:lang w:val="en-GB"/>
        </w:rPr>
        <w:t>struments was often side-lined as it was not a legal requirement and beneficiaries were not permitted to combine different sources of EU funding. The EIF provided the basis for integration in the labour market, hence the fund contributed to some extent als</w:t>
      </w:r>
      <w:r>
        <w:rPr>
          <w:rFonts w:ascii="Times New Roman" w:hAnsi="Times New Roman" w:cs="Times New Roman"/>
          <w:noProof/>
          <w:sz w:val="24"/>
          <w:szCs w:val="24"/>
          <w:lang w:val="en-GB"/>
        </w:rPr>
        <w:t>o to the achievement of the objectives of the European Social Fund (ESF). However, while the ESF focused on social inclusion through the integration in the labour market, the EIF's ultimate scope was not necessarily the integration in the labour market. Un</w:t>
      </w:r>
      <w:r>
        <w:rPr>
          <w:rFonts w:ascii="Times New Roman" w:hAnsi="Times New Roman" w:cs="Times New Roman"/>
          <w:noProof/>
          <w:sz w:val="24"/>
          <w:szCs w:val="24"/>
          <w:lang w:val="en-GB"/>
        </w:rPr>
        <w:t>der the successor fund (AMIF) synergies are promoted through meetings with other DGs of the Commission and with the Responsible Authorities of the Member States.</w:t>
      </w:r>
    </w:p>
    <w:p w:rsidR="00821F17" w:rsidRDefault="006B159E">
      <w:pPr>
        <w:pStyle w:val="NormalIndent"/>
        <w:spacing w:after="0" w:line="360" w:lineRule="auto"/>
        <w:ind w:left="0"/>
        <w:rPr>
          <w:rFonts w:ascii="Times New Roman" w:hAnsi="Times New Roman" w:cs="Times New Roman"/>
          <w:noProof/>
          <w:sz w:val="24"/>
          <w:szCs w:val="24"/>
          <w:lang w:val="en-GB"/>
        </w:rPr>
      </w:pPr>
      <w:r>
        <w:rPr>
          <w:rFonts w:ascii="Times New Roman" w:hAnsi="Times New Roman" w:cs="Times New Roman"/>
          <w:noProof/>
          <w:color w:val="000000" w:themeColor="text1"/>
          <w:sz w:val="24"/>
          <w:szCs w:val="24"/>
          <w:lang w:val="en-GB"/>
        </w:rPr>
        <w:t>The general lack of awareness of the Member States' responsible authorities also appears to ha</w:t>
      </w:r>
      <w:r>
        <w:rPr>
          <w:rFonts w:ascii="Times New Roman" w:hAnsi="Times New Roman" w:cs="Times New Roman"/>
          <w:noProof/>
          <w:color w:val="000000" w:themeColor="text1"/>
          <w:sz w:val="24"/>
          <w:szCs w:val="24"/>
          <w:lang w:val="en-GB"/>
        </w:rPr>
        <w:t xml:space="preserve">ve limited the coherence and complementarity. The evaluation study showed that most of the Responsible Authorities interviewed were not aware of the projects supported through Community Actions, and could not estimate the extent to which Community Actions </w:t>
      </w:r>
      <w:r>
        <w:rPr>
          <w:rFonts w:ascii="Times New Roman" w:hAnsi="Times New Roman" w:cs="Times New Roman"/>
          <w:noProof/>
          <w:color w:val="000000" w:themeColor="text1"/>
          <w:sz w:val="24"/>
          <w:szCs w:val="24"/>
          <w:lang w:val="en-GB"/>
        </w:rPr>
        <w:t xml:space="preserve">have complemented national actions. Under the successor fund, the Commission should ensure that </w:t>
      </w:r>
      <w:r>
        <w:rPr>
          <w:rFonts w:ascii="Times New Roman" w:hAnsi="Times New Roman" w:cs="Times New Roman"/>
          <w:noProof/>
          <w:sz w:val="24"/>
          <w:szCs w:val="24"/>
          <w:lang w:val="en-GB"/>
        </w:rPr>
        <w:t xml:space="preserve">Responsible Authorities are regularly informed about the activities implemented under the Community Actions, to avoid overlaps and to enhance complementarities </w:t>
      </w:r>
      <w:r>
        <w:rPr>
          <w:rFonts w:ascii="Times New Roman" w:hAnsi="Times New Roman" w:cs="Times New Roman"/>
          <w:noProof/>
          <w:sz w:val="24"/>
          <w:szCs w:val="24"/>
          <w:lang w:val="en-GB"/>
        </w:rPr>
        <w:t>and synergies.</w:t>
      </w:r>
    </w:p>
    <w:p w:rsidR="00821F17" w:rsidRDefault="006B159E">
      <w:pPr>
        <w:pStyle w:val="NormalIndent"/>
        <w:spacing w:after="0" w:line="360" w:lineRule="auto"/>
        <w:ind w:left="0"/>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Overall, around 56% of the project managers interviewed found that the projects developed were linked to other national actions. The project managers whose projects developed links with national-level activities highlighted the international</w:t>
      </w:r>
      <w:r>
        <w:rPr>
          <w:rFonts w:ascii="Times New Roman" w:hAnsi="Times New Roman" w:cs="Times New Roman"/>
          <w:noProof/>
          <w:color w:val="000000" w:themeColor="text1"/>
          <w:sz w:val="24"/>
          <w:szCs w:val="24"/>
          <w:lang w:val="en-GB"/>
        </w:rPr>
        <w:t xml:space="preserve"> dimension brought by Community Actions. 62% of the project managers reported that there were no overlaps at all. </w:t>
      </w:r>
    </w:p>
    <w:p w:rsidR="00821F17" w:rsidRDefault="006B159E">
      <w:pPr>
        <w:pStyle w:val="NormalIndent"/>
        <w:spacing w:after="0" w:line="360" w:lineRule="auto"/>
        <w:ind w:left="0"/>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majority of the Community Actions analysed in the framework of the evaluation were coherent with and complementary to other projects and </w:t>
      </w:r>
      <w:r>
        <w:rPr>
          <w:rFonts w:ascii="Times New Roman" w:hAnsi="Times New Roman" w:cs="Times New Roman"/>
          <w:noProof/>
          <w:sz w:val="24"/>
          <w:szCs w:val="24"/>
          <w:lang w:val="en-GB"/>
        </w:rPr>
        <w:t>actions at EU level. Links were created, for instance, through the use of the Migrant Integration Policy Index</w:t>
      </w:r>
      <w:r>
        <w:rPr>
          <w:noProof/>
          <w:lang w:val="en-IE"/>
        </w:rPr>
        <w:t xml:space="preserve"> </w:t>
      </w:r>
      <w:r>
        <w:rPr>
          <w:rFonts w:ascii="Times New Roman" w:hAnsi="Times New Roman" w:cs="Times New Roman"/>
          <w:noProof/>
          <w:sz w:val="24"/>
          <w:szCs w:val="24"/>
          <w:lang w:val="en-GB"/>
        </w:rPr>
        <w:t>which measures policies to integrate migrants in all EU Member States as well as some third countries</w:t>
      </w:r>
      <w:r>
        <w:rPr>
          <w:rStyle w:val="CommentReference"/>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 Also, cooperation was organised with othe</w:t>
      </w:r>
      <w:r>
        <w:rPr>
          <w:rFonts w:ascii="Times New Roman" w:hAnsi="Times New Roman" w:cs="Times New Roman"/>
          <w:noProof/>
          <w:sz w:val="24"/>
          <w:szCs w:val="24"/>
          <w:lang w:val="en-GB"/>
        </w:rPr>
        <w:t xml:space="preserve">r Community Actions and projects under the European Social Fund. More than two thirds of respondents pointed out that they developed links with other EU level projects and/or actions. </w:t>
      </w:r>
    </w:p>
    <w:p w:rsidR="00821F17" w:rsidRDefault="006B159E">
      <w:pPr>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rsidR="00821F17" w:rsidRDefault="00821F17">
      <w:pPr>
        <w:pStyle w:val="NormalIndent"/>
        <w:spacing w:after="0" w:line="360" w:lineRule="auto"/>
        <w:rPr>
          <w:rFonts w:ascii="Times New Roman" w:hAnsi="Times New Roman" w:cs="Times New Roman"/>
          <w:noProof/>
          <w:sz w:val="24"/>
          <w:szCs w:val="24"/>
          <w:lang w:val="en-GB"/>
        </w:rPr>
      </w:pPr>
    </w:p>
    <w:p w:rsidR="00821F17" w:rsidRDefault="006B159E">
      <w:pPr>
        <w:pStyle w:val="Heading2"/>
        <w:numPr>
          <w:ilvl w:val="1"/>
          <w:numId w:val="6"/>
        </w:numPr>
        <w:spacing w:line="360" w:lineRule="auto"/>
        <w:rPr>
          <w:noProof/>
        </w:rPr>
      </w:pPr>
      <w:bookmarkStart w:id="26" w:name="_Toc501546856"/>
      <w:r>
        <w:rPr>
          <w:noProof/>
        </w:rPr>
        <w:t>EU Added value</w:t>
      </w:r>
      <w:bookmarkEnd w:id="26"/>
    </w:p>
    <w:p w:rsidR="00821F17" w:rsidRDefault="006B159E">
      <w:pPr>
        <w:pStyle w:val="NormalIndent"/>
        <w:pBdr>
          <w:top w:val="single" w:sz="4" w:space="1" w:color="auto"/>
          <w:left w:val="single" w:sz="4" w:space="4" w:color="auto"/>
          <w:bottom w:val="single" w:sz="4" w:space="1" w:color="auto"/>
          <w:right w:val="single" w:sz="4" w:space="4" w:color="auto"/>
        </w:pBdr>
        <w:spacing w:line="360" w:lineRule="auto"/>
        <w:ind w:left="0"/>
        <w:rPr>
          <w:rFonts w:ascii="Times New Roman" w:hAnsi="Times New Roman" w:cs="Times New Roman"/>
          <w:i/>
          <w:iCs/>
          <w:noProof/>
          <w:sz w:val="24"/>
          <w:szCs w:val="24"/>
          <w:lang w:val="en-GB"/>
        </w:rPr>
      </w:pPr>
      <w:r>
        <w:rPr>
          <w:rFonts w:ascii="Times New Roman" w:hAnsi="Times New Roman" w:cs="Times New Roman"/>
          <w:b/>
          <w:iCs/>
          <w:noProof/>
          <w:sz w:val="24"/>
          <w:szCs w:val="24"/>
          <w:lang w:val="en-GB"/>
        </w:rPr>
        <w:t>EQ16:</w:t>
      </w:r>
      <w:r>
        <w:rPr>
          <w:rFonts w:ascii="Times New Roman" w:hAnsi="Times New Roman" w:cs="Times New Roman"/>
          <w:i/>
          <w:iCs/>
          <w:noProof/>
          <w:sz w:val="24"/>
          <w:szCs w:val="24"/>
          <w:lang w:val="en-GB"/>
        </w:rPr>
        <w:t xml:space="preserve"> What is the additional value resulting from the EIF 2011-2013 actions compared to what the Member States would be able to carry out through investments necessary for the implementation of the EU policies in the field of integration of TCNs without the sup</w:t>
      </w:r>
      <w:r>
        <w:rPr>
          <w:rFonts w:ascii="Times New Roman" w:hAnsi="Times New Roman" w:cs="Times New Roman"/>
          <w:i/>
          <w:iCs/>
          <w:noProof/>
          <w:sz w:val="24"/>
          <w:szCs w:val="24"/>
          <w:lang w:val="en-GB"/>
        </w:rPr>
        <w:t>port of the EIF 2011-2013 actions?</w:t>
      </w:r>
    </w:p>
    <w:p w:rsidR="00821F17" w:rsidRDefault="006B159E">
      <w:pPr>
        <w:pStyle w:val="NormalIndent"/>
        <w:pBdr>
          <w:top w:val="single" w:sz="4" w:space="1" w:color="auto"/>
          <w:left w:val="single" w:sz="4" w:space="4" w:color="auto"/>
          <w:bottom w:val="single" w:sz="4" w:space="1" w:color="auto"/>
          <w:right w:val="single" w:sz="4" w:space="4" w:color="auto"/>
        </w:pBdr>
        <w:spacing w:line="360" w:lineRule="auto"/>
        <w:ind w:left="0"/>
        <w:rPr>
          <w:rFonts w:ascii="Times New Roman" w:hAnsi="Times New Roman" w:cs="Times New Roman"/>
          <w:iCs/>
          <w:noProof/>
          <w:sz w:val="24"/>
          <w:szCs w:val="24"/>
          <w:lang w:val="en-GB"/>
        </w:rPr>
      </w:pPr>
      <w:r>
        <w:rPr>
          <w:rFonts w:ascii="Times New Roman" w:hAnsi="Times New Roman" w:cs="Times New Roman"/>
          <w:b/>
          <w:iCs/>
          <w:noProof/>
          <w:sz w:val="24"/>
          <w:szCs w:val="24"/>
          <w:lang w:val="en-GB"/>
        </w:rPr>
        <w:t xml:space="preserve">Main conclusion: </w:t>
      </w:r>
      <w:r>
        <w:rPr>
          <w:rFonts w:ascii="Times New Roman" w:hAnsi="Times New Roman" w:cs="Times New Roman"/>
          <w:noProof/>
          <w:sz w:val="24"/>
          <w:szCs w:val="24"/>
          <w:lang w:val="en-GB"/>
        </w:rPr>
        <w:t xml:space="preserve">Most Member States stated that to a large extent the EIF funds enabled the implementation of actions that otherwise could not have been funded from national resources because of their innovative approach </w:t>
      </w:r>
      <w:r>
        <w:rPr>
          <w:rFonts w:ascii="Times New Roman" w:hAnsi="Times New Roman" w:cs="Times New Roman"/>
          <w:noProof/>
          <w:sz w:val="24"/>
          <w:szCs w:val="24"/>
          <w:lang w:val="en-GB"/>
        </w:rPr>
        <w:t>and/or the limited national resources. Beneficiary organisations considered that the EU added value laid in particular in the setting-up of stronger networks at national and European level and the increase of the visibility of integration activities thanks</w:t>
      </w:r>
      <w:r>
        <w:rPr>
          <w:rFonts w:ascii="Times New Roman" w:hAnsi="Times New Roman" w:cs="Times New Roman"/>
          <w:noProof/>
          <w:sz w:val="24"/>
          <w:szCs w:val="24"/>
          <w:lang w:val="en-GB"/>
        </w:rPr>
        <w:t xml:space="preserve"> to the EU support. </w:t>
      </w:r>
    </w:p>
    <w:p w:rsidR="00821F17" w:rsidRDefault="006B159E">
      <w:pPr>
        <w:pStyle w:val="NormalIndent"/>
        <w:spacing w:after="0" w:line="360" w:lineRule="auto"/>
        <w:ind w:left="0"/>
        <w:rPr>
          <w:rFonts w:ascii="Times New Roman" w:hAnsi="Times New Roman" w:cs="Times New Roman"/>
          <w:noProof/>
          <w:sz w:val="24"/>
          <w:szCs w:val="24"/>
          <w:lang w:val="en-GB"/>
        </w:rPr>
      </w:pPr>
      <w:r>
        <w:rPr>
          <w:rFonts w:ascii="Times New Roman" w:hAnsi="Times New Roman" w:cs="Times New Roman"/>
          <w:noProof/>
          <w:sz w:val="24"/>
          <w:szCs w:val="24"/>
          <w:lang w:val="en-GB"/>
        </w:rPr>
        <w:t>National evaluation reports and interviews with beneficiary organisations led to a positive assessment of the EU added value of the EIF as it allowed a number of Member States to test new approaches and methods to foster integration and, for countries faci</w:t>
      </w:r>
      <w:r>
        <w:rPr>
          <w:rFonts w:ascii="Times New Roman" w:hAnsi="Times New Roman" w:cs="Times New Roman"/>
          <w:noProof/>
          <w:sz w:val="24"/>
          <w:szCs w:val="24"/>
          <w:lang w:val="en-GB"/>
        </w:rPr>
        <w:t xml:space="preserve">ng the issue of integration of TCNs for the first time, it represented an opportunity to develop new services and tools. Furthermore, at EU level there was no other source of funding targeting the integration of TCNs beyond the support to enter the labour </w:t>
      </w:r>
      <w:r>
        <w:rPr>
          <w:rFonts w:ascii="Times New Roman" w:hAnsi="Times New Roman" w:cs="Times New Roman"/>
          <w:noProof/>
          <w:sz w:val="24"/>
          <w:szCs w:val="24"/>
          <w:lang w:val="en-GB"/>
        </w:rPr>
        <w:t xml:space="preserve">market. </w:t>
      </w:r>
    </w:p>
    <w:p w:rsidR="00821F17" w:rsidRDefault="00821F17">
      <w:pPr>
        <w:pStyle w:val="NormalIndent"/>
        <w:spacing w:after="0" w:line="360" w:lineRule="auto"/>
        <w:ind w:left="0"/>
        <w:rPr>
          <w:rFonts w:ascii="Times New Roman" w:hAnsi="Times New Roman" w:cs="Times New Roman"/>
          <w:noProof/>
          <w:sz w:val="24"/>
          <w:szCs w:val="24"/>
          <w:lang w:val="en-GB"/>
        </w:rPr>
      </w:pPr>
    </w:p>
    <w:p w:rsidR="00821F17" w:rsidRDefault="006B159E">
      <w:pPr>
        <w:pStyle w:val="NormalIndent"/>
        <w:spacing w:after="0" w:line="360" w:lineRule="auto"/>
        <w:ind w:left="0"/>
        <w:rPr>
          <w:rFonts w:ascii="Times New Roman" w:hAnsi="Times New Roman" w:cs="Times New Roman"/>
          <w:noProof/>
          <w:sz w:val="24"/>
          <w:szCs w:val="24"/>
          <w:lang w:val="en-GB"/>
        </w:rPr>
      </w:pPr>
      <w:r>
        <w:rPr>
          <w:rFonts w:ascii="Times New Roman" w:hAnsi="Times New Roman" w:cs="Times New Roman"/>
          <w:noProof/>
          <w:sz w:val="24"/>
          <w:szCs w:val="24"/>
          <w:lang w:val="en-GB"/>
        </w:rPr>
        <w:t>Member States stated that to a large extent (22), or to some extent (3), the EIF funds enabled the implementation of actions that otherwise could not have been funded from national resources (scope effects). It was also underlined that the same c</w:t>
      </w:r>
      <w:r>
        <w:rPr>
          <w:rFonts w:ascii="Times New Roman" w:hAnsi="Times New Roman" w:cs="Times New Roman"/>
          <w:noProof/>
          <w:sz w:val="24"/>
          <w:szCs w:val="24"/>
          <w:lang w:val="en-GB"/>
        </w:rPr>
        <w:t>overage of actions and scope of the projects could not have been possible without the EIF funding, mainly due to budgetary constraints and limited national resources for funding actions concerning integration</w:t>
      </w:r>
      <w:r>
        <w:rPr>
          <w:rStyle w:val="FootnoteReference"/>
          <w:rFonts w:ascii="Times New Roman" w:hAnsi="Times New Roman" w:cs="Times New Roman"/>
          <w:noProof/>
          <w:sz w:val="24"/>
          <w:szCs w:val="24"/>
          <w:lang w:val="en-GB"/>
        </w:rPr>
        <w:footnoteReference w:id="85"/>
      </w:r>
      <w:r>
        <w:rPr>
          <w:rFonts w:ascii="Times New Roman" w:hAnsi="Times New Roman" w:cs="Times New Roman"/>
          <w:noProof/>
          <w:sz w:val="24"/>
          <w:szCs w:val="24"/>
          <w:lang w:val="en-GB"/>
        </w:rPr>
        <w:t xml:space="preserve"> also due to the economic and financial crisis</w:t>
      </w:r>
      <w:r>
        <w:rPr>
          <w:rStyle w:val="FootnoteReference"/>
          <w:rFonts w:ascii="Times New Roman" w:hAnsi="Times New Roman" w:cs="Times New Roman"/>
          <w:noProof/>
          <w:sz w:val="24"/>
          <w:szCs w:val="24"/>
          <w:lang w:val="en-GB"/>
        </w:rPr>
        <w:footnoteReference w:id="86"/>
      </w:r>
      <w:r>
        <w:rPr>
          <w:rFonts w:ascii="Times New Roman" w:hAnsi="Times New Roman" w:cs="Times New Roman"/>
          <w:noProof/>
          <w:sz w:val="24"/>
          <w:szCs w:val="24"/>
          <w:lang w:val="en-GB"/>
        </w:rPr>
        <w:t xml:space="preserve">. </w:t>
      </w:r>
    </w:p>
    <w:p w:rsidR="00821F17" w:rsidRDefault="00821F17">
      <w:pPr>
        <w:pStyle w:val="NormalIndent"/>
        <w:spacing w:after="0" w:line="360" w:lineRule="auto"/>
        <w:ind w:left="0"/>
        <w:rPr>
          <w:rFonts w:ascii="Times New Roman" w:hAnsi="Times New Roman" w:cs="Times New Roman"/>
          <w:noProof/>
          <w:sz w:val="24"/>
          <w:szCs w:val="24"/>
          <w:lang w:val="en-GB"/>
        </w:rPr>
      </w:pPr>
    </w:p>
    <w:p w:rsidR="00821F17" w:rsidRDefault="006B159E">
      <w:pPr>
        <w:pStyle w:val="NormalIndent"/>
        <w:spacing w:after="0" w:line="360" w:lineRule="auto"/>
        <w:ind w:left="0"/>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Moreover, in order to illustrate the added value of the EIF, Member States gave several examples of projects and actions where the EIF had an added value in providing volume effects. For instance, in Spain and in France, the EIF enabled an increase in </w:t>
      </w:r>
      <w:r>
        <w:rPr>
          <w:rFonts w:ascii="Times New Roman" w:hAnsi="Times New Roman" w:cs="Times New Roman"/>
          <w:noProof/>
          <w:sz w:val="24"/>
          <w:szCs w:val="24"/>
          <w:lang w:val="en-GB"/>
        </w:rPr>
        <w:t>the scope of integration activities in terms of territorial scope and number of beneficiaries reached. The Czech Republic and Estonia stated that the EIF allowed for the expansion of integration actions and supported innovative activities.</w:t>
      </w:r>
    </w:p>
    <w:p w:rsidR="00821F17" w:rsidRDefault="00821F17">
      <w:pPr>
        <w:pStyle w:val="NormalIndent"/>
        <w:spacing w:after="0" w:line="360" w:lineRule="auto"/>
        <w:ind w:left="0"/>
        <w:rPr>
          <w:rFonts w:ascii="Times New Roman" w:hAnsi="Times New Roman" w:cs="Times New Roman"/>
          <w:noProof/>
          <w:sz w:val="24"/>
          <w:szCs w:val="24"/>
          <w:lang w:val="en-GB"/>
        </w:rPr>
      </w:pPr>
    </w:p>
    <w:p w:rsidR="00821F17" w:rsidRDefault="006B159E">
      <w:pPr>
        <w:pStyle w:val="NormalIndent"/>
        <w:spacing w:after="0" w:line="360" w:lineRule="auto"/>
        <w:ind w:left="0"/>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addition to </w:t>
      </w:r>
      <w:r>
        <w:rPr>
          <w:rFonts w:ascii="Times New Roman" w:hAnsi="Times New Roman" w:cs="Times New Roman"/>
          <w:noProof/>
          <w:sz w:val="24"/>
          <w:szCs w:val="24"/>
          <w:lang w:val="en-GB"/>
        </w:rPr>
        <w:t>financial resources, other benefits were brought about by the EIF. Implementing organisations developed their networks</w:t>
      </w:r>
      <w:r>
        <w:rPr>
          <w:rStyle w:val="FootnoteReference"/>
          <w:rFonts w:ascii="Times New Roman" w:hAnsi="Times New Roman" w:cs="Times New Roman"/>
          <w:noProof/>
          <w:sz w:val="24"/>
          <w:szCs w:val="24"/>
          <w:lang w:val="en-GB"/>
        </w:rPr>
        <w:footnoteReference w:id="87"/>
      </w:r>
      <w:r>
        <w:rPr>
          <w:rFonts w:ascii="Times New Roman" w:hAnsi="Times New Roman" w:cs="Times New Roman"/>
          <w:noProof/>
          <w:sz w:val="24"/>
          <w:szCs w:val="24"/>
          <w:lang w:val="en-GB"/>
        </w:rPr>
        <w:t>, improved their performance through professionalization</w:t>
      </w:r>
      <w:r>
        <w:rPr>
          <w:rStyle w:val="FootnoteReference"/>
          <w:rFonts w:ascii="Times New Roman" w:hAnsi="Times New Roman" w:cs="Times New Roman"/>
          <w:noProof/>
          <w:sz w:val="24"/>
          <w:szCs w:val="24"/>
          <w:lang w:val="en-GB"/>
        </w:rPr>
        <w:footnoteReference w:id="88"/>
      </w:r>
      <w:r>
        <w:rPr>
          <w:rFonts w:ascii="Times New Roman" w:hAnsi="Times New Roman" w:cs="Times New Roman"/>
          <w:noProof/>
          <w:sz w:val="24"/>
          <w:szCs w:val="24"/>
          <w:lang w:val="en-GB"/>
        </w:rPr>
        <w:t>, improved project management and quality of projects</w:t>
      </w:r>
      <w:r>
        <w:rPr>
          <w:rStyle w:val="FootnoteReference"/>
          <w:rFonts w:ascii="Times New Roman" w:hAnsi="Times New Roman" w:cs="Times New Roman"/>
          <w:noProof/>
          <w:sz w:val="24"/>
          <w:szCs w:val="24"/>
          <w:lang w:val="en-GB"/>
        </w:rPr>
        <w:footnoteReference w:id="89"/>
      </w:r>
      <w:r>
        <w:rPr>
          <w:rFonts w:ascii="Times New Roman" w:hAnsi="Times New Roman" w:cs="Times New Roman"/>
          <w:noProof/>
          <w:sz w:val="24"/>
          <w:szCs w:val="24"/>
          <w:lang w:val="en-GB"/>
        </w:rPr>
        <w:t>, development of skills</w:t>
      </w:r>
      <w:r>
        <w:rPr>
          <w:rStyle w:val="FootnoteReference"/>
          <w:rFonts w:ascii="Times New Roman" w:hAnsi="Times New Roman" w:cs="Times New Roman"/>
          <w:noProof/>
          <w:sz w:val="24"/>
          <w:szCs w:val="24"/>
          <w:lang w:val="en-GB"/>
        </w:rPr>
        <w:footnoteReference w:id="90"/>
      </w:r>
      <w:r>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and gained overall knowledge and capacity in the area of integration</w:t>
      </w:r>
      <w:r>
        <w:rPr>
          <w:rStyle w:val="FootnoteReference"/>
          <w:rFonts w:ascii="Times New Roman" w:hAnsi="Times New Roman" w:cs="Times New Roman"/>
          <w:noProof/>
          <w:sz w:val="24"/>
          <w:szCs w:val="24"/>
          <w:lang w:val="en-GB"/>
        </w:rPr>
        <w:footnoteReference w:id="91"/>
      </w:r>
      <w:r>
        <w:rPr>
          <w:rFonts w:ascii="Times New Roman" w:hAnsi="Times New Roman" w:cs="Times New Roman"/>
          <w:noProof/>
          <w:sz w:val="24"/>
          <w:szCs w:val="24"/>
          <w:lang w:val="en-GB"/>
        </w:rPr>
        <w:t xml:space="preserve">. </w:t>
      </w:r>
    </w:p>
    <w:p w:rsidR="00821F17" w:rsidRDefault="00821F17">
      <w:pPr>
        <w:pStyle w:val="NormalIndent"/>
        <w:spacing w:after="0" w:line="360" w:lineRule="auto"/>
        <w:ind w:left="0"/>
        <w:rPr>
          <w:rFonts w:ascii="Times New Roman" w:hAnsi="Times New Roman" w:cs="Times New Roman"/>
          <w:noProof/>
          <w:sz w:val="24"/>
          <w:szCs w:val="24"/>
          <w:lang w:val="en-GB"/>
        </w:rPr>
      </w:pPr>
    </w:p>
    <w:p w:rsidR="00821F17" w:rsidRDefault="006B159E">
      <w:pPr>
        <w:pStyle w:val="NormalIndent"/>
        <w:spacing w:after="0" w:line="360" w:lineRule="auto"/>
        <w:ind w:left="0"/>
        <w:rPr>
          <w:rFonts w:ascii="Times New Roman" w:hAnsi="Times New Roman" w:cs="Times New Roman"/>
          <w:noProof/>
          <w:sz w:val="24"/>
          <w:szCs w:val="24"/>
          <w:lang w:val="en-GB"/>
        </w:rPr>
      </w:pPr>
      <w:r>
        <w:rPr>
          <w:rFonts w:ascii="Times New Roman" w:hAnsi="Times New Roman" w:cs="Times New Roman"/>
          <w:noProof/>
          <w:sz w:val="24"/>
          <w:szCs w:val="24"/>
          <w:lang w:val="en-GB"/>
        </w:rPr>
        <w:t>A number of Member States (9) also mentioned the increased focus on vulnerable target groups, which include women, young people, children, and the elderly</w:t>
      </w:r>
      <w:r>
        <w:rPr>
          <w:rFonts w:ascii="Times New Roman" w:eastAsiaTheme="minorHAnsi" w:hAnsi="Times New Roman" w:cs="Times New Roman"/>
          <w:noProof/>
          <w:sz w:val="24"/>
          <w:szCs w:val="24"/>
          <w:lang w:val="en-GB"/>
        </w:rPr>
        <w:t xml:space="preserve"> </w:t>
      </w:r>
      <w:r>
        <w:rPr>
          <w:rFonts w:ascii="Times New Roman" w:hAnsi="Times New Roman" w:cs="Times New Roman"/>
          <w:noProof/>
          <w:sz w:val="24"/>
          <w:szCs w:val="24"/>
          <w:lang w:val="en-GB"/>
        </w:rPr>
        <w:t xml:space="preserve">as a primary benefit. For example, Italy provided support services to facilitate attendance of women, unaccompanied minors and youth to training courses and literacy courses. </w:t>
      </w:r>
    </w:p>
    <w:p w:rsidR="00821F17" w:rsidRDefault="00821F17">
      <w:pPr>
        <w:pStyle w:val="NormalIndent"/>
        <w:spacing w:after="0" w:line="360" w:lineRule="auto"/>
        <w:ind w:left="0"/>
        <w:rPr>
          <w:rFonts w:ascii="Times New Roman" w:hAnsi="Times New Roman" w:cs="Times New Roman"/>
          <w:noProof/>
          <w:sz w:val="24"/>
          <w:szCs w:val="24"/>
          <w:lang w:val="en-GB"/>
        </w:rPr>
      </w:pPr>
    </w:p>
    <w:p w:rsidR="00821F17" w:rsidRDefault="006B159E">
      <w:pPr>
        <w:pStyle w:val="NormalIndent"/>
        <w:spacing w:after="0" w:line="360" w:lineRule="auto"/>
        <w:ind w:left="0"/>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Projects supported by Community Actions were also considered as projects which </w:t>
      </w:r>
      <w:r>
        <w:rPr>
          <w:rFonts w:ascii="Times New Roman" w:hAnsi="Times New Roman" w:cs="Times New Roman"/>
          <w:noProof/>
          <w:sz w:val="24"/>
          <w:szCs w:val="24"/>
          <w:lang w:val="en-GB"/>
        </w:rPr>
        <w:t xml:space="preserve">could not have been implemented without the support of the EIF, due to a lack of alternative national funds. </w:t>
      </w:r>
    </w:p>
    <w:p w:rsidR="00821F17" w:rsidRDefault="006B159E">
      <w:pPr>
        <w:pStyle w:val="NormalIndent"/>
        <w:spacing w:after="0" w:line="360" w:lineRule="auto"/>
        <w:ind w:left="0"/>
        <w:rPr>
          <w:rFonts w:ascii="Times New Roman" w:hAnsi="Times New Roman" w:cs="Times New Roman"/>
          <w:noProof/>
          <w:sz w:val="24"/>
          <w:szCs w:val="24"/>
          <w:lang w:val="en-GB"/>
        </w:rPr>
      </w:pPr>
      <w:r>
        <w:rPr>
          <w:rFonts w:ascii="Times New Roman" w:hAnsi="Times New Roman" w:cs="Times New Roman"/>
          <w:noProof/>
          <w:sz w:val="24"/>
          <w:szCs w:val="24"/>
          <w:lang w:val="en-GB"/>
        </w:rPr>
        <w:t>According to the majority of the respondents, the EIF being a European fund, it produced further benefits, namely enhanced legitimacy of their org</w:t>
      </w:r>
      <w:r>
        <w:rPr>
          <w:rFonts w:ascii="Times New Roman" w:hAnsi="Times New Roman" w:cs="Times New Roman"/>
          <w:noProof/>
          <w:sz w:val="24"/>
          <w:szCs w:val="24"/>
          <w:lang w:val="en-GB"/>
        </w:rPr>
        <w:t>anisation and activities, increased branding and visibility of the project and the organisations, access to wider networks and the possibility for cross-national inspiration and exchange.</w:t>
      </w:r>
    </w:p>
    <w:p w:rsidR="00821F17" w:rsidRDefault="006B159E">
      <w:pPr>
        <w:pStyle w:val="Heading1"/>
        <w:keepNext/>
        <w:spacing w:line="360" w:lineRule="auto"/>
        <w:rPr>
          <w:noProof/>
          <w:lang w:val="en-GB"/>
        </w:rPr>
      </w:pPr>
      <w:bookmarkStart w:id="27" w:name="_Toc501546857"/>
      <w:r>
        <w:rPr>
          <w:noProof/>
          <w:lang w:val="en-GB"/>
        </w:rPr>
        <w:t>Conclusions</w:t>
      </w:r>
      <w:bookmarkEnd w:id="27"/>
    </w:p>
    <w:p w:rsidR="00821F17" w:rsidRDefault="006B159E">
      <w:pPr>
        <w:pStyle w:val="NormalWeb"/>
        <w:spacing w:line="360" w:lineRule="auto"/>
        <w:jc w:val="both"/>
        <w:rPr>
          <w:noProof/>
        </w:rPr>
      </w:pPr>
      <w:r>
        <w:rPr>
          <w:noProof/>
        </w:rPr>
        <w:t>Despite the small size of the financial contribution pro</w:t>
      </w:r>
      <w:r>
        <w:rPr>
          <w:noProof/>
        </w:rPr>
        <w:t>vided by EIF compared to other EU funding instruments such as the Cohesion Fund and the European Social Fund, the evaluation found that the Fund had a significant value added for the Member States. It allowed the implementation of projects that would not h</w:t>
      </w:r>
      <w:r>
        <w:rPr>
          <w:noProof/>
        </w:rPr>
        <w:t xml:space="preserve">ave been put into effect with national resources alone, and allowed existing projects to expand geographically and reach an increasing number of beneficiary third country nationals. Some national authorities could test new approaches and methods to foster </w:t>
      </w:r>
      <w:r>
        <w:rPr>
          <w:noProof/>
        </w:rPr>
        <w:t>integration, and for countries facing the issue of integration of TCNs for the first time, the EIF represented an opportunity to develop new services and tools. At EU level there was no other source of funding targeting directly the integration of third co</w:t>
      </w:r>
      <w:r>
        <w:rPr>
          <w:noProof/>
        </w:rPr>
        <w:t>untry nationals beyond support to enter the labour market. However, the interpretation of target group as "newly arrived" limited the use of the fund as Member States defined the target group in different ways. Improvements have been made under AMIF, since</w:t>
      </w:r>
      <w:r>
        <w:rPr>
          <w:noProof/>
        </w:rPr>
        <w:t xml:space="preserve"> the definition of TCNs now includes beneficiaries of international protection, resettled or transferred persons and, in particular, vulnerable persons. However, to ensure consistency, a common definition should be provided in the next funding instruments.</w:t>
      </w:r>
      <w:r>
        <w:rPr>
          <w:noProof/>
        </w:rPr>
        <w:t xml:space="preserve"> </w:t>
      </w:r>
    </w:p>
    <w:p w:rsidR="00821F17" w:rsidRDefault="006B159E">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The evaluation also demonstrated that the logical framework of EIF had not been well designed: the articulation between general objective and specific objectives, on the one hand, and between these and the priorities on the other hand, led to a complex i</w:t>
      </w:r>
      <w:r>
        <w:rPr>
          <w:rFonts w:ascii="Times New Roman" w:hAnsi="Times New Roman" w:cs="Times New Roman"/>
          <w:noProof/>
          <w:sz w:val="24"/>
          <w:szCs w:val="24"/>
        </w:rPr>
        <w:t>ntervention logic. Whilst the logical framework has been better defined in AMIF, under each specific objective there is still the possibility for the MSs to avoid investments in areas less "attractive". This should be addressed in the new generation of fun</w:t>
      </w:r>
      <w:r>
        <w:rPr>
          <w:rFonts w:ascii="Times New Roman" w:hAnsi="Times New Roman" w:cs="Times New Roman"/>
          <w:noProof/>
          <w:sz w:val="24"/>
          <w:szCs w:val="24"/>
        </w:rPr>
        <w:t xml:space="preserve">ds (next MFF-post 2020).  </w:t>
      </w:r>
    </w:p>
    <w:p w:rsidR="00821F17" w:rsidRDefault="00821F17">
      <w:pPr>
        <w:spacing w:after="0" w:line="360" w:lineRule="auto"/>
        <w:jc w:val="both"/>
        <w:rPr>
          <w:rFonts w:ascii="Times New Roman" w:hAnsi="Times New Roman" w:cs="Times New Roman"/>
          <w:noProof/>
          <w:sz w:val="24"/>
          <w:szCs w:val="24"/>
        </w:rPr>
      </w:pPr>
    </w:p>
    <w:p w:rsidR="00821F17" w:rsidRDefault="006B159E">
      <w:pPr>
        <w:pStyle w:val="NormalIndent"/>
        <w:spacing w:after="0" w:line="360" w:lineRule="auto"/>
        <w:ind w:left="0"/>
        <w:rPr>
          <w:rFonts w:ascii="Times New Roman" w:hAnsi="Times New Roman" w:cs="Times New Roman"/>
          <w:noProof/>
          <w:sz w:val="24"/>
          <w:szCs w:val="24"/>
          <w:lang w:val="en-GB"/>
        </w:rPr>
      </w:pPr>
      <w:r>
        <w:rPr>
          <w:rFonts w:ascii="Times New Roman" w:hAnsi="Times New Roman" w:cs="Times New Roman"/>
          <w:noProof/>
          <w:sz w:val="24"/>
          <w:szCs w:val="24"/>
          <w:lang w:val="en-GB"/>
        </w:rPr>
        <w:t>Another issue identified was the absence of effective monitoring and evaluation mechanisms, common to all Member States. The European Commission has addressed this for the 2014-2020 programming period by developing a common moni</w:t>
      </w:r>
      <w:r>
        <w:rPr>
          <w:rFonts w:ascii="Times New Roman" w:hAnsi="Times New Roman" w:cs="Times New Roman"/>
          <w:noProof/>
          <w:sz w:val="24"/>
          <w:szCs w:val="24"/>
          <w:lang w:val="en-GB"/>
        </w:rPr>
        <w:t>toring and evaluation framework and providing guidance on it to the national authorities. A network of national evaluation coordinators was set up in 2015 and since then, through technical meetings the Commission and its members discuss and exchange inform</w:t>
      </w:r>
      <w:r>
        <w:rPr>
          <w:rFonts w:ascii="Times New Roman" w:hAnsi="Times New Roman" w:cs="Times New Roman"/>
          <w:noProof/>
          <w:sz w:val="24"/>
          <w:szCs w:val="24"/>
          <w:lang w:val="en-GB"/>
        </w:rPr>
        <w:t>ation on evaluation matters regularly. A specific evaluation module has been developed in an IT system used for the shared management (SFC), to promote consistency of the national evaluation reports.</w:t>
      </w:r>
    </w:p>
    <w:p w:rsidR="00821F17" w:rsidRDefault="006B159E">
      <w:pPr>
        <w:pStyle w:val="NormalIndent"/>
        <w:spacing w:after="0" w:line="360" w:lineRule="auto"/>
        <w:ind w:left="0"/>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t>
      </w:r>
    </w:p>
    <w:p w:rsidR="00821F17" w:rsidRDefault="006B159E">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lang w:val="en"/>
        </w:rPr>
        <w:t>The allocation system, designed on the basis of histor</w:t>
      </w:r>
      <w:r>
        <w:rPr>
          <w:rFonts w:ascii="Times New Roman" w:hAnsi="Times New Roman" w:cs="Times New Roman"/>
          <w:noProof/>
          <w:sz w:val="24"/>
          <w:szCs w:val="24"/>
          <w:lang w:val="en"/>
        </w:rPr>
        <w:t>ic trends (previous three years), could not reflect Member States' short term evolving needs and may have hindered the flexibility of the Fund in this respect. However, some flexibility was ensured by the possibility for the Member States to modify their n</w:t>
      </w:r>
      <w:r>
        <w:rPr>
          <w:rFonts w:ascii="Times New Roman" w:hAnsi="Times New Roman" w:cs="Times New Roman"/>
          <w:noProof/>
          <w:sz w:val="24"/>
          <w:szCs w:val="24"/>
          <w:lang w:val="en"/>
        </w:rPr>
        <w:t xml:space="preserve">ational programmes at any time and to reallocate Funds in the area which required a stronger financial support. </w:t>
      </w:r>
      <w:r>
        <w:rPr>
          <w:rFonts w:ascii="Times New Roman" w:hAnsi="Times New Roman" w:cs="Times New Roman"/>
          <w:noProof/>
          <w:sz w:val="24"/>
          <w:szCs w:val="24"/>
        </w:rPr>
        <w:t>Under the successor fund (AMIF), the distribution key is still based on the 2011-2013 allocations for the EIF, as well as the Return Fund and Eu</w:t>
      </w:r>
      <w:r>
        <w:rPr>
          <w:rFonts w:ascii="Times New Roman" w:hAnsi="Times New Roman" w:cs="Times New Roman"/>
          <w:noProof/>
          <w:sz w:val="24"/>
          <w:szCs w:val="24"/>
        </w:rPr>
        <w:t>ropean Refugee Fund but more flexibility is ensured by a much more important budget for emergency assistance. However, the allocation system should be more flexible in the future by distributing the available financial resources to long-term activities imp</w:t>
      </w:r>
      <w:r>
        <w:rPr>
          <w:rFonts w:ascii="Times New Roman" w:hAnsi="Times New Roman" w:cs="Times New Roman"/>
          <w:noProof/>
          <w:sz w:val="24"/>
          <w:szCs w:val="24"/>
        </w:rPr>
        <w:t>lemented by Member States and actions addressing urgent needs through the quick reaction mechanism of the emergency assistance managed by the European Commission.</w:t>
      </w:r>
    </w:p>
    <w:p w:rsidR="00821F17" w:rsidRDefault="006B159E">
      <w:pPr>
        <w:pStyle w:val="NormalIndent"/>
        <w:spacing w:after="0" w:line="360" w:lineRule="auto"/>
        <w:ind w:left="0"/>
        <w:rPr>
          <w:rFonts w:ascii="Times New Roman" w:hAnsi="Times New Roman" w:cs="Times New Roman"/>
          <w:noProof/>
          <w:sz w:val="24"/>
          <w:szCs w:val="24"/>
          <w:lang w:val="en-GB"/>
        </w:rPr>
      </w:pPr>
      <w:r>
        <w:rPr>
          <w:rFonts w:ascii="Times New Roman" w:hAnsi="Times New Roman" w:cs="Times New Roman"/>
          <w:noProof/>
          <w:sz w:val="24"/>
          <w:szCs w:val="24"/>
          <w:lang w:val="en-GB"/>
        </w:rPr>
        <w:t>Some Member States perceived the administrative burden of the implementation of the Fund as r</w:t>
      </w:r>
      <w:r>
        <w:rPr>
          <w:rFonts w:ascii="Times New Roman" w:hAnsi="Times New Roman" w:cs="Times New Roman"/>
          <w:noProof/>
          <w:sz w:val="24"/>
          <w:szCs w:val="24"/>
          <w:lang w:val="en-GB"/>
        </w:rPr>
        <w:t>elatively high. The 2014-2020 programming period saw some improvements, as a single fund covers all migration matters (AMIF), Member States adopt multiannual programmes and the eligibility rules are aligned to the national ones. Member States have also bee</w:t>
      </w:r>
      <w:r>
        <w:rPr>
          <w:rFonts w:ascii="Times New Roman" w:hAnsi="Times New Roman" w:cs="Times New Roman"/>
          <w:noProof/>
          <w:sz w:val="24"/>
          <w:szCs w:val="24"/>
          <w:lang w:val="en-GB"/>
        </w:rPr>
        <w:t>n encouraged to use the simplified costs options.</w:t>
      </w:r>
    </w:p>
    <w:p w:rsidR="00821F17" w:rsidRDefault="00821F17">
      <w:pPr>
        <w:pStyle w:val="NormalIndent"/>
        <w:spacing w:after="0" w:line="360" w:lineRule="auto"/>
        <w:ind w:left="0"/>
        <w:rPr>
          <w:rFonts w:ascii="Times New Roman" w:hAnsi="Times New Roman" w:cs="Times New Roman"/>
          <w:noProof/>
          <w:sz w:val="24"/>
          <w:szCs w:val="24"/>
          <w:lang w:val="en-GB"/>
        </w:rPr>
      </w:pPr>
    </w:p>
    <w:p w:rsidR="00821F17" w:rsidRDefault="006B159E">
      <w:pPr>
        <w:pStyle w:val="NormalIndent"/>
        <w:spacing w:after="0" w:line="360" w:lineRule="auto"/>
        <w:ind w:left="0"/>
        <w:rPr>
          <w:rFonts w:ascii="Times New Roman" w:hAnsi="Times New Roman" w:cs="Times New Roman"/>
          <w:noProof/>
          <w:sz w:val="24"/>
          <w:szCs w:val="24"/>
          <w:lang w:val="en-IE"/>
        </w:rPr>
      </w:pPr>
      <w:r>
        <w:rPr>
          <w:rFonts w:ascii="Times New Roman" w:hAnsi="Times New Roman" w:cs="Times New Roman"/>
          <w:noProof/>
          <w:sz w:val="24"/>
          <w:szCs w:val="24"/>
          <w:lang w:val="en-GB"/>
        </w:rPr>
        <w:t xml:space="preserve">Finally the evaluation found that </w:t>
      </w:r>
      <w:r>
        <w:rPr>
          <w:rFonts w:ascii="Times New Roman" w:hAnsi="Times New Roman" w:cs="Times New Roman"/>
          <w:noProof/>
          <w:sz w:val="24"/>
          <w:szCs w:val="24"/>
          <w:lang w:val="en-IE"/>
        </w:rPr>
        <w:t>Responsible Authorities did not have a substantial awareness of Community Actions as they were often not systematically informed by the beneficiary organisations of projec</w:t>
      </w:r>
      <w:r>
        <w:rPr>
          <w:rFonts w:ascii="Times New Roman" w:hAnsi="Times New Roman" w:cs="Times New Roman"/>
          <w:noProof/>
          <w:sz w:val="24"/>
          <w:szCs w:val="24"/>
          <w:lang w:val="en-IE"/>
        </w:rPr>
        <w:t xml:space="preserve">ts implemented in this way, which limited </w:t>
      </w:r>
      <w:r>
        <w:rPr>
          <w:rFonts w:ascii="Times New Roman" w:hAnsi="Times New Roman" w:cs="Times New Roman"/>
          <w:noProof/>
          <w:color w:val="000000" w:themeColor="text1"/>
          <w:sz w:val="24"/>
          <w:szCs w:val="24"/>
          <w:lang w:val="en-GB"/>
        </w:rPr>
        <w:t xml:space="preserve">the coherence and complementarity of Community actions with national actions. It also found that the Fund </w:t>
      </w:r>
      <w:r>
        <w:rPr>
          <w:rFonts w:ascii="Times New Roman" w:hAnsi="Times New Roman" w:cs="Times New Roman"/>
          <w:noProof/>
          <w:sz w:val="24"/>
          <w:szCs w:val="24"/>
          <w:lang w:val="en-IE"/>
        </w:rPr>
        <w:t xml:space="preserve">only contributed to the improvement of admission procedures and to the cooperation between Member States to a limited extent. </w:t>
      </w:r>
    </w:p>
    <w:p w:rsidR="00821F17" w:rsidRDefault="00821F17">
      <w:pPr>
        <w:pStyle w:val="NormalIndent"/>
        <w:spacing w:after="0" w:line="360" w:lineRule="auto"/>
        <w:ind w:left="0"/>
        <w:rPr>
          <w:rFonts w:ascii="Times New Roman" w:hAnsi="Times New Roman" w:cs="Times New Roman"/>
          <w:noProof/>
          <w:sz w:val="24"/>
          <w:szCs w:val="24"/>
          <w:lang w:val="en-IE"/>
        </w:rPr>
      </w:pPr>
    </w:p>
    <w:p w:rsidR="00821F17" w:rsidRDefault="006B159E">
      <w:pPr>
        <w:pStyle w:val="NormalIndent"/>
        <w:spacing w:after="0" w:line="360" w:lineRule="auto"/>
        <w:ind w:left="0"/>
        <w:rPr>
          <w:rFonts w:ascii="Times New Roman" w:hAnsi="Times New Roman" w:cs="Times New Roman"/>
          <w:noProof/>
          <w:sz w:val="24"/>
          <w:szCs w:val="24"/>
          <w:lang w:val="en-GB"/>
        </w:rPr>
      </w:pPr>
      <w:r>
        <w:rPr>
          <w:rFonts w:ascii="Times New Roman" w:hAnsi="Times New Roman" w:cs="Times New Roman"/>
          <w:noProof/>
          <w:sz w:val="24"/>
          <w:szCs w:val="24"/>
          <w:lang w:val="en-GB"/>
        </w:rPr>
        <w:t>The lessons learnt from the ex post evaluation of the implementation of EIF will feed the interim evaluation of AMIF. The interi</w:t>
      </w:r>
      <w:r>
        <w:rPr>
          <w:rFonts w:ascii="Times New Roman" w:hAnsi="Times New Roman" w:cs="Times New Roman"/>
          <w:noProof/>
          <w:sz w:val="24"/>
          <w:szCs w:val="24"/>
          <w:lang w:val="en-GB"/>
        </w:rPr>
        <w:t>m evaluation will be completed in 2018 and is expected to have an impact on the implementation of AMIF in the remaining spending period (2019-2022).</w:t>
      </w:r>
    </w:p>
    <w:p w:rsidR="00821F17" w:rsidRDefault="00821F17">
      <w:pPr>
        <w:pStyle w:val="NormalWeb"/>
        <w:spacing w:line="360" w:lineRule="auto"/>
        <w:jc w:val="both"/>
        <w:rPr>
          <w:noProof/>
        </w:rPr>
      </w:pPr>
    </w:p>
    <w:p w:rsidR="00821F17" w:rsidRDefault="006B159E">
      <w:pPr>
        <w:rPr>
          <w:rFonts w:ascii="Times New Roman" w:eastAsia="Times New Roman" w:hAnsi="Times New Roman" w:cs="Times New Roman"/>
          <w:noProof/>
          <w:sz w:val="24"/>
          <w:szCs w:val="24"/>
        </w:rPr>
      </w:pPr>
      <w:r>
        <w:rPr>
          <w:rFonts w:ascii="Times New Roman" w:hAnsi="Times New Roman" w:cs="Times New Roman"/>
          <w:noProof/>
          <w:sz w:val="24"/>
          <w:szCs w:val="24"/>
        </w:rPr>
        <w:br w:type="page"/>
      </w:r>
    </w:p>
    <w:p w:rsidR="00821F17" w:rsidRDefault="006B159E">
      <w:pPr>
        <w:pStyle w:val="Heading1"/>
        <w:numPr>
          <w:ilvl w:val="0"/>
          <w:numId w:val="0"/>
        </w:numPr>
        <w:rPr>
          <w:rFonts w:cs="Times New Roman"/>
          <w:noProof/>
          <w:color w:val="FF0000"/>
          <w:sz w:val="24"/>
          <w:szCs w:val="24"/>
          <w:lang w:val="en-GB"/>
        </w:rPr>
      </w:pPr>
      <w:bookmarkStart w:id="28" w:name="_Toc501546858"/>
      <w:bookmarkStart w:id="29" w:name="_Toc480559145"/>
      <w:r>
        <w:rPr>
          <w:rFonts w:cs="Times New Roman"/>
          <w:noProof/>
          <w:sz w:val="24"/>
          <w:szCs w:val="24"/>
          <w:lang w:val="en-GB"/>
        </w:rPr>
        <w:t>ANNEX 1 - Procedural information</w:t>
      </w:r>
      <w:bookmarkEnd w:id="28"/>
      <w:r>
        <w:rPr>
          <w:rFonts w:cs="Times New Roman"/>
          <w:b w:val="0"/>
          <w:noProof/>
          <w:sz w:val="24"/>
          <w:szCs w:val="24"/>
          <w:lang w:val="en-GB"/>
        </w:rPr>
        <w:t xml:space="preserve"> </w:t>
      </w:r>
      <w:bookmarkEnd w:id="29"/>
    </w:p>
    <w:tbl>
      <w:tblPr>
        <w:tblStyle w:val="TableGrid"/>
        <w:tblW w:w="0" w:type="auto"/>
        <w:tblLook w:val="04A0" w:firstRow="1" w:lastRow="0" w:firstColumn="1" w:lastColumn="0" w:noHBand="0" w:noVBand="1"/>
      </w:tblPr>
      <w:tblGrid>
        <w:gridCol w:w="3652"/>
        <w:gridCol w:w="5182"/>
      </w:tblGrid>
      <w:tr w:rsidR="00821F17">
        <w:tc>
          <w:tcPr>
            <w:tcW w:w="3652" w:type="dxa"/>
            <w:shd w:val="clear" w:color="auto" w:fill="auto"/>
          </w:tcPr>
          <w:p w:rsidR="00821F17" w:rsidRDefault="006B159E">
            <w:pPr>
              <w:pStyle w:val="NormalWeb"/>
              <w:rPr>
                <w:noProof/>
              </w:rPr>
            </w:pPr>
            <w:r>
              <w:rPr>
                <w:noProof/>
              </w:rPr>
              <w:t>Leading DG</w:t>
            </w:r>
          </w:p>
        </w:tc>
        <w:tc>
          <w:tcPr>
            <w:tcW w:w="5182" w:type="dxa"/>
          </w:tcPr>
          <w:p w:rsidR="00821F17" w:rsidRDefault="006B159E">
            <w:pPr>
              <w:pStyle w:val="NormalWeb"/>
              <w:spacing w:before="0" w:beforeAutospacing="0" w:after="0" w:afterAutospacing="0"/>
              <w:rPr>
                <w:noProof/>
              </w:rPr>
            </w:pPr>
            <w:r>
              <w:rPr>
                <w:noProof/>
              </w:rPr>
              <w:t>DG HOME</w:t>
            </w:r>
          </w:p>
        </w:tc>
      </w:tr>
      <w:tr w:rsidR="00821F17">
        <w:tc>
          <w:tcPr>
            <w:tcW w:w="3652" w:type="dxa"/>
            <w:shd w:val="clear" w:color="auto" w:fill="auto"/>
          </w:tcPr>
          <w:p w:rsidR="00821F17" w:rsidRDefault="006B159E">
            <w:pPr>
              <w:pStyle w:val="NormalWeb"/>
              <w:rPr>
                <w:noProof/>
              </w:rPr>
            </w:pPr>
            <w:r>
              <w:rPr>
                <w:noProof/>
              </w:rPr>
              <w:t>Participating Units of DG HOME</w:t>
            </w:r>
          </w:p>
        </w:tc>
        <w:tc>
          <w:tcPr>
            <w:tcW w:w="5182" w:type="dxa"/>
          </w:tcPr>
          <w:p w:rsidR="00821F17" w:rsidRDefault="006B159E">
            <w:pPr>
              <w:pStyle w:val="NormalWeb"/>
              <w:spacing w:before="0" w:beforeAutospacing="0" w:after="0" w:afterAutospacing="0"/>
              <w:rPr>
                <w:noProof/>
                <w:color w:val="000000" w:themeColor="text1"/>
              </w:rPr>
            </w:pPr>
            <w:r>
              <w:rPr>
                <w:noProof/>
                <w:color w:val="000000" w:themeColor="text1"/>
              </w:rPr>
              <w:t>A2 – Legal Affairs</w:t>
            </w:r>
          </w:p>
          <w:p w:rsidR="00821F17" w:rsidRDefault="006B159E">
            <w:pPr>
              <w:pStyle w:val="NormalWeb"/>
              <w:spacing w:before="0" w:beforeAutospacing="0" w:after="0" w:afterAutospacing="0"/>
              <w:rPr>
                <w:noProof/>
                <w:color w:val="000000" w:themeColor="text1"/>
              </w:rPr>
            </w:pPr>
            <w:r>
              <w:rPr>
                <w:noProof/>
                <w:color w:val="000000" w:themeColor="text1"/>
              </w:rPr>
              <w:t>B1 – Legal Migration and Integration</w:t>
            </w:r>
          </w:p>
          <w:p w:rsidR="00821F17" w:rsidRDefault="006B159E">
            <w:pPr>
              <w:pStyle w:val="NormalWeb"/>
              <w:spacing w:before="0" w:beforeAutospacing="0" w:after="0" w:afterAutospacing="0"/>
              <w:rPr>
                <w:noProof/>
                <w:color w:val="000000" w:themeColor="text1"/>
              </w:rPr>
            </w:pPr>
            <w:r>
              <w:rPr>
                <w:noProof/>
                <w:color w:val="000000" w:themeColor="text1"/>
              </w:rPr>
              <w:t>E1 – Union Actions</w:t>
            </w:r>
          </w:p>
          <w:p w:rsidR="00821F17" w:rsidRDefault="006B159E">
            <w:pPr>
              <w:pStyle w:val="NormalWeb"/>
              <w:spacing w:before="0" w:beforeAutospacing="0" w:after="0" w:afterAutospacing="0"/>
              <w:rPr>
                <w:noProof/>
                <w:color w:val="000000" w:themeColor="text1"/>
              </w:rPr>
            </w:pPr>
            <w:r>
              <w:rPr>
                <w:noProof/>
                <w:color w:val="000000" w:themeColor="text1"/>
              </w:rPr>
              <w:t>E2 – National programmes for South and East Europe, evaluation, AMIF/ISF Committee</w:t>
            </w:r>
          </w:p>
          <w:p w:rsidR="00821F17" w:rsidRDefault="006B159E">
            <w:pPr>
              <w:pStyle w:val="NormalWeb"/>
              <w:spacing w:before="0" w:beforeAutospacing="0" w:after="0" w:afterAutospacing="0"/>
              <w:rPr>
                <w:noProof/>
              </w:rPr>
            </w:pPr>
            <w:r>
              <w:rPr>
                <w:noProof/>
                <w:color w:val="000000" w:themeColor="text1"/>
              </w:rPr>
              <w:t>E3 - National programmes for North and West Europe, budget, MFF, agencies</w:t>
            </w:r>
          </w:p>
        </w:tc>
      </w:tr>
      <w:tr w:rsidR="00821F17">
        <w:tc>
          <w:tcPr>
            <w:tcW w:w="3652" w:type="dxa"/>
            <w:shd w:val="clear" w:color="auto" w:fill="auto"/>
          </w:tcPr>
          <w:p w:rsidR="00821F17" w:rsidRDefault="006B159E">
            <w:pPr>
              <w:pStyle w:val="NormalWeb"/>
              <w:rPr>
                <w:noProof/>
              </w:rPr>
            </w:pPr>
            <w:r>
              <w:rPr>
                <w:noProof/>
              </w:rPr>
              <w:t xml:space="preserve">Participating DGs </w:t>
            </w:r>
          </w:p>
        </w:tc>
        <w:tc>
          <w:tcPr>
            <w:tcW w:w="5182" w:type="dxa"/>
          </w:tcPr>
          <w:p w:rsidR="00821F17" w:rsidRDefault="006B159E">
            <w:pPr>
              <w:pStyle w:val="NormalWeb"/>
              <w:spacing w:before="0" w:beforeAutospacing="0" w:after="0" w:afterAutospacing="0"/>
              <w:rPr>
                <w:noProof/>
                <w:color w:val="000000" w:themeColor="text1"/>
              </w:rPr>
            </w:pPr>
            <w:r>
              <w:rPr>
                <w:noProof/>
                <w:color w:val="000000" w:themeColor="text1"/>
              </w:rPr>
              <w:t>Secretariat General, Se</w:t>
            </w:r>
            <w:r>
              <w:rPr>
                <w:noProof/>
                <w:color w:val="000000" w:themeColor="text1"/>
              </w:rPr>
              <w:t xml:space="preserve">rvice Juridique, REGIO, BUDGET, EMPL </w:t>
            </w:r>
          </w:p>
        </w:tc>
      </w:tr>
      <w:tr w:rsidR="00821F17">
        <w:tc>
          <w:tcPr>
            <w:tcW w:w="3652" w:type="dxa"/>
            <w:shd w:val="clear" w:color="auto" w:fill="auto"/>
          </w:tcPr>
          <w:p w:rsidR="00821F17" w:rsidRDefault="006B159E">
            <w:pPr>
              <w:pStyle w:val="NormalWeb"/>
              <w:rPr>
                <w:noProof/>
              </w:rPr>
            </w:pPr>
            <w:r>
              <w:rPr>
                <w:noProof/>
              </w:rPr>
              <w:t>Roadmap approval</w:t>
            </w:r>
          </w:p>
        </w:tc>
        <w:tc>
          <w:tcPr>
            <w:tcW w:w="5182" w:type="dxa"/>
          </w:tcPr>
          <w:p w:rsidR="00821F17" w:rsidRDefault="006B159E">
            <w:pPr>
              <w:pStyle w:val="NormalWeb"/>
              <w:rPr>
                <w:noProof/>
              </w:rPr>
            </w:pPr>
            <w:r>
              <w:rPr>
                <w:noProof/>
              </w:rPr>
              <w:t>October 2015</w:t>
            </w:r>
          </w:p>
        </w:tc>
      </w:tr>
      <w:tr w:rsidR="00821F17">
        <w:tc>
          <w:tcPr>
            <w:tcW w:w="3652" w:type="dxa"/>
            <w:shd w:val="clear" w:color="auto" w:fill="auto"/>
          </w:tcPr>
          <w:p w:rsidR="00821F17" w:rsidRDefault="006B159E">
            <w:pPr>
              <w:pStyle w:val="NormalWeb"/>
              <w:rPr>
                <w:noProof/>
              </w:rPr>
            </w:pPr>
            <w:r>
              <w:rPr>
                <w:noProof/>
              </w:rPr>
              <w:t xml:space="preserve">Agenda Planning </w:t>
            </w:r>
          </w:p>
        </w:tc>
        <w:tc>
          <w:tcPr>
            <w:tcW w:w="5182" w:type="dxa"/>
          </w:tcPr>
          <w:p w:rsidR="00821F17" w:rsidRDefault="006B159E">
            <w:pPr>
              <w:pStyle w:val="NormalWeb"/>
              <w:rPr>
                <w:noProof/>
              </w:rPr>
            </w:pPr>
            <w:r>
              <w:rPr>
                <w:noProof/>
              </w:rPr>
              <w:t>2016/HOME/080</w:t>
            </w:r>
          </w:p>
        </w:tc>
      </w:tr>
      <w:tr w:rsidR="00821F17">
        <w:tc>
          <w:tcPr>
            <w:tcW w:w="3652" w:type="dxa"/>
            <w:shd w:val="clear" w:color="auto" w:fill="auto"/>
          </w:tcPr>
          <w:p w:rsidR="00821F17" w:rsidRDefault="006B159E">
            <w:pPr>
              <w:pStyle w:val="NormalWeb"/>
              <w:rPr>
                <w:noProof/>
              </w:rPr>
            </w:pPr>
            <w:r>
              <w:rPr>
                <w:noProof/>
              </w:rPr>
              <w:t>External consulting firm specialised in evaluation</w:t>
            </w:r>
          </w:p>
        </w:tc>
        <w:tc>
          <w:tcPr>
            <w:tcW w:w="5182" w:type="dxa"/>
          </w:tcPr>
          <w:p w:rsidR="00821F17" w:rsidRDefault="006B159E">
            <w:pPr>
              <w:pStyle w:val="NormalWeb"/>
              <w:spacing w:before="0" w:beforeAutospacing="0" w:after="0" w:afterAutospacing="0"/>
              <w:rPr>
                <w:noProof/>
              </w:rPr>
            </w:pPr>
            <w:r>
              <w:rPr>
                <w:noProof/>
              </w:rPr>
              <w:t xml:space="preserve">Contract signed in April 2016 with a consortium of companies: </w:t>
            </w:r>
          </w:p>
          <w:p w:rsidR="00821F17" w:rsidRDefault="006B159E">
            <w:pPr>
              <w:pStyle w:val="NormalWeb"/>
              <w:numPr>
                <w:ilvl w:val="0"/>
                <w:numId w:val="4"/>
              </w:numPr>
              <w:spacing w:before="0" w:beforeAutospacing="0" w:after="0" w:afterAutospacing="0"/>
              <w:rPr>
                <w:noProof/>
              </w:rPr>
            </w:pPr>
            <w:r>
              <w:rPr>
                <w:noProof/>
              </w:rPr>
              <w:t xml:space="preserve">Ramboll Management Consulting A/S (lead </w:t>
            </w:r>
            <w:r>
              <w:rPr>
                <w:noProof/>
              </w:rPr>
              <w:t>partner)</w:t>
            </w:r>
          </w:p>
          <w:p w:rsidR="00821F17" w:rsidRDefault="006B159E">
            <w:pPr>
              <w:pStyle w:val="NormalWeb"/>
              <w:numPr>
                <w:ilvl w:val="0"/>
                <w:numId w:val="4"/>
              </w:numPr>
              <w:spacing w:before="0" w:beforeAutospacing="0" w:after="0" w:afterAutospacing="0"/>
              <w:rPr>
                <w:noProof/>
              </w:rPr>
            </w:pPr>
            <w:r>
              <w:rPr>
                <w:noProof/>
              </w:rPr>
              <w:t>PwC EU Services EESV</w:t>
            </w:r>
          </w:p>
          <w:p w:rsidR="00821F17" w:rsidRDefault="006B159E">
            <w:pPr>
              <w:pStyle w:val="NormalWeb"/>
              <w:numPr>
                <w:ilvl w:val="0"/>
                <w:numId w:val="4"/>
              </w:numPr>
              <w:spacing w:before="0" w:beforeAutospacing="0" w:after="0" w:afterAutospacing="0"/>
              <w:rPr>
                <w:noProof/>
              </w:rPr>
            </w:pPr>
            <w:r>
              <w:rPr>
                <w:noProof/>
              </w:rPr>
              <w:t>Milieu Ltd</w:t>
            </w:r>
          </w:p>
        </w:tc>
      </w:tr>
      <w:tr w:rsidR="00821F17">
        <w:tc>
          <w:tcPr>
            <w:tcW w:w="3652" w:type="dxa"/>
            <w:shd w:val="clear" w:color="auto" w:fill="auto"/>
          </w:tcPr>
          <w:p w:rsidR="00821F17" w:rsidRDefault="006B159E">
            <w:pPr>
              <w:pStyle w:val="NormalWeb"/>
              <w:rPr>
                <w:noProof/>
                <w:highlight w:val="yellow"/>
              </w:rPr>
            </w:pPr>
            <w:r>
              <w:rPr>
                <w:noProof/>
              </w:rPr>
              <w:t>Number of steering group meetings</w:t>
            </w:r>
          </w:p>
        </w:tc>
        <w:tc>
          <w:tcPr>
            <w:tcW w:w="5182" w:type="dxa"/>
          </w:tcPr>
          <w:p w:rsidR="00821F17" w:rsidRDefault="006B159E">
            <w:pPr>
              <w:pStyle w:val="NormalWeb"/>
              <w:rPr>
                <w:noProof/>
                <w:highlight w:val="yellow"/>
              </w:rPr>
            </w:pPr>
            <w:r>
              <w:rPr>
                <w:noProof/>
                <w:color w:val="000000" w:themeColor="text1"/>
              </w:rPr>
              <w:t xml:space="preserve"> 5</w:t>
            </w:r>
          </w:p>
        </w:tc>
      </w:tr>
      <w:tr w:rsidR="00821F17">
        <w:tc>
          <w:tcPr>
            <w:tcW w:w="3652" w:type="dxa"/>
            <w:shd w:val="clear" w:color="auto" w:fill="auto"/>
          </w:tcPr>
          <w:p w:rsidR="00821F17" w:rsidRDefault="006B159E">
            <w:pPr>
              <w:pStyle w:val="NormalWeb"/>
              <w:rPr>
                <w:noProof/>
              </w:rPr>
            </w:pPr>
            <w:r>
              <w:rPr>
                <w:noProof/>
              </w:rPr>
              <w:t>Last deliverable handed in</w:t>
            </w:r>
          </w:p>
        </w:tc>
        <w:tc>
          <w:tcPr>
            <w:tcW w:w="5182" w:type="dxa"/>
          </w:tcPr>
          <w:p w:rsidR="00821F17" w:rsidRDefault="006B159E">
            <w:pPr>
              <w:pStyle w:val="NormalWeb"/>
              <w:rPr>
                <w:noProof/>
              </w:rPr>
            </w:pPr>
            <w:r>
              <w:rPr>
                <w:noProof/>
              </w:rPr>
              <w:t>15 October 2016</w:t>
            </w:r>
          </w:p>
        </w:tc>
      </w:tr>
      <w:tr w:rsidR="00821F17">
        <w:tc>
          <w:tcPr>
            <w:tcW w:w="3652" w:type="dxa"/>
            <w:shd w:val="clear" w:color="auto" w:fill="auto"/>
          </w:tcPr>
          <w:p w:rsidR="00821F17" w:rsidRDefault="006B159E">
            <w:pPr>
              <w:pStyle w:val="NormalWeb"/>
              <w:rPr>
                <w:noProof/>
              </w:rPr>
            </w:pPr>
            <w:r>
              <w:rPr>
                <w:noProof/>
              </w:rPr>
              <w:t>Approval of the final report by Steering Group</w:t>
            </w:r>
          </w:p>
        </w:tc>
        <w:tc>
          <w:tcPr>
            <w:tcW w:w="5182" w:type="dxa"/>
          </w:tcPr>
          <w:p w:rsidR="00821F17" w:rsidRDefault="006B159E">
            <w:pPr>
              <w:pStyle w:val="NormalWeb"/>
              <w:rPr>
                <w:noProof/>
              </w:rPr>
            </w:pPr>
            <w:r>
              <w:rPr>
                <w:noProof/>
              </w:rPr>
              <w:t>28 October 2016</w:t>
            </w:r>
          </w:p>
        </w:tc>
      </w:tr>
    </w:tbl>
    <w:p w:rsidR="00821F17" w:rsidRDefault="006B159E">
      <w:pPr>
        <w:rPr>
          <w:rFonts w:ascii="Times New Roman" w:hAnsi="Times New Roman" w:cs="Times New Roman"/>
          <w:noProof/>
          <w:sz w:val="24"/>
          <w:szCs w:val="24"/>
        </w:rPr>
      </w:pPr>
      <w:r>
        <w:rPr>
          <w:rFonts w:ascii="Times New Roman" w:hAnsi="Times New Roman" w:cs="Times New Roman"/>
          <w:b/>
          <w:bCs/>
          <w:smallCaps/>
          <w:noProof/>
          <w:sz w:val="24"/>
          <w:szCs w:val="24"/>
        </w:rPr>
        <w:br w:type="page"/>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9066"/>
        <w:gridCol w:w="222"/>
      </w:tblGrid>
      <w:tr w:rsidR="00821F17">
        <w:tc>
          <w:tcPr>
            <w:tcW w:w="9066" w:type="dxa"/>
            <w:shd w:val="clear" w:color="auto" w:fill="auto"/>
            <w:vAlign w:val="center"/>
          </w:tcPr>
          <w:p w:rsidR="00821F17" w:rsidRDefault="006B159E">
            <w:pPr>
              <w:pStyle w:val="Heading1"/>
              <w:numPr>
                <w:ilvl w:val="0"/>
                <w:numId w:val="0"/>
              </w:numPr>
              <w:rPr>
                <w:rFonts w:cs="Times New Roman"/>
                <w:noProof/>
                <w:sz w:val="24"/>
                <w:szCs w:val="24"/>
                <w:lang w:val="en-GB"/>
              </w:rPr>
            </w:pPr>
            <w:bookmarkStart w:id="30" w:name="_Toc501546859"/>
            <w:r>
              <w:rPr>
                <w:rFonts w:cs="Times New Roman"/>
                <w:noProof/>
                <w:sz w:val="24"/>
                <w:szCs w:val="24"/>
                <w:lang w:val="en-GB"/>
              </w:rPr>
              <w:t>ANNEX 2 - Stakeholder consultation</w:t>
            </w:r>
            <w:bookmarkEnd w:id="30"/>
          </w:p>
          <w:p w:rsidR="00821F17" w:rsidRDefault="006B159E">
            <w:pPr>
              <w:pStyle w:val="Heading2"/>
              <w:rPr>
                <w:noProof/>
              </w:rPr>
            </w:pPr>
            <w:bookmarkStart w:id="31" w:name="_Toc499304522"/>
            <w:bookmarkStart w:id="32" w:name="_Toc501546860"/>
            <w:r>
              <w:rPr>
                <w:noProof/>
              </w:rPr>
              <w:t>Overview</w:t>
            </w:r>
            <w:bookmarkEnd w:id="31"/>
            <w:bookmarkEnd w:id="32"/>
          </w:p>
          <w:p w:rsidR="00821F17" w:rsidRDefault="006B159E">
            <w:pPr>
              <w:pStyle w:val="Body"/>
              <w:rPr>
                <w:rFonts w:ascii="Times New Roman" w:hAnsi="Times New Roman" w:cs="Times New Roman"/>
                <w:noProof/>
                <w:sz w:val="24"/>
                <w:szCs w:val="24"/>
                <w:lang w:val="en-GB"/>
              </w:rPr>
            </w:pPr>
            <w:r>
              <w:rPr>
                <w:rFonts w:ascii="Times New Roman" w:hAnsi="Times New Roman" w:cs="Times New Roman"/>
                <w:noProof/>
                <w:sz w:val="24"/>
                <w:szCs w:val="24"/>
                <w:lang w:val="en-GB"/>
              </w:rPr>
              <w:t>In order to inform the</w:t>
            </w:r>
            <w:r>
              <w:rPr>
                <w:rFonts w:ascii="Times New Roman" w:hAnsi="Times New Roman" w:cs="Times New Roman"/>
                <w:noProof/>
                <w:sz w:val="24"/>
                <w:szCs w:val="24"/>
                <w:lang w:val="en-GB"/>
              </w:rPr>
              <w:t xml:space="preserve"> ex post evaluation of the European Fund for the Integration of Third Country Nationals (EIF) for 2011-2013, several stakeholders were consulted through public and targeted consultations conducted by the European Commission on the one hand and by the exter</w:t>
            </w:r>
            <w:r>
              <w:rPr>
                <w:rFonts w:ascii="Times New Roman" w:hAnsi="Times New Roman" w:cs="Times New Roman"/>
                <w:noProof/>
                <w:sz w:val="24"/>
                <w:szCs w:val="24"/>
                <w:lang w:val="en-GB"/>
              </w:rPr>
              <w:t>nal evaluators on the other, in the framework of their contract with the Commission to provide a study on the ex post evaluation of the implementation of the EIF. This annex provides an overview of the consultation processes and the type of stakeholders co</w:t>
            </w:r>
            <w:r>
              <w:rPr>
                <w:rFonts w:ascii="Times New Roman" w:hAnsi="Times New Roman" w:cs="Times New Roman"/>
                <w:noProof/>
                <w:sz w:val="24"/>
                <w:szCs w:val="24"/>
                <w:lang w:val="en-GB"/>
              </w:rPr>
              <w:t>nsulted, and presents the results of these consultations. These results have been compiled and summarised from the responses received by the European Commission to its Public Consultation, and from the final ex post evaluation report of the EIF submitted b</w:t>
            </w:r>
            <w:r>
              <w:rPr>
                <w:rFonts w:ascii="Times New Roman" w:hAnsi="Times New Roman" w:cs="Times New Roman"/>
                <w:noProof/>
                <w:sz w:val="24"/>
                <w:szCs w:val="24"/>
                <w:lang w:val="en-GB"/>
              </w:rPr>
              <w:t>y the external evaluators.</w:t>
            </w:r>
          </w:p>
          <w:p w:rsidR="00821F17" w:rsidRDefault="00821F17">
            <w:pPr>
              <w:pStyle w:val="Default"/>
              <w:jc w:val="both"/>
              <w:rPr>
                <w:noProof/>
              </w:rPr>
            </w:pPr>
          </w:p>
          <w:p w:rsidR="00821F17" w:rsidRDefault="006B159E">
            <w:pPr>
              <w:spacing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The public consultation conducted by the European Commission</w:t>
            </w:r>
          </w:p>
          <w:p w:rsidR="00821F17" w:rsidRDefault="006B159E">
            <w:pPr>
              <w:pStyle w:val="Default"/>
              <w:jc w:val="both"/>
              <w:rPr>
                <w:noProof/>
              </w:rPr>
            </w:pPr>
            <w:r>
              <w:rPr>
                <w:noProof/>
              </w:rPr>
              <w:t xml:space="preserve">Between 11 May 2016 and 11 August 2016, the European Commission held a public consultation on the EIF </w:t>
            </w:r>
            <w:r>
              <w:rPr>
                <w:noProof/>
                <w:lang w:val="en"/>
              </w:rPr>
              <w:t>2007-2010 and 2011-2013</w:t>
            </w:r>
            <w:r>
              <w:rPr>
                <w:noProof/>
              </w:rPr>
              <w:t xml:space="preserve"> in the form of an online questionnaire. T</w:t>
            </w:r>
            <w:r>
              <w:rPr>
                <w:noProof/>
              </w:rPr>
              <w:t xml:space="preserve">he types of stakeholders invited to participate in this consultation were: individuals (experts, beneficiaries), local and national Member State authorities, intergovernmental and non-governmental organisations, social partners and civil society, academic </w:t>
            </w:r>
            <w:r>
              <w:rPr>
                <w:noProof/>
              </w:rPr>
              <w:t>institutions, international organisations, and EU Institutions and Agencies. The final number of respondents was small: 24 responses were received from 9 Member States (BE, PT, MT, CY, AT, LV, IE, FI, ES). Given this low response rate, contributions cannot</w:t>
            </w:r>
            <w:r>
              <w:rPr>
                <w:noProof/>
              </w:rPr>
              <w:t xml:space="preserve"> be considered as being representative of the targeted stakeholders, but the results may provide additional insights nonetheless and will be presented below together with the findings of the other consultations. Another limitation is the fact that the info</w:t>
            </w:r>
            <w:r>
              <w:rPr>
                <w:noProof/>
              </w:rPr>
              <w:t>rmation available on the identities of the participants is based on self-reported values which cannot be verified.</w:t>
            </w:r>
          </w:p>
          <w:p w:rsidR="00821F17" w:rsidRDefault="00821F17">
            <w:pPr>
              <w:spacing w:line="240" w:lineRule="auto"/>
              <w:jc w:val="both"/>
              <w:rPr>
                <w:rFonts w:ascii="Times New Roman" w:hAnsi="Times New Roman" w:cs="Times New Roman"/>
                <w:i/>
                <w:noProof/>
                <w:sz w:val="24"/>
                <w:szCs w:val="24"/>
              </w:rPr>
            </w:pPr>
          </w:p>
          <w:p w:rsidR="00821F17" w:rsidRDefault="006B159E">
            <w:pPr>
              <w:spacing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The consultations conducted by the external evaluators</w:t>
            </w:r>
          </w:p>
          <w:p w:rsidR="00821F17" w:rsidRDefault="006B159E">
            <w:pPr>
              <w:pStyle w:val="Body"/>
              <w:rPr>
                <w:rFonts w:ascii="Times New Roman" w:hAnsi="Times New Roman" w:cs="Times New Roman"/>
                <w:noProof/>
                <w:sz w:val="24"/>
                <w:szCs w:val="24"/>
                <w:lang w:val="en-GB"/>
              </w:rPr>
            </w:pPr>
            <w:r>
              <w:rPr>
                <w:rFonts w:ascii="Times New Roman" w:hAnsi="Times New Roman" w:cs="Times New Roman"/>
                <w:noProof/>
                <w:sz w:val="24"/>
                <w:szCs w:val="24"/>
                <w:lang w:val="en-GB"/>
              </w:rPr>
              <w:t>After conducting initial, explorative interviews with DG HOME officials, the external</w:t>
            </w:r>
            <w:r>
              <w:rPr>
                <w:rFonts w:ascii="Times New Roman" w:hAnsi="Times New Roman" w:cs="Times New Roman"/>
                <w:noProof/>
                <w:sz w:val="24"/>
                <w:szCs w:val="24"/>
                <w:lang w:val="en-GB"/>
              </w:rPr>
              <w:t xml:space="preserve"> evaluators conducted three types of targeted consultations with varied types of stakeholders and analysed 8 case studies. This section provides an overview of the consultation process that took place in this framework.</w:t>
            </w:r>
          </w:p>
          <w:p w:rsidR="00821F17" w:rsidRDefault="006B159E">
            <w:pPr>
              <w:pStyle w:val="Body"/>
              <w:rPr>
                <w:rFonts w:ascii="Times New Roman" w:hAnsi="Times New Roman" w:cs="Times New Roman"/>
                <w:noProof/>
                <w:sz w:val="24"/>
                <w:szCs w:val="24"/>
                <w:lang w:val="en-GB"/>
              </w:rPr>
            </w:pPr>
            <w:r>
              <w:rPr>
                <w:rFonts w:ascii="Times New Roman" w:hAnsi="Times New Roman" w:cs="Times New Roman"/>
                <w:b/>
                <w:noProof/>
                <w:sz w:val="24"/>
                <w:szCs w:val="24"/>
                <w:lang w:val="en-GB"/>
              </w:rPr>
              <w:t xml:space="preserve">1. Interviews and a phone survey in </w:t>
            </w:r>
            <w:r>
              <w:rPr>
                <w:rFonts w:ascii="Times New Roman" w:hAnsi="Times New Roman" w:cs="Times New Roman"/>
                <w:b/>
                <w:noProof/>
                <w:sz w:val="24"/>
                <w:szCs w:val="24"/>
                <w:lang w:val="en-GB"/>
              </w:rPr>
              <w:t xml:space="preserve">relation to the Community actions: </w:t>
            </w:r>
            <w:r>
              <w:rPr>
                <w:rFonts w:ascii="Times New Roman" w:hAnsi="Times New Roman" w:cs="Times New Roman"/>
                <w:noProof/>
                <w:sz w:val="24"/>
                <w:szCs w:val="24"/>
                <w:lang w:val="en-GB"/>
              </w:rPr>
              <w:t>5 Commission officials who coordinated or administered the Community actions were interviewed, along with 20 Project Managers and 4 Responsible Authorities (RAs).</w:t>
            </w:r>
          </w:p>
          <w:p w:rsidR="00821F17" w:rsidRDefault="006B159E">
            <w:pPr>
              <w:pStyle w:val="Body"/>
              <w:rPr>
                <w:rFonts w:ascii="Times New Roman" w:hAnsi="Times New Roman" w:cs="Times New Roman"/>
                <w:noProof/>
                <w:sz w:val="24"/>
                <w:szCs w:val="24"/>
                <w:lang w:val="en-GB"/>
              </w:rPr>
            </w:pPr>
            <w:r>
              <w:rPr>
                <w:rFonts w:ascii="Times New Roman" w:hAnsi="Times New Roman" w:cs="Times New Roman"/>
                <w:b/>
                <w:noProof/>
                <w:sz w:val="24"/>
                <w:szCs w:val="24"/>
                <w:lang w:val="en-GB"/>
              </w:rPr>
              <w:t>2. EU-level interviews were carried out</w:t>
            </w:r>
            <w:r>
              <w:rPr>
                <w:rFonts w:ascii="Times New Roman" w:hAnsi="Times New Roman" w:cs="Times New Roman"/>
                <w:noProof/>
                <w:sz w:val="24"/>
                <w:szCs w:val="24"/>
                <w:lang w:val="en-GB"/>
              </w:rPr>
              <w:t xml:space="preserve"> with a small sampl</w:t>
            </w:r>
            <w:r>
              <w:rPr>
                <w:rFonts w:ascii="Times New Roman" w:hAnsi="Times New Roman" w:cs="Times New Roman"/>
                <w:noProof/>
                <w:sz w:val="24"/>
                <w:szCs w:val="24"/>
                <w:lang w:val="en-GB"/>
              </w:rPr>
              <w:t>e of stakeholders regarding both national and Community actions, to assess the complementarity and coherence of the EIF with other EU funding instruments that have a potential impact on the integration of third country nationals (TNCs). Questions were also</w:t>
            </w:r>
            <w:r>
              <w:rPr>
                <w:rFonts w:ascii="Times New Roman" w:hAnsi="Times New Roman" w:cs="Times New Roman"/>
                <w:noProof/>
                <w:sz w:val="24"/>
                <w:szCs w:val="24"/>
                <w:lang w:val="en-GB"/>
              </w:rPr>
              <w:t xml:space="preserve"> asked about the relevance and efficiency of the EIF. At DG HOME 6 officials were interviewed.</w:t>
            </w:r>
          </w:p>
          <w:p w:rsidR="00821F17" w:rsidRDefault="006B159E">
            <w:pPr>
              <w:pStyle w:val="Body"/>
              <w:rPr>
                <w:rFonts w:ascii="Times New Roman" w:hAnsi="Times New Roman" w:cs="Times New Roman"/>
                <w:noProof/>
                <w:sz w:val="24"/>
                <w:szCs w:val="24"/>
                <w:lang w:val="en-GB"/>
              </w:rPr>
            </w:pPr>
            <w:r>
              <w:rPr>
                <w:rFonts w:ascii="Times New Roman" w:hAnsi="Times New Roman" w:cs="Times New Roman"/>
                <w:noProof/>
                <w:sz w:val="24"/>
                <w:szCs w:val="24"/>
                <w:lang w:val="en-GB"/>
              </w:rPr>
              <w:t>In addition, 4 European Social Fund (ESF) representatives, 1 Eurofound representative, and 2 European Parliament LIBE Committee members were contacted. None of t</w:t>
            </w:r>
            <w:r>
              <w:rPr>
                <w:rFonts w:ascii="Times New Roman" w:hAnsi="Times New Roman" w:cs="Times New Roman"/>
                <w:noProof/>
                <w:sz w:val="24"/>
                <w:szCs w:val="24"/>
                <w:lang w:val="en-GB"/>
              </w:rPr>
              <w:t>hese persons were available for interviewing however.</w:t>
            </w:r>
          </w:p>
          <w:p w:rsidR="00821F17" w:rsidRDefault="006B159E">
            <w:pPr>
              <w:pStyle w:val="Body"/>
              <w:rPr>
                <w:rFonts w:ascii="Times New Roman" w:hAnsi="Times New Roman" w:cs="Times New Roman"/>
                <w:noProof/>
                <w:sz w:val="24"/>
                <w:szCs w:val="24"/>
                <w:lang w:val="en-GB"/>
              </w:rPr>
            </w:pPr>
            <w:r>
              <w:rPr>
                <w:rFonts w:ascii="Times New Roman" w:hAnsi="Times New Roman" w:cs="Times New Roman"/>
                <w:b/>
                <w:noProof/>
                <w:sz w:val="24"/>
                <w:szCs w:val="24"/>
                <w:lang w:val="en-GB"/>
              </w:rPr>
              <w:t>3. Case studies</w:t>
            </w:r>
            <w:r>
              <w:rPr>
                <w:rFonts w:ascii="Times New Roman" w:hAnsi="Times New Roman" w:cs="Times New Roman"/>
                <w:noProof/>
                <w:sz w:val="24"/>
                <w:szCs w:val="24"/>
                <w:lang w:val="en-GB"/>
              </w:rPr>
              <w:t xml:space="preserve"> were carried out as part of the evaluation of EIF in 8 Member States: Belgium, France, Germany, Italy, Latvia, Poland, Spain and Sweden. A total of 12 desk officers, 21 RAs or delegated </w:t>
            </w:r>
            <w:r>
              <w:rPr>
                <w:rFonts w:ascii="Times New Roman" w:hAnsi="Times New Roman" w:cs="Times New Roman"/>
                <w:noProof/>
                <w:sz w:val="24"/>
                <w:szCs w:val="24"/>
                <w:lang w:val="en-GB"/>
              </w:rPr>
              <w:t>authorities, and 59 beneficiaries were interviewed.</w:t>
            </w:r>
          </w:p>
          <w:p w:rsidR="00821F17" w:rsidRDefault="006B159E">
            <w:pPr>
              <w:pStyle w:val="Heading2"/>
              <w:rPr>
                <w:noProof/>
              </w:rPr>
            </w:pPr>
            <w:bookmarkStart w:id="33" w:name="_Toc499304523"/>
            <w:bookmarkStart w:id="34" w:name="_Toc501546861"/>
            <w:r>
              <w:rPr>
                <w:noProof/>
              </w:rPr>
              <w:t>Results</w:t>
            </w:r>
            <w:bookmarkEnd w:id="33"/>
            <w:bookmarkEnd w:id="34"/>
          </w:p>
          <w:p w:rsidR="00821F17" w:rsidRDefault="006B159E">
            <w:pPr>
              <w:pStyle w:val="Body"/>
              <w:rPr>
                <w:rFonts w:ascii="Times New Roman" w:hAnsi="Times New Roman" w:cs="Times New Roman"/>
                <w:noProof/>
                <w:sz w:val="24"/>
                <w:szCs w:val="24"/>
                <w:lang w:val="en-GB"/>
              </w:rPr>
            </w:pPr>
            <w:r>
              <w:rPr>
                <w:rFonts w:ascii="Times New Roman" w:hAnsi="Times New Roman" w:cs="Times New Roman"/>
                <w:noProof/>
                <w:sz w:val="24"/>
                <w:szCs w:val="24"/>
                <w:lang w:val="en-GB"/>
              </w:rPr>
              <w:t>The most relevant results of the consultations carried out by the European Commission and the independent experts are grouped in this section and presented according to the following evaluation cr</w:t>
            </w:r>
            <w:r>
              <w:rPr>
                <w:rFonts w:ascii="Times New Roman" w:hAnsi="Times New Roman" w:cs="Times New Roman"/>
                <w:noProof/>
                <w:sz w:val="24"/>
                <w:szCs w:val="24"/>
                <w:lang w:val="en-GB"/>
              </w:rPr>
              <w:t>iteria: relevance and utility, effectiveness, efficiency, sustainability, coherence and complementarity, and EU added value.</w:t>
            </w:r>
          </w:p>
          <w:p w:rsidR="00821F17" w:rsidRDefault="006B159E">
            <w:pPr>
              <w:pStyle w:val="Heading3"/>
              <w:ind w:left="720" w:hanging="720"/>
              <w:rPr>
                <w:noProof/>
              </w:rPr>
            </w:pPr>
            <w:bookmarkStart w:id="35" w:name="_Toc499304524"/>
            <w:bookmarkStart w:id="36" w:name="_Toc501546862"/>
            <w:r>
              <w:rPr>
                <w:noProof/>
              </w:rPr>
              <w:t>Relevance</w:t>
            </w:r>
            <w:bookmarkEnd w:id="35"/>
            <w:bookmarkEnd w:id="36"/>
          </w:p>
          <w:p w:rsidR="00821F17" w:rsidRDefault="006B159E">
            <w:pPr>
              <w:pStyle w:val="Body"/>
              <w:rPr>
                <w:rFonts w:ascii="Times New Roman" w:hAnsi="Times New Roman" w:cs="Times New Roman"/>
                <w:noProof/>
                <w:sz w:val="24"/>
                <w:szCs w:val="24"/>
                <w:lang w:val="en-GB"/>
              </w:rPr>
            </w:pPr>
            <w:r>
              <w:rPr>
                <w:rFonts w:ascii="Times New Roman" w:hAnsi="Times New Roman" w:cs="Times New Roman"/>
                <w:noProof/>
                <w:sz w:val="24"/>
                <w:szCs w:val="24"/>
                <w:lang w:val="en-GB"/>
              </w:rPr>
              <w:t>Regarding the relevance of the actions funded under the EIF, question 10 of the Commission's public consultation asked pa</w:t>
            </w:r>
            <w:r>
              <w:rPr>
                <w:rFonts w:ascii="Times New Roman" w:hAnsi="Times New Roman" w:cs="Times New Roman"/>
                <w:noProof/>
                <w:sz w:val="24"/>
                <w:szCs w:val="24"/>
                <w:lang w:val="en-GB"/>
              </w:rPr>
              <w:t>rticipants whether, in their opinion, the projects and activities supported or financed by the fund in their country of residence addressed the needs of the potential beneficiaries. The majority of participants found that the needs were addressed to some e</w:t>
            </w:r>
            <w:r>
              <w:rPr>
                <w:rFonts w:ascii="Times New Roman" w:hAnsi="Times New Roman" w:cs="Times New Roman"/>
                <w:noProof/>
                <w:sz w:val="24"/>
                <w:szCs w:val="24"/>
                <w:lang w:val="en-GB"/>
              </w:rPr>
              <w:t>xtent (14 Yes, 9 Yes but with some problems).</w:t>
            </w:r>
          </w:p>
          <w:p w:rsidR="00821F17" w:rsidRDefault="00821F17">
            <w:pPr>
              <w:pStyle w:val="NoSpacing"/>
              <w:jc w:val="both"/>
              <w:rPr>
                <w:rFonts w:ascii="Times New Roman" w:hAnsi="Times New Roman" w:cs="Times New Roman"/>
                <w:noProof/>
                <w:sz w:val="24"/>
                <w:szCs w:val="24"/>
              </w:rPr>
            </w:pPr>
          </w:p>
          <w:p w:rsidR="00821F17" w:rsidRDefault="006B159E">
            <w:pPr>
              <w:pStyle w:val="NoSpacing"/>
              <w:jc w:val="both"/>
              <w:rPr>
                <w:rFonts w:ascii="Times New Roman" w:hAnsi="Times New Roman" w:cs="Times New Roman"/>
                <w:noProof/>
                <w:sz w:val="24"/>
                <w:szCs w:val="24"/>
              </w:rPr>
            </w:pPr>
            <w:r>
              <w:rPr>
                <w:rFonts w:ascii="Times New Roman" w:hAnsi="Times New Roman" w:cs="Times New Roman"/>
                <w:noProof/>
                <w:sz w:val="24"/>
                <w:szCs w:val="24"/>
              </w:rPr>
              <w:t>A few problems or difficulties encountered for the EIF 2010-2013 were also highlighted by respondents:</w:t>
            </w:r>
          </w:p>
          <w:p w:rsidR="00821F17" w:rsidRDefault="006B159E">
            <w:pPr>
              <w:pStyle w:val="Default"/>
              <w:numPr>
                <w:ilvl w:val="0"/>
                <w:numId w:val="5"/>
              </w:numPr>
              <w:jc w:val="both"/>
              <w:rPr>
                <w:rFonts w:eastAsia="Times New Roman"/>
                <w:i/>
                <w:iCs/>
                <w:noProof/>
              </w:rPr>
            </w:pPr>
            <w:r>
              <w:rPr>
                <w:noProof/>
              </w:rPr>
              <w:t xml:space="preserve">small associations were said to have difficulty fulfilling all the requirements or "rules" of the </w:t>
            </w:r>
            <w:r>
              <w:rPr>
                <w:noProof/>
              </w:rPr>
              <w:t>projects;</w:t>
            </w:r>
          </w:p>
          <w:p w:rsidR="00821F17" w:rsidRDefault="006B159E">
            <w:pPr>
              <w:pStyle w:val="Default"/>
              <w:numPr>
                <w:ilvl w:val="0"/>
                <w:numId w:val="5"/>
              </w:numPr>
              <w:jc w:val="both"/>
              <w:rPr>
                <w:rFonts w:eastAsia="Times New Roman"/>
                <w:i/>
                <w:iCs/>
                <w:noProof/>
              </w:rPr>
            </w:pPr>
            <w:r>
              <w:rPr>
                <w:noProof/>
              </w:rPr>
              <w:t>there was thought to be a lack of financial resources at times, for example, sometimes resources were insufficient in relation to the number of applicants or potential beneficiaries;</w:t>
            </w:r>
          </w:p>
          <w:p w:rsidR="00821F17" w:rsidRDefault="006B159E">
            <w:pPr>
              <w:pStyle w:val="Default"/>
              <w:numPr>
                <w:ilvl w:val="0"/>
                <w:numId w:val="5"/>
              </w:numPr>
              <w:jc w:val="both"/>
              <w:rPr>
                <w:rFonts w:eastAsia="Times New Roman"/>
                <w:i/>
                <w:iCs/>
                <w:noProof/>
              </w:rPr>
            </w:pPr>
            <w:r>
              <w:rPr>
                <w:noProof/>
              </w:rPr>
              <w:t>limiting the eligibility for funding to TCNs was thought to exc</w:t>
            </w:r>
            <w:r>
              <w:rPr>
                <w:noProof/>
              </w:rPr>
              <w:t>lude naturalized citizens of immigrant origin.</w:t>
            </w:r>
          </w:p>
          <w:p w:rsidR="00821F17" w:rsidRDefault="00821F17">
            <w:pPr>
              <w:pStyle w:val="Default"/>
              <w:jc w:val="both"/>
              <w:rPr>
                <w:noProof/>
              </w:rPr>
            </w:pPr>
          </w:p>
          <w:p w:rsidR="00821F17" w:rsidRDefault="006B159E">
            <w:pPr>
              <w:pStyle w:val="Default"/>
              <w:jc w:val="both"/>
              <w:rPr>
                <w:noProof/>
              </w:rPr>
            </w:pPr>
            <w:r>
              <w:rPr>
                <w:noProof/>
              </w:rPr>
              <w:t>In line with the results of the public consultation, EU-level stakeholders interviewed by the external contractors as part of case studies generally assessed positively the relevance of the EIF, indicating th</w:t>
            </w:r>
            <w:r>
              <w:rPr>
                <w:noProof/>
              </w:rPr>
              <w:t>at the EIF had responded to needs in the area of integration. However, 9 out of 26 Member States (DE, EE, EL, ES, HU, LT, MT, RO and UK) pointed to a lack of interest/engagement among local level policy-makers, NGOs and TCNs. The Member States generally di</w:t>
            </w:r>
            <w:r>
              <w:rPr>
                <w:noProof/>
              </w:rPr>
              <w:t>d not provide firm assessments of why there was a lack of interest.</w:t>
            </w:r>
          </w:p>
          <w:p w:rsidR="00821F17" w:rsidRDefault="006B159E">
            <w:pPr>
              <w:pStyle w:val="Default"/>
              <w:jc w:val="both"/>
              <w:rPr>
                <w:noProof/>
              </w:rPr>
            </w:pPr>
            <w:r>
              <w:rPr>
                <w:noProof/>
              </w:rPr>
              <w:t xml:space="preserve">Problems highlighted regarding the relevance of the fund were the varying degree of relevance of the fund for given Member States, gaps in the covered needs, and the fact that the EIF </w:t>
            </w:r>
            <w:r>
              <w:rPr>
                <w:noProof/>
              </w:rPr>
              <w:t>focused largely on only one part of the population with integration needs, namely (newly arrived) TCNs.</w:t>
            </w:r>
          </w:p>
          <w:p w:rsidR="00821F17" w:rsidRDefault="00821F17">
            <w:pPr>
              <w:pStyle w:val="Default"/>
              <w:jc w:val="both"/>
              <w:rPr>
                <w:noProof/>
                <w:sz w:val="22"/>
                <w:szCs w:val="22"/>
              </w:rPr>
            </w:pPr>
          </w:p>
          <w:p w:rsidR="00821F17" w:rsidRDefault="006B159E">
            <w:pPr>
              <w:pStyle w:val="Heading3"/>
              <w:ind w:left="720" w:hanging="720"/>
              <w:rPr>
                <w:noProof/>
              </w:rPr>
            </w:pPr>
            <w:bookmarkStart w:id="37" w:name="_Toc499304525"/>
            <w:bookmarkStart w:id="38" w:name="_Toc501546863"/>
            <w:r>
              <w:rPr>
                <w:noProof/>
              </w:rPr>
              <w:t>Effectiveness</w:t>
            </w:r>
            <w:bookmarkEnd w:id="37"/>
            <w:bookmarkEnd w:id="38"/>
          </w:p>
          <w:p w:rsidR="00821F17" w:rsidRDefault="006B159E">
            <w:pPr>
              <w:pStyle w:val="Default"/>
              <w:jc w:val="both"/>
              <w:rPr>
                <w:noProof/>
              </w:rPr>
            </w:pPr>
            <w:r>
              <w:rPr>
                <w:noProof/>
              </w:rPr>
              <w:t>In the area of effectiveness, the two most relevant questions for the Commission's public consultation were questions 2 and 5. Question 2</w:t>
            </w:r>
            <w:r>
              <w:rPr>
                <w:noProof/>
              </w:rPr>
              <w:t xml:space="preserve"> asked participants whether the general objective of the EIF (to support the efforts made by the Member States in enabling third-country nationals of different economic, social, cultural, religious, linguistic and ethnic backgrounds to fulfil the condition</w:t>
            </w:r>
            <w:r>
              <w:rPr>
                <w:noProof/>
              </w:rPr>
              <w:t>s of residence and to facilitate their integration into the European societies) was achieved. Question 5 asked participants whether, based on their experience, the actions financed by the EIF in their country were consistent with the general and specific o</w:t>
            </w:r>
            <w:r>
              <w:rPr>
                <w:noProof/>
              </w:rPr>
              <w:t>bjectives of the fund. Regarding question 2, the majority of participants (20 answers) considered that the general objective of the fund was achieved. For question 5, most participants (21 answers) found that actions financed under the fund were consistent</w:t>
            </w:r>
            <w:r>
              <w:rPr>
                <w:noProof/>
              </w:rPr>
              <w:t xml:space="preserve"> with the fund objectives.  </w:t>
            </w:r>
          </w:p>
          <w:p w:rsidR="00821F17" w:rsidRDefault="00821F17">
            <w:pPr>
              <w:pStyle w:val="NoSpacing"/>
              <w:jc w:val="both"/>
              <w:rPr>
                <w:rFonts w:ascii="Times New Roman" w:hAnsi="Times New Roman" w:cs="Times New Roman"/>
                <w:noProof/>
                <w:sz w:val="24"/>
                <w:szCs w:val="24"/>
              </w:rPr>
            </w:pPr>
          </w:p>
          <w:p w:rsidR="00821F17" w:rsidRDefault="006B159E">
            <w:pPr>
              <w:pStyle w:val="Default"/>
              <w:jc w:val="both"/>
              <w:rPr>
                <w:noProof/>
              </w:rPr>
            </w:pPr>
            <w:r>
              <w:rPr>
                <w:noProof/>
              </w:rPr>
              <w:t>Regarding the question of whether the objectives of the fund were achieved through the actions implemented, for the facilitation of the development and implementation of admission procedures relevant to the integration process</w:t>
            </w:r>
            <w:r>
              <w:rPr>
                <w:noProof/>
              </w:rPr>
              <w:t xml:space="preserve"> of TCNs, the assessments made by Member States in their </w:t>
            </w:r>
            <w:r>
              <w:rPr>
                <w:noProof/>
                <w:color w:val="auto"/>
              </w:rPr>
              <w:t xml:space="preserve">National Evaluation Reports (NERs) </w:t>
            </w:r>
            <w:r>
              <w:rPr>
                <w:noProof/>
              </w:rPr>
              <w:t>show that, considering the EU as a whole, the EIF only contributed to the improvement of admission procedures to a limited extent. However, the few Member States th</w:t>
            </w:r>
            <w:r>
              <w:rPr>
                <w:noProof/>
              </w:rPr>
              <w:t>at implemented projects with this Specific Objective successfully reached the targeted results and impacts.</w:t>
            </w:r>
          </w:p>
          <w:p w:rsidR="00821F17" w:rsidRDefault="006B159E">
            <w:pPr>
              <w:pStyle w:val="Default"/>
              <w:jc w:val="both"/>
              <w:rPr>
                <w:noProof/>
              </w:rPr>
            </w:pPr>
            <w:r>
              <w:rPr>
                <w:noProof/>
              </w:rPr>
              <w:t>In relation to the development and implementation of the integration process of newly arrived TCNs in Member States, the EIF was thought to have a s</w:t>
            </w:r>
            <w:r>
              <w:rPr>
                <w:noProof/>
              </w:rPr>
              <w:t>lightly stronger impact for 2011-2013 than in the previous funding period (according to the NERs). This was reported as being thanks to a series of measures, such as: the development and improvement of the quality of introductory programmes; concrete measu</w:t>
            </w:r>
            <w:r>
              <w:rPr>
                <w:noProof/>
              </w:rPr>
              <w:t>res aimed to enhance the access of TCNs to public authorities and their ability to adjust to the host society; the improvement of TCNs' access to public and private goods and services.</w:t>
            </w:r>
          </w:p>
          <w:p w:rsidR="00821F17" w:rsidRDefault="00821F17">
            <w:pPr>
              <w:pStyle w:val="Default"/>
              <w:jc w:val="both"/>
              <w:rPr>
                <w:noProof/>
                <w:lang w:val="en-US"/>
              </w:rPr>
            </w:pPr>
          </w:p>
          <w:p w:rsidR="00821F17" w:rsidRDefault="006B159E">
            <w:pPr>
              <w:pStyle w:val="Heading3"/>
              <w:ind w:left="720" w:hanging="720"/>
              <w:rPr>
                <w:noProof/>
              </w:rPr>
            </w:pPr>
            <w:bookmarkStart w:id="39" w:name="_Toc499304526"/>
            <w:bookmarkStart w:id="40" w:name="_Toc501546864"/>
            <w:r>
              <w:rPr>
                <w:noProof/>
              </w:rPr>
              <w:t>Efficiency</w:t>
            </w:r>
            <w:bookmarkEnd w:id="39"/>
            <w:bookmarkEnd w:id="40"/>
          </w:p>
          <w:p w:rsidR="00821F17" w:rsidRDefault="006B159E">
            <w:pPr>
              <w:pStyle w:val="NoSpacing"/>
              <w:jc w:val="both"/>
              <w:rPr>
                <w:rFonts w:ascii="Times New Roman" w:hAnsi="Times New Roman" w:cs="Times New Roman"/>
                <w:noProof/>
                <w:sz w:val="24"/>
                <w:szCs w:val="24"/>
              </w:rPr>
            </w:pPr>
            <w:r>
              <w:rPr>
                <w:rFonts w:ascii="Times New Roman" w:hAnsi="Times New Roman" w:cs="Times New Roman"/>
                <w:noProof/>
                <w:sz w:val="24"/>
                <w:szCs w:val="24"/>
              </w:rPr>
              <w:t>Regarding the cost-effectiveness of national actions, a tot</w:t>
            </w:r>
            <w:r>
              <w:rPr>
                <w:rFonts w:ascii="Times New Roman" w:hAnsi="Times New Roman" w:cs="Times New Roman"/>
                <w:noProof/>
                <w:sz w:val="24"/>
                <w:szCs w:val="24"/>
              </w:rPr>
              <w:t>al of 19 Member States (BG, CY, DE, EE, EL, ES, FI, FR, HU, IT, LT, LU, LV, MT, PT, RO, SI, SK, UK) indicated that the resources allocated were sufficient for the delivery of the activities. In some cases, such as in the case of Poland, an improvement in e</w:t>
            </w:r>
            <w:r>
              <w:rPr>
                <w:rFonts w:ascii="Times New Roman" w:hAnsi="Times New Roman" w:cs="Times New Roman"/>
                <w:noProof/>
                <w:sz w:val="24"/>
                <w:szCs w:val="24"/>
              </w:rPr>
              <w:t>fficiency was noted in contrast to the previous period (2007-2010), which was accounted for by the increased familiarity with the procedures of the parties involved. Some of the most frequently reported issues in this area included difficulties with pre-fi</w:t>
            </w:r>
            <w:r>
              <w:rPr>
                <w:rFonts w:ascii="Times New Roman" w:hAnsi="Times New Roman" w:cs="Times New Roman"/>
                <w:noProof/>
                <w:sz w:val="24"/>
                <w:szCs w:val="24"/>
              </w:rPr>
              <w:t>nancing from national authorities, such as delays in disbursement and/or in advance payments (AT, DE, FI, IT, LV, PL), and administrative constraints, such as lack of administrative capacity (PL), reported excessive bureaucracy (FR, SE), a lack of timeline</w:t>
            </w:r>
            <w:r>
              <w:rPr>
                <w:rFonts w:ascii="Times New Roman" w:hAnsi="Times New Roman" w:cs="Times New Roman"/>
                <w:noProof/>
                <w:sz w:val="24"/>
                <w:szCs w:val="24"/>
              </w:rPr>
              <w:t>ss for the availability of resources (EL), and unplanned expenses for beneficiaries (DE).</w:t>
            </w:r>
          </w:p>
          <w:p w:rsidR="00821F17" w:rsidRDefault="006B159E">
            <w:pPr>
              <w:pStyle w:val="NoSpacing"/>
              <w:jc w:val="both"/>
              <w:rPr>
                <w:rFonts w:ascii="Times New Roman" w:hAnsi="Times New Roman" w:cs="Times New Roman"/>
                <w:noProof/>
                <w:sz w:val="24"/>
                <w:szCs w:val="24"/>
              </w:rPr>
            </w:pPr>
            <w:r>
              <w:rPr>
                <w:rFonts w:ascii="Times New Roman" w:hAnsi="Times New Roman" w:cs="Times New Roman"/>
                <w:noProof/>
                <w:sz w:val="24"/>
                <w:szCs w:val="24"/>
              </w:rPr>
              <w:t>In relation to Community actions, in response to a survey carried out by the external evaluators, the vast majority of project managers found that the use of human (8</w:t>
            </w:r>
            <w:r>
              <w:rPr>
                <w:rFonts w:ascii="Times New Roman" w:hAnsi="Times New Roman" w:cs="Times New Roman"/>
                <w:noProof/>
                <w:sz w:val="24"/>
                <w:szCs w:val="24"/>
              </w:rPr>
              <w:t>5%, 29 out of 34 responses) and financial (97%, 33 out of 34 responses) resources was reasonable some extent.</w:t>
            </w:r>
          </w:p>
          <w:p w:rsidR="00821F17" w:rsidRDefault="00821F17">
            <w:pPr>
              <w:pStyle w:val="Default"/>
              <w:jc w:val="both"/>
              <w:rPr>
                <w:noProof/>
              </w:rPr>
            </w:pPr>
          </w:p>
          <w:p w:rsidR="00821F17" w:rsidRDefault="006B159E">
            <w:pPr>
              <w:pStyle w:val="Heading3"/>
              <w:ind w:left="720" w:hanging="720"/>
              <w:rPr>
                <w:noProof/>
              </w:rPr>
            </w:pPr>
            <w:bookmarkStart w:id="41" w:name="_Toc499304527"/>
            <w:bookmarkStart w:id="42" w:name="_Toc501546865"/>
            <w:r>
              <w:rPr>
                <w:noProof/>
              </w:rPr>
              <w:t>Sustainability</w:t>
            </w:r>
            <w:bookmarkEnd w:id="41"/>
            <w:bookmarkEnd w:id="42"/>
          </w:p>
          <w:p w:rsidR="00821F17" w:rsidRDefault="006B159E">
            <w:pPr>
              <w:pStyle w:val="Body"/>
              <w:rPr>
                <w:rFonts w:ascii="Times New Roman" w:hAnsi="Times New Roman" w:cs="Times New Roman"/>
                <w:noProof/>
                <w:sz w:val="24"/>
                <w:szCs w:val="24"/>
                <w:lang w:val="en-GB"/>
              </w:rPr>
            </w:pPr>
            <w:r>
              <w:rPr>
                <w:rFonts w:ascii="Times New Roman" w:hAnsi="Times New Roman" w:cs="Times New Roman"/>
                <w:noProof/>
                <w:sz w:val="24"/>
                <w:szCs w:val="24"/>
                <w:lang w:val="en-GB"/>
              </w:rPr>
              <w:t>Regarding sustainability, the most relevant question in the Commission's public consultation was question 12, where participants were asked whether they considered that improved services and procedures (achieved also through the EIF) would continue without</w:t>
            </w:r>
            <w:r>
              <w:rPr>
                <w:rFonts w:ascii="Times New Roman" w:hAnsi="Times New Roman" w:cs="Times New Roman"/>
                <w:noProof/>
                <w:sz w:val="24"/>
                <w:szCs w:val="24"/>
                <w:lang w:val="en-GB"/>
              </w:rPr>
              <w:t xml:space="preserve"> EU financial support in their country. The majority of respondents considered that improved services and procedures would continue to some extent. </w:t>
            </w:r>
          </w:p>
          <w:p w:rsidR="00821F17" w:rsidRDefault="006B159E">
            <w:pPr>
              <w:pStyle w:val="Body"/>
              <w:rPr>
                <w:noProof/>
                <w:lang w:val="en-GB"/>
              </w:rPr>
            </w:pPr>
            <w:r>
              <w:rPr>
                <w:rFonts w:ascii="Times New Roman" w:hAnsi="Times New Roman" w:cs="Times New Roman"/>
                <w:noProof/>
                <w:sz w:val="24"/>
                <w:szCs w:val="24"/>
                <w:lang w:val="en-GB"/>
              </w:rPr>
              <w:t>Overall, the results of the stakeholder consultations are in line with those of the public consultations. R</w:t>
            </w:r>
            <w:r>
              <w:rPr>
                <w:rFonts w:ascii="Times New Roman" w:hAnsi="Times New Roman" w:cs="Times New Roman"/>
                <w:noProof/>
                <w:sz w:val="24"/>
                <w:szCs w:val="24"/>
                <w:lang w:val="en-GB"/>
              </w:rPr>
              <w:t>egarding the National Actions, thirteen Member States assessed that the positive effects lasted to a large extent after the interventions were terminated, eight to some extent and four to a lesser extent, with the case studies supporting this varied pictur</w:t>
            </w:r>
            <w:r>
              <w:rPr>
                <w:rFonts w:ascii="Times New Roman" w:hAnsi="Times New Roman" w:cs="Times New Roman"/>
                <w:noProof/>
                <w:sz w:val="24"/>
                <w:szCs w:val="24"/>
                <w:lang w:val="en-GB"/>
              </w:rPr>
              <w:t>e. The managers of the Community Action projects surveyed judged that a little more than half of the projects continued in their former or a modified form once EU funding ceased, while for almost all projects, lasting positive effects were reported after t</w:t>
            </w:r>
            <w:r>
              <w:rPr>
                <w:rFonts w:ascii="Times New Roman" w:hAnsi="Times New Roman" w:cs="Times New Roman"/>
                <w:noProof/>
                <w:sz w:val="24"/>
                <w:szCs w:val="24"/>
                <w:lang w:val="en-GB"/>
              </w:rPr>
              <w:t>ermination of the projects</w:t>
            </w:r>
            <w:r>
              <w:rPr>
                <w:noProof/>
                <w:lang w:val="en-GB"/>
              </w:rPr>
              <w:t xml:space="preserve">. </w:t>
            </w:r>
          </w:p>
          <w:p w:rsidR="00821F17" w:rsidRDefault="00821F17">
            <w:pPr>
              <w:pStyle w:val="NoSpacing"/>
              <w:jc w:val="both"/>
              <w:rPr>
                <w:rFonts w:ascii="Times New Roman" w:hAnsi="Times New Roman" w:cs="Times New Roman"/>
                <w:noProof/>
                <w:sz w:val="24"/>
                <w:szCs w:val="24"/>
              </w:rPr>
            </w:pPr>
          </w:p>
          <w:p w:rsidR="00821F17" w:rsidRDefault="006B159E">
            <w:pPr>
              <w:pStyle w:val="Heading3"/>
              <w:ind w:firstLine="0"/>
              <w:rPr>
                <w:noProof/>
              </w:rPr>
            </w:pPr>
            <w:bookmarkStart w:id="43" w:name="_Toc499304528"/>
            <w:bookmarkStart w:id="44" w:name="_Toc501546866"/>
            <w:r>
              <w:rPr>
                <w:noProof/>
              </w:rPr>
              <w:t>Coherence and Complementarity</w:t>
            </w:r>
            <w:bookmarkEnd w:id="43"/>
            <w:bookmarkEnd w:id="44"/>
          </w:p>
          <w:p w:rsidR="00821F17" w:rsidRDefault="006B159E">
            <w:pPr>
              <w:pStyle w:val="Body"/>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Regarding coherence and complementarity between national actions, the vast majority of Member States (AT, BE, CY, CZ, EE, DE, EL, ES, FR, HU, IE, IT, LU, LV, MT, NL, RO, SI, SK, SE, UK) reported t</w:t>
            </w:r>
            <w:r>
              <w:rPr>
                <w:rFonts w:ascii="Times New Roman" w:hAnsi="Times New Roman" w:cs="Times New Roman"/>
                <w:noProof/>
                <w:sz w:val="24"/>
                <w:szCs w:val="24"/>
                <w:lang w:val="en-GB"/>
              </w:rPr>
              <w:t>hat the complementarity criteria for EIF funding were met. FI, LT, PL, PT indicated that the EIF was one of the few sources of funding supporting integration of migrants in their countries. All interviewed EU-level stakeholders also expressed a positive op</w:t>
            </w:r>
            <w:r>
              <w:rPr>
                <w:rFonts w:ascii="Times New Roman" w:hAnsi="Times New Roman" w:cs="Times New Roman"/>
                <w:noProof/>
                <w:sz w:val="24"/>
                <w:szCs w:val="24"/>
                <w:lang w:val="en-GB"/>
              </w:rPr>
              <w:t xml:space="preserve">inion of the extent to which the EIF national programmes complemented actions at the EU level. Member States in their NERs further confirmed the complementarity of EIF funding with other European funds, such as the European Social Fund (ESF), the European </w:t>
            </w:r>
            <w:r>
              <w:rPr>
                <w:rFonts w:ascii="Times New Roman" w:hAnsi="Times New Roman" w:cs="Times New Roman"/>
                <w:noProof/>
                <w:sz w:val="24"/>
                <w:szCs w:val="24"/>
                <w:lang w:val="en-GB"/>
              </w:rPr>
              <w:t>Refugee Fund (ERF) and PROGRESS (a financial instrument supporting the development and coordination of EU policy in the areas of Employment, Social inclusion and protection, Working conditions, Anti-discrimination, and Gender equality).</w:t>
            </w:r>
          </w:p>
          <w:p w:rsidR="00821F17" w:rsidRDefault="006B159E">
            <w:pPr>
              <w:pStyle w:val="Body"/>
              <w:rPr>
                <w:rFonts w:ascii="Times New Roman" w:hAnsi="Times New Roman" w:cs="Times New Roman"/>
                <w:noProof/>
                <w:sz w:val="24"/>
                <w:szCs w:val="24"/>
                <w:lang w:val="en-GB"/>
              </w:rPr>
            </w:pPr>
            <w:r>
              <w:rPr>
                <w:rFonts w:ascii="Times New Roman" w:hAnsi="Times New Roman" w:cs="Times New Roman"/>
                <w:noProof/>
                <w:sz w:val="24"/>
                <w:szCs w:val="24"/>
                <w:lang w:val="en-GB"/>
              </w:rPr>
              <w:t>Challenges highligh</w:t>
            </w:r>
            <w:r>
              <w:rPr>
                <w:rFonts w:ascii="Times New Roman" w:hAnsi="Times New Roman" w:cs="Times New Roman"/>
                <w:noProof/>
                <w:sz w:val="24"/>
                <w:szCs w:val="24"/>
                <w:lang w:val="en-GB"/>
              </w:rPr>
              <w:t>ted by DG HOME representatives in this area were: differences in the timeliness of relevant funds, particularly in relation to the programming of the funds in terms of annual and multiannual programmes (although this is reported to have been solved under t</w:t>
            </w:r>
            <w:r>
              <w:rPr>
                <w:rFonts w:ascii="Times New Roman" w:hAnsi="Times New Roman" w:cs="Times New Roman"/>
                <w:noProof/>
                <w:sz w:val="24"/>
                <w:szCs w:val="24"/>
                <w:lang w:val="en-GB"/>
              </w:rPr>
              <w:t>he subsequent AMIF funds), and gaps in synergies.</w:t>
            </w:r>
          </w:p>
          <w:p w:rsidR="00821F17" w:rsidRDefault="00821F17">
            <w:pPr>
              <w:pStyle w:val="Default"/>
              <w:rPr>
                <w:noProof/>
              </w:rPr>
            </w:pPr>
          </w:p>
          <w:p w:rsidR="00821F17" w:rsidRDefault="006B159E">
            <w:pPr>
              <w:pStyle w:val="Heading3"/>
              <w:ind w:left="720" w:hanging="720"/>
              <w:rPr>
                <w:noProof/>
              </w:rPr>
            </w:pPr>
            <w:bookmarkStart w:id="45" w:name="_Toc499304529"/>
            <w:bookmarkStart w:id="46" w:name="_Toc501546867"/>
            <w:r>
              <w:rPr>
                <w:noProof/>
              </w:rPr>
              <w:t>EU Added Value</w:t>
            </w:r>
            <w:bookmarkEnd w:id="45"/>
            <w:bookmarkEnd w:id="46"/>
          </w:p>
          <w:p w:rsidR="00821F17" w:rsidRDefault="006B159E">
            <w:pPr>
              <w:pStyle w:val="Body"/>
              <w:rPr>
                <w:rFonts w:ascii="Times New Roman" w:hAnsi="Times New Roman" w:cs="Times New Roman"/>
                <w:noProof/>
                <w:sz w:val="24"/>
                <w:szCs w:val="24"/>
                <w:lang w:val="en-GB"/>
              </w:rPr>
            </w:pPr>
            <w:r>
              <w:rPr>
                <w:rFonts w:ascii="Times New Roman" w:hAnsi="Times New Roman" w:cs="Times New Roman"/>
                <w:noProof/>
                <w:sz w:val="24"/>
                <w:szCs w:val="24"/>
                <w:lang w:val="en-GB"/>
              </w:rPr>
              <w:t>Regarding EU added value, the most relevant questions from the Commission's public consultations were questions 1 and 13. Question 1 asked participants whether they considered that the imple</w:t>
            </w:r>
            <w:r>
              <w:rPr>
                <w:rFonts w:ascii="Times New Roman" w:hAnsi="Times New Roman" w:cs="Times New Roman"/>
                <w:noProof/>
                <w:sz w:val="24"/>
                <w:szCs w:val="24"/>
                <w:lang w:val="en-GB"/>
              </w:rPr>
              <w:t>mentation of the EIF in their country had affected positively the work of the public administrations in the field of integration. Question 13 asked participants whether they considered that the contribution of the fund had been crucial to the implementatio</w:t>
            </w:r>
            <w:r>
              <w:rPr>
                <w:rFonts w:ascii="Times New Roman" w:hAnsi="Times New Roman" w:cs="Times New Roman"/>
                <w:noProof/>
                <w:sz w:val="24"/>
                <w:szCs w:val="24"/>
                <w:lang w:val="en-GB"/>
              </w:rPr>
              <w:t>n of EU policies regarding integration in their country. In response to question 1, over 50% of respondents considered that the implementation of the EIF in their country had affected positively the work of the public administrations in the field of integr</w:t>
            </w:r>
            <w:r>
              <w:rPr>
                <w:rFonts w:ascii="Times New Roman" w:hAnsi="Times New Roman" w:cs="Times New Roman"/>
                <w:noProof/>
                <w:sz w:val="24"/>
                <w:szCs w:val="24"/>
                <w:lang w:val="en-GB"/>
              </w:rPr>
              <w:t xml:space="preserve">ation "to a great extent". In response to question 13, the majority of respondents thought that the contributions of the fund made "a huge difference". </w:t>
            </w:r>
          </w:p>
          <w:p w:rsidR="00821F17" w:rsidRDefault="006B159E">
            <w:pPr>
              <w:pStyle w:val="Body"/>
              <w:rPr>
                <w:rFonts w:ascii="Times New Roman" w:hAnsi="Times New Roman" w:cs="Times New Roman"/>
                <w:noProof/>
                <w:sz w:val="24"/>
                <w:szCs w:val="24"/>
                <w:lang w:val="en-GB"/>
              </w:rPr>
            </w:pPr>
            <w:r>
              <w:rPr>
                <w:rFonts w:ascii="Times New Roman" w:hAnsi="Times New Roman" w:cs="Times New Roman"/>
                <w:noProof/>
                <w:sz w:val="24"/>
                <w:szCs w:val="24"/>
                <w:lang w:val="en-GB"/>
              </w:rPr>
              <w:t>In their NERs, 22 Member States (</w:t>
            </w:r>
            <w:r>
              <w:rPr>
                <w:rFonts w:ascii="Times New Roman" w:hAnsi="Times New Roman" w:cs="Times New Roman"/>
                <w:noProof/>
                <w:sz w:val="24"/>
                <w:szCs w:val="24"/>
                <w:lang w:val="en-US"/>
              </w:rPr>
              <w:t>AT, CY, CZ, EE, EL, ES, FI, FR, HU, IE, IT, LT, LU, LV, MT, PL, PT, RO</w:t>
            </w:r>
            <w:r>
              <w:rPr>
                <w:rFonts w:ascii="Times New Roman" w:hAnsi="Times New Roman" w:cs="Times New Roman"/>
                <w:noProof/>
                <w:sz w:val="24"/>
                <w:szCs w:val="24"/>
                <w:lang w:val="en-US"/>
              </w:rPr>
              <w:t>, SE, SI, SK, UK</w:t>
            </w:r>
            <w:r>
              <w:rPr>
                <w:rFonts w:ascii="Times New Roman" w:hAnsi="Times New Roman" w:cs="Times New Roman"/>
                <w:noProof/>
                <w:sz w:val="24"/>
                <w:szCs w:val="24"/>
                <w:lang w:val="en-GB"/>
              </w:rPr>
              <w:t xml:space="preserve"> ) indicated that to a large extent the EIF fund enabled the implementation of actions that otherwise could not have been funded from national resources. This is consistent with the results of the public consultation. The main reason why th</w:t>
            </w:r>
            <w:r>
              <w:rPr>
                <w:rFonts w:ascii="Times New Roman" w:hAnsi="Times New Roman" w:cs="Times New Roman"/>
                <w:noProof/>
                <w:sz w:val="24"/>
                <w:szCs w:val="24"/>
                <w:lang w:val="en-GB"/>
              </w:rPr>
              <w:t>e majority of Member States stated that the same actions could not have been developed without EIF financing were budgetary constraints and limited national resources for funding actions concerning integration (CY, CZ, EL, FI, HU, IE, IT, LT, LU, MT, NL, R</w:t>
            </w:r>
            <w:r>
              <w:rPr>
                <w:rFonts w:ascii="Times New Roman" w:hAnsi="Times New Roman" w:cs="Times New Roman"/>
                <w:noProof/>
                <w:sz w:val="24"/>
                <w:szCs w:val="24"/>
                <w:lang w:val="en-GB"/>
              </w:rPr>
              <w:t>O). Several Member States indicated that the economic and financial crisis had considerable adverse impacts on the availability of resources for actions for integration of TCNs (CY, EL, IT, NL, PT, UK).</w:t>
            </w:r>
          </w:p>
          <w:p w:rsidR="00821F17" w:rsidRDefault="00821F17">
            <w:pPr>
              <w:pStyle w:val="Body"/>
              <w:rPr>
                <w:rFonts w:ascii="Times New Roman" w:hAnsi="Times New Roman" w:cs="Times New Roman"/>
                <w:noProof/>
                <w:sz w:val="24"/>
                <w:szCs w:val="24"/>
                <w:lang w:val="en-GB"/>
              </w:rPr>
            </w:pPr>
          </w:p>
          <w:p w:rsidR="00821F17" w:rsidRDefault="00821F17">
            <w:pPr>
              <w:pStyle w:val="Body"/>
              <w:rPr>
                <w:rFonts w:ascii="Times New Roman" w:hAnsi="Times New Roman" w:cs="Times New Roman"/>
                <w:noProof/>
                <w:sz w:val="24"/>
                <w:szCs w:val="24"/>
                <w:lang w:val="en-GB"/>
              </w:rPr>
            </w:pPr>
          </w:p>
          <w:p w:rsidR="00821F17" w:rsidRDefault="00821F17">
            <w:pPr>
              <w:pStyle w:val="Body"/>
              <w:rPr>
                <w:rFonts w:ascii="Times New Roman" w:hAnsi="Times New Roman" w:cs="Times New Roman"/>
                <w:noProof/>
                <w:sz w:val="24"/>
                <w:szCs w:val="24"/>
                <w:lang w:val="en-GB"/>
              </w:rPr>
            </w:pPr>
          </w:p>
          <w:p w:rsidR="00821F17" w:rsidRDefault="00821F17">
            <w:pPr>
              <w:pStyle w:val="Body"/>
              <w:rPr>
                <w:rFonts w:ascii="Times New Roman" w:hAnsi="Times New Roman" w:cs="Times New Roman"/>
                <w:noProof/>
                <w:sz w:val="24"/>
                <w:szCs w:val="24"/>
                <w:lang w:val="en-GB"/>
              </w:rPr>
            </w:pPr>
          </w:p>
          <w:p w:rsidR="00821F17" w:rsidRDefault="00821F17">
            <w:pPr>
              <w:pStyle w:val="Body"/>
              <w:rPr>
                <w:rFonts w:ascii="Times New Roman" w:hAnsi="Times New Roman" w:cs="Times New Roman"/>
                <w:noProof/>
                <w:sz w:val="24"/>
                <w:szCs w:val="24"/>
                <w:lang w:val="en-GB"/>
              </w:rPr>
            </w:pPr>
          </w:p>
          <w:p w:rsidR="00821F17" w:rsidRDefault="00821F17">
            <w:pPr>
              <w:pStyle w:val="Body"/>
              <w:rPr>
                <w:rFonts w:ascii="Times New Roman" w:hAnsi="Times New Roman" w:cs="Times New Roman"/>
                <w:noProof/>
                <w:sz w:val="24"/>
                <w:szCs w:val="24"/>
                <w:lang w:val="en-GB"/>
              </w:rPr>
            </w:pPr>
          </w:p>
          <w:p w:rsidR="00821F17" w:rsidRDefault="00821F17">
            <w:pPr>
              <w:pStyle w:val="Body"/>
              <w:rPr>
                <w:rFonts w:ascii="Times New Roman" w:hAnsi="Times New Roman" w:cs="Times New Roman"/>
                <w:noProof/>
                <w:sz w:val="24"/>
                <w:szCs w:val="24"/>
                <w:lang w:val="en-GB"/>
              </w:rPr>
            </w:pPr>
          </w:p>
          <w:p w:rsidR="00821F17" w:rsidRDefault="00821F17">
            <w:pPr>
              <w:pStyle w:val="Body"/>
              <w:rPr>
                <w:rFonts w:ascii="Times New Roman" w:hAnsi="Times New Roman" w:cs="Times New Roman"/>
                <w:noProof/>
                <w:sz w:val="24"/>
                <w:szCs w:val="24"/>
                <w:lang w:val="en-GB"/>
              </w:rPr>
            </w:pPr>
          </w:p>
          <w:p w:rsidR="00821F17" w:rsidRDefault="00821F17">
            <w:pPr>
              <w:pStyle w:val="Body"/>
              <w:rPr>
                <w:rFonts w:ascii="Times New Roman" w:hAnsi="Times New Roman" w:cs="Times New Roman"/>
                <w:noProof/>
                <w:sz w:val="24"/>
                <w:szCs w:val="24"/>
                <w:lang w:val="en-GB"/>
              </w:rPr>
            </w:pPr>
          </w:p>
          <w:p w:rsidR="00821F17" w:rsidRDefault="00821F17">
            <w:pPr>
              <w:pStyle w:val="Body"/>
              <w:rPr>
                <w:rFonts w:ascii="Times New Roman" w:hAnsi="Times New Roman" w:cs="Times New Roman"/>
                <w:noProof/>
                <w:sz w:val="24"/>
                <w:szCs w:val="24"/>
                <w:lang w:val="en-GB"/>
              </w:rPr>
            </w:pPr>
          </w:p>
          <w:p w:rsidR="00821F17" w:rsidRDefault="00821F17">
            <w:pPr>
              <w:pStyle w:val="Body"/>
              <w:rPr>
                <w:rFonts w:ascii="Times New Roman" w:hAnsi="Times New Roman" w:cs="Times New Roman"/>
                <w:noProof/>
                <w:sz w:val="24"/>
                <w:szCs w:val="24"/>
                <w:lang w:val="en-GB"/>
              </w:rPr>
            </w:pPr>
          </w:p>
          <w:p w:rsidR="00821F17" w:rsidRDefault="00821F17">
            <w:pPr>
              <w:pStyle w:val="Body"/>
              <w:rPr>
                <w:rFonts w:ascii="Times New Roman" w:hAnsi="Times New Roman" w:cs="Times New Roman"/>
                <w:noProof/>
                <w:sz w:val="24"/>
                <w:szCs w:val="24"/>
                <w:lang w:val="en-GB"/>
              </w:rPr>
            </w:pPr>
          </w:p>
          <w:p w:rsidR="00821F17" w:rsidRDefault="00821F17">
            <w:pPr>
              <w:pStyle w:val="Body"/>
              <w:rPr>
                <w:rFonts w:ascii="Times New Roman" w:hAnsi="Times New Roman" w:cs="Times New Roman"/>
                <w:noProof/>
                <w:sz w:val="24"/>
                <w:szCs w:val="24"/>
                <w:lang w:val="en-GB"/>
              </w:rPr>
            </w:pPr>
          </w:p>
          <w:p w:rsidR="00821F17" w:rsidRDefault="00821F17">
            <w:pPr>
              <w:pStyle w:val="Body"/>
              <w:rPr>
                <w:rFonts w:ascii="Times New Roman" w:hAnsi="Times New Roman" w:cs="Times New Roman"/>
                <w:noProof/>
                <w:sz w:val="24"/>
                <w:szCs w:val="24"/>
                <w:lang w:val="en-GB"/>
              </w:rPr>
            </w:pPr>
          </w:p>
          <w:p w:rsidR="00821F17" w:rsidRDefault="00821F17">
            <w:pPr>
              <w:pStyle w:val="Body"/>
              <w:rPr>
                <w:rFonts w:ascii="Times New Roman" w:hAnsi="Times New Roman" w:cs="Times New Roman"/>
                <w:noProof/>
                <w:sz w:val="24"/>
                <w:szCs w:val="24"/>
                <w:lang w:val="en-GB"/>
              </w:rPr>
            </w:pPr>
          </w:p>
          <w:p w:rsidR="00821F17" w:rsidRDefault="00821F17">
            <w:pPr>
              <w:pStyle w:val="Body"/>
              <w:rPr>
                <w:rFonts w:ascii="Times New Roman" w:hAnsi="Times New Roman" w:cs="Times New Roman"/>
                <w:noProof/>
                <w:sz w:val="24"/>
                <w:szCs w:val="24"/>
                <w:lang w:val="en-GB"/>
              </w:rPr>
            </w:pPr>
          </w:p>
          <w:p w:rsidR="00821F17" w:rsidRDefault="00821F17">
            <w:pPr>
              <w:pStyle w:val="Body"/>
              <w:rPr>
                <w:rFonts w:ascii="Times New Roman" w:hAnsi="Times New Roman" w:cs="Times New Roman"/>
                <w:noProof/>
                <w:sz w:val="24"/>
                <w:szCs w:val="24"/>
                <w:lang w:val="en-GB"/>
              </w:rPr>
            </w:pPr>
          </w:p>
          <w:p w:rsidR="00821F17" w:rsidRDefault="00821F17">
            <w:pPr>
              <w:pStyle w:val="Body"/>
              <w:rPr>
                <w:rFonts w:ascii="Times New Roman" w:hAnsi="Times New Roman" w:cs="Times New Roman"/>
                <w:noProof/>
                <w:sz w:val="24"/>
                <w:szCs w:val="24"/>
                <w:lang w:val="en-GB"/>
              </w:rPr>
            </w:pPr>
          </w:p>
          <w:p w:rsidR="00821F17" w:rsidRDefault="00821F17">
            <w:pPr>
              <w:pStyle w:val="Body"/>
              <w:rPr>
                <w:rFonts w:ascii="Times New Roman" w:hAnsi="Times New Roman" w:cs="Times New Roman"/>
                <w:noProof/>
                <w:sz w:val="24"/>
                <w:szCs w:val="24"/>
                <w:lang w:val="en-GB"/>
              </w:rPr>
            </w:pPr>
          </w:p>
          <w:p w:rsidR="00821F17" w:rsidRDefault="00821F17">
            <w:pPr>
              <w:pStyle w:val="Body"/>
              <w:rPr>
                <w:rFonts w:ascii="Times New Roman" w:hAnsi="Times New Roman" w:cs="Times New Roman"/>
                <w:noProof/>
                <w:sz w:val="24"/>
                <w:szCs w:val="24"/>
                <w:lang w:val="en-GB"/>
              </w:rPr>
            </w:pPr>
          </w:p>
          <w:p w:rsidR="00821F17" w:rsidRDefault="00821F17">
            <w:pPr>
              <w:pStyle w:val="Body"/>
              <w:rPr>
                <w:rFonts w:ascii="Times New Roman" w:hAnsi="Times New Roman" w:cs="Times New Roman"/>
                <w:noProof/>
                <w:sz w:val="24"/>
                <w:szCs w:val="24"/>
                <w:lang w:val="en-GB"/>
              </w:rPr>
            </w:pPr>
          </w:p>
          <w:p w:rsidR="00821F17" w:rsidRDefault="006B159E">
            <w:pPr>
              <w:pStyle w:val="Heading1"/>
              <w:numPr>
                <w:ilvl w:val="0"/>
                <w:numId w:val="0"/>
              </w:numPr>
              <w:rPr>
                <w:rFonts w:cs="Times New Roman"/>
                <w:noProof/>
                <w:sz w:val="24"/>
                <w:szCs w:val="24"/>
                <w:lang w:val="en-GB"/>
              </w:rPr>
            </w:pPr>
            <w:bookmarkStart w:id="47" w:name="_Toc501546868"/>
            <w:r>
              <w:rPr>
                <w:rFonts w:cs="Times New Roman"/>
                <w:noProof/>
                <w:sz w:val="24"/>
                <w:szCs w:val="24"/>
                <w:lang w:val="en-GB"/>
              </w:rPr>
              <w:t>ANNEX 3 – Methodology</w:t>
            </w:r>
            <w:bookmarkEnd w:id="47"/>
            <w:r>
              <w:rPr>
                <w:rFonts w:cs="Times New Roman"/>
                <w:noProof/>
                <w:sz w:val="24"/>
                <w:szCs w:val="24"/>
                <w:lang w:val="en-GB"/>
              </w:rPr>
              <w:t xml:space="preserve"> </w:t>
            </w:r>
          </w:p>
          <w:p w:rsidR="00821F17" w:rsidRDefault="006B159E">
            <w:pPr>
              <w:pStyle w:val="Heading1"/>
              <w:numPr>
                <w:ilvl w:val="0"/>
                <w:numId w:val="0"/>
              </w:numPr>
              <w:ind w:left="432" w:hanging="432"/>
              <w:rPr>
                <w:rFonts w:cs="Times New Roman"/>
                <w:b w:val="0"/>
                <w:i/>
                <w:noProof/>
                <w:sz w:val="24"/>
                <w:szCs w:val="24"/>
                <w:lang w:val="en-GB"/>
              </w:rPr>
            </w:pPr>
            <w:bookmarkStart w:id="48" w:name="_Toc501546869"/>
            <w:r>
              <w:rPr>
                <w:rFonts w:cs="Times New Roman"/>
                <w:b w:val="0"/>
                <w:i/>
                <w:noProof/>
                <w:sz w:val="24"/>
                <w:szCs w:val="24"/>
                <w:lang w:val="en-GB"/>
              </w:rPr>
              <w:t xml:space="preserve">Study </w:t>
            </w:r>
            <w:r>
              <w:rPr>
                <w:rFonts w:cs="Times New Roman"/>
                <w:b w:val="0"/>
                <w:i/>
                <w:noProof/>
                <w:sz w:val="24"/>
                <w:szCs w:val="24"/>
                <w:lang w:val="en-GB"/>
              </w:rPr>
              <w:t>conducted by external evaluators</w:t>
            </w:r>
            <w:bookmarkEnd w:id="48"/>
            <w:r>
              <w:rPr>
                <w:rFonts w:cs="Times New Roman"/>
                <w:b w:val="0"/>
                <w:i/>
                <w:noProof/>
                <w:sz w:val="24"/>
                <w:szCs w:val="24"/>
                <w:lang w:val="en-GB"/>
              </w:rPr>
              <w:t xml:space="preserve">  </w:t>
            </w:r>
          </w:p>
          <w:p w:rsidR="00821F17" w:rsidRDefault="006B159E">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relied on a supporting study conducted by an external company. It was decided to rely on an external study so as to obtain a robust and impartial overview of the Fund. A number of elements ensured the high </w:t>
            </w:r>
            <w:r>
              <w:rPr>
                <w:rFonts w:ascii="Times New Roman" w:hAnsi="Times New Roman" w:cs="Times New Roman"/>
                <w:noProof/>
                <w:sz w:val="24"/>
                <w:szCs w:val="24"/>
              </w:rPr>
              <w:t>quality of the study:</w:t>
            </w:r>
          </w:p>
          <w:p w:rsidR="00821F17" w:rsidRDefault="006B159E">
            <w:pPr>
              <w:pStyle w:val="ListParagraph"/>
              <w:numPr>
                <w:ilvl w:val="0"/>
                <w:numId w:val="7"/>
              </w:numPr>
              <w:spacing w:line="240" w:lineRule="auto"/>
              <w:jc w:val="both"/>
              <w:rPr>
                <w:rFonts w:ascii="Times New Roman" w:hAnsi="Times New Roman"/>
                <w:noProof/>
                <w:sz w:val="24"/>
              </w:rPr>
            </w:pPr>
            <w:r>
              <w:rPr>
                <w:rFonts w:ascii="Times New Roman" w:hAnsi="Times New Roman"/>
                <w:noProof/>
                <w:sz w:val="24"/>
              </w:rPr>
              <w:t>A regular and transparent dialogue took place between the European Commission sand the external evaluator;</w:t>
            </w:r>
          </w:p>
          <w:p w:rsidR="00821F17" w:rsidRDefault="006B159E">
            <w:pPr>
              <w:pStyle w:val="ListParagraph"/>
              <w:numPr>
                <w:ilvl w:val="0"/>
                <w:numId w:val="7"/>
              </w:numPr>
              <w:spacing w:line="240" w:lineRule="auto"/>
              <w:jc w:val="both"/>
              <w:rPr>
                <w:rFonts w:ascii="Times New Roman" w:hAnsi="Times New Roman"/>
                <w:noProof/>
                <w:sz w:val="24"/>
              </w:rPr>
            </w:pPr>
            <w:r>
              <w:rPr>
                <w:rFonts w:ascii="Times New Roman" w:hAnsi="Times New Roman"/>
                <w:noProof/>
                <w:sz w:val="24"/>
              </w:rPr>
              <w:t>The terms of reference of the contract were clearly set out and respected;</w:t>
            </w:r>
          </w:p>
          <w:p w:rsidR="00821F17" w:rsidRDefault="006B159E">
            <w:pPr>
              <w:pStyle w:val="ListParagraph"/>
              <w:numPr>
                <w:ilvl w:val="0"/>
                <w:numId w:val="7"/>
              </w:numPr>
              <w:spacing w:line="240" w:lineRule="auto"/>
              <w:jc w:val="both"/>
              <w:rPr>
                <w:rFonts w:ascii="Times New Roman" w:hAnsi="Times New Roman"/>
                <w:noProof/>
                <w:sz w:val="24"/>
              </w:rPr>
            </w:pPr>
            <w:r>
              <w:rPr>
                <w:rFonts w:ascii="Times New Roman" w:hAnsi="Times New Roman"/>
                <w:noProof/>
                <w:sz w:val="24"/>
              </w:rPr>
              <w:t>The Fund's management modes were clearly distinguish</w:t>
            </w:r>
            <w:r>
              <w:rPr>
                <w:rFonts w:ascii="Times New Roman" w:hAnsi="Times New Roman"/>
                <w:noProof/>
                <w:sz w:val="24"/>
              </w:rPr>
              <w:t>ed in the methodology;</w:t>
            </w:r>
          </w:p>
          <w:p w:rsidR="00821F17" w:rsidRDefault="006B159E">
            <w:pPr>
              <w:pStyle w:val="ListParagraph"/>
              <w:numPr>
                <w:ilvl w:val="0"/>
                <w:numId w:val="7"/>
              </w:numPr>
              <w:spacing w:line="240" w:lineRule="auto"/>
              <w:jc w:val="both"/>
              <w:rPr>
                <w:rFonts w:ascii="Times New Roman" w:hAnsi="Times New Roman"/>
                <w:noProof/>
                <w:sz w:val="24"/>
              </w:rPr>
            </w:pPr>
            <w:r>
              <w:rPr>
                <w:rFonts w:ascii="Times New Roman" w:hAnsi="Times New Roman"/>
                <w:noProof/>
                <w:sz w:val="24"/>
              </w:rPr>
              <w:t>The evaluation applied a mixed-methods approach in order to address the evaluation questions more fully and to ensure all relevant stakeholders were consulted;</w:t>
            </w:r>
          </w:p>
          <w:p w:rsidR="00821F17" w:rsidRDefault="006B159E">
            <w:pPr>
              <w:pStyle w:val="ListParagraph"/>
              <w:numPr>
                <w:ilvl w:val="0"/>
                <w:numId w:val="7"/>
              </w:numPr>
              <w:spacing w:line="240" w:lineRule="auto"/>
              <w:jc w:val="both"/>
              <w:rPr>
                <w:rFonts w:ascii="Times New Roman" w:hAnsi="Times New Roman"/>
                <w:noProof/>
                <w:sz w:val="24"/>
              </w:rPr>
            </w:pPr>
            <w:r>
              <w:rPr>
                <w:rFonts w:ascii="Times New Roman" w:hAnsi="Times New Roman"/>
                <w:noProof/>
                <w:sz w:val="24"/>
              </w:rPr>
              <w:t xml:space="preserve">All data sources were assessed for validity and presented data are </w:t>
            </w:r>
            <w:r>
              <w:rPr>
                <w:rFonts w:ascii="Times New Roman" w:hAnsi="Times New Roman"/>
                <w:noProof/>
                <w:sz w:val="24"/>
              </w:rPr>
              <w:t>clearly labelled.</w:t>
            </w:r>
          </w:p>
          <w:p w:rsidR="00821F17" w:rsidRDefault="006B159E">
            <w:pPr>
              <w:pStyle w:val="ListParagraph"/>
              <w:numPr>
                <w:ilvl w:val="0"/>
                <w:numId w:val="7"/>
              </w:numPr>
              <w:spacing w:line="240" w:lineRule="auto"/>
              <w:jc w:val="both"/>
              <w:rPr>
                <w:rFonts w:ascii="Times New Roman" w:hAnsi="Times New Roman"/>
                <w:noProof/>
                <w:sz w:val="24"/>
              </w:rPr>
            </w:pPr>
            <w:r>
              <w:rPr>
                <w:rFonts w:ascii="Times New Roman" w:hAnsi="Times New Roman"/>
                <w:noProof/>
                <w:sz w:val="24"/>
              </w:rPr>
              <w:t>Triangulation analysis was elaborated.</w:t>
            </w:r>
          </w:p>
          <w:p w:rsidR="00821F17" w:rsidRDefault="00821F17">
            <w:pPr>
              <w:pStyle w:val="ListParagraph"/>
              <w:spacing w:line="240" w:lineRule="auto"/>
              <w:jc w:val="both"/>
              <w:rPr>
                <w:rFonts w:ascii="Times New Roman" w:hAnsi="Times New Roman"/>
                <w:noProof/>
                <w:sz w:val="24"/>
              </w:rPr>
            </w:pPr>
          </w:p>
          <w:p w:rsidR="00821F17" w:rsidRDefault="006B159E">
            <w:pPr>
              <w:spacing w:after="24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Communication between the European Commission and the external company</w:t>
            </w:r>
          </w:p>
          <w:p w:rsidR="00821F17" w:rsidRDefault="006B159E">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study's progress was followed by an Inter-service Steering Group (ISSG) comprised of officials from the SG, SJ, DG BUDG, DG</w:t>
            </w:r>
            <w:r>
              <w:rPr>
                <w:rFonts w:ascii="Times New Roman" w:hAnsi="Times New Roman" w:cs="Times New Roman"/>
                <w:noProof/>
                <w:sz w:val="24"/>
                <w:szCs w:val="24"/>
              </w:rPr>
              <w:t xml:space="preserve"> REGIO, DG HOME (particularly Units A2, B1, E1, E2 and E3). Four meetings took place between the contractors and the ISSG and structured feedback (in both directions) was provided on a weekly basis throughout the duration of the contract. This two-way dial</w:t>
            </w:r>
            <w:r>
              <w:rPr>
                <w:rFonts w:ascii="Times New Roman" w:hAnsi="Times New Roman" w:cs="Times New Roman"/>
                <w:noProof/>
                <w:sz w:val="24"/>
                <w:szCs w:val="24"/>
              </w:rPr>
              <w:t>ogue was enriched by the active participation in the ISSG of policy and implementation units and shadowed by horizontal units and the Secretariat General. The quality assessment of the overall process (external contractor's work and report) took place with</w:t>
            </w:r>
            <w:r>
              <w:rPr>
                <w:rFonts w:ascii="Times New Roman" w:hAnsi="Times New Roman" w:cs="Times New Roman"/>
                <w:noProof/>
                <w:sz w:val="24"/>
                <w:szCs w:val="24"/>
              </w:rPr>
              <w:t xml:space="preserve"> the participation of the ISSG (attendance by B1, E1, E2 and E3; the other members were consulted by email).  </w:t>
            </w:r>
          </w:p>
          <w:p w:rsidR="00821F17" w:rsidRDefault="006B159E">
            <w:pPr>
              <w:spacing w:after="24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Phases</w:t>
            </w:r>
          </w:p>
          <w:p w:rsidR="00821F17" w:rsidRDefault="006B159E">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structuring feature of the external evaluation was the segmentation of the tasks into clearly defined phases which were closely observ</w:t>
            </w:r>
            <w:r>
              <w:rPr>
                <w:rFonts w:ascii="Times New Roman" w:hAnsi="Times New Roman" w:cs="Times New Roman"/>
                <w:noProof/>
                <w:sz w:val="24"/>
                <w:szCs w:val="24"/>
              </w:rPr>
              <w:t>ed by all parties. These phases had been determined in the Terms of Reference. Adherence to the Terms of Reference made the study itself more efficient and transparent.</w:t>
            </w:r>
          </w:p>
          <w:p w:rsidR="00821F17" w:rsidRDefault="006B159E">
            <w:pPr>
              <w:spacing w:after="24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Data sources and quality</w:t>
            </w:r>
          </w:p>
          <w:p w:rsidR="00821F17" w:rsidRDefault="006B159E">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information analysed by the contractors through desk resea</w:t>
            </w:r>
            <w:r>
              <w:rPr>
                <w:rFonts w:ascii="Times New Roman" w:hAnsi="Times New Roman" w:cs="Times New Roman"/>
                <w:noProof/>
                <w:sz w:val="24"/>
                <w:szCs w:val="24"/>
              </w:rPr>
              <w:t>rch can be grouped into two categories:</w:t>
            </w:r>
          </w:p>
          <w:p w:rsidR="00821F17" w:rsidRDefault="006B159E">
            <w:pPr>
              <w:pStyle w:val="ListParagraph"/>
              <w:numPr>
                <w:ilvl w:val="0"/>
                <w:numId w:val="8"/>
              </w:numPr>
              <w:spacing w:after="240" w:line="240" w:lineRule="auto"/>
              <w:jc w:val="both"/>
              <w:rPr>
                <w:rFonts w:ascii="Times New Roman" w:hAnsi="Times New Roman"/>
                <w:noProof/>
                <w:sz w:val="24"/>
              </w:rPr>
            </w:pPr>
            <w:r>
              <w:rPr>
                <w:rFonts w:ascii="Times New Roman" w:hAnsi="Times New Roman"/>
                <w:noProof/>
                <w:sz w:val="24"/>
              </w:rPr>
              <w:t>Documentation relating to implementation – legal acts; high-level contextual documents; programme documents (Annual work programmes) and addition evaluation documents (National evaluation reports for shared managemen</w:t>
            </w:r>
            <w:r>
              <w:rPr>
                <w:rFonts w:ascii="Times New Roman" w:hAnsi="Times New Roman"/>
                <w:noProof/>
                <w:sz w:val="24"/>
              </w:rPr>
              <w:t xml:space="preserve">t and technical implementation reports for direct management); </w:t>
            </w:r>
          </w:p>
          <w:p w:rsidR="00821F17" w:rsidRDefault="00821F17">
            <w:pPr>
              <w:pStyle w:val="ListParagraph"/>
              <w:spacing w:after="240" w:line="240" w:lineRule="auto"/>
              <w:jc w:val="both"/>
              <w:rPr>
                <w:rFonts w:ascii="Times New Roman" w:hAnsi="Times New Roman"/>
                <w:noProof/>
                <w:sz w:val="24"/>
              </w:rPr>
            </w:pPr>
          </w:p>
          <w:p w:rsidR="00821F17" w:rsidRDefault="006B159E">
            <w:pPr>
              <w:pStyle w:val="ListParagraph"/>
              <w:numPr>
                <w:ilvl w:val="0"/>
                <w:numId w:val="8"/>
              </w:numPr>
              <w:spacing w:after="240" w:line="240" w:lineRule="auto"/>
              <w:jc w:val="both"/>
              <w:rPr>
                <w:rFonts w:ascii="Times New Roman" w:hAnsi="Times New Roman"/>
                <w:noProof/>
                <w:sz w:val="24"/>
              </w:rPr>
            </w:pPr>
            <w:r>
              <w:rPr>
                <w:rFonts w:ascii="Times New Roman" w:hAnsi="Times New Roman"/>
                <w:noProof/>
                <w:sz w:val="24"/>
              </w:rPr>
              <w:t>Statistical data – this includes:</w:t>
            </w:r>
          </w:p>
          <w:p w:rsidR="00821F17" w:rsidRDefault="006B159E">
            <w:pPr>
              <w:pStyle w:val="ListParagraph"/>
              <w:numPr>
                <w:ilvl w:val="1"/>
                <w:numId w:val="9"/>
              </w:numPr>
              <w:spacing w:after="240" w:line="240" w:lineRule="auto"/>
              <w:jc w:val="both"/>
              <w:rPr>
                <w:rFonts w:ascii="Times New Roman" w:hAnsi="Times New Roman"/>
                <w:noProof/>
                <w:sz w:val="24"/>
              </w:rPr>
            </w:pPr>
            <w:r>
              <w:rPr>
                <w:rFonts w:ascii="Times New Roman" w:hAnsi="Times New Roman"/>
                <w:noProof/>
                <w:sz w:val="24"/>
              </w:rPr>
              <w:t>Official statistics from OECD, European Commission's Immigrant Integration indicators and MIPEX;</w:t>
            </w:r>
          </w:p>
          <w:p w:rsidR="00821F17" w:rsidRDefault="006B159E">
            <w:pPr>
              <w:pStyle w:val="ListParagraph"/>
              <w:numPr>
                <w:ilvl w:val="1"/>
                <w:numId w:val="9"/>
              </w:numPr>
              <w:spacing w:after="240" w:line="240" w:lineRule="auto"/>
              <w:jc w:val="both"/>
              <w:rPr>
                <w:rFonts w:ascii="Times New Roman" w:hAnsi="Times New Roman"/>
                <w:noProof/>
                <w:sz w:val="24"/>
              </w:rPr>
            </w:pPr>
            <w:r>
              <w:rPr>
                <w:rFonts w:ascii="Times New Roman" w:hAnsi="Times New Roman"/>
                <w:noProof/>
                <w:sz w:val="24"/>
              </w:rPr>
              <w:t>Financial data extracted from ABAC for EIF and all SOLID Fun</w:t>
            </w:r>
            <w:r>
              <w:rPr>
                <w:rFonts w:ascii="Times New Roman" w:hAnsi="Times New Roman"/>
                <w:noProof/>
                <w:sz w:val="24"/>
              </w:rPr>
              <w:t xml:space="preserve">ds in order to present Programmed and Net EU contributions and absorption rates;  </w:t>
            </w:r>
          </w:p>
          <w:p w:rsidR="00821F17" w:rsidRDefault="006B159E">
            <w:pPr>
              <w:pStyle w:val="ListParagraph"/>
              <w:numPr>
                <w:ilvl w:val="1"/>
                <w:numId w:val="9"/>
              </w:numPr>
              <w:spacing w:after="240" w:line="240" w:lineRule="auto"/>
              <w:jc w:val="both"/>
              <w:rPr>
                <w:rFonts w:ascii="Times New Roman" w:hAnsi="Times New Roman"/>
                <w:noProof/>
                <w:sz w:val="24"/>
              </w:rPr>
            </w:pPr>
            <w:r>
              <w:rPr>
                <w:rFonts w:ascii="Times New Roman" w:hAnsi="Times New Roman"/>
                <w:noProof/>
                <w:sz w:val="24"/>
              </w:rPr>
              <w:t xml:space="preserve">Financial data extracted from SFC2007 to present the breakdowns by Priority and Specific Priority; </w:t>
            </w:r>
          </w:p>
          <w:p w:rsidR="00821F17" w:rsidRDefault="006B159E">
            <w:pPr>
              <w:pStyle w:val="ListParagraph"/>
              <w:numPr>
                <w:ilvl w:val="1"/>
                <w:numId w:val="9"/>
              </w:numPr>
              <w:spacing w:after="240" w:line="240" w:lineRule="auto"/>
              <w:jc w:val="both"/>
              <w:rPr>
                <w:rFonts w:ascii="Times New Roman" w:hAnsi="Times New Roman"/>
                <w:noProof/>
                <w:sz w:val="24"/>
              </w:rPr>
            </w:pPr>
            <w:r>
              <w:rPr>
                <w:rFonts w:ascii="Times New Roman" w:hAnsi="Times New Roman"/>
                <w:noProof/>
                <w:sz w:val="24"/>
              </w:rPr>
              <w:t xml:space="preserve">Financial data extracted from SFC2007 to present Programmed and Net EU </w:t>
            </w:r>
            <w:r>
              <w:rPr>
                <w:rFonts w:ascii="Times New Roman" w:hAnsi="Times New Roman"/>
                <w:noProof/>
                <w:sz w:val="24"/>
              </w:rPr>
              <w:t>contributions and absorption rates for Annual Programmes;</w:t>
            </w:r>
          </w:p>
          <w:p w:rsidR="00821F17" w:rsidRDefault="006B159E">
            <w:pPr>
              <w:pStyle w:val="ListParagraph"/>
              <w:numPr>
                <w:ilvl w:val="1"/>
                <w:numId w:val="9"/>
              </w:numPr>
              <w:spacing w:after="240" w:line="240" w:lineRule="auto"/>
              <w:jc w:val="both"/>
              <w:rPr>
                <w:rFonts w:ascii="Times New Roman" w:hAnsi="Times New Roman"/>
                <w:noProof/>
                <w:sz w:val="24"/>
              </w:rPr>
            </w:pPr>
            <w:r>
              <w:rPr>
                <w:rFonts w:ascii="Times New Roman" w:hAnsi="Times New Roman"/>
                <w:noProof/>
                <w:sz w:val="24"/>
              </w:rPr>
              <w:t>Financial data for direct management were provided by the European Commission. Figures presented are the sum of the cost claims minus the ineligible costs.</w:t>
            </w:r>
          </w:p>
          <w:p w:rsidR="00821F17" w:rsidRDefault="006B159E">
            <w:pPr>
              <w:spacing w:after="24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Open Public Consultation</w:t>
            </w:r>
          </w:p>
          <w:p w:rsidR="00821F17" w:rsidRDefault="006B159E">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Between 11</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of M</w:t>
            </w:r>
            <w:r>
              <w:rPr>
                <w:rFonts w:ascii="Times New Roman" w:hAnsi="Times New Roman" w:cs="Times New Roman"/>
                <w:noProof/>
                <w:sz w:val="24"/>
                <w:szCs w:val="24"/>
              </w:rPr>
              <w:t>ay 2016 and the 11</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of August 2016, the European Commission also held an Internet-based public consultation in the form of two online questionnaires - one for the 2007-2010 period and one for the 2011-2013 period. Contributions were particularly sought fr</w:t>
            </w:r>
            <w:r>
              <w:rPr>
                <w:rFonts w:ascii="Times New Roman" w:hAnsi="Times New Roman" w:cs="Times New Roman"/>
                <w:noProof/>
                <w:sz w:val="24"/>
                <w:szCs w:val="24"/>
              </w:rPr>
              <w:t>om: individuals (experts, beneficiaries), local and national Member State Authorities, intergovernmental and non-governmental organisations, social partners and civil society, academic institutions, international organisations, and EU Institutions and Agen</w:t>
            </w:r>
            <w:r>
              <w:rPr>
                <w:rFonts w:ascii="Times New Roman" w:hAnsi="Times New Roman" w:cs="Times New Roman"/>
                <w:noProof/>
                <w:sz w:val="24"/>
                <w:szCs w:val="24"/>
              </w:rPr>
              <w:t xml:space="preserve">cies. </w:t>
            </w:r>
          </w:p>
          <w:p w:rsidR="00821F17" w:rsidRDefault="006B159E">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However, for the 2007-2010 period only 3 replies were received, which are too few to prepare an analysis of the data. For 2011-2013, there were 21 respondents from eight Member States (AT, CY, FI, IE, LV, MT, PT and ES). Contributions are therefore </w:t>
            </w:r>
            <w:r>
              <w:rPr>
                <w:rFonts w:ascii="Times New Roman" w:hAnsi="Times New Roman" w:cs="Times New Roman"/>
                <w:noProof/>
                <w:sz w:val="24"/>
                <w:szCs w:val="24"/>
              </w:rPr>
              <w:t xml:space="preserve">not representative of the targeted stakeholders. All stakeholders that participated in the EIF public consultation were representatives of public authorities, non-profit organisations or academic/research institutions. </w:t>
            </w:r>
          </w:p>
          <w:p w:rsidR="00821F17" w:rsidRDefault="006B159E">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After the closing of the public cons</w:t>
            </w:r>
            <w:r>
              <w:rPr>
                <w:rFonts w:ascii="Times New Roman" w:hAnsi="Times New Roman" w:cs="Times New Roman"/>
                <w:noProof/>
                <w:sz w:val="24"/>
                <w:szCs w:val="24"/>
              </w:rPr>
              <w:t>ultation, 21 answers covering eight different Member States had been received from public authorities, non-profit organizations and academic institutions. It must be noted that one-third (7 out of 21) of respondents were Portuguese public authorities.  The</w:t>
            </w:r>
            <w:r>
              <w:rPr>
                <w:rFonts w:ascii="Times New Roman" w:hAnsi="Times New Roman" w:cs="Times New Roman"/>
                <w:noProof/>
                <w:sz w:val="24"/>
                <w:szCs w:val="24"/>
              </w:rPr>
              <w:t>refore, the representativeness of the sample remains limited.</w:t>
            </w:r>
          </w:p>
          <w:p w:rsidR="00821F17" w:rsidRDefault="006B159E">
            <w:pPr>
              <w:spacing w:after="24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Analysis</w:t>
            </w:r>
          </w:p>
          <w:p w:rsidR="00821F17" w:rsidRDefault="006B159E">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Three different levels of analysis were undertaken by the external company:</w:t>
            </w:r>
          </w:p>
          <w:p w:rsidR="00821F17" w:rsidRDefault="006B159E">
            <w:pPr>
              <w:pStyle w:val="ListParagraph"/>
              <w:numPr>
                <w:ilvl w:val="0"/>
                <w:numId w:val="10"/>
              </w:numPr>
              <w:spacing w:before="120" w:after="120" w:line="240" w:lineRule="auto"/>
              <w:jc w:val="both"/>
              <w:rPr>
                <w:rFonts w:ascii="Times New Roman" w:hAnsi="Times New Roman"/>
                <w:noProof/>
                <w:sz w:val="24"/>
              </w:rPr>
            </w:pPr>
            <w:r>
              <w:rPr>
                <w:rFonts w:ascii="Times New Roman" w:hAnsi="Times New Roman"/>
                <w:noProof/>
                <w:sz w:val="24"/>
                <w:u w:val="single"/>
              </w:rPr>
              <w:t>Descriptive analysis</w:t>
            </w:r>
            <w:r>
              <w:rPr>
                <w:rFonts w:ascii="Times New Roman" w:hAnsi="Times New Roman"/>
                <w:noProof/>
                <w:sz w:val="24"/>
              </w:rPr>
              <w:t>, at two levels, to provide context and a basis for the development of other types of ana</w:t>
            </w:r>
            <w:r>
              <w:rPr>
                <w:rFonts w:ascii="Times New Roman" w:hAnsi="Times New Roman"/>
                <w:noProof/>
                <w:sz w:val="24"/>
              </w:rPr>
              <w:t>lysis:</w:t>
            </w:r>
          </w:p>
          <w:p w:rsidR="00821F17" w:rsidRDefault="006B159E">
            <w:pPr>
              <w:pStyle w:val="ListParagraph"/>
              <w:numPr>
                <w:ilvl w:val="0"/>
                <w:numId w:val="11"/>
              </w:numPr>
              <w:spacing w:before="120" w:after="120" w:line="240" w:lineRule="auto"/>
              <w:jc w:val="both"/>
              <w:rPr>
                <w:rFonts w:ascii="Times New Roman" w:hAnsi="Times New Roman"/>
                <w:noProof/>
                <w:sz w:val="24"/>
              </w:rPr>
            </w:pPr>
            <w:r>
              <w:rPr>
                <w:rFonts w:ascii="Times New Roman" w:hAnsi="Times New Roman"/>
                <w:noProof/>
                <w:sz w:val="24"/>
              </w:rPr>
              <w:t>EU level: Different official documentation, such as the Decision establishing the EIF, as well as interviews with DG HOME were analysed and used to describe the context of the EIF, such as the objectives it was aiming to achieve and the type of acti</w:t>
            </w:r>
            <w:r>
              <w:rPr>
                <w:rFonts w:ascii="Times New Roman" w:hAnsi="Times New Roman"/>
                <w:noProof/>
                <w:sz w:val="24"/>
              </w:rPr>
              <w:t xml:space="preserve">ons eligible for funding under the EIF. </w:t>
            </w:r>
          </w:p>
          <w:p w:rsidR="00821F17" w:rsidRDefault="00821F17">
            <w:pPr>
              <w:pStyle w:val="ListParagraph"/>
              <w:spacing w:before="120" w:after="120" w:line="240" w:lineRule="auto"/>
              <w:ind w:left="1440"/>
              <w:jc w:val="both"/>
              <w:rPr>
                <w:rFonts w:ascii="Times New Roman" w:hAnsi="Times New Roman"/>
                <w:noProof/>
                <w:sz w:val="24"/>
              </w:rPr>
            </w:pPr>
          </w:p>
          <w:p w:rsidR="00821F17" w:rsidRDefault="006B159E">
            <w:pPr>
              <w:pStyle w:val="ListParagraph"/>
              <w:numPr>
                <w:ilvl w:val="0"/>
                <w:numId w:val="11"/>
              </w:numPr>
              <w:spacing w:before="120" w:after="120" w:line="240" w:lineRule="auto"/>
              <w:jc w:val="both"/>
              <w:rPr>
                <w:rFonts w:ascii="Times New Roman" w:hAnsi="Times New Roman"/>
                <w:noProof/>
                <w:sz w:val="24"/>
              </w:rPr>
            </w:pPr>
            <w:r>
              <w:rPr>
                <w:rFonts w:ascii="Times New Roman" w:hAnsi="Times New Roman"/>
                <w:noProof/>
                <w:sz w:val="24"/>
              </w:rPr>
              <w:t>Case studies: The analysis of the data collected relating to the national actions as part of the case studies (all programmatic documents, national evaluation reports and interview notes) was carried out and descri</w:t>
            </w:r>
            <w:r>
              <w:rPr>
                <w:rFonts w:ascii="Times New Roman" w:hAnsi="Times New Roman"/>
                <w:noProof/>
                <w:sz w:val="24"/>
              </w:rPr>
              <w:t>bed according to the intervention logic elements, as well as all the evaluation criteria in the case study reports. The case studies were selected according to four fixed criteria to improve representativeness (Objectives, Priorities, types of intervention</w:t>
            </w:r>
            <w:r>
              <w:rPr>
                <w:rFonts w:ascii="Times New Roman" w:hAnsi="Times New Roman"/>
                <w:noProof/>
                <w:sz w:val="24"/>
              </w:rPr>
              <w:t>); relevance (external borders and migratory pressure); solidarity (where investments exceed input) and coverage of the evaluation questions in the national evaluation reports.</w:t>
            </w:r>
          </w:p>
          <w:p w:rsidR="00821F17" w:rsidRDefault="00821F17">
            <w:pPr>
              <w:pStyle w:val="ListParagraph"/>
              <w:spacing w:before="120" w:after="120" w:line="240" w:lineRule="auto"/>
              <w:ind w:left="1440"/>
              <w:jc w:val="both"/>
              <w:rPr>
                <w:rFonts w:ascii="Times New Roman" w:hAnsi="Times New Roman"/>
                <w:noProof/>
                <w:sz w:val="24"/>
              </w:rPr>
            </w:pPr>
          </w:p>
          <w:p w:rsidR="00821F17" w:rsidRDefault="006B159E">
            <w:pPr>
              <w:pStyle w:val="ListParagraph"/>
              <w:numPr>
                <w:ilvl w:val="0"/>
                <w:numId w:val="10"/>
              </w:numPr>
              <w:spacing w:before="120" w:after="120" w:line="240" w:lineRule="auto"/>
              <w:jc w:val="both"/>
              <w:rPr>
                <w:rFonts w:ascii="Times New Roman" w:hAnsi="Times New Roman"/>
                <w:noProof/>
                <w:sz w:val="24"/>
              </w:rPr>
            </w:pPr>
            <w:r>
              <w:rPr>
                <w:rFonts w:ascii="Times New Roman" w:hAnsi="Times New Roman"/>
                <w:noProof/>
                <w:sz w:val="24"/>
                <w:u w:val="single"/>
              </w:rPr>
              <w:t>Thematic analysis:</w:t>
            </w:r>
            <w:r>
              <w:rPr>
                <w:rFonts w:ascii="Times New Roman" w:hAnsi="Times New Roman"/>
                <w:noProof/>
                <w:sz w:val="24"/>
              </w:rPr>
              <w:t xml:space="preserve"> For this analysis, N-vivo, a qualitative analysis tool, was used to encode and subsequently analyse the information from the national evaluation reports and relevant interviews (EU level and interviews with RAs). The encoding was done according to a Codin</w:t>
            </w:r>
            <w:r>
              <w:rPr>
                <w:rFonts w:ascii="Times New Roman" w:hAnsi="Times New Roman"/>
                <w:noProof/>
                <w:sz w:val="24"/>
              </w:rPr>
              <w:t>g Framework which included all the different intervention logic elements, as well as all the evaluation criteria, and allowed for the creation of “sub-nodes” as further themes emerged from the analysis. Through the encoding, trends and themes emerged acros</w:t>
            </w:r>
            <w:r>
              <w:rPr>
                <w:rFonts w:ascii="Times New Roman" w:hAnsi="Times New Roman"/>
                <w:noProof/>
                <w:sz w:val="24"/>
              </w:rPr>
              <w:t>s the participating countries under the different evaluation criteria and EIF objectives and priorities. In addition, quantitative data collected was analysed, such as the context and effectiveness indicators from the final closure reports submitted by the</w:t>
            </w:r>
            <w:r>
              <w:rPr>
                <w:rFonts w:ascii="Times New Roman" w:hAnsi="Times New Roman"/>
                <w:noProof/>
                <w:sz w:val="24"/>
              </w:rPr>
              <w:t xml:space="preserve"> Member States (as presented in the SFC 2007 database) and national evaluation reports. This quantitative analysis also allowed for key messages to emerge from the data (such as type of priority receiving the most funding). </w:t>
            </w:r>
          </w:p>
          <w:p w:rsidR="00821F17" w:rsidRDefault="00821F17">
            <w:pPr>
              <w:pStyle w:val="ListParagraph"/>
              <w:spacing w:before="120" w:after="120" w:line="240" w:lineRule="auto"/>
              <w:jc w:val="both"/>
              <w:rPr>
                <w:rFonts w:ascii="Times New Roman" w:hAnsi="Times New Roman"/>
                <w:noProof/>
                <w:sz w:val="24"/>
              </w:rPr>
            </w:pPr>
          </w:p>
          <w:p w:rsidR="00821F17" w:rsidRDefault="006B159E">
            <w:pPr>
              <w:pStyle w:val="ListParagraph"/>
              <w:numPr>
                <w:ilvl w:val="0"/>
                <w:numId w:val="10"/>
              </w:numPr>
              <w:spacing w:before="120" w:after="120" w:line="240" w:lineRule="auto"/>
              <w:jc w:val="both"/>
              <w:rPr>
                <w:rFonts w:ascii="Times New Roman" w:hAnsi="Times New Roman"/>
                <w:noProof/>
                <w:sz w:val="24"/>
              </w:rPr>
            </w:pPr>
            <w:r>
              <w:rPr>
                <w:rFonts w:ascii="Times New Roman" w:hAnsi="Times New Roman"/>
                <w:noProof/>
                <w:sz w:val="24"/>
                <w:u w:val="single"/>
              </w:rPr>
              <w:t>Comparative analysis:</w:t>
            </w:r>
            <w:r>
              <w:rPr>
                <w:rFonts w:ascii="Times New Roman" w:hAnsi="Times New Roman"/>
                <w:noProof/>
                <w:sz w:val="24"/>
              </w:rPr>
              <w:t xml:space="preserve"> Building</w:t>
            </w:r>
            <w:r>
              <w:rPr>
                <w:rFonts w:ascii="Times New Roman" w:hAnsi="Times New Roman"/>
                <w:noProof/>
                <w:sz w:val="24"/>
              </w:rPr>
              <w:t xml:space="preserve"> on the descriptive and thematic analysis, a comparative analysis was undertaken, comparing the findings from different participating countries under each of the evaluation criteria. The comparative analysis allowed the study team to assess the extent to w</w:t>
            </w:r>
            <w:r>
              <w:rPr>
                <w:rFonts w:ascii="Times New Roman" w:hAnsi="Times New Roman"/>
                <w:noProof/>
                <w:sz w:val="24"/>
              </w:rPr>
              <w:t xml:space="preserve">hich the research findings were coherent. The case studies were also included in the analysis and used to illustrate certain findings. </w:t>
            </w:r>
          </w:p>
          <w:p w:rsidR="00821F17" w:rsidRDefault="00821F17">
            <w:pPr>
              <w:pStyle w:val="ListParagraph"/>
              <w:spacing w:before="120" w:after="120" w:line="240" w:lineRule="auto"/>
              <w:jc w:val="both"/>
              <w:rPr>
                <w:rFonts w:ascii="Times New Roman" w:hAnsi="Times New Roman"/>
                <w:noProof/>
                <w:sz w:val="24"/>
              </w:rPr>
            </w:pPr>
          </w:p>
          <w:p w:rsidR="00821F17" w:rsidRDefault="006B159E">
            <w:pPr>
              <w:pStyle w:val="ListParagraph"/>
              <w:numPr>
                <w:ilvl w:val="0"/>
                <w:numId w:val="10"/>
              </w:numPr>
              <w:spacing w:before="120" w:after="120" w:line="240" w:lineRule="auto"/>
              <w:jc w:val="both"/>
              <w:rPr>
                <w:rFonts w:ascii="Times New Roman" w:hAnsi="Times New Roman"/>
                <w:noProof/>
                <w:sz w:val="24"/>
              </w:rPr>
            </w:pPr>
            <w:r>
              <w:rPr>
                <w:rFonts w:ascii="Times New Roman" w:hAnsi="Times New Roman"/>
                <w:noProof/>
                <w:sz w:val="24"/>
                <w:u w:val="single"/>
              </w:rPr>
              <w:t>Interviews</w:t>
            </w:r>
            <w:r>
              <w:rPr>
                <w:rFonts w:ascii="Times New Roman" w:hAnsi="Times New Roman"/>
                <w:noProof/>
                <w:sz w:val="24"/>
              </w:rPr>
              <w:t xml:space="preserve">: Over 100 interviews were organized by telephone and in person by the contractor to gather additional input </w:t>
            </w:r>
            <w:r>
              <w:rPr>
                <w:rFonts w:ascii="Times New Roman" w:hAnsi="Times New Roman"/>
                <w:noProof/>
                <w:sz w:val="24"/>
              </w:rPr>
              <w:t xml:space="preserve">from several stakeholder groups (European Institutions, EU Agencies, national responsible authorities and other stakeholders).  </w:t>
            </w:r>
          </w:p>
          <w:p w:rsidR="00821F17" w:rsidRDefault="00821F17">
            <w:pPr>
              <w:pStyle w:val="ListParagraph"/>
              <w:spacing w:after="240" w:line="240" w:lineRule="auto"/>
              <w:jc w:val="both"/>
              <w:rPr>
                <w:rFonts w:ascii="Times New Roman" w:hAnsi="Times New Roman"/>
                <w:b/>
                <w:i/>
                <w:noProof/>
                <w:sz w:val="24"/>
                <w:u w:val="single"/>
              </w:rPr>
            </w:pPr>
          </w:p>
          <w:p w:rsidR="00821F17" w:rsidRDefault="006B159E">
            <w:pPr>
              <w:spacing w:after="24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Assessing the impacts of the EIF</w:t>
            </w:r>
          </w:p>
          <w:p w:rsidR="00821F17" w:rsidRDefault="006B159E">
            <w:pPr>
              <w:spacing w:after="240" w:line="240" w:lineRule="auto"/>
              <w:jc w:val="both"/>
              <w:rPr>
                <w:rFonts w:ascii="Times New Roman" w:eastAsia="MS Mincho" w:hAnsi="Times New Roman" w:cs="Times New Roman"/>
                <w:noProof/>
                <w:color w:val="000000"/>
              </w:rPr>
            </w:pPr>
            <w:r>
              <w:rPr>
                <w:rFonts w:ascii="Times New Roman" w:hAnsi="Times New Roman" w:cs="Times New Roman"/>
                <w:noProof/>
                <w:sz w:val="24"/>
                <w:szCs w:val="24"/>
              </w:rPr>
              <w:t xml:space="preserve">Evaluating the impacts of the ERF at national level is more complicated as it requires </w:t>
            </w:r>
            <w:r>
              <w:rPr>
                <w:rFonts w:ascii="Times New Roman" w:hAnsi="Times New Roman" w:cs="Times New Roman"/>
                <w:noProof/>
                <w:sz w:val="24"/>
                <w:szCs w:val="24"/>
              </w:rPr>
              <w:t>experiment conditions with a matched control where ERF was not utilised. In order to mitigate this, the study used information from the case studies and interviews, as well as the evaluators’ own judgment.</w:t>
            </w:r>
          </w:p>
        </w:tc>
        <w:tc>
          <w:tcPr>
            <w:tcW w:w="222" w:type="dxa"/>
            <w:shd w:val="clear" w:color="auto" w:fill="auto"/>
            <w:vAlign w:val="center"/>
          </w:tcPr>
          <w:p w:rsidR="00821F17" w:rsidRDefault="00821F17">
            <w:pPr>
              <w:pStyle w:val="Body"/>
              <w:spacing w:after="0"/>
              <w:rPr>
                <w:rFonts w:ascii="Times New Roman" w:eastAsia="MS Mincho" w:hAnsi="Times New Roman" w:cs="Times New Roman"/>
                <w:noProof/>
                <w:sz w:val="22"/>
                <w:szCs w:val="22"/>
                <w:lang w:val="en-GB"/>
              </w:rPr>
            </w:pPr>
          </w:p>
        </w:tc>
      </w:tr>
      <w:tr w:rsidR="00821F17">
        <w:tc>
          <w:tcPr>
            <w:tcW w:w="9066" w:type="dxa"/>
            <w:shd w:val="clear" w:color="auto" w:fill="auto"/>
            <w:vAlign w:val="center"/>
          </w:tcPr>
          <w:p w:rsidR="00821F17" w:rsidRDefault="00821F17">
            <w:pPr>
              <w:pStyle w:val="Body"/>
              <w:spacing w:after="0"/>
              <w:rPr>
                <w:rFonts w:ascii="Times New Roman" w:eastAsia="MS Mincho" w:hAnsi="Times New Roman" w:cs="Times New Roman"/>
                <w:noProof/>
                <w:color w:val="000000"/>
                <w:sz w:val="22"/>
                <w:szCs w:val="22"/>
                <w:lang w:val="en-GB"/>
              </w:rPr>
            </w:pPr>
          </w:p>
        </w:tc>
        <w:tc>
          <w:tcPr>
            <w:tcW w:w="222" w:type="dxa"/>
            <w:shd w:val="clear" w:color="auto" w:fill="auto"/>
            <w:vAlign w:val="center"/>
          </w:tcPr>
          <w:p w:rsidR="00821F17" w:rsidRDefault="00821F17">
            <w:pPr>
              <w:pStyle w:val="Body"/>
              <w:spacing w:after="0"/>
              <w:rPr>
                <w:rFonts w:ascii="Times New Roman" w:eastAsia="MS Mincho" w:hAnsi="Times New Roman" w:cs="Times New Roman"/>
                <w:noProof/>
                <w:sz w:val="22"/>
                <w:szCs w:val="22"/>
                <w:lang w:val="en-GB"/>
              </w:rPr>
            </w:pPr>
          </w:p>
        </w:tc>
      </w:tr>
    </w:tbl>
    <w:p w:rsidR="00821F17" w:rsidRDefault="00821F17">
      <w:pPr>
        <w:pStyle w:val="Heading1"/>
        <w:numPr>
          <w:ilvl w:val="0"/>
          <w:numId w:val="0"/>
        </w:numPr>
        <w:rPr>
          <w:noProof/>
          <w:lang w:val="en-GB"/>
        </w:rPr>
      </w:pPr>
    </w:p>
    <w:p w:rsidR="00821F17" w:rsidRDefault="00821F17">
      <w:pPr>
        <w:pStyle w:val="Heading1"/>
        <w:numPr>
          <w:ilvl w:val="0"/>
          <w:numId w:val="0"/>
        </w:numPr>
        <w:rPr>
          <w:noProof/>
          <w:lang w:val="en-GB"/>
        </w:rPr>
      </w:pPr>
    </w:p>
    <w:p w:rsidR="00821F17" w:rsidRDefault="00821F17">
      <w:pPr>
        <w:pStyle w:val="Heading1"/>
        <w:numPr>
          <w:ilvl w:val="0"/>
          <w:numId w:val="0"/>
        </w:numPr>
        <w:rPr>
          <w:noProof/>
          <w:lang w:val="en-GB"/>
        </w:rPr>
      </w:pPr>
    </w:p>
    <w:p w:rsidR="00821F17" w:rsidRDefault="00821F17">
      <w:pPr>
        <w:pStyle w:val="Heading1"/>
        <w:numPr>
          <w:ilvl w:val="0"/>
          <w:numId w:val="0"/>
        </w:numPr>
        <w:rPr>
          <w:noProof/>
          <w:lang w:val="en-GB"/>
        </w:rPr>
      </w:pPr>
    </w:p>
    <w:p w:rsidR="00821F17" w:rsidRDefault="00821F17">
      <w:pPr>
        <w:pStyle w:val="Heading1"/>
        <w:numPr>
          <w:ilvl w:val="0"/>
          <w:numId w:val="0"/>
        </w:numPr>
        <w:rPr>
          <w:noProof/>
          <w:lang w:val="en-GB"/>
        </w:rPr>
      </w:pPr>
    </w:p>
    <w:p w:rsidR="00821F17" w:rsidRDefault="00821F17">
      <w:pPr>
        <w:pStyle w:val="Heading1"/>
        <w:numPr>
          <w:ilvl w:val="0"/>
          <w:numId w:val="0"/>
        </w:numPr>
        <w:rPr>
          <w:noProof/>
          <w:lang w:val="en-GB"/>
        </w:rPr>
      </w:pPr>
    </w:p>
    <w:p w:rsidR="00821F17" w:rsidRDefault="00821F17">
      <w:pPr>
        <w:pStyle w:val="Heading1"/>
        <w:numPr>
          <w:ilvl w:val="0"/>
          <w:numId w:val="0"/>
        </w:numPr>
        <w:rPr>
          <w:noProof/>
          <w:lang w:val="en-GB"/>
        </w:rPr>
      </w:pPr>
    </w:p>
    <w:p w:rsidR="00821F17" w:rsidRDefault="006B159E">
      <w:pPr>
        <w:pStyle w:val="Heading1"/>
        <w:numPr>
          <w:ilvl w:val="0"/>
          <w:numId w:val="0"/>
        </w:numPr>
        <w:rPr>
          <w:rFonts w:cs="Times New Roman"/>
          <w:noProof/>
          <w:sz w:val="24"/>
          <w:szCs w:val="24"/>
          <w:lang w:val="en-GB"/>
        </w:rPr>
      </w:pPr>
      <w:bookmarkStart w:id="49" w:name="_Toc501546870"/>
      <w:r>
        <w:rPr>
          <w:rFonts w:cs="Times New Roman"/>
          <w:noProof/>
          <w:sz w:val="24"/>
          <w:szCs w:val="24"/>
          <w:lang w:val="en-GB"/>
        </w:rPr>
        <w:t>ANNEX 4 - List of evaluation questions</w:t>
      </w:r>
      <w:bookmarkEnd w:id="49"/>
    </w:p>
    <w:p w:rsidR="00821F17" w:rsidRDefault="006B159E">
      <w:pPr>
        <w:jc w:val="both"/>
        <w:rPr>
          <w:rFonts w:ascii="Times New Roman" w:hAnsi="Times New Roman" w:cs="Times New Roman"/>
          <w:b/>
          <w:bCs/>
          <w:i/>
          <w:noProof/>
        </w:rPr>
      </w:pPr>
      <w:r>
        <w:rPr>
          <w:rFonts w:ascii="Times New Roman" w:hAnsi="Times New Roman" w:cs="Times New Roman"/>
          <w:b/>
          <w:bCs/>
          <w:i/>
          <w:noProof/>
        </w:rPr>
        <w:t xml:space="preserve">Effectiveness </w:t>
      </w:r>
    </w:p>
    <w:p w:rsidR="00821F17" w:rsidRDefault="006B159E">
      <w:pPr>
        <w:jc w:val="both"/>
        <w:rPr>
          <w:rFonts w:ascii="Times New Roman" w:hAnsi="Times New Roman" w:cs="Times New Roman"/>
          <w:iCs/>
          <w:noProof/>
        </w:rPr>
      </w:pPr>
      <w:r>
        <w:rPr>
          <w:rFonts w:ascii="Times New Roman" w:hAnsi="Times New Roman" w:cs="Times New Roman"/>
          <w:iCs/>
          <w:noProof/>
        </w:rPr>
        <w:t>1. To what extent did the EIF 2011-2013 actions contribute to the achievement of the objectives defined in the Articles 2 and 3 of Decision No 2007/435/EC and to the priorities defined by the Strategic guidelines (C(2007)3926 of 21/08/2007)</w:t>
      </w:r>
      <w:r>
        <w:rPr>
          <w:rFonts w:ascii="Times New Roman" w:hAnsi="Times New Roman" w:cs="Times New Roman"/>
          <w:iCs/>
          <w:noProof/>
        </w:rPr>
        <w:t>?</w:t>
      </w:r>
      <w:r>
        <w:rPr>
          <w:rFonts w:ascii="Times New Roman" w:hAnsi="Times New Roman" w:cs="Times New Roman"/>
          <w:iCs/>
          <w:noProof/>
          <w:vertAlign w:val="superscript"/>
        </w:rPr>
        <w:footnoteReference w:id="92"/>
      </w:r>
      <w:r>
        <w:rPr>
          <w:rFonts w:ascii="Times New Roman" w:hAnsi="Times New Roman" w:cs="Times New Roman"/>
          <w:iCs/>
          <w:noProof/>
        </w:rPr>
        <w:t xml:space="preserve"> </w:t>
      </w:r>
    </w:p>
    <w:p w:rsidR="00821F17" w:rsidRDefault="006B159E">
      <w:pPr>
        <w:jc w:val="both"/>
        <w:rPr>
          <w:rFonts w:ascii="Times New Roman" w:hAnsi="Times New Roman" w:cs="Times New Roman"/>
          <w:iCs/>
          <w:noProof/>
        </w:rPr>
      </w:pPr>
      <w:r>
        <w:rPr>
          <w:rFonts w:ascii="Times New Roman" w:hAnsi="Times New Roman" w:cs="Times New Roman"/>
          <w:iCs/>
          <w:noProof/>
        </w:rPr>
        <w:t xml:space="preserve">2. To what extent did the EIF 2011-2013 actions contribute to the integration of newly arrived third-country nationals? </w:t>
      </w:r>
    </w:p>
    <w:p w:rsidR="00821F17" w:rsidRDefault="006B159E">
      <w:pPr>
        <w:jc w:val="both"/>
        <w:rPr>
          <w:rFonts w:ascii="Times New Roman" w:hAnsi="Times New Roman" w:cs="Times New Roman"/>
          <w:iCs/>
          <w:noProof/>
        </w:rPr>
      </w:pPr>
      <w:r>
        <w:rPr>
          <w:rFonts w:ascii="Times New Roman" w:hAnsi="Times New Roman" w:cs="Times New Roman"/>
          <w:iCs/>
          <w:noProof/>
        </w:rPr>
        <w:t>3. To what extent did the EIF 2011-2013 actions contribute to facilitation of the development and implementation of admission proce</w:t>
      </w:r>
      <w:r>
        <w:rPr>
          <w:rFonts w:ascii="Times New Roman" w:hAnsi="Times New Roman" w:cs="Times New Roman"/>
          <w:iCs/>
          <w:noProof/>
        </w:rPr>
        <w:t>dures relevant to and supportive of the integration process of third-country nationals?</w:t>
      </w:r>
    </w:p>
    <w:p w:rsidR="00821F17" w:rsidRDefault="006B159E">
      <w:pPr>
        <w:jc w:val="both"/>
        <w:rPr>
          <w:rFonts w:ascii="Times New Roman" w:hAnsi="Times New Roman" w:cs="Times New Roman"/>
          <w:noProof/>
        </w:rPr>
      </w:pPr>
      <w:r>
        <w:rPr>
          <w:rFonts w:ascii="Times New Roman" w:hAnsi="Times New Roman" w:cs="Times New Roman"/>
          <w:iCs/>
          <w:noProof/>
        </w:rPr>
        <w:t xml:space="preserve">4. To what extent did the EIF 2011-2013 actions </w:t>
      </w:r>
      <w:r>
        <w:rPr>
          <w:rFonts w:ascii="Times New Roman" w:hAnsi="Times New Roman" w:cs="Times New Roman"/>
          <w:noProof/>
        </w:rPr>
        <w:t xml:space="preserve">contribute to development and implementation of the integration process of newly-arrived third-country nationals in </w:t>
      </w:r>
      <w:r>
        <w:rPr>
          <w:rFonts w:ascii="Times New Roman" w:hAnsi="Times New Roman" w:cs="Times New Roman"/>
          <w:noProof/>
        </w:rPr>
        <w:t>Member States?</w:t>
      </w:r>
    </w:p>
    <w:p w:rsidR="00821F17" w:rsidRDefault="006B159E">
      <w:pPr>
        <w:jc w:val="both"/>
        <w:rPr>
          <w:rFonts w:ascii="Times New Roman" w:hAnsi="Times New Roman" w:cs="Times New Roman"/>
          <w:iCs/>
          <w:noProof/>
        </w:rPr>
      </w:pPr>
      <w:r>
        <w:rPr>
          <w:rFonts w:ascii="Times New Roman" w:hAnsi="Times New Roman" w:cs="Times New Roman"/>
          <w:iCs/>
          <w:noProof/>
        </w:rPr>
        <w:t xml:space="preserve">5. To what extent did the EIF 2011-2013 actions </w:t>
      </w:r>
      <w:r>
        <w:rPr>
          <w:rFonts w:ascii="Times New Roman" w:hAnsi="Times New Roman" w:cs="Times New Roman"/>
          <w:noProof/>
        </w:rPr>
        <w:t>contribute to increasing of the capacity of Member States to develop, implement, monitor and evaluate policies and measures for the integration of third-country nationals?</w:t>
      </w:r>
    </w:p>
    <w:p w:rsidR="00821F17" w:rsidRDefault="006B159E">
      <w:pPr>
        <w:jc w:val="both"/>
        <w:rPr>
          <w:rFonts w:ascii="Times New Roman" w:hAnsi="Times New Roman" w:cs="Times New Roman"/>
          <w:iCs/>
          <w:noProof/>
        </w:rPr>
      </w:pPr>
      <w:r>
        <w:rPr>
          <w:rFonts w:ascii="Times New Roman" w:hAnsi="Times New Roman" w:cs="Times New Roman"/>
          <w:iCs/>
          <w:noProof/>
        </w:rPr>
        <w:t>6. To what extent did</w:t>
      </w:r>
      <w:r>
        <w:rPr>
          <w:rFonts w:ascii="Times New Roman" w:hAnsi="Times New Roman" w:cs="Times New Roman"/>
          <w:iCs/>
          <w:noProof/>
        </w:rPr>
        <w:t xml:space="preserve"> the EIF 2011-2013 actions contribute to exchange of information, best practices and cooperation in and between Member States in developing, implementing, monitoring and evaluating policies and measures for the integration of third-country nationals?</w:t>
      </w:r>
    </w:p>
    <w:p w:rsidR="00821F17" w:rsidRDefault="006B159E">
      <w:pPr>
        <w:jc w:val="both"/>
        <w:rPr>
          <w:rFonts w:ascii="Times New Roman" w:hAnsi="Times New Roman" w:cs="Times New Roman"/>
          <w:iCs/>
          <w:noProof/>
        </w:rPr>
      </w:pPr>
      <w:r>
        <w:rPr>
          <w:rFonts w:ascii="Times New Roman" w:hAnsi="Times New Roman" w:cs="Times New Roman"/>
          <w:iCs/>
          <w:noProof/>
        </w:rPr>
        <w:t>7. To</w:t>
      </w:r>
      <w:r>
        <w:rPr>
          <w:rFonts w:ascii="Times New Roman" w:hAnsi="Times New Roman" w:cs="Times New Roman"/>
          <w:iCs/>
          <w:noProof/>
        </w:rPr>
        <w:t xml:space="preserve"> what extent did the EIF 2011-2013 actions contribute</w:t>
      </w:r>
      <w:r>
        <w:rPr>
          <w:rFonts w:ascii="Times New Roman" w:hAnsi="Times New Roman" w:cs="Times New Roman"/>
          <w:noProof/>
        </w:rPr>
        <w:t xml:space="preserve"> to</w:t>
      </w:r>
      <w:r>
        <w:rPr>
          <w:rFonts w:ascii="Times New Roman" w:hAnsi="Times New Roman" w:cs="Times New Roman"/>
          <w:iCs/>
          <w:noProof/>
        </w:rPr>
        <w:t xml:space="preserve"> implementation of actions designed to put the 'Common Basic Principles for immigrant integration policy in the European Union' into practice?</w:t>
      </w:r>
    </w:p>
    <w:p w:rsidR="00821F17" w:rsidRDefault="006B159E">
      <w:pPr>
        <w:jc w:val="both"/>
        <w:rPr>
          <w:rFonts w:ascii="Times New Roman" w:hAnsi="Times New Roman" w:cs="Times New Roman"/>
          <w:iCs/>
          <w:noProof/>
        </w:rPr>
      </w:pPr>
      <w:r>
        <w:rPr>
          <w:rFonts w:ascii="Times New Roman" w:hAnsi="Times New Roman" w:cs="Times New Roman"/>
          <w:iCs/>
          <w:noProof/>
        </w:rPr>
        <w:t>8. To what extent did the EIF 2011-2013 actions contribut</w:t>
      </w:r>
      <w:r>
        <w:rPr>
          <w:rFonts w:ascii="Times New Roman" w:hAnsi="Times New Roman" w:cs="Times New Roman"/>
          <w:iCs/>
          <w:noProof/>
        </w:rPr>
        <w:t>e</w:t>
      </w:r>
      <w:r>
        <w:rPr>
          <w:rFonts w:ascii="Times New Roman" w:hAnsi="Times New Roman" w:cs="Times New Roman"/>
          <w:noProof/>
        </w:rPr>
        <w:t xml:space="preserve"> to</w:t>
      </w:r>
      <w:r>
        <w:rPr>
          <w:rFonts w:ascii="Times New Roman" w:hAnsi="Times New Roman" w:cs="Times New Roman"/>
          <w:iCs/>
          <w:noProof/>
        </w:rPr>
        <w:t xml:space="preserve"> development of indicators and evaluation methodologies to assess progress, adjust policies and measures and to facilitate co-ordination of comparative learning?</w:t>
      </w:r>
    </w:p>
    <w:p w:rsidR="00821F17" w:rsidRDefault="006B159E">
      <w:pPr>
        <w:jc w:val="both"/>
        <w:rPr>
          <w:rFonts w:ascii="Times New Roman" w:hAnsi="Times New Roman" w:cs="Times New Roman"/>
          <w:iCs/>
          <w:noProof/>
        </w:rPr>
      </w:pPr>
      <w:r>
        <w:rPr>
          <w:rFonts w:ascii="Times New Roman" w:hAnsi="Times New Roman" w:cs="Times New Roman"/>
          <w:iCs/>
          <w:noProof/>
        </w:rPr>
        <w:t>9. To what extent did the EIF 2011-2013 actions contribute</w:t>
      </w:r>
      <w:r>
        <w:rPr>
          <w:rFonts w:ascii="Times New Roman" w:hAnsi="Times New Roman" w:cs="Times New Roman"/>
          <w:noProof/>
        </w:rPr>
        <w:t xml:space="preserve"> to</w:t>
      </w:r>
      <w:r>
        <w:rPr>
          <w:rFonts w:ascii="Times New Roman" w:hAnsi="Times New Roman" w:cs="Times New Roman"/>
          <w:iCs/>
          <w:noProof/>
        </w:rPr>
        <w:t xml:space="preserve"> policy capacity building, co</w:t>
      </w:r>
      <w:r>
        <w:rPr>
          <w:rFonts w:ascii="Times New Roman" w:hAnsi="Times New Roman" w:cs="Times New Roman"/>
          <w:iCs/>
          <w:noProof/>
        </w:rPr>
        <w:t>-ordination and intercultural competence building in the Member States across the different levels and departments of government?</w:t>
      </w:r>
    </w:p>
    <w:p w:rsidR="00821F17" w:rsidRDefault="006B159E">
      <w:pPr>
        <w:jc w:val="both"/>
        <w:rPr>
          <w:rFonts w:ascii="Times New Roman" w:hAnsi="Times New Roman" w:cs="Times New Roman"/>
          <w:noProof/>
        </w:rPr>
      </w:pPr>
      <w:r>
        <w:rPr>
          <w:rFonts w:ascii="Times New Roman" w:hAnsi="Times New Roman" w:cs="Times New Roman"/>
          <w:iCs/>
          <w:noProof/>
        </w:rPr>
        <w:t>10. To what extent did the EIF 2011-2013 actions contribute</w:t>
      </w:r>
      <w:r>
        <w:rPr>
          <w:rFonts w:ascii="Times New Roman" w:hAnsi="Times New Roman" w:cs="Times New Roman"/>
          <w:noProof/>
        </w:rPr>
        <w:t xml:space="preserve"> to the exchange of experience, good practice and information on in</w:t>
      </w:r>
      <w:r>
        <w:rPr>
          <w:rFonts w:ascii="Times New Roman" w:hAnsi="Times New Roman" w:cs="Times New Roman"/>
          <w:noProof/>
        </w:rPr>
        <w:t>tegration between the Member States?</w:t>
      </w:r>
    </w:p>
    <w:p w:rsidR="00821F17" w:rsidRDefault="006B159E">
      <w:pPr>
        <w:jc w:val="both"/>
        <w:rPr>
          <w:rFonts w:ascii="Times New Roman" w:hAnsi="Times New Roman" w:cs="Times New Roman"/>
          <w:b/>
          <w:bCs/>
          <w:i/>
          <w:noProof/>
        </w:rPr>
      </w:pPr>
      <w:r>
        <w:rPr>
          <w:rFonts w:ascii="Times New Roman" w:hAnsi="Times New Roman" w:cs="Times New Roman"/>
          <w:b/>
          <w:bCs/>
          <w:i/>
          <w:noProof/>
        </w:rPr>
        <w:t xml:space="preserve">Efficiency </w:t>
      </w:r>
    </w:p>
    <w:p w:rsidR="00821F17" w:rsidRDefault="006B159E">
      <w:pPr>
        <w:jc w:val="both"/>
        <w:rPr>
          <w:rFonts w:ascii="Times New Roman" w:hAnsi="Times New Roman" w:cs="Times New Roman"/>
          <w:noProof/>
        </w:rPr>
      </w:pPr>
      <w:r>
        <w:rPr>
          <w:rFonts w:ascii="Times New Roman" w:hAnsi="Times New Roman" w:cs="Times New Roman"/>
          <w:iCs/>
          <w:noProof/>
        </w:rPr>
        <w:t xml:space="preserve">11. To what extent were the effects of the EIF 2011-2013 actions achieved at a reasonable cost in terms of financial and human resources deployed? </w:t>
      </w:r>
    </w:p>
    <w:p w:rsidR="00821F17" w:rsidRDefault="006B159E">
      <w:pPr>
        <w:rPr>
          <w:rFonts w:ascii="Times New Roman" w:hAnsi="Times New Roman" w:cs="Times New Roman"/>
          <w:b/>
          <w:i/>
          <w:iCs/>
          <w:noProof/>
        </w:rPr>
      </w:pPr>
      <w:r>
        <w:rPr>
          <w:rFonts w:ascii="Times New Roman" w:hAnsi="Times New Roman" w:cs="Times New Roman"/>
          <w:b/>
          <w:i/>
          <w:iCs/>
          <w:noProof/>
        </w:rPr>
        <w:br w:type="page"/>
      </w:r>
    </w:p>
    <w:p w:rsidR="00821F17" w:rsidRDefault="006B159E">
      <w:pPr>
        <w:jc w:val="both"/>
        <w:rPr>
          <w:rFonts w:ascii="Times New Roman" w:hAnsi="Times New Roman" w:cs="Times New Roman"/>
          <w:b/>
          <w:i/>
          <w:iCs/>
          <w:noProof/>
        </w:rPr>
      </w:pPr>
      <w:r>
        <w:rPr>
          <w:rFonts w:ascii="Times New Roman" w:hAnsi="Times New Roman" w:cs="Times New Roman"/>
          <w:b/>
          <w:i/>
          <w:iCs/>
          <w:noProof/>
        </w:rPr>
        <w:t>Sustainability</w:t>
      </w:r>
    </w:p>
    <w:p w:rsidR="00821F17" w:rsidRDefault="006B159E">
      <w:pPr>
        <w:jc w:val="both"/>
        <w:rPr>
          <w:rFonts w:ascii="Times New Roman" w:hAnsi="Times New Roman" w:cs="Times New Roman"/>
          <w:iCs/>
          <w:noProof/>
        </w:rPr>
      </w:pPr>
      <w:r>
        <w:rPr>
          <w:rFonts w:ascii="Times New Roman" w:hAnsi="Times New Roman" w:cs="Times New Roman"/>
          <w:iCs/>
          <w:noProof/>
        </w:rPr>
        <w:t>12. To what extent have the positive effec</w:t>
      </w:r>
      <w:r>
        <w:rPr>
          <w:rFonts w:ascii="Times New Roman" w:hAnsi="Times New Roman" w:cs="Times New Roman"/>
          <w:iCs/>
          <w:noProof/>
        </w:rPr>
        <w:t>ts of the EIF 2011-2013 actions lasted after the interventions were terminated?</w:t>
      </w:r>
    </w:p>
    <w:p w:rsidR="00821F17" w:rsidRDefault="006B159E">
      <w:pPr>
        <w:jc w:val="both"/>
        <w:rPr>
          <w:rFonts w:ascii="Times New Roman" w:hAnsi="Times New Roman" w:cs="Times New Roman"/>
          <w:b/>
          <w:i/>
          <w:iCs/>
          <w:noProof/>
        </w:rPr>
      </w:pPr>
      <w:r>
        <w:rPr>
          <w:rFonts w:ascii="Times New Roman" w:hAnsi="Times New Roman" w:cs="Times New Roman"/>
          <w:b/>
          <w:i/>
          <w:iCs/>
          <w:noProof/>
        </w:rPr>
        <w:t xml:space="preserve">Relevance </w:t>
      </w:r>
    </w:p>
    <w:p w:rsidR="00821F17" w:rsidRDefault="006B159E">
      <w:pPr>
        <w:jc w:val="both"/>
        <w:rPr>
          <w:rFonts w:ascii="Times New Roman" w:hAnsi="Times New Roman" w:cs="Times New Roman"/>
          <w:iCs/>
          <w:noProof/>
        </w:rPr>
      </w:pPr>
      <w:r>
        <w:rPr>
          <w:rFonts w:ascii="Times New Roman" w:hAnsi="Times New Roman" w:cs="Times New Roman"/>
          <w:iCs/>
          <w:noProof/>
        </w:rPr>
        <w:t>13. To what extent the European Integration Fund objectives corresponded to needs related to the integration of third-country nationals into the European societies?</w:t>
      </w:r>
    </w:p>
    <w:p w:rsidR="00821F17" w:rsidRDefault="006B159E">
      <w:pPr>
        <w:jc w:val="both"/>
        <w:rPr>
          <w:rFonts w:ascii="Times New Roman" w:hAnsi="Times New Roman" w:cs="Times New Roman"/>
          <w:iCs/>
          <w:noProof/>
        </w:rPr>
      </w:pPr>
      <w:r>
        <w:rPr>
          <w:rFonts w:ascii="Times New Roman" w:hAnsi="Times New Roman" w:cs="Times New Roman"/>
          <w:iCs/>
          <w:noProof/>
        </w:rPr>
        <w:t>14. To what extent did the objectives of the actions under the European Integration Fund correspond to the needs in the field of integration of third-country nationals?</w:t>
      </w:r>
    </w:p>
    <w:p w:rsidR="00821F17" w:rsidRDefault="006B159E">
      <w:pPr>
        <w:jc w:val="both"/>
        <w:rPr>
          <w:rFonts w:ascii="Times New Roman" w:hAnsi="Times New Roman" w:cs="Times New Roman"/>
          <w:b/>
          <w:bCs/>
          <w:i/>
          <w:noProof/>
        </w:rPr>
      </w:pPr>
      <w:r>
        <w:rPr>
          <w:rFonts w:ascii="Times New Roman" w:hAnsi="Times New Roman" w:cs="Times New Roman"/>
          <w:b/>
          <w:bCs/>
          <w:i/>
          <w:noProof/>
        </w:rPr>
        <w:t xml:space="preserve">Coherence and complementarity </w:t>
      </w:r>
    </w:p>
    <w:p w:rsidR="00821F17" w:rsidRDefault="006B159E">
      <w:pPr>
        <w:jc w:val="both"/>
        <w:rPr>
          <w:rFonts w:ascii="Times New Roman" w:hAnsi="Times New Roman" w:cs="Times New Roman"/>
          <w:iCs/>
          <w:noProof/>
        </w:rPr>
      </w:pPr>
      <w:r>
        <w:rPr>
          <w:rFonts w:ascii="Times New Roman" w:hAnsi="Times New Roman" w:cs="Times New Roman"/>
          <w:iCs/>
          <w:noProof/>
        </w:rPr>
        <w:t>15. To what extent were the EIF 2011-2013  actions coher</w:t>
      </w:r>
      <w:r>
        <w:rPr>
          <w:rFonts w:ascii="Times New Roman" w:hAnsi="Times New Roman" w:cs="Times New Roman"/>
          <w:iCs/>
          <w:noProof/>
        </w:rPr>
        <w:t>ent with and complementary to other actions related to integration of third-country nationals, financed by national resources of the Member States and other EU financial instruments?</w:t>
      </w:r>
    </w:p>
    <w:p w:rsidR="00821F17" w:rsidRDefault="006B159E">
      <w:pPr>
        <w:jc w:val="both"/>
        <w:rPr>
          <w:rFonts w:ascii="Times New Roman" w:hAnsi="Times New Roman" w:cs="Times New Roman"/>
          <w:b/>
          <w:bCs/>
          <w:i/>
          <w:noProof/>
        </w:rPr>
      </w:pPr>
      <w:r>
        <w:rPr>
          <w:rFonts w:ascii="Times New Roman" w:hAnsi="Times New Roman" w:cs="Times New Roman"/>
          <w:b/>
          <w:bCs/>
          <w:i/>
          <w:noProof/>
        </w:rPr>
        <w:t>EU added value</w:t>
      </w:r>
    </w:p>
    <w:p w:rsidR="00821F17" w:rsidRDefault="006B159E">
      <w:pPr>
        <w:jc w:val="both"/>
        <w:rPr>
          <w:rFonts w:ascii="Times New Roman" w:hAnsi="Times New Roman" w:cs="Times New Roman"/>
          <w:iCs/>
          <w:noProof/>
        </w:rPr>
      </w:pPr>
      <w:r>
        <w:rPr>
          <w:rFonts w:ascii="Times New Roman" w:hAnsi="Times New Roman" w:cs="Times New Roman"/>
          <w:iCs/>
          <w:noProof/>
        </w:rPr>
        <w:t>16. What is the additional value resulting from the Europe</w:t>
      </w:r>
      <w:r>
        <w:rPr>
          <w:rFonts w:ascii="Times New Roman" w:hAnsi="Times New Roman" w:cs="Times New Roman"/>
          <w:iCs/>
          <w:noProof/>
        </w:rPr>
        <w:t>an Integration Fund 2011-2013 actions compared to what the Member States would be able to carry out through investments necessary for the implementation of the EU policies in the field of integration of third-country nationals without the support of the Eu</w:t>
      </w:r>
      <w:r>
        <w:rPr>
          <w:rFonts w:ascii="Times New Roman" w:hAnsi="Times New Roman" w:cs="Times New Roman"/>
          <w:iCs/>
          <w:noProof/>
        </w:rPr>
        <w:t>ropean Integration Fund 2011-2013 (or 2007-2010) actions?</w:t>
      </w:r>
    </w:p>
    <w:p w:rsidR="00821F17" w:rsidRDefault="00821F17">
      <w:pPr>
        <w:jc w:val="both"/>
        <w:rPr>
          <w:b/>
          <w:i/>
          <w:iCs/>
          <w:noProof/>
        </w:rPr>
      </w:pPr>
    </w:p>
    <w:p w:rsidR="00821F17" w:rsidRDefault="00821F17">
      <w:pPr>
        <w:jc w:val="both"/>
        <w:rPr>
          <w:b/>
          <w:noProof/>
        </w:rPr>
      </w:pPr>
    </w:p>
    <w:p w:rsidR="00821F17" w:rsidRDefault="00821F17">
      <w:pPr>
        <w:rPr>
          <w:b/>
          <w:noProof/>
        </w:rPr>
      </w:pPr>
    </w:p>
    <w:p w:rsidR="00821F17" w:rsidRDefault="006B159E">
      <w:pPr>
        <w:rPr>
          <w:b/>
          <w:noProof/>
        </w:rPr>
      </w:pPr>
      <w:r>
        <w:rPr>
          <w:b/>
          <w:noProof/>
        </w:rPr>
        <w:br w:type="page"/>
      </w:r>
    </w:p>
    <w:p w:rsidR="00821F17" w:rsidRDefault="006B159E">
      <w:pPr>
        <w:pStyle w:val="Heading1"/>
        <w:numPr>
          <w:ilvl w:val="0"/>
          <w:numId w:val="0"/>
        </w:numPr>
        <w:rPr>
          <w:rFonts w:cs="Times New Roman"/>
          <w:noProof/>
          <w:sz w:val="24"/>
          <w:szCs w:val="24"/>
          <w:lang w:val="en-GB"/>
        </w:rPr>
      </w:pPr>
      <w:bookmarkStart w:id="50" w:name="_Toc501546871"/>
      <w:r>
        <w:rPr>
          <w:rFonts w:cs="Times New Roman"/>
          <w:noProof/>
          <w:sz w:val="24"/>
          <w:szCs w:val="24"/>
          <w:lang w:val="en-GB"/>
        </w:rPr>
        <w:t>ANNEX 5 - List of abbreviations and country codes</w:t>
      </w:r>
      <w:bookmarkEnd w:id="50"/>
    </w:p>
    <w:tbl>
      <w:tblPr>
        <w:tblW w:w="0" w:type="auto"/>
        <w:tblLook w:val="00A0" w:firstRow="1" w:lastRow="0" w:firstColumn="1" w:lastColumn="0" w:noHBand="0" w:noVBand="0"/>
      </w:tblPr>
      <w:tblGrid>
        <w:gridCol w:w="1526"/>
        <w:gridCol w:w="7252"/>
      </w:tblGrid>
      <w:tr w:rsidR="00821F17">
        <w:tc>
          <w:tcPr>
            <w:tcW w:w="1526" w:type="dxa"/>
            <w:shd w:val="clear" w:color="auto" w:fill="auto"/>
            <w:vAlign w:val="center"/>
          </w:tcPr>
          <w:p w:rsidR="00821F17" w:rsidRDefault="006B159E">
            <w:pPr>
              <w:pStyle w:val="Body"/>
              <w:spacing w:after="0"/>
              <w:rPr>
                <w:rFonts w:ascii="Times New Roman" w:eastAsia="MS Mincho" w:hAnsi="Times New Roman" w:cs="Times New Roman"/>
                <w:bCs/>
                <w:noProof/>
                <w:color w:val="000000"/>
                <w:sz w:val="22"/>
                <w:szCs w:val="22"/>
                <w:lang w:val="en-GB"/>
              </w:rPr>
            </w:pPr>
            <w:r>
              <w:rPr>
                <w:rFonts w:ascii="Times New Roman" w:eastAsia="MS Mincho" w:hAnsi="Times New Roman" w:cs="Times New Roman"/>
                <w:bCs/>
                <w:noProof/>
                <w:color w:val="000000"/>
                <w:sz w:val="22"/>
                <w:szCs w:val="22"/>
                <w:lang w:val="en-GB"/>
              </w:rPr>
              <w:t>AMIF</w:t>
            </w:r>
          </w:p>
        </w:tc>
        <w:tc>
          <w:tcPr>
            <w:tcW w:w="7252" w:type="dxa"/>
            <w:shd w:val="clear" w:color="auto" w:fill="auto"/>
            <w:vAlign w:val="center"/>
          </w:tcPr>
          <w:p w:rsidR="00821F17" w:rsidRDefault="006B159E">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Asylum, Migration and Integration Fund</w:t>
            </w:r>
          </w:p>
        </w:tc>
      </w:tr>
      <w:tr w:rsidR="00821F17">
        <w:tc>
          <w:tcPr>
            <w:tcW w:w="1526" w:type="dxa"/>
            <w:shd w:val="clear" w:color="auto" w:fill="auto"/>
            <w:vAlign w:val="center"/>
          </w:tcPr>
          <w:p w:rsidR="00821F17" w:rsidRDefault="006B159E">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AP</w:t>
            </w:r>
          </w:p>
        </w:tc>
        <w:tc>
          <w:tcPr>
            <w:tcW w:w="7252" w:type="dxa"/>
            <w:shd w:val="clear" w:color="auto" w:fill="auto"/>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Annual Programme</w:t>
            </w:r>
          </w:p>
        </w:tc>
      </w:tr>
      <w:tr w:rsidR="00821F17">
        <w:tc>
          <w:tcPr>
            <w:tcW w:w="1526" w:type="dxa"/>
            <w:shd w:val="clear" w:color="auto" w:fill="auto"/>
            <w:vAlign w:val="center"/>
          </w:tcPr>
          <w:p w:rsidR="00821F17" w:rsidRDefault="006B159E">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AWP</w:t>
            </w:r>
          </w:p>
        </w:tc>
        <w:tc>
          <w:tcPr>
            <w:tcW w:w="7252" w:type="dxa"/>
            <w:shd w:val="clear" w:color="auto" w:fill="auto"/>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Annual Work Programme</w:t>
            </w:r>
          </w:p>
        </w:tc>
      </w:tr>
      <w:tr w:rsidR="00821F17">
        <w:tc>
          <w:tcPr>
            <w:tcW w:w="1526" w:type="dxa"/>
            <w:shd w:val="clear" w:color="auto" w:fill="auto"/>
            <w:vAlign w:val="center"/>
          </w:tcPr>
          <w:p w:rsidR="00821F17" w:rsidRDefault="006B159E">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EIF</w:t>
            </w:r>
          </w:p>
        </w:tc>
        <w:tc>
          <w:tcPr>
            <w:tcW w:w="7252" w:type="dxa"/>
            <w:shd w:val="clear" w:color="auto" w:fill="auto"/>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 xml:space="preserve">European Integration Fund </w:t>
            </w:r>
          </w:p>
        </w:tc>
      </w:tr>
      <w:tr w:rsidR="00821F17">
        <w:tc>
          <w:tcPr>
            <w:tcW w:w="1526" w:type="dxa"/>
            <w:shd w:val="clear" w:color="auto" w:fill="auto"/>
            <w:vAlign w:val="center"/>
          </w:tcPr>
          <w:p w:rsidR="00821F17" w:rsidRDefault="006B159E">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ERDF</w:t>
            </w:r>
          </w:p>
        </w:tc>
        <w:tc>
          <w:tcPr>
            <w:tcW w:w="7252" w:type="dxa"/>
            <w:shd w:val="clear" w:color="auto" w:fill="auto"/>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 xml:space="preserve">European </w:t>
            </w:r>
            <w:r>
              <w:rPr>
                <w:rFonts w:ascii="Times New Roman" w:eastAsia="MS Mincho" w:hAnsi="Times New Roman" w:cs="Times New Roman"/>
                <w:noProof/>
                <w:sz w:val="22"/>
                <w:szCs w:val="22"/>
                <w:lang w:val="en-GB"/>
              </w:rPr>
              <w:t>Regional Development Fund</w:t>
            </w:r>
          </w:p>
        </w:tc>
      </w:tr>
      <w:tr w:rsidR="00821F17">
        <w:tc>
          <w:tcPr>
            <w:tcW w:w="1526" w:type="dxa"/>
            <w:shd w:val="clear" w:color="auto" w:fill="auto"/>
            <w:vAlign w:val="center"/>
          </w:tcPr>
          <w:p w:rsidR="00821F17" w:rsidRDefault="006B159E">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 xml:space="preserve">ERF </w:t>
            </w:r>
          </w:p>
        </w:tc>
        <w:tc>
          <w:tcPr>
            <w:tcW w:w="7252" w:type="dxa"/>
            <w:shd w:val="clear" w:color="auto" w:fill="auto"/>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European Refugee Fund</w:t>
            </w:r>
          </w:p>
        </w:tc>
      </w:tr>
      <w:tr w:rsidR="00821F17">
        <w:tc>
          <w:tcPr>
            <w:tcW w:w="1526" w:type="dxa"/>
            <w:shd w:val="clear" w:color="auto" w:fill="auto"/>
            <w:vAlign w:val="center"/>
          </w:tcPr>
          <w:p w:rsidR="00821F17" w:rsidRDefault="006B159E">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FTE</w:t>
            </w:r>
          </w:p>
        </w:tc>
        <w:tc>
          <w:tcPr>
            <w:tcW w:w="7252" w:type="dxa"/>
            <w:shd w:val="clear" w:color="auto" w:fill="auto"/>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Full Time Equivalent</w:t>
            </w:r>
          </w:p>
        </w:tc>
      </w:tr>
      <w:tr w:rsidR="00821F17">
        <w:tc>
          <w:tcPr>
            <w:tcW w:w="1526" w:type="dxa"/>
            <w:shd w:val="clear" w:color="auto" w:fill="auto"/>
            <w:vAlign w:val="center"/>
          </w:tcPr>
          <w:p w:rsidR="00821F17" w:rsidRDefault="006B159E">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ITech</w:t>
            </w:r>
          </w:p>
        </w:tc>
        <w:tc>
          <w:tcPr>
            <w:tcW w:w="7252" w:type="dxa"/>
            <w:shd w:val="clear" w:color="auto" w:fill="auto"/>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Information Technology</w:t>
            </w:r>
          </w:p>
        </w:tc>
      </w:tr>
      <w:tr w:rsidR="00821F17">
        <w:tc>
          <w:tcPr>
            <w:tcW w:w="1526" w:type="dxa"/>
            <w:shd w:val="clear" w:color="auto" w:fill="auto"/>
            <w:vAlign w:val="center"/>
          </w:tcPr>
          <w:p w:rsidR="00821F17" w:rsidRDefault="006B159E">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MS</w:t>
            </w:r>
          </w:p>
        </w:tc>
        <w:tc>
          <w:tcPr>
            <w:tcW w:w="7252" w:type="dxa"/>
            <w:shd w:val="clear" w:color="auto" w:fill="auto"/>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Member State</w:t>
            </w:r>
          </w:p>
        </w:tc>
      </w:tr>
      <w:tr w:rsidR="00821F17">
        <w:tc>
          <w:tcPr>
            <w:tcW w:w="1526" w:type="dxa"/>
            <w:shd w:val="clear" w:color="auto" w:fill="auto"/>
            <w:vAlign w:val="center"/>
          </w:tcPr>
          <w:p w:rsidR="00821F17" w:rsidRDefault="006B159E">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NER</w:t>
            </w:r>
          </w:p>
        </w:tc>
        <w:tc>
          <w:tcPr>
            <w:tcW w:w="7252" w:type="dxa"/>
            <w:shd w:val="clear" w:color="auto" w:fill="auto"/>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 xml:space="preserve">National Evaluation Report </w:t>
            </w:r>
          </w:p>
        </w:tc>
      </w:tr>
      <w:tr w:rsidR="00821F17">
        <w:tc>
          <w:tcPr>
            <w:tcW w:w="1526" w:type="dxa"/>
            <w:shd w:val="clear" w:color="auto" w:fill="auto"/>
            <w:vAlign w:val="center"/>
          </w:tcPr>
          <w:p w:rsidR="00821F17" w:rsidRDefault="006B159E">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RA</w:t>
            </w:r>
          </w:p>
        </w:tc>
        <w:tc>
          <w:tcPr>
            <w:tcW w:w="7252" w:type="dxa"/>
            <w:shd w:val="clear" w:color="auto" w:fill="auto"/>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 xml:space="preserve">Responsible Authority </w:t>
            </w:r>
          </w:p>
        </w:tc>
      </w:tr>
      <w:tr w:rsidR="00821F17">
        <w:tc>
          <w:tcPr>
            <w:tcW w:w="1526" w:type="dxa"/>
            <w:shd w:val="clear" w:color="auto" w:fill="auto"/>
            <w:vAlign w:val="center"/>
          </w:tcPr>
          <w:p w:rsidR="00821F17" w:rsidRDefault="006B159E">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TCN</w:t>
            </w:r>
          </w:p>
        </w:tc>
        <w:tc>
          <w:tcPr>
            <w:tcW w:w="7252" w:type="dxa"/>
            <w:shd w:val="clear" w:color="auto" w:fill="auto"/>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 xml:space="preserve">Third Country National </w:t>
            </w:r>
          </w:p>
        </w:tc>
      </w:tr>
    </w:tbl>
    <w:p w:rsidR="00821F17" w:rsidRDefault="00821F17">
      <w:pPr>
        <w:rPr>
          <w:noProof/>
        </w:rPr>
      </w:pPr>
    </w:p>
    <w:p w:rsidR="00821F17" w:rsidRDefault="006B159E">
      <w:pPr>
        <w:pStyle w:val="Body"/>
        <w:rPr>
          <w:rFonts w:ascii="Times New Roman" w:hAnsi="Times New Roman" w:cs="Times New Roman"/>
          <w:b/>
          <w:noProof/>
          <w:sz w:val="24"/>
          <w:szCs w:val="24"/>
          <w:lang w:val="en-GB"/>
        </w:rPr>
      </w:pPr>
      <w:r>
        <w:rPr>
          <w:rFonts w:ascii="Times New Roman" w:hAnsi="Times New Roman" w:cs="Times New Roman"/>
          <w:b/>
          <w:noProof/>
          <w:sz w:val="24"/>
          <w:szCs w:val="24"/>
          <w:lang w:val="en-GB"/>
        </w:rPr>
        <w:t>List of country codes</w:t>
      </w:r>
    </w:p>
    <w:tbl>
      <w:tblPr>
        <w:tblW w:w="0" w:type="auto"/>
        <w:tblLook w:val="00A0" w:firstRow="1" w:lastRow="0" w:firstColumn="1" w:lastColumn="0" w:noHBand="0" w:noVBand="0"/>
      </w:tblPr>
      <w:tblGrid>
        <w:gridCol w:w="1696"/>
        <w:gridCol w:w="3232"/>
        <w:gridCol w:w="1559"/>
        <w:gridCol w:w="2778"/>
      </w:tblGrid>
      <w:tr w:rsidR="00821F17">
        <w:tc>
          <w:tcPr>
            <w:tcW w:w="1696" w:type="dxa"/>
            <w:shd w:val="clear" w:color="auto" w:fill="auto"/>
            <w:vAlign w:val="center"/>
          </w:tcPr>
          <w:p w:rsidR="00821F17" w:rsidRDefault="006B159E">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AT</w:t>
            </w:r>
          </w:p>
        </w:tc>
        <w:tc>
          <w:tcPr>
            <w:tcW w:w="3232" w:type="dxa"/>
            <w:shd w:val="clear" w:color="auto" w:fill="auto"/>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 xml:space="preserve">Austria </w:t>
            </w:r>
          </w:p>
        </w:tc>
        <w:tc>
          <w:tcPr>
            <w:tcW w:w="1559" w:type="dxa"/>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color w:val="000000"/>
                <w:sz w:val="22"/>
                <w:szCs w:val="22"/>
                <w:lang w:val="en-GB"/>
              </w:rPr>
              <w:t>BE</w:t>
            </w:r>
          </w:p>
        </w:tc>
        <w:tc>
          <w:tcPr>
            <w:tcW w:w="2778" w:type="dxa"/>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Belgium</w:t>
            </w:r>
          </w:p>
        </w:tc>
      </w:tr>
      <w:tr w:rsidR="00821F17">
        <w:tc>
          <w:tcPr>
            <w:tcW w:w="1696" w:type="dxa"/>
            <w:shd w:val="clear" w:color="auto" w:fill="auto"/>
            <w:vAlign w:val="center"/>
          </w:tcPr>
          <w:p w:rsidR="00821F17" w:rsidRDefault="006B159E">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BG</w:t>
            </w:r>
          </w:p>
        </w:tc>
        <w:tc>
          <w:tcPr>
            <w:tcW w:w="3232" w:type="dxa"/>
            <w:shd w:val="clear" w:color="auto" w:fill="auto"/>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Bulgaria</w:t>
            </w:r>
          </w:p>
        </w:tc>
        <w:tc>
          <w:tcPr>
            <w:tcW w:w="1559" w:type="dxa"/>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color w:val="000000"/>
                <w:sz w:val="22"/>
                <w:szCs w:val="22"/>
                <w:lang w:val="en-GB"/>
              </w:rPr>
              <w:t>CH</w:t>
            </w:r>
          </w:p>
        </w:tc>
        <w:tc>
          <w:tcPr>
            <w:tcW w:w="2778" w:type="dxa"/>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Switzerland</w:t>
            </w:r>
          </w:p>
        </w:tc>
      </w:tr>
      <w:tr w:rsidR="00821F17">
        <w:tc>
          <w:tcPr>
            <w:tcW w:w="1696" w:type="dxa"/>
            <w:shd w:val="clear" w:color="auto" w:fill="auto"/>
            <w:vAlign w:val="center"/>
          </w:tcPr>
          <w:p w:rsidR="00821F17" w:rsidRDefault="006B159E">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CY</w:t>
            </w:r>
          </w:p>
        </w:tc>
        <w:tc>
          <w:tcPr>
            <w:tcW w:w="3232" w:type="dxa"/>
            <w:shd w:val="clear" w:color="auto" w:fill="auto"/>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Cyprus</w:t>
            </w:r>
          </w:p>
        </w:tc>
        <w:tc>
          <w:tcPr>
            <w:tcW w:w="1559" w:type="dxa"/>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color w:val="000000"/>
                <w:sz w:val="22"/>
                <w:szCs w:val="22"/>
                <w:lang w:val="en-GB"/>
              </w:rPr>
              <w:t>CZ</w:t>
            </w:r>
          </w:p>
        </w:tc>
        <w:tc>
          <w:tcPr>
            <w:tcW w:w="2778" w:type="dxa"/>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Czech Republic</w:t>
            </w:r>
          </w:p>
        </w:tc>
      </w:tr>
      <w:tr w:rsidR="00821F17">
        <w:tc>
          <w:tcPr>
            <w:tcW w:w="1696" w:type="dxa"/>
            <w:shd w:val="clear" w:color="auto" w:fill="auto"/>
            <w:vAlign w:val="center"/>
          </w:tcPr>
          <w:p w:rsidR="00821F17" w:rsidRDefault="006B159E">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DE</w:t>
            </w:r>
          </w:p>
        </w:tc>
        <w:tc>
          <w:tcPr>
            <w:tcW w:w="3232" w:type="dxa"/>
            <w:shd w:val="clear" w:color="auto" w:fill="auto"/>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Germany</w:t>
            </w:r>
          </w:p>
        </w:tc>
        <w:tc>
          <w:tcPr>
            <w:tcW w:w="1559" w:type="dxa"/>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color w:val="000000"/>
                <w:sz w:val="22"/>
                <w:szCs w:val="22"/>
                <w:lang w:val="en-GB"/>
              </w:rPr>
              <w:t>DK</w:t>
            </w:r>
          </w:p>
        </w:tc>
        <w:tc>
          <w:tcPr>
            <w:tcW w:w="2778" w:type="dxa"/>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Denmark</w:t>
            </w:r>
          </w:p>
        </w:tc>
      </w:tr>
      <w:tr w:rsidR="00821F17">
        <w:tc>
          <w:tcPr>
            <w:tcW w:w="1696" w:type="dxa"/>
            <w:shd w:val="clear" w:color="auto" w:fill="auto"/>
            <w:vAlign w:val="center"/>
          </w:tcPr>
          <w:p w:rsidR="00821F17" w:rsidRDefault="006B159E">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EE</w:t>
            </w:r>
          </w:p>
        </w:tc>
        <w:tc>
          <w:tcPr>
            <w:tcW w:w="3232" w:type="dxa"/>
            <w:shd w:val="clear" w:color="auto" w:fill="auto"/>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Estonia</w:t>
            </w:r>
          </w:p>
        </w:tc>
        <w:tc>
          <w:tcPr>
            <w:tcW w:w="1559" w:type="dxa"/>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color w:val="000000"/>
                <w:sz w:val="22"/>
                <w:szCs w:val="22"/>
                <w:lang w:val="en-GB"/>
              </w:rPr>
              <w:t>EL</w:t>
            </w:r>
          </w:p>
        </w:tc>
        <w:tc>
          <w:tcPr>
            <w:tcW w:w="2778" w:type="dxa"/>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Greece</w:t>
            </w:r>
          </w:p>
        </w:tc>
      </w:tr>
      <w:tr w:rsidR="00821F17">
        <w:tc>
          <w:tcPr>
            <w:tcW w:w="1696" w:type="dxa"/>
            <w:shd w:val="clear" w:color="auto" w:fill="auto"/>
            <w:vAlign w:val="center"/>
          </w:tcPr>
          <w:p w:rsidR="00821F17" w:rsidRDefault="006B159E">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ES</w:t>
            </w:r>
          </w:p>
        </w:tc>
        <w:tc>
          <w:tcPr>
            <w:tcW w:w="3232" w:type="dxa"/>
            <w:shd w:val="clear" w:color="auto" w:fill="auto"/>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Spain</w:t>
            </w:r>
          </w:p>
        </w:tc>
        <w:tc>
          <w:tcPr>
            <w:tcW w:w="1559" w:type="dxa"/>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color w:val="000000"/>
                <w:sz w:val="22"/>
                <w:szCs w:val="22"/>
                <w:lang w:val="en-GB"/>
              </w:rPr>
              <w:t>FI</w:t>
            </w:r>
          </w:p>
        </w:tc>
        <w:tc>
          <w:tcPr>
            <w:tcW w:w="2778" w:type="dxa"/>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Finland</w:t>
            </w:r>
          </w:p>
        </w:tc>
      </w:tr>
      <w:tr w:rsidR="00821F17">
        <w:tc>
          <w:tcPr>
            <w:tcW w:w="1696" w:type="dxa"/>
            <w:shd w:val="clear" w:color="auto" w:fill="auto"/>
            <w:vAlign w:val="center"/>
          </w:tcPr>
          <w:p w:rsidR="00821F17" w:rsidRDefault="006B159E">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FR</w:t>
            </w:r>
          </w:p>
        </w:tc>
        <w:tc>
          <w:tcPr>
            <w:tcW w:w="3232" w:type="dxa"/>
            <w:shd w:val="clear" w:color="auto" w:fill="auto"/>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France</w:t>
            </w:r>
          </w:p>
        </w:tc>
        <w:tc>
          <w:tcPr>
            <w:tcW w:w="1559" w:type="dxa"/>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color w:val="000000"/>
                <w:sz w:val="22"/>
                <w:szCs w:val="22"/>
                <w:lang w:val="en-GB"/>
              </w:rPr>
              <w:t>HR</w:t>
            </w:r>
          </w:p>
        </w:tc>
        <w:tc>
          <w:tcPr>
            <w:tcW w:w="2778" w:type="dxa"/>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Croatia</w:t>
            </w:r>
          </w:p>
        </w:tc>
      </w:tr>
      <w:tr w:rsidR="00821F17">
        <w:tc>
          <w:tcPr>
            <w:tcW w:w="1696" w:type="dxa"/>
            <w:shd w:val="clear" w:color="auto" w:fill="auto"/>
            <w:vAlign w:val="center"/>
          </w:tcPr>
          <w:p w:rsidR="00821F17" w:rsidRDefault="006B159E">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HU</w:t>
            </w:r>
          </w:p>
        </w:tc>
        <w:tc>
          <w:tcPr>
            <w:tcW w:w="3232" w:type="dxa"/>
            <w:shd w:val="clear" w:color="auto" w:fill="auto"/>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Hungary</w:t>
            </w:r>
          </w:p>
        </w:tc>
        <w:tc>
          <w:tcPr>
            <w:tcW w:w="1559" w:type="dxa"/>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color w:val="000000"/>
                <w:sz w:val="22"/>
                <w:szCs w:val="22"/>
                <w:lang w:val="en-GB"/>
              </w:rPr>
              <w:t>IE</w:t>
            </w:r>
          </w:p>
        </w:tc>
        <w:tc>
          <w:tcPr>
            <w:tcW w:w="2778" w:type="dxa"/>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Ireland</w:t>
            </w:r>
          </w:p>
        </w:tc>
      </w:tr>
      <w:tr w:rsidR="00821F17">
        <w:tc>
          <w:tcPr>
            <w:tcW w:w="1696" w:type="dxa"/>
            <w:shd w:val="clear" w:color="auto" w:fill="auto"/>
            <w:vAlign w:val="center"/>
          </w:tcPr>
          <w:p w:rsidR="00821F17" w:rsidRDefault="006B159E">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IS</w:t>
            </w:r>
          </w:p>
        </w:tc>
        <w:tc>
          <w:tcPr>
            <w:tcW w:w="3232" w:type="dxa"/>
            <w:shd w:val="clear" w:color="auto" w:fill="auto"/>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Iceland</w:t>
            </w:r>
          </w:p>
        </w:tc>
        <w:tc>
          <w:tcPr>
            <w:tcW w:w="1559" w:type="dxa"/>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color w:val="000000"/>
                <w:sz w:val="22"/>
                <w:szCs w:val="22"/>
                <w:lang w:val="en-GB"/>
              </w:rPr>
              <w:t>IT</w:t>
            </w:r>
          </w:p>
        </w:tc>
        <w:tc>
          <w:tcPr>
            <w:tcW w:w="2778" w:type="dxa"/>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Italy</w:t>
            </w:r>
          </w:p>
        </w:tc>
      </w:tr>
      <w:tr w:rsidR="00821F17">
        <w:tc>
          <w:tcPr>
            <w:tcW w:w="1696" w:type="dxa"/>
            <w:shd w:val="clear" w:color="auto" w:fill="auto"/>
            <w:vAlign w:val="center"/>
          </w:tcPr>
          <w:p w:rsidR="00821F17" w:rsidRDefault="006B159E">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LT</w:t>
            </w:r>
          </w:p>
        </w:tc>
        <w:tc>
          <w:tcPr>
            <w:tcW w:w="3232" w:type="dxa"/>
            <w:shd w:val="clear" w:color="auto" w:fill="auto"/>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Lithuania</w:t>
            </w:r>
          </w:p>
        </w:tc>
        <w:tc>
          <w:tcPr>
            <w:tcW w:w="1559" w:type="dxa"/>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color w:val="000000"/>
                <w:sz w:val="22"/>
                <w:szCs w:val="22"/>
                <w:lang w:val="en-GB"/>
              </w:rPr>
              <w:t>LU</w:t>
            </w:r>
          </w:p>
        </w:tc>
        <w:tc>
          <w:tcPr>
            <w:tcW w:w="2778" w:type="dxa"/>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Luxembourg</w:t>
            </w:r>
          </w:p>
        </w:tc>
      </w:tr>
      <w:tr w:rsidR="00821F17">
        <w:tc>
          <w:tcPr>
            <w:tcW w:w="1696" w:type="dxa"/>
            <w:shd w:val="clear" w:color="auto" w:fill="auto"/>
            <w:vAlign w:val="center"/>
          </w:tcPr>
          <w:p w:rsidR="00821F17" w:rsidRDefault="006B159E">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LV</w:t>
            </w:r>
          </w:p>
        </w:tc>
        <w:tc>
          <w:tcPr>
            <w:tcW w:w="3232" w:type="dxa"/>
            <w:shd w:val="clear" w:color="auto" w:fill="auto"/>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Latvia</w:t>
            </w:r>
          </w:p>
        </w:tc>
        <w:tc>
          <w:tcPr>
            <w:tcW w:w="1559" w:type="dxa"/>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color w:val="000000"/>
                <w:sz w:val="22"/>
                <w:szCs w:val="22"/>
                <w:lang w:val="en-GB"/>
              </w:rPr>
              <w:t>MT</w:t>
            </w:r>
          </w:p>
        </w:tc>
        <w:tc>
          <w:tcPr>
            <w:tcW w:w="2778" w:type="dxa"/>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Malta</w:t>
            </w:r>
          </w:p>
        </w:tc>
      </w:tr>
      <w:tr w:rsidR="00821F17">
        <w:tc>
          <w:tcPr>
            <w:tcW w:w="1696" w:type="dxa"/>
            <w:shd w:val="clear" w:color="auto" w:fill="auto"/>
            <w:vAlign w:val="center"/>
          </w:tcPr>
          <w:p w:rsidR="00821F17" w:rsidRDefault="006B159E">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NL</w:t>
            </w:r>
          </w:p>
        </w:tc>
        <w:tc>
          <w:tcPr>
            <w:tcW w:w="3232" w:type="dxa"/>
            <w:shd w:val="clear" w:color="auto" w:fill="auto"/>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Netherlands</w:t>
            </w:r>
          </w:p>
        </w:tc>
        <w:tc>
          <w:tcPr>
            <w:tcW w:w="1559" w:type="dxa"/>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color w:val="000000"/>
                <w:sz w:val="22"/>
                <w:szCs w:val="22"/>
                <w:lang w:val="en-GB"/>
              </w:rPr>
              <w:t>NO</w:t>
            </w:r>
          </w:p>
        </w:tc>
        <w:tc>
          <w:tcPr>
            <w:tcW w:w="2778" w:type="dxa"/>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 xml:space="preserve">Norway </w:t>
            </w:r>
          </w:p>
        </w:tc>
      </w:tr>
      <w:tr w:rsidR="00821F17">
        <w:tc>
          <w:tcPr>
            <w:tcW w:w="1696" w:type="dxa"/>
            <w:shd w:val="clear" w:color="auto" w:fill="auto"/>
            <w:vAlign w:val="center"/>
          </w:tcPr>
          <w:p w:rsidR="00821F17" w:rsidRDefault="006B159E">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PL</w:t>
            </w:r>
          </w:p>
        </w:tc>
        <w:tc>
          <w:tcPr>
            <w:tcW w:w="3232" w:type="dxa"/>
            <w:shd w:val="clear" w:color="auto" w:fill="auto"/>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Poland</w:t>
            </w:r>
          </w:p>
        </w:tc>
        <w:tc>
          <w:tcPr>
            <w:tcW w:w="1559" w:type="dxa"/>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color w:val="000000"/>
                <w:sz w:val="22"/>
                <w:szCs w:val="22"/>
                <w:lang w:val="en-GB"/>
              </w:rPr>
              <w:t>PT</w:t>
            </w:r>
          </w:p>
        </w:tc>
        <w:tc>
          <w:tcPr>
            <w:tcW w:w="2778" w:type="dxa"/>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Portugal</w:t>
            </w:r>
          </w:p>
        </w:tc>
      </w:tr>
      <w:tr w:rsidR="00821F17">
        <w:tc>
          <w:tcPr>
            <w:tcW w:w="1696" w:type="dxa"/>
            <w:shd w:val="clear" w:color="auto" w:fill="auto"/>
            <w:vAlign w:val="center"/>
          </w:tcPr>
          <w:p w:rsidR="00821F17" w:rsidRDefault="006B159E">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RO</w:t>
            </w:r>
          </w:p>
        </w:tc>
        <w:tc>
          <w:tcPr>
            <w:tcW w:w="3232" w:type="dxa"/>
            <w:shd w:val="clear" w:color="auto" w:fill="auto"/>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Romania</w:t>
            </w:r>
          </w:p>
        </w:tc>
        <w:tc>
          <w:tcPr>
            <w:tcW w:w="1559" w:type="dxa"/>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color w:val="000000"/>
                <w:sz w:val="22"/>
                <w:szCs w:val="22"/>
                <w:lang w:val="en-GB"/>
              </w:rPr>
              <w:t>SE</w:t>
            </w:r>
          </w:p>
        </w:tc>
        <w:tc>
          <w:tcPr>
            <w:tcW w:w="2778" w:type="dxa"/>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Sweden</w:t>
            </w:r>
          </w:p>
        </w:tc>
      </w:tr>
      <w:tr w:rsidR="00821F17">
        <w:tc>
          <w:tcPr>
            <w:tcW w:w="1696" w:type="dxa"/>
            <w:shd w:val="clear" w:color="auto" w:fill="auto"/>
            <w:vAlign w:val="center"/>
          </w:tcPr>
          <w:p w:rsidR="00821F17" w:rsidRDefault="006B159E">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SI</w:t>
            </w:r>
          </w:p>
        </w:tc>
        <w:tc>
          <w:tcPr>
            <w:tcW w:w="3232" w:type="dxa"/>
            <w:shd w:val="clear" w:color="auto" w:fill="auto"/>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Slovenia</w:t>
            </w:r>
          </w:p>
        </w:tc>
        <w:tc>
          <w:tcPr>
            <w:tcW w:w="1559" w:type="dxa"/>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color w:val="000000"/>
                <w:sz w:val="22"/>
                <w:szCs w:val="22"/>
                <w:lang w:val="en-GB"/>
              </w:rPr>
              <w:t>SK</w:t>
            </w:r>
          </w:p>
        </w:tc>
        <w:tc>
          <w:tcPr>
            <w:tcW w:w="2778" w:type="dxa"/>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Slovakia</w:t>
            </w:r>
          </w:p>
        </w:tc>
      </w:tr>
      <w:tr w:rsidR="00821F17">
        <w:tc>
          <w:tcPr>
            <w:tcW w:w="1696" w:type="dxa"/>
            <w:shd w:val="clear" w:color="auto" w:fill="auto"/>
            <w:vAlign w:val="center"/>
          </w:tcPr>
          <w:p w:rsidR="00821F17" w:rsidRDefault="006B159E">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UK</w:t>
            </w:r>
          </w:p>
        </w:tc>
        <w:tc>
          <w:tcPr>
            <w:tcW w:w="3232" w:type="dxa"/>
            <w:shd w:val="clear" w:color="auto" w:fill="auto"/>
            <w:vAlign w:val="center"/>
          </w:tcPr>
          <w:p w:rsidR="00821F17" w:rsidRDefault="006B159E">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 xml:space="preserve">United Kingdom </w:t>
            </w:r>
          </w:p>
        </w:tc>
        <w:tc>
          <w:tcPr>
            <w:tcW w:w="1559" w:type="dxa"/>
          </w:tcPr>
          <w:p w:rsidR="00821F17" w:rsidRDefault="00821F17">
            <w:pPr>
              <w:pStyle w:val="Body"/>
              <w:spacing w:after="0"/>
              <w:rPr>
                <w:rFonts w:ascii="Times New Roman" w:eastAsia="MS Mincho" w:hAnsi="Times New Roman" w:cs="Times New Roman"/>
                <w:noProof/>
                <w:sz w:val="22"/>
                <w:szCs w:val="22"/>
                <w:lang w:val="en-GB"/>
              </w:rPr>
            </w:pPr>
          </w:p>
        </w:tc>
        <w:tc>
          <w:tcPr>
            <w:tcW w:w="2778" w:type="dxa"/>
          </w:tcPr>
          <w:p w:rsidR="00821F17" w:rsidRDefault="00821F17">
            <w:pPr>
              <w:pStyle w:val="Body"/>
              <w:spacing w:after="0"/>
              <w:rPr>
                <w:rFonts w:ascii="Times New Roman" w:eastAsia="MS Mincho" w:hAnsi="Times New Roman" w:cs="Times New Roman"/>
                <w:noProof/>
                <w:sz w:val="22"/>
                <w:szCs w:val="22"/>
                <w:lang w:val="en-GB"/>
              </w:rPr>
            </w:pPr>
          </w:p>
        </w:tc>
      </w:tr>
    </w:tbl>
    <w:p w:rsidR="00821F17" w:rsidRDefault="00821F17">
      <w:pPr>
        <w:rPr>
          <w:rFonts w:ascii="Times New Roman" w:hAnsi="Times New Roman" w:cs="Times New Roman"/>
          <w:noProof/>
          <w:sz w:val="24"/>
          <w:szCs w:val="24"/>
        </w:rPr>
      </w:pPr>
    </w:p>
    <w:p w:rsidR="00821F17" w:rsidRDefault="00821F17">
      <w:pPr>
        <w:rPr>
          <w:rFonts w:ascii="Times New Roman" w:hAnsi="Times New Roman" w:cs="Times New Roman"/>
          <w:noProof/>
          <w:sz w:val="24"/>
          <w:szCs w:val="24"/>
        </w:rPr>
      </w:pPr>
    </w:p>
    <w:p w:rsidR="00821F17" w:rsidRDefault="006B159E">
      <w:pPr>
        <w:rPr>
          <w:rFonts w:ascii="Times New Roman" w:hAnsi="Times New Roman" w:cs="Times New Roman"/>
          <w:noProof/>
          <w:sz w:val="24"/>
          <w:szCs w:val="24"/>
        </w:rPr>
      </w:pPr>
      <w:r>
        <w:rPr>
          <w:rFonts w:ascii="Times New Roman" w:hAnsi="Times New Roman" w:cs="Times New Roman"/>
          <w:noProof/>
          <w:sz w:val="24"/>
          <w:szCs w:val="24"/>
        </w:rPr>
        <w:br w:type="page"/>
      </w:r>
    </w:p>
    <w:p w:rsidR="00821F17" w:rsidRDefault="006B159E">
      <w:pPr>
        <w:pStyle w:val="Heading1"/>
        <w:numPr>
          <w:ilvl w:val="0"/>
          <w:numId w:val="0"/>
        </w:numPr>
        <w:ind w:left="432"/>
        <w:rPr>
          <w:noProof/>
          <w:lang w:val="en-GB"/>
        </w:rPr>
      </w:pPr>
      <w:bookmarkStart w:id="51" w:name="_Toc501546872"/>
      <w:r>
        <w:rPr>
          <w:noProof/>
          <w:lang w:val="en-GB"/>
        </w:rPr>
        <w:t>ANNEX 6 - Ex post evaluation of the European Fund for the Integration of third-country nationals (EIF) for the period 2007-2010</w:t>
      </w:r>
      <w:bookmarkEnd w:id="51"/>
    </w:p>
    <w:p w:rsidR="00821F17" w:rsidRDefault="00821F17">
      <w:pPr>
        <w:rPr>
          <w:noProof/>
        </w:rPr>
      </w:pPr>
    </w:p>
    <w:p w:rsidR="00821F17" w:rsidRDefault="006B159E">
      <w:pPr>
        <w:pStyle w:val="Body"/>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1. </w:t>
      </w:r>
      <w:r>
        <w:rPr>
          <w:rFonts w:ascii="Times New Roman" w:hAnsi="Times New Roman" w:cs="Times New Roman"/>
          <w:b/>
          <w:noProof/>
          <w:sz w:val="24"/>
          <w:szCs w:val="24"/>
          <w:lang w:val="en-GB"/>
        </w:rPr>
        <w:t>Scope and purpose of the report</w:t>
      </w:r>
    </w:p>
    <w:p w:rsidR="00821F17" w:rsidRDefault="006B159E">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rPr>
        <w:t>The European Fund for the Integration of third-country nationals (EIF) was established by Council Decision 2007/435/EC for the period 2007-2013 and involved 26 Member States (MS), all EU MS</w:t>
      </w:r>
      <w:r>
        <w:rPr>
          <w:rStyle w:val="FootnoteReference"/>
          <w:rFonts w:ascii="Times New Roman" w:hAnsi="Times New Roman" w:cs="Times New Roman"/>
          <w:noProof/>
          <w:sz w:val="24"/>
        </w:rPr>
        <w:footnoteReference w:id="93"/>
      </w:r>
      <w:r>
        <w:rPr>
          <w:rFonts w:ascii="Times New Roman" w:hAnsi="Times New Roman" w:cs="Times New Roman"/>
          <w:noProof/>
          <w:sz w:val="24"/>
        </w:rPr>
        <w:t xml:space="preserve"> excluding Denmark. </w:t>
      </w:r>
      <w:r>
        <w:rPr>
          <w:rFonts w:ascii="Times New Roman" w:hAnsi="Times New Roman" w:cs="Times New Roman"/>
          <w:noProof/>
          <w:sz w:val="24"/>
          <w:szCs w:val="24"/>
        </w:rPr>
        <w:t xml:space="preserve">It is one of </w:t>
      </w:r>
      <w:r>
        <w:rPr>
          <w:rFonts w:ascii="Times New Roman" w:hAnsi="Times New Roman" w:cs="Times New Roman"/>
          <w:noProof/>
          <w:sz w:val="24"/>
          <w:szCs w:val="24"/>
        </w:rPr>
        <w:t>four Funds (SOLID Funds) set up under the General Programme ‘Solidarity and Management of Migration Flows’</w:t>
      </w:r>
      <w:r>
        <w:rPr>
          <w:rStyle w:val="FootnoteReference"/>
          <w:rFonts w:ascii="Times New Roman" w:hAnsi="Times New Roman" w:cs="Times New Roman"/>
          <w:noProof/>
          <w:sz w:val="24"/>
          <w:szCs w:val="24"/>
        </w:rPr>
        <w:footnoteReference w:id="94"/>
      </w:r>
      <w:r>
        <w:rPr>
          <w:rFonts w:ascii="Times New Roman" w:hAnsi="Times New Roman" w:cs="Times New Roman"/>
          <w:noProof/>
          <w:sz w:val="24"/>
          <w:szCs w:val="24"/>
        </w:rPr>
        <w:t>. The aim of this General Programme was to address the issue of a fair share of responsibilities between Member States concerning the financial burde</w:t>
      </w:r>
      <w:r>
        <w:rPr>
          <w:rFonts w:ascii="Times New Roman" w:hAnsi="Times New Roman" w:cs="Times New Roman"/>
          <w:noProof/>
          <w:sz w:val="24"/>
          <w:szCs w:val="24"/>
        </w:rPr>
        <w:t>n arising from the introduction of an integrated management of the Union’s external borders and from the implementation of common policies on asylum and immigration.</w:t>
      </w:r>
    </w:p>
    <w:p w:rsidR="00821F17" w:rsidRDefault="006B159E">
      <w:pPr>
        <w:autoSpaceDE w:val="0"/>
        <w:autoSpaceDN w:val="0"/>
        <w:adjustRightInd w:val="0"/>
        <w:jc w:val="both"/>
        <w:rPr>
          <w:noProof/>
          <w:lang w:eastAsia="en-GB"/>
        </w:rPr>
      </w:pPr>
      <w:r>
        <w:rPr>
          <w:rFonts w:ascii="Times New Roman" w:hAnsi="Times New Roman" w:cs="Times New Roman"/>
          <w:noProof/>
          <w:sz w:val="24"/>
        </w:rPr>
        <w:t>The allocated EU contribution for 2007-2010 under the EIF was equal to EUR 325 872 000</w:t>
      </w:r>
      <w:r>
        <w:rPr>
          <w:rStyle w:val="FootnoteReference"/>
          <w:rFonts w:ascii="Times New Roman" w:hAnsi="Times New Roman" w:cs="Times New Roman"/>
          <w:noProof/>
          <w:sz w:val="24"/>
        </w:rPr>
        <w:footnoteReference w:id="95"/>
      </w:r>
      <w:r>
        <w:rPr>
          <w:rFonts w:ascii="Times New Roman" w:hAnsi="Times New Roman" w:cs="Times New Roman"/>
          <w:noProof/>
          <w:sz w:val="24"/>
        </w:rPr>
        <w:t>. T</w:t>
      </w:r>
      <w:r>
        <w:rPr>
          <w:rFonts w:ascii="Times New Roman" w:hAnsi="Times New Roman" w:cs="Times New Roman"/>
          <w:noProof/>
          <w:sz w:val="24"/>
        </w:rPr>
        <w:t xml:space="preserve">he EIF was designed, through different actions, to contribute to and to facilitate the </w:t>
      </w:r>
      <w:r>
        <w:rPr>
          <w:rFonts w:ascii="Times New Roman" w:hAnsi="Times New Roman"/>
          <w:b/>
          <w:noProof/>
          <w:sz w:val="24"/>
        </w:rPr>
        <w:t>integration</w:t>
      </w:r>
      <w:r>
        <w:rPr>
          <w:rFonts w:ascii="Times New Roman" w:hAnsi="Times New Roman" w:cs="Times New Roman"/>
          <w:noProof/>
          <w:sz w:val="24"/>
        </w:rPr>
        <w:t xml:space="preserve"> of third-country nationals (TCNs), one of the primary concerns of the EU as it allows for greater social cohesion and sustainable economic growth. In the EU </w:t>
      </w:r>
      <w:r>
        <w:rPr>
          <w:rFonts w:ascii="Times New Roman" w:hAnsi="Times New Roman" w:cs="Times New Roman"/>
          <w:noProof/>
          <w:sz w:val="24"/>
        </w:rPr>
        <w:t>budget, actions aimed at the integration of TCNs could be financed through different EU instruments, the EIF being the only fund that specifically targeted TCNs. To ensure the consistency of the EU's response to the integration of TCNs, complementarity wit</w:t>
      </w:r>
      <w:r>
        <w:rPr>
          <w:rFonts w:ascii="Times New Roman" w:hAnsi="Times New Roman" w:cs="Times New Roman"/>
          <w:noProof/>
          <w:sz w:val="24"/>
        </w:rPr>
        <w:t>h these other instruments, mainly the European Refugee Fund (ERF) and the structural funds, in particular the European Social Fund (ESF), was foreseen through a co-operation and co-ordination mechanism to this end.</w:t>
      </w:r>
    </w:p>
    <w:p w:rsidR="00821F17" w:rsidRDefault="006B159E">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EIF was implemented through two diffe</w:t>
      </w:r>
      <w:r>
        <w:rPr>
          <w:rFonts w:ascii="Times New Roman" w:hAnsi="Times New Roman" w:cs="Times New Roman"/>
          <w:noProof/>
          <w:sz w:val="24"/>
          <w:szCs w:val="24"/>
        </w:rPr>
        <w:t>rent management modes:</w:t>
      </w:r>
    </w:p>
    <w:p w:rsidR="00821F17" w:rsidRDefault="006B159E">
      <w:pPr>
        <w:jc w:val="both"/>
        <w:rPr>
          <w:rFonts w:ascii="Times New Roman" w:hAnsi="Times New Roman" w:cs="Times New Roman"/>
          <w:noProof/>
          <w:sz w:val="24"/>
        </w:rPr>
      </w:pPr>
      <w:r>
        <w:rPr>
          <w:rFonts w:ascii="Times New Roman" w:hAnsi="Times New Roman"/>
          <w:b/>
          <w:noProof/>
          <w:sz w:val="24"/>
        </w:rPr>
        <w:t>National programmes</w:t>
      </w:r>
      <w:r>
        <w:rPr>
          <w:rFonts w:ascii="Times New Roman" w:hAnsi="Times New Roman"/>
          <w:noProof/>
          <w:sz w:val="24"/>
        </w:rPr>
        <w:t>: under the principle of shared management, Member States implemented the Fund through national annual programmes on the basis of multiannual programming which reflected their specific needs. The annual national pr</w:t>
      </w:r>
      <w:r>
        <w:rPr>
          <w:rFonts w:ascii="Times New Roman" w:hAnsi="Times New Roman"/>
          <w:noProof/>
          <w:sz w:val="24"/>
        </w:rPr>
        <w:t xml:space="preserve">ogrammes set out the measures to be implemented in the Member States and specified their purpose, scope, beneficiaries, expected results and budget. </w:t>
      </w:r>
      <w:r>
        <w:rPr>
          <w:rFonts w:ascii="Times New Roman" w:hAnsi="Times New Roman" w:cs="Times New Roman"/>
          <w:noProof/>
          <w:sz w:val="24"/>
        </w:rPr>
        <w:t>In total, the national programmes of the EIF funded 2986 projects for the period 2007-2010.</w:t>
      </w:r>
      <w:r>
        <w:rPr>
          <w:rStyle w:val="FootnoteReference"/>
          <w:rFonts w:ascii="Times New Roman" w:hAnsi="Times New Roman" w:cs="Times New Roman"/>
          <w:noProof/>
          <w:sz w:val="24"/>
        </w:rPr>
        <w:footnoteReference w:id="96"/>
      </w:r>
    </w:p>
    <w:p w:rsidR="00821F17" w:rsidRDefault="006B159E">
      <w:pPr>
        <w:spacing w:after="120" w:line="240" w:lineRule="auto"/>
        <w:jc w:val="both"/>
        <w:rPr>
          <w:rFonts w:ascii="Times New Roman" w:hAnsi="Times New Roman"/>
          <w:noProof/>
          <w:sz w:val="24"/>
        </w:rPr>
      </w:pPr>
      <w:r>
        <w:rPr>
          <w:rFonts w:ascii="Times New Roman" w:hAnsi="Times New Roman"/>
          <w:b/>
          <w:noProof/>
          <w:sz w:val="24"/>
        </w:rPr>
        <w:t>Community Acti</w:t>
      </w:r>
      <w:r>
        <w:rPr>
          <w:rFonts w:ascii="Times New Roman" w:hAnsi="Times New Roman"/>
          <w:b/>
          <w:noProof/>
          <w:sz w:val="24"/>
        </w:rPr>
        <w:t>ons</w:t>
      </w:r>
      <w:r>
        <w:rPr>
          <w:rFonts w:ascii="Times New Roman" w:hAnsi="Times New Roman"/>
          <w:noProof/>
          <w:sz w:val="24"/>
        </w:rPr>
        <w:t>: under the principle of direct management, at the Commission's initiative, up to 4% of the EIF resources were made available to finance transnational actions or actions of interest to the EU as a whole. These actions were implemented by NGOs, internati</w:t>
      </w:r>
      <w:r>
        <w:rPr>
          <w:rFonts w:ascii="Times New Roman" w:hAnsi="Times New Roman"/>
          <w:noProof/>
          <w:sz w:val="24"/>
        </w:rPr>
        <w:t>onal organisations or public bodies of the Member States. Priorities and themes for projects were set out in the European Commission's annual work programmes. Calls for proposals were published and potential beneficiaries could apply and submit their propo</w:t>
      </w:r>
      <w:r>
        <w:rPr>
          <w:rFonts w:ascii="Times New Roman" w:hAnsi="Times New Roman"/>
          <w:noProof/>
          <w:sz w:val="24"/>
        </w:rPr>
        <w:t xml:space="preserve">sals. </w:t>
      </w:r>
    </w:p>
    <w:p w:rsidR="00821F17" w:rsidRDefault="00821F17">
      <w:pPr>
        <w:autoSpaceDE w:val="0"/>
        <w:autoSpaceDN w:val="0"/>
        <w:adjustRightInd w:val="0"/>
        <w:spacing w:after="0" w:line="240" w:lineRule="auto"/>
        <w:ind w:firstLine="720"/>
        <w:jc w:val="both"/>
        <w:rPr>
          <w:rFonts w:ascii="Times New Roman" w:hAnsi="Times New Roman" w:cs="Times New Roman"/>
          <w:noProof/>
          <w:sz w:val="24"/>
        </w:rPr>
      </w:pPr>
    </w:p>
    <w:p w:rsidR="00821F17" w:rsidRDefault="006B159E">
      <w:pPr>
        <w:jc w:val="both"/>
        <w:rPr>
          <w:rFonts w:ascii="Times New Roman" w:hAnsi="Times New Roman" w:cs="Times New Roman"/>
          <w:noProof/>
          <w:sz w:val="24"/>
        </w:rPr>
      </w:pPr>
      <w:r>
        <w:rPr>
          <w:rFonts w:ascii="Times New Roman" w:hAnsi="Times New Roman" w:cs="Times New Roman"/>
          <w:noProof/>
          <w:sz w:val="24"/>
        </w:rPr>
        <w:t xml:space="preserve">The EIF aimed to achieve four </w:t>
      </w:r>
      <w:r>
        <w:rPr>
          <w:rFonts w:ascii="Times New Roman" w:hAnsi="Times New Roman" w:cs="Times New Roman"/>
          <w:b/>
          <w:noProof/>
          <w:sz w:val="24"/>
        </w:rPr>
        <w:t>Specific Objectives</w:t>
      </w:r>
      <w:r>
        <w:rPr>
          <w:rFonts w:ascii="Times New Roman" w:hAnsi="Times New Roman" w:cs="Times New Roman"/>
          <w:noProof/>
          <w:sz w:val="24"/>
        </w:rPr>
        <w:t>, listed below,</w:t>
      </w:r>
      <w:r>
        <w:rPr>
          <w:rFonts w:ascii="Times New Roman" w:hAnsi="Times New Roman" w:cs="Times New Roman"/>
          <w:b/>
          <w:noProof/>
          <w:sz w:val="24"/>
        </w:rPr>
        <w:t xml:space="preserve"> </w:t>
      </w:r>
      <w:r>
        <w:rPr>
          <w:rFonts w:ascii="Times New Roman" w:hAnsi="Times New Roman" w:cs="Times New Roman"/>
          <w:noProof/>
          <w:sz w:val="24"/>
        </w:rPr>
        <w:t>and the EIF contribution, could be increased</w:t>
      </w:r>
      <w:r>
        <w:rPr>
          <w:rStyle w:val="FootnoteReference"/>
          <w:rFonts w:ascii="Times New Roman" w:hAnsi="Times New Roman" w:cs="Times New Roman"/>
          <w:noProof/>
          <w:sz w:val="24"/>
        </w:rPr>
        <w:footnoteReference w:id="97"/>
      </w:r>
      <w:r>
        <w:rPr>
          <w:rFonts w:ascii="Times New Roman" w:hAnsi="Times New Roman" w:cs="Times New Roman"/>
          <w:noProof/>
          <w:sz w:val="24"/>
        </w:rPr>
        <w:t xml:space="preserve"> from 50% for standard actions to 75% for actions targeting at least one of five </w:t>
      </w:r>
      <w:r>
        <w:rPr>
          <w:rFonts w:ascii="Times New Roman" w:hAnsi="Times New Roman" w:cs="Times New Roman"/>
          <w:b/>
          <w:noProof/>
          <w:sz w:val="24"/>
        </w:rPr>
        <w:t>Specific Priorities</w:t>
      </w:r>
      <w:r>
        <w:rPr>
          <w:rFonts w:ascii="Times New Roman" w:hAnsi="Times New Roman" w:cs="Times New Roman"/>
          <w:noProof/>
          <w:sz w:val="24"/>
        </w:rPr>
        <w:t xml:space="preserve"> (listed below). The Specific Objectiv</w:t>
      </w:r>
      <w:r>
        <w:rPr>
          <w:rFonts w:ascii="Times New Roman" w:hAnsi="Times New Roman" w:cs="Times New Roman"/>
          <w:noProof/>
          <w:sz w:val="24"/>
        </w:rPr>
        <w:t>es and Specific Priorities were established in the strategic guidelines adopted by the Commission in August 2007</w:t>
      </w:r>
      <w:r>
        <w:rPr>
          <w:rStyle w:val="FootnoteReference"/>
          <w:rFonts w:ascii="Times New Roman" w:hAnsi="Times New Roman" w:cs="Times New Roman"/>
          <w:noProof/>
          <w:sz w:val="24"/>
        </w:rPr>
        <w:footnoteReference w:id="98"/>
      </w:r>
      <w:r>
        <w:rPr>
          <w:rFonts w:ascii="Times New Roman" w:hAnsi="Times New Roman" w:cs="Times New Roman"/>
          <w:noProof/>
          <w:sz w:val="24"/>
        </w:rPr>
        <w:t xml:space="preserve"> and were developed from</w:t>
      </w:r>
      <w:r>
        <w:rPr>
          <w:rFonts w:ascii="Times New Roman" w:hAnsi="Times New Roman" w:cs="Times New Roman"/>
          <w:noProof/>
          <w:color w:val="FF0000"/>
          <w:sz w:val="24"/>
        </w:rPr>
        <w:t xml:space="preserve"> </w:t>
      </w:r>
      <w:r>
        <w:rPr>
          <w:rFonts w:ascii="Times New Roman" w:hAnsi="Times New Roman" w:cs="Times New Roman"/>
          <w:noProof/>
          <w:sz w:val="24"/>
        </w:rPr>
        <w:t xml:space="preserve">the </w:t>
      </w:r>
      <w:r>
        <w:rPr>
          <w:rFonts w:ascii="Times New Roman" w:hAnsi="Times New Roman" w:cs="Times New Roman"/>
          <w:b/>
          <w:noProof/>
          <w:sz w:val="24"/>
        </w:rPr>
        <w:t xml:space="preserve">four Priorities </w:t>
      </w:r>
      <w:r>
        <w:rPr>
          <w:rFonts w:ascii="Times New Roman" w:hAnsi="Times New Roman" w:cs="Times New Roman"/>
          <w:noProof/>
          <w:sz w:val="24"/>
        </w:rPr>
        <w:t xml:space="preserve">(listed below), which MS were to consider when elaborating their multi-annual programmes and </w:t>
      </w:r>
      <w:r>
        <w:rPr>
          <w:rFonts w:ascii="Times New Roman" w:hAnsi="Times New Roman" w:cs="Times New Roman"/>
          <w:noProof/>
          <w:sz w:val="24"/>
        </w:rPr>
        <w:t>annual programmes:</w:t>
      </w:r>
    </w:p>
    <w:tbl>
      <w:tblPr>
        <w:tblStyle w:val="TableGrid"/>
        <w:tblW w:w="0" w:type="auto"/>
        <w:tblLook w:val="04A0" w:firstRow="1" w:lastRow="0" w:firstColumn="1" w:lastColumn="0" w:noHBand="0" w:noVBand="1"/>
      </w:tblPr>
      <w:tblGrid>
        <w:gridCol w:w="3096"/>
        <w:gridCol w:w="3096"/>
        <w:gridCol w:w="3096"/>
      </w:tblGrid>
      <w:tr w:rsidR="00821F17">
        <w:tc>
          <w:tcPr>
            <w:tcW w:w="3096" w:type="dxa"/>
          </w:tcPr>
          <w:p w:rsidR="00821F17" w:rsidRDefault="006B159E">
            <w:pPr>
              <w:jc w:val="both"/>
              <w:rPr>
                <w:rFonts w:ascii="Times New Roman" w:hAnsi="Times New Roman" w:cs="Times New Roman"/>
                <w:b/>
                <w:noProof/>
                <w:sz w:val="24"/>
              </w:rPr>
            </w:pPr>
            <w:r>
              <w:rPr>
                <w:rFonts w:ascii="Times New Roman" w:hAnsi="Times New Roman" w:cs="Times New Roman"/>
                <w:b/>
                <w:noProof/>
                <w:sz w:val="24"/>
              </w:rPr>
              <w:t>Priorities</w:t>
            </w:r>
          </w:p>
        </w:tc>
        <w:tc>
          <w:tcPr>
            <w:tcW w:w="3096" w:type="dxa"/>
          </w:tcPr>
          <w:p w:rsidR="00821F17" w:rsidRDefault="006B159E">
            <w:pPr>
              <w:jc w:val="both"/>
              <w:rPr>
                <w:rFonts w:ascii="Times New Roman" w:hAnsi="Times New Roman" w:cs="Times New Roman"/>
                <w:b/>
                <w:noProof/>
                <w:sz w:val="24"/>
              </w:rPr>
            </w:pPr>
            <w:r>
              <w:rPr>
                <w:rFonts w:ascii="Times New Roman" w:hAnsi="Times New Roman" w:cs="Times New Roman"/>
                <w:b/>
                <w:noProof/>
                <w:sz w:val="24"/>
              </w:rPr>
              <w:t>Specific Objectives</w:t>
            </w:r>
          </w:p>
        </w:tc>
        <w:tc>
          <w:tcPr>
            <w:tcW w:w="3096" w:type="dxa"/>
          </w:tcPr>
          <w:p w:rsidR="00821F17" w:rsidRDefault="006B159E">
            <w:pPr>
              <w:jc w:val="both"/>
              <w:rPr>
                <w:rFonts w:ascii="Times New Roman" w:hAnsi="Times New Roman" w:cs="Times New Roman"/>
                <w:b/>
                <w:noProof/>
                <w:sz w:val="24"/>
              </w:rPr>
            </w:pPr>
            <w:r>
              <w:rPr>
                <w:rFonts w:ascii="Times New Roman" w:hAnsi="Times New Roman" w:cs="Times New Roman"/>
                <w:b/>
                <w:noProof/>
                <w:sz w:val="24"/>
              </w:rPr>
              <w:t>Specific Priorities</w:t>
            </w:r>
          </w:p>
        </w:tc>
      </w:tr>
      <w:tr w:rsidR="00821F17">
        <w:tc>
          <w:tcPr>
            <w:tcW w:w="3096" w:type="dxa"/>
          </w:tcPr>
          <w:p w:rsidR="00821F17" w:rsidRDefault="006B159E">
            <w:pPr>
              <w:rPr>
                <w:rFonts w:ascii="Times New Roman" w:hAnsi="Times New Roman" w:cs="Times New Roman"/>
                <w:noProof/>
                <w:sz w:val="24"/>
              </w:rPr>
            </w:pPr>
            <w:r>
              <w:rPr>
                <w:rFonts w:ascii="Times New Roman" w:hAnsi="Times New Roman" w:cs="Times New Roman"/>
                <w:i/>
                <w:noProof/>
                <w:sz w:val="24"/>
              </w:rPr>
              <w:t>Priority 1</w:t>
            </w:r>
            <w:r>
              <w:rPr>
                <w:rFonts w:ascii="Times New Roman" w:hAnsi="Times New Roman" w:cs="Times New Roman"/>
                <w:noProof/>
                <w:sz w:val="24"/>
              </w:rPr>
              <w:t>: Implementation of actions designed to put 'Common Basic Principles for Immigrant Integration Policy in the European Union' into practice (mandatory)</w:t>
            </w:r>
          </w:p>
        </w:tc>
        <w:tc>
          <w:tcPr>
            <w:tcW w:w="3096" w:type="dxa"/>
          </w:tcPr>
          <w:p w:rsidR="00821F17" w:rsidRDefault="006B159E">
            <w:pPr>
              <w:rPr>
                <w:rFonts w:ascii="Times New Roman" w:hAnsi="Times New Roman" w:cs="Times New Roman"/>
                <w:noProof/>
                <w:sz w:val="24"/>
              </w:rPr>
            </w:pPr>
            <w:r>
              <w:rPr>
                <w:rFonts w:ascii="Times New Roman" w:hAnsi="Times New Roman" w:cs="Times New Roman"/>
                <w:noProof/>
                <w:sz w:val="24"/>
              </w:rPr>
              <w:t xml:space="preserve">(a) Facilitation of the </w:t>
            </w:r>
            <w:r>
              <w:rPr>
                <w:rFonts w:ascii="Times New Roman" w:hAnsi="Times New Roman" w:cs="Times New Roman"/>
                <w:noProof/>
                <w:sz w:val="24"/>
              </w:rPr>
              <w:t>development and implementation of admission procedures relevant to and supportive of the integration process of TCNs</w:t>
            </w:r>
          </w:p>
        </w:tc>
        <w:tc>
          <w:tcPr>
            <w:tcW w:w="3096" w:type="dxa"/>
          </w:tcPr>
          <w:p w:rsidR="00821F17" w:rsidRDefault="006B159E">
            <w:pPr>
              <w:rPr>
                <w:rFonts w:ascii="Times New Roman" w:hAnsi="Times New Roman" w:cs="Times New Roman"/>
                <w:noProof/>
                <w:sz w:val="24"/>
              </w:rPr>
            </w:pPr>
            <w:r>
              <w:rPr>
                <w:rFonts w:ascii="Times New Roman" w:hAnsi="Times New Roman" w:cs="Times New Roman"/>
                <w:i/>
                <w:noProof/>
                <w:sz w:val="24"/>
              </w:rPr>
              <w:t>Specific Priority 1</w:t>
            </w:r>
            <w:r>
              <w:rPr>
                <w:rFonts w:ascii="Times New Roman" w:hAnsi="Times New Roman" w:cs="Times New Roman"/>
                <w:noProof/>
                <w:sz w:val="24"/>
              </w:rPr>
              <w:t>: Participation as a means of promoting the integration of TCNs in society – actions involving the participation of TCNs</w:t>
            </w:r>
            <w:r>
              <w:rPr>
                <w:rFonts w:ascii="Times New Roman" w:hAnsi="Times New Roman" w:cs="Times New Roman"/>
                <w:noProof/>
                <w:sz w:val="24"/>
              </w:rPr>
              <w:t xml:space="preserve"> in the formulation and implementation of national policies and measures</w:t>
            </w:r>
          </w:p>
        </w:tc>
      </w:tr>
      <w:tr w:rsidR="00821F17">
        <w:tc>
          <w:tcPr>
            <w:tcW w:w="3096" w:type="dxa"/>
          </w:tcPr>
          <w:p w:rsidR="00821F17" w:rsidRDefault="006B159E">
            <w:pPr>
              <w:rPr>
                <w:rFonts w:ascii="Times New Roman" w:hAnsi="Times New Roman" w:cs="Times New Roman"/>
                <w:noProof/>
                <w:sz w:val="24"/>
              </w:rPr>
            </w:pPr>
            <w:r>
              <w:rPr>
                <w:rFonts w:ascii="Times New Roman" w:hAnsi="Times New Roman" w:cs="Times New Roman"/>
                <w:i/>
                <w:noProof/>
                <w:sz w:val="24"/>
              </w:rPr>
              <w:t>Priority 2</w:t>
            </w:r>
            <w:r>
              <w:rPr>
                <w:rFonts w:ascii="Times New Roman" w:hAnsi="Times New Roman" w:cs="Times New Roman"/>
                <w:noProof/>
                <w:sz w:val="24"/>
              </w:rPr>
              <w:t>: Development of indicators and evaluation methodologies to assess progress, adjust policies and measures, and to facilitate coordination of comparative learning (mandatory</w:t>
            </w:r>
            <w:r>
              <w:rPr>
                <w:rFonts w:ascii="Times New Roman" w:hAnsi="Times New Roman" w:cs="Times New Roman"/>
                <w:noProof/>
                <w:sz w:val="24"/>
              </w:rPr>
              <w:t>)</w:t>
            </w:r>
          </w:p>
        </w:tc>
        <w:tc>
          <w:tcPr>
            <w:tcW w:w="3096" w:type="dxa"/>
          </w:tcPr>
          <w:p w:rsidR="00821F17" w:rsidRDefault="006B159E">
            <w:pPr>
              <w:rPr>
                <w:rFonts w:ascii="Times New Roman" w:hAnsi="Times New Roman" w:cs="Times New Roman"/>
                <w:noProof/>
                <w:sz w:val="24"/>
              </w:rPr>
            </w:pPr>
            <w:r>
              <w:rPr>
                <w:rFonts w:ascii="Times New Roman" w:hAnsi="Times New Roman" w:cs="Times New Roman"/>
                <w:noProof/>
                <w:sz w:val="24"/>
              </w:rPr>
              <w:t>(b) Development and implementation of the integration process of newly-arrive TCNs in MS</w:t>
            </w:r>
          </w:p>
        </w:tc>
        <w:tc>
          <w:tcPr>
            <w:tcW w:w="3096" w:type="dxa"/>
          </w:tcPr>
          <w:p w:rsidR="00821F17" w:rsidRDefault="006B159E">
            <w:pPr>
              <w:rPr>
                <w:rFonts w:ascii="Times New Roman" w:hAnsi="Times New Roman" w:cs="Times New Roman"/>
                <w:noProof/>
                <w:sz w:val="24"/>
              </w:rPr>
            </w:pPr>
            <w:r>
              <w:rPr>
                <w:rFonts w:ascii="Times New Roman" w:hAnsi="Times New Roman" w:cs="Times New Roman"/>
                <w:i/>
                <w:noProof/>
                <w:sz w:val="24"/>
              </w:rPr>
              <w:t>Specific Priority 2</w:t>
            </w:r>
            <w:r>
              <w:rPr>
                <w:rFonts w:ascii="Times New Roman" w:hAnsi="Times New Roman" w:cs="Times New Roman"/>
                <w:noProof/>
                <w:sz w:val="24"/>
              </w:rPr>
              <w:t>: Specific target groups – actions, including introduction programmes and activities, whose main objective is to address the specific needs of par</w:t>
            </w:r>
            <w:r>
              <w:rPr>
                <w:rFonts w:ascii="Times New Roman" w:hAnsi="Times New Roman" w:cs="Times New Roman"/>
                <w:noProof/>
                <w:sz w:val="24"/>
              </w:rPr>
              <w:t>ticular groups, such as women, youth and children, the elderly, illiterate persons and persons with disabilities</w:t>
            </w:r>
          </w:p>
        </w:tc>
      </w:tr>
      <w:tr w:rsidR="00821F17">
        <w:tc>
          <w:tcPr>
            <w:tcW w:w="3096" w:type="dxa"/>
          </w:tcPr>
          <w:p w:rsidR="00821F17" w:rsidRDefault="006B159E">
            <w:pPr>
              <w:rPr>
                <w:rFonts w:ascii="Times New Roman" w:hAnsi="Times New Roman" w:cs="Times New Roman"/>
                <w:noProof/>
                <w:sz w:val="24"/>
              </w:rPr>
            </w:pPr>
            <w:r>
              <w:rPr>
                <w:rFonts w:ascii="Times New Roman" w:hAnsi="Times New Roman" w:cs="Times New Roman"/>
                <w:i/>
                <w:noProof/>
                <w:sz w:val="24"/>
              </w:rPr>
              <w:t>Priority 3</w:t>
            </w:r>
            <w:r>
              <w:rPr>
                <w:rFonts w:ascii="Times New Roman" w:hAnsi="Times New Roman" w:cs="Times New Roman"/>
                <w:noProof/>
                <w:sz w:val="24"/>
              </w:rPr>
              <w:t>: Policy capacity building, coordination and intercultural competence building in the MS across the different levels and departments</w:t>
            </w:r>
            <w:r>
              <w:rPr>
                <w:rFonts w:ascii="Times New Roman" w:hAnsi="Times New Roman" w:cs="Times New Roman"/>
                <w:noProof/>
                <w:sz w:val="24"/>
              </w:rPr>
              <w:t xml:space="preserve"> of government</w:t>
            </w:r>
          </w:p>
        </w:tc>
        <w:tc>
          <w:tcPr>
            <w:tcW w:w="3096" w:type="dxa"/>
          </w:tcPr>
          <w:p w:rsidR="00821F17" w:rsidRDefault="006B159E">
            <w:pPr>
              <w:rPr>
                <w:rFonts w:ascii="Times New Roman" w:hAnsi="Times New Roman" w:cs="Times New Roman"/>
                <w:noProof/>
                <w:sz w:val="24"/>
              </w:rPr>
            </w:pPr>
            <w:r>
              <w:rPr>
                <w:rFonts w:ascii="Times New Roman" w:hAnsi="Times New Roman" w:cs="Times New Roman"/>
                <w:noProof/>
                <w:sz w:val="24"/>
              </w:rPr>
              <w:t>(c) Increase of the capacity of MS to develop, implement, monitory and evaluate policies and measures for the integration of TCNs</w:t>
            </w:r>
          </w:p>
        </w:tc>
        <w:tc>
          <w:tcPr>
            <w:tcW w:w="3096" w:type="dxa"/>
          </w:tcPr>
          <w:p w:rsidR="00821F17" w:rsidRDefault="006B159E">
            <w:pPr>
              <w:rPr>
                <w:rFonts w:ascii="Times New Roman" w:hAnsi="Times New Roman" w:cs="Times New Roman"/>
                <w:noProof/>
                <w:sz w:val="24"/>
              </w:rPr>
            </w:pPr>
            <w:r>
              <w:rPr>
                <w:rFonts w:ascii="Times New Roman" w:hAnsi="Times New Roman" w:cs="Times New Roman"/>
                <w:i/>
                <w:noProof/>
                <w:sz w:val="24"/>
              </w:rPr>
              <w:t>Specific Priority 3</w:t>
            </w:r>
            <w:r>
              <w:rPr>
                <w:rFonts w:ascii="Times New Roman" w:hAnsi="Times New Roman" w:cs="Times New Roman"/>
                <w:noProof/>
                <w:sz w:val="24"/>
              </w:rPr>
              <w:t>: Innovative introduction programmes and activities – actions developing innovative introduc</w:t>
            </w:r>
            <w:r>
              <w:rPr>
                <w:rFonts w:ascii="Times New Roman" w:hAnsi="Times New Roman" w:cs="Times New Roman"/>
                <w:noProof/>
                <w:sz w:val="24"/>
              </w:rPr>
              <w:t>tion programmes and activities, such as enabling TCNs to work and study at the same time, e.g. part-time courses, fast-track modules, distance or e-learning systems</w:t>
            </w:r>
          </w:p>
        </w:tc>
      </w:tr>
      <w:tr w:rsidR="00821F17">
        <w:tc>
          <w:tcPr>
            <w:tcW w:w="3096" w:type="dxa"/>
          </w:tcPr>
          <w:p w:rsidR="00821F17" w:rsidRDefault="006B159E">
            <w:pPr>
              <w:rPr>
                <w:rFonts w:ascii="Times New Roman" w:hAnsi="Times New Roman" w:cs="Times New Roman"/>
                <w:noProof/>
                <w:sz w:val="24"/>
              </w:rPr>
            </w:pPr>
            <w:r>
              <w:rPr>
                <w:rFonts w:ascii="Times New Roman" w:hAnsi="Times New Roman" w:cs="Times New Roman"/>
                <w:i/>
                <w:noProof/>
                <w:sz w:val="24"/>
              </w:rPr>
              <w:t>Priority 4</w:t>
            </w:r>
            <w:r>
              <w:rPr>
                <w:rFonts w:ascii="Times New Roman" w:hAnsi="Times New Roman" w:cs="Times New Roman"/>
                <w:noProof/>
                <w:sz w:val="24"/>
              </w:rPr>
              <w:t>: Exchange of experiences, good practices and information on integration between</w:t>
            </w:r>
            <w:r>
              <w:rPr>
                <w:rFonts w:ascii="Times New Roman" w:hAnsi="Times New Roman" w:cs="Times New Roman"/>
                <w:noProof/>
                <w:sz w:val="24"/>
              </w:rPr>
              <w:t xml:space="preserve"> the MS</w:t>
            </w:r>
          </w:p>
        </w:tc>
        <w:tc>
          <w:tcPr>
            <w:tcW w:w="3096" w:type="dxa"/>
          </w:tcPr>
          <w:p w:rsidR="00821F17" w:rsidRDefault="006B159E">
            <w:pPr>
              <w:tabs>
                <w:tab w:val="center" w:pos="1440"/>
              </w:tabs>
              <w:rPr>
                <w:rFonts w:ascii="Times New Roman" w:hAnsi="Times New Roman" w:cs="Times New Roman"/>
                <w:noProof/>
                <w:sz w:val="24"/>
              </w:rPr>
            </w:pPr>
            <w:r>
              <w:rPr>
                <w:rFonts w:ascii="Times New Roman" w:hAnsi="Times New Roman" w:cs="Times New Roman"/>
                <w:noProof/>
                <w:sz w:val="24"/>
              </w:rPr>
              <w:t>(d) Exchange of information, best practices and cooperation in and between MS in developing, implementing, monitoring and evaluating policies and measures for the integration of TCNs</w:t>
            </w:r>
          </w:p>
        </w:tc>
        <w:tc>
          <w:tcPr>
            <w:tcW w:w="3096" w:type="dxa"/>
          </w:tcPr>
          <w:p w:rsidR="00821F17" w:rsidRDefault="006B159E">
            <w:pPr>
              <w:rPr>
                <w:rFonts w:ascii="Times New Roman" w:hAnsi="Times New Roman" w:cs="Times New Roman"/>
                <w:noProof/>
                <w:sz w:val="24"/>
              </w:rPr>
            </w:pPr>
            <w:r>
              <w:rPr>
                <w:rFonts w:ascii="Times New Roman" w:hAnsi="Times New Roman" w:cs="Times New Roman"/>
                <w:i/>
                <w:noProof/>
                <w:sz w:val="24"/>
              </w:rPr>
              <w:t>Specific Priority 4</w:t>
            </w:r>
            <w:r>
              <w:rPr>
                <w:rFonts w:ascii="Times New Roman" w:hAnsi="Times New Roman" w:cs="Times New Roman"/>
                <w:noProof/>
                <w:sz w:val="24"/>
              </w:rPr>
              <w:t>: Intercultural dialogue – actions aimed at en</w:t>
            </w:r>
            <w:r>
              <w:rPr>
                <w:rFonts w:ascii="Times New Roman" w:hAnsi="Times New Roman" w:cs="Times New Roman"/>
                <w:noProof/>
                <w:sz w:val="24"/>
              </w:rPr>
              <w:t>couraging mutual interaction and exchange, such as developing intercultural dialogue in an effort to resolve any potential conflict caused by differences in cultural or religious practices, and thus to ensure the better integration of TCNs in the societies</w:t>
            </w:r>
            <w:r>
              <w:rPr>
                <w:rFonts w:ascii="Times New Roman" w:hAnsi="Times New Roman" w:cs="Times New Roman"/>
                <w:noProof/>
                <w:sz w:val="24"/>
              </w:rPr>
              <w:t>, values and ways of life of MS</w:t>
            </w:r>
          </w:p>
        </w:tc>
      </w:tr>
      <w:tr w:rsidR="00821F17">
        <w:tc>
          <w:tcPr>
            <w:tcW w:w="3096" w:type="dxa"/>
          </w:tcPr>
          <w:p w:rsidR="00821F17" w:rsidRDefault="00821F17">
            <w:pPr>
              <w:rPr>
                <w:rFonts w:ascii="Times New Roman" w:hAnsi="Times New Roman" w:cs="Times New Roman"/>
                <w:noProof/>
                <w:sz w:val="24"/>
              </w:rPr>
            </w:pPr>
          </w:p>
        </w:tc>
        <w:tc>
          <w:tcPr>
            <w:tcW w:w="3096" w:type="dxa"/>
          </w:tcPr>
          <w:p w:rsidR="00821F17" w:rsidRDefault="00821F17">
            <w:pPr>
              <w:rPr>
                <w:rFonts w:ascii="Times New Roman" w:hAnsi="Times New Roman" w:cs="Times New Roman"/>
                <w:noProof/>
                <w:sz w:val="24"/>
              </w:rPr>
            </w:pPr>
          </w:p>
        </w:tc>
        <w:tc>
          <w:tcPr>
            <w:tcW w:w="3096" w:type="dxa"/>
          </w:tcPr>
          <w:p w:rsidR="00821F17" w:rsidRDefault="006B159E">
            <w:pPr>
              <w:rPr>
                <w:rFonts w:ascii="Times New Roman" w:hAnsi="Times New Roman" w:cs="Times New Roman"/>
                <w:noProof/>
                <w:sz w:val="24"/>
              </w:rPr>
            </w:pPr>
            <w:r>
              <w:rPr>
                <w:rFonts w:ascii="Times New Roman" w:hAnsi="Times New Roman" w:cs="Times New Roman"/>
                <w:i/>
                <w:noProof/>
                <w:sz w:val="24"/>
              </w:rPr>
              <w:t>Specific priority 5</w:t>
            </w:r>
            <w:r>
              <w:rPr>
                <w:rFonts w:ascii="Times New Roman" w:hAnsi="Times New Roman" w:cs="Times New Roman"/>
                <w:noProof/>
                <w:sz w:val="24"/>
              </w:rPr>
              <w:t>: Involvement of the host society in the integration process – actions addressing effective ways of raising awareness and actively involving the host society in the integration process</w:t>
            </w:r>
          </w:p>
        </w:tc>
      </w:tr>
    </w:tbl>
    <w:p w:rsidR="00821F17" w:rsidRDefault="00821F17">
      <w:pPr>
        <w:jc w:val="both"/>
        <w:rPr>
          <w:rFonts w:ascii="Times New Roman" w:hAnsi="Times New Roman" w:cs="Times New Roman"/>
          <w:noProof/>
          <w:sz w:val="24"/>
        </w:rPr>
      </w:pPr>
    </w:p>
    <w:p w:rsidR="00821F17" w:rsidRDefault="006B159E">
      <w:pPr>
        <w:jc w:val="both"/>
        <w:rPr>
          <w:rFonts w:ascii="Times New Roman" w:hAnsi="Times New Roman" w:cs="Times New Roman"/>
          <w:noProof/>
          <w:sz w:val="24"/>
        </w:rPr>
      </w:pPr>
      <w:r>
        <w:rPr>
          <w:rFonts w:ascii="Times New Roman" w:hAnsi="Times New Roman" w:cs="Times New Roman"/>
          <w:noProof/>
          <w:sz w:val="24"/>
        </w:rPr>
        <w:t xml:space="preserve">The Decision </w:t>
      </w:r>
      <w:r>
        <w:rPr>
          <w:rFonts w:ascii="Times New Roman" w:hAnsi="Times New Roman" w:cs="Times New Roman"/>
          <w:noProof/>
          <w:sz w:val="24"/>
        </w:rPr>
        <w:t>establishing the EIF requires the Commission to produce an ex-post evaluation for the period 2007-2010 based on national evaluation reports on the results and impact of actions co-financed by the Fund</w:t>
      </w:r>
      <w:r>
        <w:rPr>
          <w:rStyle w:val="FootnoteReference"/>
          <w:rFonts w:ascii="Times New Roman" w:hAnsi="Times New Roman" w:cs="Times New Roman"/>
          <w:noProof/>
          <w:sz w:val="24"/>
        </w:rPr>
        <w:footnoteReference w:id="99"/>
      </w:r>
      <w:r>
        <w:rPr>
          <w:rFonts w:ascii="Times New Roman" w:hAnsi="Times New Roman" w:cs="Times New Roman"/>
          <w:noProof/>
          <w:sz w:val="24"/>
        </w:rPr>
        <w:t>. This report will outline</w:t>
      </w:r>
      <w:r>
        <w:rPr>
          <w:rFonts w:ascii="Times New Roman" w:hAnsi="Times New Roman" w:cs="Times New Roman"/>
          <w:noProof/>
          <w:color w:val="FF0000"/>
          <w:sz w:val="24"/>
        </w:rPr>
        <w:t xml:space="preserve"> </w:t>
      </w:r>
      <w:r>
        <w:rPr>
          <w:rFonts w:ascii="Times New Roman" w:hAnsi="Times New Roman" w:cs="Times New Roman"/>
          <w:noProof/>
          <w:sz w:val="24"/>
        </w:rPr>
        <w:t>the findings of the evaluati</w:t>
      </w:r>
      <w:r>
        <w:rPr>
          <w:rFonts w:ascii="Times New Roman" w:hAnsi="Times New Roman" w:cs="Times New Roman"/>
          <w:noProof/>
          <w:sz w:val="24"/>
        </w:rPr>
        <w:t xml:space="preserve">on of annual programmes as well as Community Actions for 2007-2010. </w:t>
      </w:r>
    </w:p>
    <w:p w:rsidR="00821F17" w:rsidRDefault="00821F17">
      <w:pPr>
        <w:jc w:val="both"/>
        <w:rPr>
          <w:rFonts w:ascii="Times New Roman" w:hAnsi="Times New Roman" w:cs="Times New Roman"/>
          <w:noProof/>
          <w:sz w:val="24"/>
        </w:rPr>
      </w:pPr>
    </w:p>
    <w:p w:rsidR="00821F17" w:rsidRDefault="006B159E">
      <w:pPr>
        <w:pStyle w:val="Body"/>
        <w:rPr>
          <w:rFonts w:ascii="Times New Roman" w:hAnsi="Times New Roman" w:cs="Times New Roman"/>
          <w:b/>
          <w:noProof/>
          <w:sz w:val="24"/>
          <w:szCs w:val="24"/>
          <w:lang w:val="en-GB"/>
        </w:rPr>
      </w:pPr>
      <w:r>
        <w:rPr>
          <w:rFonts w:ascii="Times New Roman" w:hAnsi="Times New Roman" w:cs="Times New Roman"/>
          <w:b/>
          <w:noProof/>
          <w:sz w:val="24"/>
          <w:szCs w:val="24"/>
          <w:lang w:val="en-GB"/>
        </w:rPr>
        <w:t>2. Findings</w:t>
      </w:r>
    </w:p>
    <w:p w:rsidR="00821F17" w:rsidRDefault="00821F17">
      <w:pPr>
        <w:pStyle w:val="Body"/>
        <w:rPr>
          <w:rFonts w:ascii="Times New Roman" w:hAnsi="Times New Roman" w:cs="Times New Roman"/>
          <w:b/>
          <w:noProof/>
          <w:sz w:val="24"/>
          <w:szCs w:val="24"/>
          <w:lang w:val="en-GB"/>
        </w:rPr>
      </w:pPr>
    </w:p>
    <w:p w:rsidR="00821F17" w:rsidRDefault="006B159E">
      <w:pPr>
        <w:pStyle w:val="Body"/>
        <w:rPr>
          <w:rFonts w:ascii="Times New Roman" w:hAnsi="Times New Roman" w:cs="Times New Roman"/>
          <w:i/>
          <w:noProof/>
          <w:sz w:val="24"/>
          <w:szCs w:val="24"/>
          <w:lang w:val="en-GB"/>
        </w:rPr>
      </w:pPr>
      <w:r>
        <w:rPr>
          <w:rFonts w:ascii="Times New Roman" w:hAnsi="Times New Roman" w:cs="Times New Roman"/>
          <w:i/>
          <w:noProof/>
          <w:sz w:val="24"/>
          <w:szCs w:val="24"/>
          <w:lang w:val="en-GB"/>
        </w:rPr>
        <w:t>Overview of the Type of Actions Implemented</w:t>
      </w:r>
    </w:p>
    <w:p w:rsidR="00821F17" w:rsidRDefault="006B159E">
      <w:pPr>
        <w:jc w:val="both"/>
        <w:rPr>
          <w:rFonts w:ascii="Times New Roman" w:hAnsi="Times New Roman" w:cs="Times New Roman"/>
          <w:noProof/>
          <w:sz w:val="24"/>
        </w:rPr>
      </w:pPr>
      <w:r>
        <w:rPr>
          <w:rFonts w:ascii="Times New Roman" w:hAnsi="Times New Roman" w:cs="Times New Roman"/>
          <w:noProof/>
          <w:sz w:val="24"/>
        </w:rPr>
        <w:t xml:space="preserve">Under shared management the majority of projects were funded under Priority 1 (2466 projects) and the least number of projects under Priority 4 (44 projects or 9%). Most projects were funded under Specific Objective (b) </w:t>
      </w:r>
      <w:r>
        <w:rPr>
          <w:rFonts w:ascii="Times New Roman" w:hAnsi="Times New Roman" w:cs="Times New Roman"/>
          <w:i/>
          <w:noProof/>
          <w:sz w:val="24"/>
        </w:rPr>
        <w:t>Development and implementation of th</w:t>
      </w:r>
      <w:r>
        <w:rPr>
          <w:rFonts w:ascii="Times New Roman" w:hAnsi="Times New Roman" w:cs="Times New Roman"/>
          <w:i/>
          <w:noProof/>
          <w:sz w:val="24"/>
        </w:rPr>
        <w:t>e integration process of newly-arrived TCNs in MS</w:t>
      </w:r>
      <w:r>
        <w:rPr>
          <w:rFonts w:ascii="Times New Roman" w:hAnsi="Times New Roman" w:cs="Times New Roman"/>
          <w:noProof/>
          <w:sz w:val="24"/>
        </w:rPr>
        <w:t xml:space="preserve"> (1354 projects). The types of actions funded via the EIF varied between the 26 MS, with a strong link between the challenges noted by individual MS in their national programmes and the types of actions ulti</w:t>
      </w:r>
      <w:r>
        <w:rPr>
          <w:rFonts w:ascii="Times New Roman" w:hAnsi="Times New Roman" w:cs="Times New Roman"/>
          <w:noProof/>
          <w:sz w:val="24"/>
        </w:rPr>
        <w:t>mately financed. The most-cited need – highlighted by 22 MS – was for greater civic orientation and provision of information to the host society on TCNs. Improvement of TCN language skills was also a priority, as cited by 20 MS. MS with little or no experi</w:t>
      </w:r>
      <w:r>
        <w:rPr>
          <w:rFonts w:ascii="Times New Roman" w:hAnsi="Times New Roman" w:cs="Times New Roman"/>
          <w:noProof/>
          <w:sz w:val="24"/>
        </w:rPr>
        <w:t>ence in the area of integration of TCNs often implemented projects which aimed to improve the availability of basic information and civic orientation. Those MS with more experience, on the other hand, were more likely than those with less experience to put</w:t>
      </w:r>
      <w:r>
        <w:rPr>
          <w:rFonts w:ascii="Times New Roman" w:hAnsi="Times New Roman" w:cs="Times New Roman"/>
          <w:noProof/>
          <w:sz w:val="24"/>
        </w:rPr>
        <w:t xml:space="preserve"> actions in place which targeted difficulties faced by vulnerable groups.</w:t>
      </w:r>
    </w:p>
    <w:p w:rsidR="00821F17" w:rsidRDefault="006B159E">
      <w:pPr>
        <w:jc w:val="both"/>
        <w:rPr>
          <w:noProof/>
        </w:rPr>
      </w:pPr>
      <w:r>
        <w:rPr>
          <w:rFonts w:ascii="Times New Roman" w:hAnsi="Times New Roman" w:cs="Times New Roman"/>
          <w:noProof/>
          <w:sz w:val="24"/>
        </w:rPr>
        <w:t>Regarding Community Actions, during the period 2007-2010 38, Community Actions were financed, with 10 projects in 2007 and 2010, and 9 projects in 2008 and 2009</w:t>
      </w:r>
      <w:r>
        <w:rPr>
          <w:rFonts w:ascii="Times New Roman" w:hAnsi="Times New Roman" w:cs="Times New Roman"/>
          <w:noProof/>
          <w:sz w:val="24"/>
          <w:szCs w:val="24"/>
        </w:rPr>
        <w:t>. The focus of Communi</w:t>
      </w:r>
      <w:r>
        <w:rPr>
          <w:rFonts w:ascii="Times New Roman" w:hAnsi="Times New Roman" w:cs="Times New Roman"/>
          <w:noProof/>
          <w:sz w:val="24"/>
          <w:szCs w:val="24"/>
        </w:rPr>
        <w:t>ty Actions on priorities changed significantly from one year to the next. In all years, the promotion and development of integration strategies for specific immigrant groups was covered (in total 15 projects). With the exception of 2009, the linkage betwee</w:t>
      </w:r>
      <w:r>
        <w:rPr>
          <w:rFonts w:ascii="Times New Roman" w:hAnsi="Times New Roman" w:cs="Times New Roman"/>
          <w:noProof/>
          <w:sz w:val="24"/>
          <w:szCs w:val="24"/>
        </w:rPr>
        <w:t>n migration/admission and integration procedures was prioritised in all years (in total 9 projects).</w:t>
      </w:r>
    </w:p>
    <w:p w:rsidR="00821F17" w:rsidRDefault="00821F17">
      <w:pPr>
        <w:rPr>
          <w:noProof/>
        </w:rPr>
      </w:pPr>
    </w:p>
    <w:p w:rsidR="00821F17" w:rsidRDefault="006B159E">
      <w:pPr>
        <w:pStyle w:val="Body"/>
        <w:rPr>
          <w:rFonts w:ascii="Times New Roman" w:hAnsi="Times New Roman" w:cs="Times New Roman"/>
          <w:i/>
          <w:noProof/>
          <w:sz w:val="24"/>
          <w:szCs w:val="24"/>
          <w:lang w:val="en-GB"/>
        </w:rPr>
      </w:pPr>
      <w:r>
        <w:rPr>
          <w:rFonts w:ascii="Times New Roman" w:hAnsi="Times New Roman" w:cs="Times New Roman"/>
          <w:i/>
          <w:noProof/>
          <w:sz w:val="24"/>
          <w:szCs w:val="24"/>
          <w:lang w:val="en-GB"/>
        </w:rPr>
        <w:t>Implementation of the EIF</w:t>
      </w:r>
    </w:p>
    <w:p w:rsidR="00821F17" w:rsidRDefault="006B159E">
      <w:pPr>
        <w:jc w:val="both"/>
        <w:rPr>
          <w:rFonts w:ascii="Times New Roman" w:hAnsi="Times New Roman" w:cs="Times New Roman"/>
          <w:noProof/>
          <w:sz w:val="24"/>
          <w:szCs w:val="24"/>
        </w:rPr>
      </w:pPr>
      <w:r>
        <w:rPr>
          <w:rFonts w:ascii="Times New Roman" w:hAnsi="Times New Roman" w:cs="Times New Roman"/>
          <w:noProof/>
          <w:sz w:val="24"/>
          <w:szCs w:val="24"/>
        </w:rPr>
        <w:t>10 MS</w:t>
      </w:r>
      <w:r>
        <w:rPr>
          <w:rStyle w:val="FootnoteReference"/>
          <w:rFonts w:ascii="Times New Roman" w:hAnsi="Times New Roman" w:cs="Times New Roman"/>
          <w:noProof/>
          <w:sz w:val="24"/>
          <w:szCs w:val="24"/>
        </w:rPr>
        <w:footnoteReference w:id="100"/>
      </w:r>
      <w:r>
        <w:rPr>
          <w:rFonts w:ascii="Times New Roman" w:hAnsi="Times New Roman" w:cs="Times New Roman"/>
          <w:noProof/>
          <w:sz w:val="24"/>
          <w:szCs w:val="24"/>
        </w:rPr>
        <w:t xml:space="preserve"> assessed the overall implementation of the EIF positively. This was based primarily on the effective and timely implement</w:t>
      </w:r>
      <w:r>
        <w:rPr>
          <w:rFonts w:ascii="Times New Roman" w:hAnsi="Times New Roman" w:cs="Times New Roman"/>
          <w:noProof/>
          <w:sz w:val="24"/>
          <w:szCs w:val="24"/>
        </w:rPr>
        <w:t>ation of the projects and actions and the successful contribution of the EIF to the integration of TCNs. Cooperation between MS and between national and local authorities, meticulous planning before project implementation and support of beneficiaries by th</w:t>
      </w:r>
      <w:r>
        <w:rPr>
          <w:rFonts w:ascii="Times New Roman" w:hAnsi="Times New Roman" w:cs="Times New Roman"/>
          <w:noProof/>
          <w:sz w:val="24"/>
          <w:szCs w:val="24"/>
        </w:rPr>
        <w:t>e Responsible Authority all contributed to the positive assessment made by these 10 MS. 11 MS</w:t>
      </w:r>
      <w:r>
        <w:rPr>
          <w:rStyle w:val="FootnoteReference"/>
          <w:rFonts w:ascii="Times New Roman" w:hAnsi="Times New Roman" w:cs="Times New Roman"/>
          <w:noProof/>
          <w:sz w:val="24"/>
          <w:szCs w:val="24"/>
        </w:rPr>
        <w:footnoteReference w:id="101"/>
      </w:r>
      <w:r>
        <w:rPr>
          <w:rFonts w:ascii="Times New Roman" w:hAnsi="Times New Roman" w:cs="Times New Roman"/>
          <w:noProof/>
          <w:sz w:val="24"/>
          <w:szCs w:val="24"/>
        </w:rPr>
        <w:t xml:space="preserve"> made a partly positive assessment of the Fund. These MS faced some challenges during implementation, such as lack of experience of those involved</w:t>
      </w:r>
      <w:r>
        <w:rPr>
          <w:rStyle w:val="FootnoteReference"/>
          <w:rFonts w:ascii="Times New Roman" w:hAnsi="Times New Roman" w:cs="Times New Roman"/>
          <w:noProof/>
          <w:sz w:val="24"/>
          <w:szCs w:val="24"/>
        </w:rPr>
        <w:footnoteReference w:id="102"/>
      </w:r>
      <w:r>
        <w:rPr>
          <w:rFonts w:ascii="Times New Roman" w:hAnsi="Times New Roman" w:cs="Times New Roman"/>
          <w:noProof/>
          <w:sz w:val="24"/>
          <w:szCs w:val="24"/>
        </w:rPr>
        <w:t>, underspending</w:t>
      </w:r>
      <w:r>
        <w:rPr>
          <w:rFonts w:ascii="Times New Roman" w:hAnsi="Times New Roman" w:cs="Times New Roman"/>
          <w:noProof/>
          <w:sz w:val="24"/>
          <w:szCs w:val="24"/>
        </w:rPr>
        <w:t xml:space="preserve"> as a result of delays in approval of annual programmes by the Commission</w:t>
      </w:r>
      <w:r>
        <w:rPr>
          <w:rStyle w:val="FootnoteReference"/>
          <w:rFonts w:ascii="Times New Roman" w:hAnsi="Times New Roman" w:cs="Times New Roman"/>
          <w:noProof/>
          <w:sz w:val="24"/>
          <w:szCs w:val="24"/>
        </w:rPr>
        <w:footnoteReference w:id="103"/>
      </w:r>
      <w:r>
        <w:rPr>
          <w:rFonts w:ascii="Times New Roman" w:hAnsi="Times New Roman" w:cs="Times New Roman"/>
          <w:noProof/>
          <w:sz w:val="24"/>
          <w:szCs w:val="24"/>
        </w:rPr>
        <w:t>, a reported high administrative workload</w:t>
      </w:r>
      <w:r>
        <w:rPr>
          <w:rStyle w:val="FootnoteReference"/>
          <w:rFonts w:ascii="Times New Roman" w:hAnsi="Times New Roman" w:cs="Times New Roman"/>
          <w:noProof/>
          <w:sz w:val="24"/>
          <w:szCs w:val="24"/>
        </w:rPr>
        <w:footnoteReference w:id="104"/>
      </w:r>
      <w:r>
        <w:rPr>
          <w:rFonts w:ascii="Times New Roman" w:hAnsi="Times New Roman" w:cs="Times New Roman"/>
          <w:noProof/>
          <w:sz w:val="24"/>
          <w:szCs w:val="24"/>
        </w:rPr>
        <w:t>, and potential overlaps with European Refugee Fund (ERF) target groups</w:t>
      </w:r>
      <w:r>
        <w:rPr>
          <w:rStyle w:val="FootnoteReference"/>
          <w:rFonts w:ascii="Times New Roman" w:hAnsi="Times New Roman" w:cs="Times New Roman"/>
          <w:noProof/>
          <w:sz w:val="24"/>
          <w:szCs w:val="24"/>
        </w:rPr>
        <w:footnoteReference w:id="105"/>
      </w:r>
      <w:r>
        <w:rPr>
          <w:rFonts w:ascii="Times New Roman" w:hAnsi="Times New Roman" w:cs="Times New Roman"/>
          <w:noProof/>
          <w:sz w:val="24"/>
          <w:szCs w:val="24"/>
        </w:rPr>
        <w:t>.</w:t>
      </w:r>
    </w:p>
    <w:p w:rsidR="00821F17" w:rsidRDefault="006B159E">
      <w:pPr>
        <w:jc w:val="both"/>
        <w:rPr>
          <w:rFonts w:ascii="Times New Roman" w:hAnsi="Times New Roman" w:cs="Times New Roman"/>
          <w:noProof/>
          <w:sz w:val="24"/>
        </w:rPr>
      </w:pPr>
      <w:r>
        <w:rPr>
          <w:rFonts w:ascii="Times New Roman" w:hAnsi="Times New Roman" w:cs="Times New Roman"/>
          <w:noProof/>
          <w:sz w:val="24"/>
          <w:szCs w:val="24"/>
        </w:rPr>
        <w:t>5 MS</w:t>
      </w:r>
      <w:r>
        <w:rPr>
          <w:rStyle w:val="FootnoteReference"/>
          <w:rFonts w:ascii="Times New Roman" w:hAnsi="Times New Roman" w:cs="Times New Roman"/>
          <w:noProof/>
          <w:sz w:val="24"/>
          <w:szCs w:val="24"/>
        </w:rPr>
        <w:footnoteReference w:id="106"/>
      </w:r>
      <w:r>
        <w:rPr>
          <w:rFonts w:ascii="Times New Roman" w:hAnsi="Times New Roman" w:cs="Times New Roman"/>
          <w:noProof/>
          <w:sz w:val="24"/>
          <w:szCs w:val="24"/>
        </w:rPr>
        <w:t xml:space="preserve"> reported having encountered considerable difficulties with t</w:t>
      </w:r>
      <w:r>
        <w:rPr>
          <w:rFonts w:ascii="Times New Roman" w:hAnsi="Times New Roman" w:cs="Times New Roman"/>
          <w:noProof/>
          <w:sz w:val="24"/>
          <w:szCs w:val="24"/>
        </w:rPr>
        <w:t xml:space="preserve">he implementation of the EIF, such as delays, and high administrative requirements. It is interesting to note that the implementation of the 2009 annual programme was found to be more successful than the 2007 and 2008 programmes in Cyprus and Hungary, due </w:t>
      </w:r>
      <w:r>
        <w:rPr>
          <w:rFonts w:ascii="Times New Roman" w:hAnsi="Times New Roman" w:cs="Times New Roman"/>
          <w:noProof/>
          <w:sz w:val="24"/>
          <w:szCs w:val="24"/>
        </w:rPr>
        <w:t>to greater experience and more flexible requirements.</w:t>
      </w:r>
      <w:r>
        <w:rPr>
          <w:rFonts w:ascii="Times New Roman" w:hAnsi="Times New Roman" w:cs="Times New Roman"/>
          <w:noProof/>
          <w:sz w:val="24"/>
        </w:rPr>
        <w:t xml:space="preserve"> Indeed, Implementation issues encountered in the first years were largely due to the novelty of the Fund and new eligibility rules at European Commission level, which meant that authorities in Member States were not yet fully acquainted with the fund's ad</w:t>
      </w:r>
      <w:r>
        <w:rPr>
          <w:rFonts w:ascii="Times New Roman" w:hAnsi="Times New Roman" w:cs="Times New Roman"/>
          <w:noProof/>
          <w:sz w:val="24"/>
        </w:rPr>
        <w:t>ministrative requirements and implementation modalities. Although 19 MS</w:t>
      </w:r>
      <w:r>
        <w:rPr>
          <w:rStyle w:val="FootnoteReference"/>
          <w:rFonts w:ascii="Times New Roman" w:hAnsi="Times New Roman" w:cs="Times New Roman"/>
          <w:noProof/>
          <w:sz w:val="24"/>
        </w:rPr>
        <w:footnoteReference w:id="107"/>
      </w:r>
      <w:r>
        <w:rPr>
          <w:rFonts w:ascii="Times New Roman" w:hAnsi="Times New Roman" w:cs="Times New Roman"/>
          <w:noProof/>
          <w:sz w:val="24"/>
        </w:rPr>
        <w:t xml:space="preserve"> considered the fund effective, some recommendations for improvement were suggested, such as reducing the administrative workload, clarifying the definition of the target groups and in</w:t>
      </w:r>
      <w:r>
        <w:rPr>
          <w:rFonts w:ascii="Times New Roman" w:hAnsi="Times New Roman" w:cs="Times New Roman"/>
          <w:noProof/>
          <w:sz w:val="24"/>
        </w:rPr>
        <w:t>creasing knowledge-sharing between MS.</w:t>
      </w:r>
    </w:p>
    <w:p w:rsidR="00821F17" w:rsidRDefault="006B159E">
      <w:pPr>
        <w:jc w:val="both"/>
        <w:rPr>
          <w:rFonts w:ascii="Times New Roman" w:hAnsi="Times New Roman" w:cs="Times New Roman"/>
          <w:noProof/>
          <w:sz w:val="24"/>
          <w:szCs w:val="24"/>
        </w:rPr>
      </w:pPr>
      <w:r>
        <w:rPr>
          <w:rFonts w:ascii="Times New Roman" w:hAnsi="Times New Roman" w:cs="Times New Roman"/>
          <w:noProof/>
          <w:sz w:val="24"/>
          <w:szCs w:val="24"/>
        </w:rPr>
        <w:t>17 MS highlighted areas where there was room for improvement, such as the need to enhance the capacity of the beneficiary (issues in this area possibly caused by a lack of experience), difficulties in accessing the ta</w:t>
      </w:r>
      <w:r>
        <w:rPr>
          <w:rFonts w:ascii="Times New Roman" w:hAnsi="Times New Roman" w:cs="Times New Roman"/>
          <w:noProof/>
          <w:sz w:val="24"/>
          <w:szCs w:val="24"/>
        </w:rPr>
        <w:t>rget group, and challenges faced by the beneficiaries when trying to maintain their own resources after the start of a project, especially during a financial crisis.</w:t>
      </w:r>
    </w:p>
    <w:p w:rsidR="00821F17" w:rsidRDefault="00821F17">
      <w:pPr>
        <w:rPr>
          <w:rFonts w:ascii="Times New Roman" w:hAnsi="Times New Roman" w:cs="Times New Roman"/>
          <w:noProof/>
          <w:sz w:val="24"/>
          <w:szCs w:val="24"/>
        </w:rPr>
      </w:pPr>
    </w:p>
    <w:p w:rsidR="00821F17" w:rsidRDefault="006B159E">
      <w:pPr>
        <w:pStyle w:val="Body"/>
        <w:rPr>
          <w:rFonts w:ascii="Times New Roman" w:hAnsi="Times New Roman" w:cs="Times New Roman"/>
          <w:i/>
          <w:noProof/>
          <w:sz w:val="24"/>
          <w:szCs w:val="24"/>
          <w:lang w:val="en-GB"/>
        </w:rPr>
      </w:pPr>
      <w:r>
        <w:rPr>
          <w:rFonts w:ascii="Times New Roman" w:hAnsi="Times New Roman" w:cs="Times New Roman"/>
          <w:i/>
          <w:noProof/>
          <w:sz w:val="24"/>
          <w:szCs w:val="24"/>
          <w:lang w:val="en-GB"/>
        </w:rPr>
        <w:t>EIF Implementation at Programme Level</w:t>
      </w:r>
    </w:p>
    <w:p w:rsidR="00821F17" w:rsidRDefault="006B159E">
      <w:pPr>
        <w:jc w:val="both"/>
        <w:rPr>
          <w:rFonts w:ascii="Times New Roman" w:hAnsi="Times New Roman" w:cs="Times New Roman"/>
          <w:noProof/>
          <w:sz w:val="24"/>
          <w:szCs w:val="24"/>
        </w:rPr>
      </w:pPr>
      <w:r>
        <w:rPr>
          <w:rFonts w:ascii="Times New Roman" w:hAnsi="Times New Roman" w:cs="Times New Roman"/>
          <w:noProof/>
          <w:sz w:val="24"/>
          <w:szCs w:val="24"/>
        </w:rPr>
        <w:t>Almost all of the MS</w:t>
      </w:r>
      <w:r>
        <w:rPr>
          <w:rStyle w:val="FootnoteReference"/>
          <w:rFonts w:ascii="Times New Roman" w:hAnsi="Times New Roman" w:cs="Times New Roman"/>
          <w:noProof/>
          <w:sz w:val="24"/>
          <w:szCs w:val="24"/>
        </w:rPr>
        <w:footnoteReference w:id="108"/>
      </w:r>
      <w:r>
        <w:rPr>
          <w:rFonts w:ascii="Times New Roman" w:hAnsi="Times New Roman" w:cs="Times New Roman"/>
          <w:noProof/>
          <w:sz w:val="24"/>
          <w:szCs w:val="24"/>
        </w:rPr>
        <w:t xml:space="preserve"> reported that both the 2007 a</w:t>
      </w:r>
      <w:r>
        <w:rPr>
          <w:rFonts w:ascii="Times New Roman" w:hAnsi="Times New Roman" w:cs="Times New Roman"/>
          <w:noProof/>
          <w:sz w:val="24"/>
          <w:szCs w:val="24"/>
        </w:rPr>
        <w:t>nd 2008 annual programmes were fully implemented, although several</w:t>
      </w:r>
      <w:r>
        <w:rPr>
          <w:rStyle w:val="FootnoteReference"/>
          <w:rFonts w:ascii="Times New Roman" w:hAnsi="Times New Roman" w:cs="Times New Roman"/>
          <w:noProof/>
          <w:sz w:val="24"/>
          <w:szCs w:val="24"/>
        </w:rPr>
        <w:footnoteReference w:id="109"/>
      </w:r>
      <w:r>
        <w:rPr>
          <w:rFonts w:ascii="Times New Roman" w:hAnsi="Times New Roman" w:cs="Times New Roman"/>
          <w:noProof/>
          <w:sz w:val="24"/>
          <w:szCs w:val="24"/>
        </w:rPr>
        <w:t xml:space="preserve"> had a budget implementation rate of less than 75%. In a few MS</w:t>
      </w:r>
      <w:r>
        <w:rPr>
          <w:rStyle w:val="FootnoteReference"/>
          <w:rFonts w:ascii="Times New Roman" w:hAnsi="Times New Roman" w:cs="Times New Roman"/>
          <w:noProof/>
          <w:sz w:val="24"/>
          <w:szCs w:val="24"/>
        </w:rPr>
        <w:footnoteReference w:id="110"/>
      </w:r>
      <w:r>
        <w:rPr>
          <w:rFonts w:ascii="Times New Roman" w:hAnsi="Times New Roman" w:cs="Times New Roman"/>
          <w:noProof/>
          <w:sz w:val="24"/>
          <w:szCs w:val="24"/>
        </w:rPr>
        <w:t>, the 2007 and 2008 annual programmes were implemented as planned and on schedule. In several MS</w:t>
      </w:r>
      <w:r>
        <w:rPr>
          <w:rStyle w:val="FootnoteReference"/>
          <w:rFonts w:ascii="Times New Roman" w:hAnsi="Times New Roman" w:cs="Times New Roman"/>
          <w:noProof/>
          <w:sz w:val="24"/>
          <w:szCs w:val="24"/>
        </w:rPr>
        <w:footnoteReference w:id="111"/>
      </w:r>
      <w:r>
        <w:rPr>
          <w:rFonts w:ascii="Times New Roman" w:hAnsi="Times New Roman" w:cs="Times New Roman"/>
          <w:noProof/>
          <w:sz w:val="24"/>
          <w:szCs w:val="24"/>
        </w:rPr>
        <w:t xml:space="preserve"> the implementation of annua</w:t>
      </w:r>
      <w:r>
        <w:rPr>
          <w:rFonts w:ascii="Times New Roman" w:hAnsi="Times New Roman" w:cs="Times New Roman"/>
          <w:noProof/>
          <w:sz w:val="24"/>
          <w:szCs w:val="24"/>
        </w:rPr>
        <w:t>l programmes between 2007 and 2009 was significantly affected by delays and "teething problems", especially in the early stages of implementation. Different reasons for these delays were reported, such as internal relations and procedures within MS (adjust</w:t>
      </w:r>
      <w:r>
        <w:rPr>
          <w:rFonts w:ascii="Times New Roman" w:hAnsi="Times New Roman" w:cs="Times New Roman"/>
          <w:noProof/>
          <w:sz w:val="24"/>
          <w:szCs w:val="24"/>
        </w:rPr>
        <w:t>ment and approval of national regulations and the establishment of internal documents)</w:t>
      </w:r>
      <w:r>
        <w:rPr>
          <w:rStyle w:val="FootnoteReference"/>
          <w:rFonts w:ascii="Times New Roman" w:hAnsi="Times New Roman" w:cs="Times New Roman"/>
          <w:noProof/>
          <w:sz w:val="24"/>
          <w:szCs w:val="24"/>
        </w:rPr>
        <w:footnoteReference w:id="112"/>
      </w:r>
      <w:r>
        <w:rPr>
          <w:rFonts w:ascii="Times New Roman" w:hAnsi="Times New Roman" w:cs="Times New Roman"/>
          <w:noProof/>
          <w:sz w:val="24"/>
          <w:szCs w:val="24"/>
        </w:rPr>
        <w:t>; the need for MS to make more than one call for proposals following a lack of qualified proposals in the first call</w:t>
      </w:r>
      <w:r>
        <w:rPr>
          <w:rStyle w:val="FootnoteReference"/>
          <w:rFonts w:ascii="Times New Roman" w:hAnsi="Times New Roman" w:cs="Times New Roman"/>
          <w:noProof/>
          <w:sz w:val="24"/>
          <w:szCs w:val="24"/>
        </w:rPr>
        <w:footnoteReference w:id="113"/>
      </w:r>
      <w:r>
        <w:rPr>
          <w:rFonts w:ascii="Times New Roman" w:hAnsi="Times New Roman" w:cs="Times New Roman"/>
          <w:noProof/>
          <w:sz w:val="24"/>
          <w:szCs w:val="24"/>
        </w:rPr>
        <w:t xml:space="preserve"> or following programme revisions which changed the </w:t>
      </w:r>
      <w:r>
        <w:rPr>
          <w:rFonts w:ascii="Times New Roman" w:hAnsi="Times New Roman" w:cs="Times New Roman"/>
          <w:noProof/>
          <w:sz w:val="24"/>
          <w:szCs w:val="24"/>
        </w:rPr>
        <w:t>framework of the projects</w:t>
      </w:r>
      <w:r>
        <w:rPr>
          <w:rStyle w:val="FootnoteReference"/>
          <w:rFonts w:ascii="Times New Roman" w:hAnsi="Times New Roman" w:cs="Times New Roman"/>
          <w:noProof/>
          <w:sz w:val="24"/>
          <w:szCs w:val="24"/>
        </w:rPr>
        <w:footnoteReference w:id="114"/>
      </w:r>
      <w:r>
        <w:rPr>
          <w:rFonts w:ascii="Times New Roman" w:hAnsi="Times New Roman" w:cs="Times New Roman"/>
          <w:noProof/>
          <w:sz w:val="24"/>
          <w:szCs w:val="24"/>
        </w:rPr>
        <w:t>; or late approval by the European Commission of multiannual or annual programmes</w:t>
      </w:r>
      <w:r>
        <w:rPr>
          <w:rStyle w:val="FootnoteReference"/>
          <w:rFonts w:ascii="Times New Roman" w:hAnsi="Times New Roman" w:cs="Times New Roman"/>
          <w:noProof/>
          <w:sz w:val="24"/>
          <w:szCs w:val="24"/>
        </w:rPr>
        <w:footnoteReference w:id="115"/>
      </w:r>
      <w:r>
        <w:rPr>
          <w:rFonts w:ascii="Times New Roman" w:hAnsi="Times New Roman" w:cs="Times New Roman"/>
          <w:noProof/>
          <w:sz w:val="24"/>
          <w:szCs w:val="24"/>
        </w:rPr>
        <w:t>. There were additional issues relating to the administration and management of the programmes, mostly due to a lack of sufficient knowledge and exp</w:t>
      </w:r>
      <w:r>
        <w:rPr>
          <w:rFonts w:ascii="Times New Roman" w:hAnsi="Times New Roman" w:cs="Times New Roman"/>
          <w:noProof/>
          <w:sz w:val="24"/>
          <w:szCs w:val="24"/>
        </w:rPr>
        <w:t>erience among Responsible Authorities and beneficiaries</w:t>
      </w:r>
      <w:r>
        <w:rPr>
          <w:rStyle w:val="FootnoteReference"/>
          <w:rFonts w:ascii="Times New Roman" w:hAnsi="Times New Roman" w:cs="Times New Roman"/>
          <w:noProof/>
          <w:sz w:val="24"/>
          <w:szCs w:val="24"/>
        </w:rPr>
        <w:footnoteReference w:id="116"/>
      </w:r>
      <w:r>
        <w:rPr>
          <w:rFonts w:ascii="Times New Roman" w:hAnsi="Times New Roman" w:cs="Times New Roman"/>
          <w:noProof/>
          <w:sz w:val="24"/>
          <w:szCs w:val="24"/>
        </w:rPr>
        <w:t>; a lack of or insufficient number of eligible project proposals</w:t>
      </w:r>
      <w:r>
        <w:rPr>
          <w:rStyle w:val="FootnoteReference"/>
          <w:rFonts w:ascii="Times New Roman" w:hAnsi="Times New Roman" w:cs="Times New Roman"/>
          <w:noProof/>
          <w:sz w:val="24"/>
          <w:szCs w:val="24"/>
        </w:rPr>
        <w:footnoteReference w:id="117"/>
      </w:r>
      <w:r>
        <w:rPr>
          <w:rFonts w:ascii="Times New Roman" w:hAnsi="Times New Roman" w:cs="Times New Roman"/>
          <w:noProof/>
          <w:sz w:val="24"/>
          <w:szCs w:val="24"/>
        </w:rPr>
        <w:t>; and national regulations and policies</w:t>
      </w:r>
      <w:r>
        <w:rPr>
          <w:rStyle w:val="FootnoteReference"/>
          <w:rFonts w:ascii="Times New Roman" w:hAnsi="Times New Roman" w:cs="Times New Roman"/>
          <w:noProof/>
          <w:sz w:val="24"/>
          <w:szCs w:val="24"/>
        </w:rPr>
        <w:footnoteReference w:id="118"/>
      </w:r>
      <w:r>
        <w:rPr>
          <w:rFonts w:ascii="Times New Roman" w:hAnsi="Times New Roman" w:cs="Times New Roman"/>
          <w:noProof/>
          <w:sz w:val="24"/>
          <w:szCs w:val="24"/>
        </w:rPr>
        <w:t>. Many MS were able to deal with the challenges faced, which mitigated any issues arising durin</w:t>
      </w:r>
      <w:r>
        <w:rPr>
          <w:rFonts w:ascii="Times New Roman" w:hAnsi="Times New Roman" w:cs="Times New Roman"/>
          <w:noProof/>
          <w:sz w:val="24"/>
          <w:szCs w:val="24"/>
        </w:rPr>
        <w:t>g the implementation of the 2009 annual programmes. However, in some cases problems worsened and began to have an impact on the projects implemented for 2009.</w:t>
      </w:r>
    </w:p>
    <w:p w:rsidR="00821F17" w:rsidRDefault="006B159E">
      <w:pPr>
        <w:jc w:val="both"/>
        <w:rPr>
          <w:rFonts w:ascii="Times New Roman" w:hAnsi="Times New Roman" w:cs="Times New Roman"/>
          <w:noProof/>
          <w:sz w:val="24"/>
          <w:szCs w:val="24"/>
        </w:rPr>
      </w:pPr>
      <w:r>
        <w:rPr>
          <w:rFonts w:ascii="Times New Roman" w:hAnsi="Times New Roman" w:cs="Times New Roman"/>
          <w:noProof/>
          <w:sz w:val="24"/>
          <w:szCs w:val="24"/>
        </w:rPr>
        <w:t>Some projects under the national programmes exceeded the expected outputs. In Romania, for exampl</w:t>
      </w:r>
      <w:r>
        <w:rPr>
          <w:rFonts w:ascii="Times New Roman" w:hAnsi="Times New Roman" w:cs="Times New Roman"/>
          <w:noProof/>
          <w:sz w:val="24"/>
          <w:szCs w:val="24"/>
        </w:rPr>
        <w:t>e, in addition to the 100 participants expected to take part in language classes, and the 100 participants of cultural orientation, an extra 40 teachers received training in teaching adult TCNs. A project in Lithuania, aimed at raising awareness of integra</w:t>
      </w:r>
      <w:r>
        <w:rPr>
          <w:rFonts w:ascii="Times New Roman" w:hAnsi="Times New Roman" w:cs="Times New Roman"/>
          <w:noProof/>
          <w:sz w:val="24"/>
          <w:szCs w:val="24"/>
        </w:rPr>
        <w:t xml:space="preserve">tion via a television broadcast, was able to reach three million Lithuanians (3204% of the original target), which in turn increased awareness of and active participation in EIF activities. By contrast, the Czech Republic and the Netherlands reported that </w:t>
      </w:r>
      <w:r>
        <w:rPr>
          <w:rFonts w:ascii="Times New Roman" w:hAnsi="Times New Roman" w:cs="Times New Roman"/>
          <w:noProof/>
          <w:sz w:val="24"/>
          <w:szCs w:val="24"/>
        </w:rPr>
        <w:t>they did not expect the aims of the 2007 programmes to be achieved. Slovenia indicated that this would be the case for both the 2007 and 2008 programmes.</w:t>
      </w:r>
    </w:p>
    <w:p w:rsidR="00821F17" w:rsidRDefault="006B159E">
      <w:pPr>
        <w:jc w:val="both"/>
        <w:rPr>
          <w:rFonts w:ascii="Times New Roman" w:hAnsi="Times New Roman" w:cs="Times New Roman"/>
          <w:noProof/>
          <w:sz w:val="24"/>
        </w:rPr>
      </w:pPr>
      <w:r>
        <w:rPr>
          <w:rFonts w:ascii="Times New Roman" w:hAnsi="Times New Roman" w:cs="Times New Roman"/>
          <w:noProof/>
          <w:sz w:val="24"/>
        </w:rPr>
        <w:t>Over 2007-2010, a total of EUR 18.1 million was allocated to Community Actions. In 2007, the average b</w:t>
      </w:r>
      <w:r>
        <w:rPr>
          <w:rFonts w:ascii="Times New Roman" w:hAnsi="Times New Roman" w:cs="Times New Roman"/>
          <w:noProof/>
          <w:sz w:val="24"/>
        </w:rPr>
        <w:t>udget implementation rate amounted to 95% while it decreased in 2008 to 94%, in 2009 to 92% and in 2010 to 90%. Compared to the 2011-2013 funding period, the budget implementation rate of Community Actions was overall higher (92% against 86% in the followi</w:t>
      </w:r>
      <w:r>
        <w:rPr>
          <w:rFonts w:ascii="Times New Roman" w:hAnsi="Times New Roman" w:cs="Times New Roman"/>
          <w:noProof/>
          <w:sz w:val="24"/>
        </w:rPr>
        <w:t>ng period).</w:t>
      </w:r>
    </w:p>
    <w:p w:rsidR="00821F17" w:rsidRDefault="00821F17">
      <w:pPr>
        <w:rPr>
          <w:noProof/>
        </w:rPr>
      </w:pPr>
    </w:p>
    <w:p w:rsidR="00821F17" w:rsidRDefault="006B159E">
      <w:pPr>
        <w:pStyle w:val="Body"/>
        <w:rPr>
          <w:rFonts w:ascii="Times New Roman" w:hAnsi="Times New Roman" w:cs="Times New Roman"/>
          <w:i/>
          <w:noProof/>
          <w:sz w:val="24"/>
          <w:szCs w:val="24"/>
          <w:lang w:val="en-GB"/>
        </w:rPr>
      </w:pPr>
      <w:r>
        <w:rPr>
          <w:rFonts w:ascii="Times New Roman" w:hAnsi="Times New Roman" w:cs="Times New Roman"/>
          <w:i/>
          <w:noProof/>
          <w:sz w:val="24"/>
          <w:szCs w:val="24"/>
          <w:lang w:val="en-GB"/>
        </w:rPr>
        <w:t>EIF Implementation at Project Level</w:t>
      </w:r>
    </w:p>
    <w:p w:rsidR="00821F17" w:rsidRDefault="006B159E">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The majority of projects were implemented under Priority 1, "Implementation of actions designed to put 'Common Basic Principles for Immigrant Integration Policy in the European Union' into practice". Indeed,</w:t>
      </w:r>
      <w:r>
        <w:rPr>
          <w:rFonts w:ascii="Times New Roman" w:hAnsi="Times New Roman" w:cs="Times New Roman"/>
          <w:noProof/>
          <w:sz w:val="24"/>
          <w:szCs w:val="24"/>
        </w:rPr>
        <w:t xml:space="preserve"> these Common Basic Principles were the backbone for integration so that a wide spectrum of projects fell within this Priority. The types of projects carried out under this priority included, for example: language-training for TCNs; dissemination of genera</w:t>
      </w:r>
      <w:r>
        <w:rPr>
          <w:rFonts w:ascii="Times New Roman" w:hAnsi="Times New Roman" w:cs="Times New Roman"/>
          <w:noProof/>
          <w:sz w:val="24"/>
          <w:szCs w:val="24"/>
        </w:rPr>
        <w:t>l and practical information and civic orientation; improvement of tolerance, awareness-raising and intercultural dialogue; capacity-building for the adaptation of public and private services to a multicultural society; the upgrading of reception services;</w:t>
      </w:r>
      <w:r>
        <w:rPr>
          <w:rFonts w:ascii="Verdana,Bold" w:hAnsi="Verdana,Bold" w:cs="Verdana,Bold"/>
          <w:b/>
          <w:bCs/>
          <w:noProof/>
          <w:sz w:val="17"/>
          <w:szCs w:val="17"/>
        </w:rPr>
        <w:t xml:space="preserve"> </w:t>
      </w:r>
      <w:r>
        <w:rPr>
          <w:rFonts w:ascii="Times New Roman" w:hAnsi="Times New Roman" w:cs="Times New Roman"/>
          <w:noProof/>
          <w:sz w:val="24"/>
          <w:szCs w:val="24"/>
        </w:rPr>
        <w:t>preliminary actions to facilitate access to labour market, social counselling, two-way approaches, research on issues of third country nationals, analysis and evaluation of integration measures and processes.</w:t>
      </w:r>
    </w:p>
    <w:p w:rsidR="00821F17" w:rsidRDefault="006B159E">
      <w:pPr>
        <w:jc w:val="both"/>
        <w:rPr>
          <w:rFonts w:ascii="Times New Roman" w:hAnsi="Times New Roman" w:cs="Times New Roman"/>
          <w:noProof/>
          <w:sz w:val="24"/>
          <w:szCs w:val="24"/>
        </w:rPr>
      </w:pPr>
      <w:r>
        <w:rPr>
          <w:rFonts w:ascii="Times New Roman" w:hAnsi="Times New Roman" w:cs="Times New Roman"/>
          <w:noProof/>
          <w:sz w:val="24"/>
          <w:szCs w:val="24"/>
        </w:rPr>
        <w:t xml:space="preserve">Successful projects implemented under Priority </w:t>
      </w:r>
      <w:r>
        <w:rPr>
          <w:rFonts w:ascii="Times New Roman" w:hAnsi="Times New Roman" w:cs="Times New Roman"/>
          <w:noProof/>
          <w:sz w:val="24"/>
          <w:szCs w:val="24"/>
        </w:rPr>
        <w:t>2 include a research project conducted in Poland investigating discrimination against TCNs. This project included a sociological survey involving 360 TCNs and 30 experts on integration and discrimination against foreigners in Poland, participation in the l</w:t>
      </w:r>
      <w:r>
        <w:rPr>
          <w:rFonts w:ascii="Times New Roman" w:hAnsi="Times New Roman" w:cs="Times New Roman"/>
          <w:noProof/>
          <w:sz w:val="24"/>
          <w:szCs w:val="24"/>
        </w:rPr>
        <w:t>egislative process, and the organisation of seminars to disseminate the results of the research carried out. A project carried out in Slovakia focused on integrating TCNs children into the school system, with the provision of new teaching materials and top</w:t>
      </w:r>
      <w:r>
        <w:rPr>
          <w:rFonts w:ascii="Times New Roman" w:hAnsi="Times New Roman" w:cs="Times New Roman"/>
          <w:noProof/>
          <w:sz w:val="24"/>
          <w:szCs w:val="24"/>
        </w:rPr>
        <w:t>ics of particular relevance to these children. A study was undertaken in Lithuania to improve knowledge of the needs of TCNs relating to entry into the labour market; the results of the study were then extensively taken up by social groups and institutions</w:t>
      </w:r>
      <w:r>
        <w:rPr>
          <w:rFonts w:ascii="Times New Roman" w:hAnsi="Times New Roman" w:cs="Times New Roman"/>
          <w:noProof/>
          <w:sz w:val="24"/>
          <w:szCs w:val="24"/>
        </w:rPr>
        <w:t>.</w:t>
      </w:r>
    </w:p>
    <w:p w:rsidR="00821F17" w:rsidRDefault="006B159E">
      <w:pPr>
        <w:jc w:val="both"/>
        <w:rPr>
          <w:rFonts w:ascii="Times New Roman" w:hAnsi="Times New Roman" w:cs="Times New Roman"/>
          <w:noProof/>
          <w:sz w:val="24"/>
          <w:szCs w:val="24"/>
        </w:rPr>
      </w:pPr>
      <w:r>
        <w:rPr>
          <w:rFonts w:ascii="Times New Roman" w:hAnsi="Times New Roman" w:cs="Times New Roman"/>
          <w:noProof/>
          <w:sz w:val="24"/>
          <w:szCs w:val="24"/>
        </w:rPr>
        <w:t>Under Priority 3, a successful project in Austria involved the collection of data on migration and integration. A website was set up to provide information and tools relating to integration of stakeholders, and to facilitate networking. In Cyprus, semina</w:t>
      </w:r>
      <w:r>
        <w:rPr>
          <w:rFonts w:ascii="Times New Roman" w:hAnsi="Times New Roman" w:cs="Times New Roman"/>
          <w:noProof/>
          <w:sz w:val="24"/>
          <w:szCs w:val="24"/>
        </w:rPr>
        <w:t>rs were organised for teachers, which included training on intercultural education and teaching Greek as a foreign language. Teachers responded enthusiastically to these seminars, which provided essential information on the teaching and perception of TCN c</w:t>
      </w:r>
      <w:r>
        <w:rPr>
          <w:rFonts w:ascii="Times New Roman" w:hAnsi="Times New Roman" w:cs="Times New Roman"/>
          <w:noProof/>
          <w:sz w:val="24"/>
          <w:szCs w:val="24"/>
        </w:rPr>
        <w:t>hildren. A successful project in Finland was aimed at raising awareness of the Thai community, which frequently escapes the reach of measures implemented by the authorities; this project was successful in highlighting issues relevant to the TCNs and in pro</w:t>
      </w:r>
      <w:r>
        <w:rPr>
          <w:rFonts w:ascii="Times New Roman" w:hAnsi="Times New Roman" w:cs="Times New Roman"/>
          <w:noProof/>
          <w:sz w:val="24"/>
          <w:szCs w:val="24"/>
        </w:rPr>
        <w:t>moting cooperation between different groups.</w:t>
      </w:r>
    </w:p>
    <w:p w:rsidR="00821F17" w:rsidRDefault="006B159E">
      <w:pPr>
        <w:jc w:val="both"/>
        <w:rPr>
          <w:rFonts w:ascii="Times New Roman" w:hAnsi="Times New Roman" w:cs="Times New Roman"/>
          <w:noProof/>
          <w:sz w:val="24"/>
          <w:szCs w:val="24"/>
        </w:rPr>
      </w:pPr>
      <w:r>
        <w:rPr>
          <w:rFonts w:ascii="Times New Roman" w:hAnsi="Times New Roman" w:cs="Times New Roman"/>
          <w:noProof/>
          <w:sz w:val="24"/>
          <w:szCs w:val="24"/>
        </w:rPr>
        <w:t>For CAs, most Community Action projects carried out in 2007-2010 related to furthering the capacity of Member States’ stakeholders to develop, implement, monitor and evaluate policies and measures for the integr</w:t>
      </w:r>
      <w:r>
        <w:rPr>
          <w:rFonts w:ascii="Times New Roman" w:hAnsi="Times New Roman" w:cs="Times New Roman"/>
          <w:noProof/>
          <w:sz w:val="24"/>
          <w:szCs w:val="24"/>
        </w:rPr>
        <w:t>ation of TCNs. Types of projects carried out related to research activities, preparing, conducting and follow-up of seminars, round-tables, conferences, workshops and training; awareness-raising activities; activities for establishing networks; the develop</w:t>
      </w:r>
      <w:r>
        <w:rPr>
          <w:rFonts w:ascii="Times New Roman" w:hAnsi="Times New Roman" w:cs="Times New Roman"/>
          <w:noProof/>
          <w:sz w:val="24"/>
          <w:szCs w:val="24"/>
        </w:rPr>
        <w:t>ment of tools in the field of integration; and the development of indicators. Most project managers provided positive reports of the outcomes of projects. The success of projects was often linked to the use in the projects of outreach activities or dissemi</w:t>
      </w:r>
      <w:r>
        <w:rPr>
          <w:rFonts w:ascii="Times New Roman" w:hAnsi="Times New Roman" w:cs="Times New Roman"/>
          <w:noProof/>
          <w:sz w:val="24"/>
          <w:szCs w:val="24"/>
        </w:rPr>
        <w:t>nation methods.</w:t>
      </w:r>
    </w:p>
    <w:p w:rsidR="00821F17" w:rsidRDefault="00821F17">
      <w:pPr>
        <w:ind w:firstLine="720"/>
        <w:jc w:val="both"/>
        <w:rPr>
          <w:rFonts w:ascii="Times New Roman" w:hAnsi="Times New Roman" w:cs="Times New Roman"/>
          <w:noProof/>
          <w:sz w:val="24"/>
          <w:szCs w:val="24"/>
        </w:rPr>
      </w:pPr>
    </w:p>
    <w:p w:rsidR="00821F17" w:rsidRDefault="006B159E">
      <w:pPr>
        <w:pStyle w:val="Body"/>
        <w:rPr>
          <w:rFonts w:ascii="Times New Roman" w:hAnsi="Times New Roman" w:cs="Times New Roman"/>
          <w:b/>
          <w:noProof/>
          <w:sz w:val="24"/>
          <w:szCs w:val="24"/>
          <w:lang w:val="en-GB"/>
        </w:rPr>
      </w:pPr>
      <w:r>
        <w:rPr>
          <w:rFonts w:ascii="Times New Roman" w:hAnsi="Times New Roman" w:cs="Times New Roman"/>
          <w:b/>
          <w:noProof/>
          <w:sz w:val="24"/>
          <w:szCs w:val="24"/>
          <w:lang w:val="en-GB"/>
        </w:rPr>
        <w:t>3. Relevance</w:t>
      </w:r>
    </w:p>
    <w:p w:rsidR="00821F17" w:rsidRDefault="006B159E">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All MS except the Netherlands and Poland found that the EIF's programme priorities and actions were relevant to national needs and aims in this area, with particular relevance in some of the new MS</w:t>
      </w:r>
      <w:r>
        <w:rPr>
          <w:rStyle w:val="FootnoteReference"/>
          <w:rFonts w:ascii="Times New Roman" w:hAnsi="Times New Roman" w:cs="Times New Roman"/>
          <w:noProof/>
          <w:sz w:val="24"/>
          <w:szCs w:val="24"/>
        </w:rPr>
        <w:footnoteReference w:id="119"/>
      </w:r>
      <w:r>
        <w:rPr>
          <w:rFonts w:ascii="Times New Roman" w:hAnsi="Times New Roman" w:cs="Times New Roman"/>
          <w:noProof/>
          <w:sz w:val="24"/>
          <w:szCs w:val="24"/>
        </w:rPr>
        <w:t xml:space="preserve"> with increasing numbers of </w:t>
      </w:r>
      <w:r>
        <w:rPr>
          <w:rFonts w:ascii="Times New Roman" w:hAnsi="Times New Roman" w:cs="Times New Roman"/>
          <w:noProof/>
          <w:sz w:val="24"/>
          <w:szCs w:val="24"/>
        </w:rPr>
        <w:t>migrants from third countries.</w:t>
      </w:r>
    </w:p>
    <w:p w:rsidR="00821F17" w:rsidRDefault="006B159E">
      <w:pPr>
        <w:autoSpaceDE w:val="0"/>
        <w:autoSpaceDN w:val="0"/>
        <w:adjustRightInd w:val="0"/>
        <w:jc w:val="both"/>
        <w:rPr>
          <w:rFonts w:ascii="Times New Roman" w:hAnsi="Times New Roman" w:cs="Times New Roman"/>
          <w:b/>
          <w:bCs/>
          <w:noProof/>
          <w:sz w:val="24"/>
          <w:szCs w:val="24"/>
        </w:rPr>
      </w:pPr>
      <w:r>
        <w:rPr>
          <w:rFonts w:ascii="Times New Roman" w:hAnsi="Times New Roman" w:cs="Times New Roman"/>
          <w:noProof/>
          <w:sz w:val="24"/>
          <w:szCs w:val="24"/>
        </w:rPr>
        <w:t>In the Netherlands and Poland, programme priorities and actions were considered irrelevant to the national situation. In the Netherlands, the EIF budget represented a relatively small proportion compared to the national budge</w:t>
      </w:r>
      <w:r>
        <w:rPr>
          <w:rFonts w:ascii="Times New Roman" w:hAnsi="Times New Roman" w:cs="Times New Roman"/>
          <w:noProof/>
          <w:sz w:val="24"/>
          <w:szCs w:val="24"/>
        </w:rPr>
        <w:t>d for integration; thus, it did not add a real value to national strategies. In Poland, it was observed during implementation that a wider range of actions would bring added value to national strategies. Hence, actions had to be reshaped and merged in orde</w:t>
      </w:r>
      <w:r>
        <w:rPr>
          <w:rFonts w:ascii="Times New Roman" w:hAnsi="Times New Roman" w:cs="Times New Roman"/>
          <w:noProof/>
          <w:sz w:val="24"/>
          <w:szCs w:val="24"/>
        </w:rPr>
        <w:t>r to address domestic needs. In addition 5 MS</w:t>
      </w:r>
      <w:r>
        <w:rPr>
          <w:rStyle w:val="FootnoteReference"/>
          <w:rFonts w:ascii="Times New Roman" w:hAnsi="Times New Roman" w:cs="Times New Roman"/>
          <w:noProof/>
          <w:sz w:val="24"/>
          <w:szCs w:val="24"/>
        </w:rPr>
        <w:footnoteReference w:id="120"/>
      </w:r>
      <w:r>
        <w:rPr>
          <w:rFonts w:ascii="Times New Roman" w:hAnsi="Times New Roman" w:cs="Times New Roman"/>
          <w:noProof/>
          <w:sz w:val="24"/>
          <w:szCs w:val="24"/>
        </w:rPr>
        <w:t xml:space="preserve"> highlighted problems relating to the definition of the target group. Migrants who did not correspond to the legal definition of TCNs</w:t>
      </w:r>
      <w:r>
        <w:rPr>
          <w:rStyle w:val="FootnoteReference"/>
          <w:rFonts w:ascii="Times New Roman" w:hAnsi="Times New Roman" w:cs="Times New Roman"/>
          <w:noProof/>
          <w:sz w:val="24"/>
          <w:szCs w:val="24"/>
        </w:rPr>
        <w:footnoteReference w:id="121"/>
      </w:r>
      <w:r>
        <w:rPr>
          <w:rFonts w:ascii="Times New Roman" w:hAnsi="Times New Roman" w:cs="Times New Roman"/>
          <w:noProof/>
          <w:sz w:val="24"/>
          <w:szCs w:val="24"/>
        </w:rPr>
        <w:t xml:space="preserve"> were not eligible for funding, and the interpretation of 'newly-arrived' cr</w:t>
      </w:r>
      <w:r>
        <w:rPr>
          <w:rFonts w:ascii="Times New Roman" w:hAnsi="Times New Roman" w:cs="Times New Roman"/>
          <w:noProof/>
          <w:sz w:val="24"/>
          <w:szCs w:val="24"/>
        </w:rPr>
        <w:t>eated problems for beneficiaries. There were also some issues regarding the EIF's relevance, specifically a lack of interest among some stakeholders and target groups, which was highlighted by 9 of 26 MS</w:t>
      </w:r>
      <w:r>
        <w:rPr>
          <w:rStyle w:val="FootnoteReference"/>
          <w:rFonts w:ascii="Times New Roman" w:hAnsi="Times New Roman" w:cs="Times New Roman"/>
          <w:noProof/>
          <w:sz w:val="24"/>
          <w:szCs w:val="24"/>
        </w:rPr>
        <w:footnoteReference w:id="122"/>
      </w:r>
      <w:r>
        <w:rPr>
          <w:rFonts w:ascii="Times New Roman" w:hAnsi="Times New Roman" w:cs="Times New Roman"/>
          <w:noProof/>
          <w:sz w:val="24"/>
          <w:szCs w:val="24"/>
        </w:rPr>
        <w:t xml:space="preserve">, although reasons for this lack of engagement were </w:t>
      </w:r>
      <w:r>
        <w:rPr>
          <w:rFonts w:ascii="Times New Roman" w:hAnsi="Times New Roman" w:cs="Times New Roman"/>
          <w:noProof/>
          <w:sz w:val="24"/>
          <w:szCs w:val="24"/>
        </w:rPr>
        <w:t>not generally expanded upon by respondents.</w:t>
      </w:r>
    </w:p>
    <w:p w:rsidR="00821F17" w:rsidRDefault="006B159E">
      <w:pPr>
        <w:jc w:val="both"/>
        <w:rPr>
          <w:rFonts w:ascii="Times New Roman" w:hAnsi="Times New Roman" w:cs="Times New Roman"/>
          <w:noProof/>
          <w:sz w:val="24"/>
          <w:szCs w:val="24"/>
        </w:rPr>
      </w:pPr>
      <w:r>
        <w:rPr>
          <w:rFonts w:ascii="Times New Roman" w:hAnsi="Times New Roman" w:cs="Times New Roman"/>
          <w:noProof/>
          <w:sz w:val="24"/>
          <w:szCs w:val="24"/>
        </w:rPr>
        <w:t>Regarding Community Actions implemented during the evaluation period, all project managers surveyed reported that their projects responded well to the needs of the Member State in question, and were able to adapt</w:t>
      </w:r>
      <w:r>
        <w:rPr>
          <w:rFonts w:ascii="Times New Roman" w:hAnsi="Times New Roman" w:cs="Times New Roman"/>
          <w:noProof/>
          <w:sz w:val="24"/>
          <w:szCs w:val="24"/>
        </w:rPr>
        <w:t xml:space="preserve"> to shifting demands. 15 out of 20 respondents, however, reported that projects could adapt to at least some extent to changing needs between 2007 and 2010. DG HOME representatives also felt that the EIF had generally targeted all integration needs. It sho</w:t>
      </w:r>
      <w:r>
        <w:rPr>
          <w:rFonts w:ascii="Times New Roman" w:hAnsi="Times New Roman" w:cs="Times New Roman"/>
          <w:noProof/>
          <w:sz w:val="24"/>
          <w:szCs w:val="24"/>
        </w:rPr>
        <w:t xml:space="preserve">uld be noted, however, that as none of the Responsible Authorities interviewed were well acquainted with </w:t>
      </w:r>
      <w:r>
        <w:rPr>
          <w:rFonts w:ascii="Times New Roman" w:hAnsi="Times New Roman"/>
          <w:noProof/>
          <w:sz w:val="24"/>
        </w:rPr>
        <w:t>Community Action</w:t>
      </w:r>
      <w:r>
        <w:rPr>
          <w:rFonts w:ascii="Times New Roman" w:hAnsi="Times New Roman" w:cs="Times New Roman"/>
          <w:noProof/>
          <w:sz w:val="24"/>
          <w:szCs w:val="24"/>
        </w:rPr>
        <w:t xml:space="preserve"> projects, it is difficult to assess their relevance to national needs.</w:t>
      </w:r>
    </w:p>
    <w:p w:rsidR="00821F17" w:rsidRDefault="00821F17">
      <w:pPr>
        <w:ind w:firstLine="720"/>
        <w:jc w:val="both"/>
        <w:rPr>
          <w:rFonts w:ascii="Times New Roman" w:hAnsi="Times New Roman" w:cs="Times New Roman"/>
          <w:noProof/>
          <w:sz w:val="24"/>
          <w:szCs w:val="24"/>
        </w:rPr>
      </w:pPr>
    </w:p>
    <w:p w:rsidR="00821F17" w:rsidRDefault="006B159E">
      <w:pPr>
        <w:pStyle w:val="Body"/>
        <w:rPr>
          <w:rFonts w:ascii="Times New Roman" w:hAnsi="Times New Roman" w:cs="Times New Roman"/>
          <w:b/>
          <w:noProof/>
          <w:sz w:val="24"/>
          <w:szCs w:val="24"/>
          <w:lang w:val="en-GB"/>
        </w:rPr>
      </w:pPr>
      <w:r>
        <w:rPr>
          <w:rFonts w:ascii="Times New Roman" w:hAnsi="Times New Roman" w:cs="Times New Roman"/>
          <w:b/>
          <w:noProof/>
          <w:sz w:val="24"/>
          <w:szCs w:val="24"/>
          <w:lang w:val="en-GB"/>
        </w:rPr>
        <w:t>4. Effectiveness</w:t>
      </w:r>
    </w:p>
    <w:p w:rsidR="00821F17" w:rsidRDefault="006B159E">
      <w:pPr>
        <w:jc w:val="both"/>
        <w:rPr>
          <w:rFonts w:ascii="Times New Roman" w:hAnsi="Times New Roman" w:cs="Times New Roman"/>
          <w:noProof/>
          <w:sz w:val="24"/>
          <w:szCs w:val="24"/>
        </w:rPr>
      </w:pPr>
      <w:r>
        <w:rPr>
          <w:rFonts w:ascii="Times New Roman" w:hAnsi="Times New Roman" w:cs="Times New Roman"/>
          <w:noProof/>
          <w:sz w:val="24"/>
          <w:szCs w:val="24"/>
        </w:rPr>
        <w:t>19 MS reported that the EIF was effective due</w:t>
      </w:r>
      <w:r>
        <w:rPr>
          <w:rFonts w:ascii="Times New Roman" w:hAnsi="Times New Roman" w:cs="Times New Roman"/>
          <w:noProof/>
          <w:sz w:val="24"/>
          <w:szCs w:val="24"/>
        </w:rPr>
        <w:t xml:space="preserve"> to successful project implementation and results which were in correspondence with the objectives. 7 MS</w:t>
      </w:r>
      <w:r>
        <w:rPr>
          <w:rStyle w:val="FootnoteReference"/>
          <w:rFonts w:ascii="Times New Roman" w:hAnsi="Times New Roman" w:cs="Times New Roman"/>
          <w:noProof/>
          <w:sz w:val="24"/>
          <w:szCs w:val="24"/>
        </w:rPr>
        <w:footnoteReference w:id="123"/>
      </w:r>
      <w:r>
        <w:rPr>
          <w:rFonts w:ascii="Times New Roman" w:hAnsi="Times New Roman" w:cs="Times New Roman"/>
          <w:noProof/>
          <w:sz w:val="24"/>
          <w:szCs w:val="24"/>
        </w:rPr>
        <w:t xml:space="preserve"> felt it was too early to provide a useful evaluation of the effectiveness of the programme. 12 MS</w:t>
      </w:r>
      <w:r>
        <w:rPr>
          <w:rStyle w:val="FootnoteReference"/>
          <w:rFonts w:ascii="Times New Roman" w:hAnsi="Times New Roman" w:cs="Times New Roman"/>
          <w:noProof/>
          <w:sz w:val="24"/>
          <w:szCs w:val="24"/>
        </w:rPr>
        <w:footnoteReference w:id="124"/>
      </w:r>
      <w:r>
        <w:rPr>
          <w:rFonts w:ascii="Times New Roman" w:hAnsi="Times New Roman" w:cs="Times New Roman"/>
          <w:noProof/>
          <w:sz w:val="24"/>
          <w:szCs w:val="24"/>
        </w:rPr>
        <w:t xml:space="preserve"> highlighted several significant outputs, including </w:t>
      </w:r>
    </w:p>
    <w:p w:rsidR="00821F17" w:rsidRDefault="006B159E">
      <w:pPr>
        <w:pStyle w:val="ListParagraph"/>
        <w:numPr>
          <w:ilvl w:val="0"/>
          <w:numId w:val="20"/>
        </w:numPr>
        <w:autoSpaceDE w:val="0"/>
        <w:autoSpaceDN w:val="0"/>
        <w:adjustRightInd w:val="0"/>
        <w:spacing w:line="240" w:lineRule="auto"/>
        <w:jc w:val="both"/>
        <w:rPr>
          <w:rFonts w:ascii="Times New Roman" w:hAnsi="Times New Roman"/>
          <w:noProof/>
          <w:sz w:val="24"/>
        </w:rPr>
      </w:pPr>
      <w:r>
        <w:rPr>
          <w:rFonts w:ascii="Times New Roman" w:hAnsi="Times New Roman"/>
          <w:noProof/>
          <w:sz w:val="24"/>
        </w:rPr>
        <w:t>Cultural events and language courses for migrants, information campaigns and services for third-country nationals, and two-way dialogues between nationals of the Member State and third country nationals in order to facilitate integration and increase awar</w:t>
      </w:r>
      <w:r>
        <w:rPr>
          <w:rFonts w:ascii="Times New Roman" w:hAnsi="Times New Roman"/>
          <w:noProof/>
          <w:sz w:val="24"/>
        </w:rPr>
        <w:t>eness</w:t>
      </w:r>
    </w:p>
    <w:p w:rsidR="00821F17" w:rsidRDefault="006B159E">
      <w:pPr>
        <w:pStyle w:val="ListParagraph"/>
        <w:numPr>
          <w:ilvl w:val="0"/>
          <w:numId w:val="20"/>
        </w:numPr>
        <w:autoSpaceDE w:val="0"/>
        <w:autoSpaceDN w:val="0"/>
        <w:adjustRightInd w:val="0"/>
        <w:spacing w:line="240" w:lineRule="auto"/>
        <w:jc w:val="both"/>
        <w:rPr>
          <w:rFonts w:ascii="Times New Roman" w:hAnsi="Times New Roman"/>
          <w:noProof/>
          <w:sz w:val="24"/>
        </w:rPr>
      </w:pPr>
      <w:r>
        <w:rPr>
          <w:rFonts w:ascii="Times New Roman" w:hAnsi="Times New Roman"/>
          <w:noProof/>
          <w:sz w:val="24"/>
        </w:rPr>
        <w:t>Trainings and conferences, as well as cooperation of national and local authorities, in order to develop the skills of experts working in the field of integration and to exchange best practices</w:t>
      </w:r>
    </w:p>
    <w:p w:rsidR="00821F17" w:rsidRDefault="006B159E">
      <w:pPr>
        <w:pStyle w:val="ListParagraph"/>
        <w:numPr>
          <w:ilvl w:val="0"/>
          <w:numId w:val="20"/>
        </w:numPr>
        <w:autoSpaceDE w:val="0"/>
        <w:autoSpaceDN w:val="0"/>
        <w:adjustRightInd w:val="0"/>
        <w:spacing w:line="240" w:lineRule="auto"/>
        <w:jc w:val="both"/>
        <w:rPr>
          <w:rFonts w:ascii="Times New Roman" w:hAnsi="Times New Roman"/>
          <w:noProof/>
          <w:sz w:val="24"/>
        </w:rPr>
      </w:pPr>
      <w:r>
        <w:rPr>
          <w:rFonts w:ascii="Times New Roman" w:hAnsi="Times New Roman"/>
          <w:noProof/>
          <w:sz w:val="24"/>
        </w:rPr>
        <w:t>Research projects, attitude surveys, and evaluation of s</w:t>
      </w:r>
      <w:r>
        <w:rPr>
          <w:rFonts w:ascii="Times New Roman" w:hAnsi="Times New Roman"/>
          <w:noProof/>
          <w:sz w:val="24"/>
        </w:rPr>
        <w:t>ervices involved in integration.</w:t>
      </w:r>
    </w:p>
    <w:p w:rsidR="00821F17" w:rsidRDefault="00821F17">
      <w:pPr>
        <w:autoSpaceDE w:val="0"/>
        <w:autoSpaceDN w:val="0"/>
        <w:adjustRightInd w:val="0"/>
        <w:spacing w:after="0" w:line="240" w:lineRule="auto"/>
        <w:rPr>
          <w:rFonts w:ascii="Verdana" w:hAnsi="Verdana"/>
          <w:noProof/>
          <w:sz w:val="17"/>
        </w:rPr>
      </w:pPr>
    </w:p>
    <w:p w:rsidR="00821F17" w:rsidRDefault="006B159E">
      <w:pPr>
        <w:jc w:val="both"/>
        <w:rPr>
          <w:rFonts w:ascii="Times New Roman" w:hAnsi="Times New Roman" w:cs="Times New Roman"/>
          <w:noProof/>
          <w:sz w:val="24"/>
          <w:szCs w:val="24"/>
        </w:rPr>
      </w:pPr>
      <w:r>
        <w:rPr>
          <w:rFonts w:ascii="Times New Roman" w:hAnsi="Times New Roman" w:cs="Times New Roman"/>
          <w:noProof/>
          <w:sz w:val="24"/>
          <w:szCs w:val="24"/>
        </w:rPr>
        <w:t xml:space="preserve">For the Community actions implemented during the 2007-2010 evaluation period, 8 out of 20 project managers interviewed reported that their projects helped set the integration process in motion without any issues. The </w:t>
      </w:r>
      <w:r>
        <w:rPr>
          <w:rFonts w:ascii="Times New Roman" w:hAnsi="Times New Roman" w:cs="Times New Roman"/>
          <w:noProof/>
          <w:sz w:val="24"/>
          <w:szCs w:val="24"/>
        </w:rPr>
        <w:t>Community Actions implemented during this period brought about some important developments, particularly as regards</w:t>
      </w:r>
      <w:r>
        <w:rPr>
          <w:rFonts w:ascii="Times New Roman" w:hAnsi="Times New Roman" w:cs="Times New Roman"/>
          <w:noProof/>
          <w:color w:val="FF0000"/>
          <w:sz w:val="24"/>
          <w:szCs w:val="24"/>
        </w:rPr>
        <w:t xml:space="preserve"> </w:t>
      </w:r>
      <w:r>
        <w:rPr>
          <w:rFonts w:ascii="Times New Roman" w:hAnsi="Times New Roman" w:cs="Times New Roman"/>
          <w:noProof/>
          <w:sz w:val="24"/>
          <w:szCs w:val="24"/>
        </w:rPr>
        <w:t>improving knowledge and application of admissions procedures. Project managers also indicated that Community Actions improved the ability of</w:t>
      </w:r>
      <w:r>
        <w:rPr>
          <w:rFonts w:ascii="Times New Roman" w:hAnsi="Times New Roman" w:cs="Times New Roman"/>
          <w:noProof/>
          <w:sz w:val="24"/>
          <w:szCs w:val="24"/>
        </w:rPr>
        <w:t xml:space="preserve"> MS to develop, implement, monitor and evaluate measures relating to the integration of TCNs.</w:t>
      </w:r>
    </w:p>
    <w:p w:rsidR="00821F17" w:rsidRDefault="006B159E">
      <w:pPr>
        <w:jc w:val="both"/>
        <w:rPr>
          <w:rFonts w:ascii="Times New Roman" w:hAnsi="Times New Roman" w:cs="Times New Roman"/>
          <w:noProof/>
          <w:sz w:val="24"/>
          <w:szCs w:val="24"/>
        </w:rPr>
      </w:pPr>
      <w:r>
        <w:rPr>
          <w:rFonts w:ascii="Times New Roman" w:hAnsi="Times New Roman" w:cs="Times New Roman"/>
          <w:noProof/>
          <w:sz w:val="24"/>
          <w:szCs w:val="24"/>
        </w:rPr>
        <w:t>Feedback from project managers on the impact of the projects implemented was generally positive. They found the majority of projects to have improved the capabili</w:t>
      </w:r>
      <w:r>
        <w:rPr>
          <w:rFonts w:ascii="Times New Roman" w:hAnsi="Times New Roman" w:cs="Times New Roman"/>
          <w:noProof/>
          <w:sz w:val="24"/>
          <w:szCs w:val="24"/>
        </w:rPr>
        <w:t>ties of MS in the area of integration to at least some extent; only a small number of project managers considered there to have been a limited contribution or no contribution at all. Although there is evidence that most of the Community Actions contributed</w:t>
      </w:r>
      <w:r>
        <w:rPr>
          <w:rFonts w:ascii="Times New Roman" w:hAnsi="Times New Roman" w:cs="Times New Roman"/>
          <w:noProof/>
          <w:sz w:val="24"/>
          <w:szCs w:val="24"/>
        </w:rPr>
        <w:t xml:space="preserve"> to the integration of TCNs and to the improvement of integration procedures, they did not always address national needs in the individual MS, and so it was not always possible to use their results for the development or implementation of national integrat</w:t>
      </w:r>
      <w:r>
        <w:rPr>
          <w:rFonts w:ascii="Times New Roman" w:hAnsi="Times New Roman" w:cs="Times New Roman"/>
          <w:noProof/>
          <w:sz w:val="24"/>
          <w:szCs w:val="24"/>
        </w:rPr>
        <w:t>ion policies. Policy makers at a national level were often unaware of Community Action projects - an issue highlighted by project managers when reporting on the limitations of Community Actions.</w:t>
      </w:r>
    </w:p>
    <w:p w:rsidR="00821F17" w:rsidRDefault="006B159E">
      <w:pPr>
        <w:jc w:val="both"/>
        <w:rPr>
          <w:rFonts w:ascii="Times New Roman" w:hAnsi="Times New Roman" w:cs="Times New Roman"/>
          <w:noProof/>
          <w:sz w:val="24"/>
          <w:szCs w:val="24"/>
        </w:rPr>
      </w:pPr>
      <w:r>
        <w:rPr>
          <w:rFonts w:ascii="Times New Roman" w:hAnsi="Times New Roman" w:cs="Times New Roman"/>
          <w:noProof/>
          <w:sz w:val="24"/>
          <w:szCs w:val="24"/>
        </w:rPr>
        <w:t>The evaluation indicated that the success of a project was di</w:t>
      </w:r>
      <w:r>
        <w:rPr>
          <w:rFonts w:ascii="Times New Roman" w:hAnsi="Times New Roman" w:cs="Times New Roman"/>
          <w:noProof/>
          <w:sz w:val="24"/>
          <w:szCs w:val="24"/>
        </w:rPr>
        <w:t>rectly attributable to the methods of dissemination employed, which included conferences, seminars and workshops. Project managers indicated that the impact of Community Actions could have been greater if there had been a standardised method of disseminati</w:t>
      </w:r>
      <w:r>
        <w:rPr>
          <w:rFonts w:ascii="Times New Roman" w:hAnsi="Times New Roman" w:cs="Times New Roman"/>
          <w:noProof/>
          <w:sz w:val="24"/>
          <w:szCs w:val="24"/>
        </w:rPr>
        <w:t>ng project results at EU level. Projects were able to raise awareness of issues relating to migration and integration, but it proved to be more difficult to achieve concrete political changes, such as improving political representation.</w:t>
      </w:r>
    </w:p>
    <w:p w:rsidR="00821F17" w:rsidRDefault="00821F17">
      <w:pPr>
        <w:jc w:val="both"/>
        <w:rPr>
          <w:rFonts w:ascii="Times New Roman" w:hAnsi="Times New Roman" w:cs="Times New Roman"/>
          <w:noProof/>
          <w:sz w:val="24"/>
          <w:szCs w:val="24"/>
        </w:rPr>
      </w:pPr>
    </w:p>
    <w:p w:rsidR="00821F17" w:rsidRDefault="006B159E">
      <w:pPr>
        <w:pStyle w:val="Body"/>
        <w:rPr>
          <w:rFonts w:ascii="Times New Roman" w:hAnsi="Times New Roman" w:cs="Times New Roman"/>
          <w:b/>
          <w:noProof/>
          <w:sz w:val="24"/>
          <w:szCs w:val="24"/>
          <w:lang w:val="en-GB"/>
        </w:rPr>
      </w:pPr>
      <w:r>
        <w:rPr>
          <w:rFonts w:ascii="Times New Roman" w:hAnsi="Times New Roman" w:cs="Times New Roman"/>
          <w:b/>
          <w:noProof/>
          <w:sz w:val="24"/>
          <w:szCs w:val="24"/>
          <w:lang w:val="en-GB"/>
        </w:rPr>
        <w:t>5. Efficiency</w:t>
      </w:r>
    </w:p>
    <w:p w:rsidR="00821F17" w:rsidRDefault="006B159E">
      <w:pPr>
        <w:jc w:val="both"/>
        <w:rPr>
          <w:rFonts w:ascii="Times New Roman" w:hAnsi="Times New Roman" w:cs="Times New Roman"/>
          <w:noProof/>
          <w:sz w:val="24"/>
          <w:szCs w:val="24"/>
        </w:rPr>
      </w:pPr>
      <w:r>
        <w:rPr>
          <w:rFonts w:ascii="Times New Roman" w:hAnsi="Times New Roman" w:cs="Times New Roman"/>
          <w:noProof/>
          <w:sz w:val="24"/>
          <w:szCs w:val="24"/>
        </w:rPr>
        <w:t>14 M</w:t>
      </w:r>
      <w:r>
        <w:rPr>
          <w:rFonts w:ascii="Times New Roman" w:hAnsi="Times New Roman" w:cs="Times New Roman"/>
          <w:noProof/>
          <w:sz w:val="24"/>
          <w:szCs w:val="24"/>
        </w:rPr>
        <w:t>S</w:t>
      </w:r>
      <w:r>
        <w:rPr>
          <w:rStyle w:val="FootnoteReference"/>
          <w:rFonts w:ascii="Times New Roman" w:hAnsi="Times New Roman" w:cs="Times New Roman"/>
          <w:noProof/>
          <w:sz w:val="24"/>
          <w:szCs w:val="24"/>
        </w:rPr>
        <w:footnoteReference w:id="125"/>
      </w:r>
      <w:r>
        <w:rPr>
          <w:rFonts w:ascii="Times New Roman" w:hAnsi="Times New Roman" w:cs="Times New Roman"/>
          <w:noProof/>
          <w:sz w:val="24"/>
          <w:szCs w:val="24"/>
        </w:rPr>
        <w:t xml:space="preserve"> found the efficiency of the EIF to be satisfactory and the projects to have been implemented at a reasonable cost. A lack of quantitative data for the fund's efficiency makes assessment difficult, however.</w:t>
      </w:r>
    </w:p>
    <w:p w:rsidR="00821F17" w:rsidRDefault="006B159E">
      <w:pPr>
        <w:jc w:val="both"/>
        <w:rPr>
          <w:rFonts w:ascii="Times New Roman" w:hAnsi="Times New Roman" w:cs="Times New Roman"/>
          <w:noProof/>
          <w:sz w:val="24"/>
          <w:szCs w:val="24"/>
        </w:rPr>
      </w:pPr>
      <w:r>
        <w:rPr>
          <w:rFonts w:ascii="Times New Roman" w:hAnsi="Times New Roman" w:cs="Times New Roman"/>
          <w:noProof/>
          <w:sz w:val="24"/>
          <w:szCs w:val="24"/>
        </w:rPr>
        <w:t>Finland, Malta and Portugal considered the prog</w:t>
      </w:r>
      <w:r>
        <w:rPr>
          <w:rFonts w:ascii="Times New Roman" w:hAnsi="Times New Roman" w:cs="Times New Roman"/>
          <w:noProof/>
          <w:sz w:val="24"/>
          <w:szCs w:val="24"/>
        </w:rPr>
        <w:t xml:space="preserve">ramme's efficiency to be partly satisfactory as the EIF budget was felt to be too limited or the Member State was faced with other challenges during implementation. Belgium, Cyprus, Estonia, Italy and Sweden, found the efficiency of the EIF unsatisfactory </w:t>
      </w:r>
      <w:r>
        <w:rPr>
          <w:rFonts w:ascii="Times New Roman" w:hAnsi="Times New Roman" w:cs="Times New Roman"/>
          <w:noProof/>
          <w:sz w:val="24"/>
          <w:szCs w:val="24"/>
        </w:rPr>
        <w:t>as administration and management of the projects required more personnel and financial means than expected. Austria and Germany reported that it was difficult to assess the programme's efficiency and Ireland and the Netherlands did not provide any informat</w:t>
      </w:r>
      <w:r>
        <w:rPr>
          <w:rFonts w:ascii="Times New Roman" w:hAnsi="Times New Roman" w:cs="Times New Roman"/>
          <w:noProof/>
          <w:sz w:val="24"/>
          <w:szCs w:val="24"/>
        </w:rPr>
        <w:t>ion on this issue.</w:t>
      </w:r>
    </w:p>
    <w:p w:rsidR="00821F17" w:rsidRDefault="006B159E">
      <w:pPr>
        <w:jc w:val="both"/>
        <w:rPr>
          <w:rFonts w:ascii="Times New Roman" w:hAnsi="Times New Roman" w:cs="Times New Roman"/>
          <w:noProof/>
          <w:sz w:val="24"/>
          <w:szCs w:val="24"/>
        </w:rPr>
      </w:pPr>
      <w:r>
        <w:rPr>
          <w:rFonts w:ascii="Times New Roman" w:hAnsi="Times New Roman" w:cs="Times New Roman"/>
          <w:noProof/>
          <w:sz w:val="24"/>
          <w:szCs w:val="24"/>
        </w:rPr>
        <w:t>For Community Actions, 85% of project managers interviewed (29/34 responses) found that the use of human resources was reasonable to at least some extent, whilst 97% (33/34 responses) found the same for financial resources. Several project managers indicat</w:t>
      </w:r>
      <w:r>
        <w:rPr>
          <w:rFonts w:ascii="Times New Roman" w:hAnsi="Times New Roman" w:cs="Times New Roman"/>
          <w:noProof/>
          <w:sz w:val="24"/>
          <w:szCs w:val="24"/>
        </w:rPr>
        <w:t>ed that more financial resources than expected were required over the implementation period. It should be noted that projects run by organisations with previous experience of similar projects at EU level found the administrative demands of project implemen</w:t>
      </w:r>
      <w:r>
        <w:rPr>
          <w:rFonts w:ascii="Times New Roman" w:hAnsi="Times New Roman" w:cs="Times New Roman"/>
          <w:noProof/>
          <w:sz w:val="24"/>
          <w:szCs w:val="24"/>
        </w:rPr>
        <w:t xml:space="preserve">tation appropriate. A number of project managers also reported that requests for changes, including smaller changes – e.g. changes in smaller deliverables such as the planning of seminars - had a long response rate from the Commission. This meant that the </w:t>
      </w:r>
      <w:r>
        <w:rPr>
          <w:rFonts w:ascii="Times New Roman" w:hAnsi="Times New Roman" w:cs="Times New Roman"/>
          <w:noProof/>
          <w:sz w:val="24"/>
          <w:szCs w:val="24"/>
        </w:rPr>
        <w:t xml:space="preserve">suggested changes could be irrelevant once approved, or that the project was delayed, e.g. in the case of approving new staff. </w:t>
      </w:r>
    </w:p>
    <w:p w:rsidR="00821F17" w:rsidRDefault="00821F17">
      <w:pPr>
        <w:jc w:val="both"/>
        <w:rPr>
          <w:rFonts w:ascii="Times New Roman" w:hAnsi="Times New Roman" w:cs="Times New Roman"/>
          <w:noProof/>
          <w:sz w:val="24"/>
          <w:szCs w:val="24"/>
        </w:rPr>
      </w:pPr>
    </w:p>
    <w:p w:rsidR="00821F17" w:rsidRDefault="006B159E">
      <w:pPr>
        <w:pStyle w:val="Body"/>
        <w:rPr>
          <w:rFonts w:ascii="Times New Roman" w:hAnsi="Times New Roman" w:cs="Times New Roman"/>
          <w:b/>
          <w:noProof/>
          <w:sz w:val="24"/>
          <w:szCs w:val="24"/>
          <w:lang w:val="en-GB"/>
        </w:rPr>
      </w:pPr>
      <w:r>
        <w:rPr>
          <w:rFonts w:ascii="Times New Roman" w:hAnsi="Times New Roman" w:cs="Times New Roman"/>
          <w:b/>
          <w:noProof/>
          <w:sz w:val="24"/>
          <w:szCs w:val="24"/>
          <w:lang w:val="en-GB"/>
        </w:rPr>
        <w:t>6. Sustainability</w:t>
      </w:r>
    </w:p>
    <w:p w:rsidR="00821F17" w:rsidRDefault="006B159E">
      <w:pPr>
        <w:jc w:val="both"/>
        <w:rPr>
          <w:rFonts w:ascii="Times New Roman" w:hAnsi="Times New Roman" w:cs="Times New Roman"/>
          <w:noProof/>
          <w:sz w:val="24"/>
          <w:szCs w:val="24"/>
        </w:rPr>
      </w:pPr>
      <w:r>
        <w:rPr>
          <w:rFonts w:ascii="Times New Roman" w:hAnsi="Times New Roman" w:cs="Times New Roman"/>
          <w:noProof/>
          <w:sz w:val="24"/>
          <w:szCs w:val="24"/>
        </w:rPr>
        <w:t>It is difficult to establish to what extent the EIF had a lasting influence on TCNs as no follow-up was carri</w:t>
      </w:r>
      <w:r>
        <w:rPr>
          <w:rFonts w:ascii="Times New Roman" w:hAnsi="Times New Roman" w:cs="Times New Roman"/>
          <w:noProof/>
          <w:sz w:val="24"/>
          <w:szCs w:val="24"/>
        </w:rPr>
        <w:t>ed out with the individuals themselves. It is particularly difficult to determine the impact of projects which provided indirect services to TCNs, such as information campaigns.</w:t>
      </w:r>
    </w:p>
    <w:p w:rsidR="00821F17" w:rsidRDefault="006B159E">
      <w:pPr>
        <w:jc w:val="both"/>
        <w:rPr>
          <w:rFonts w:ascii="Times New Roman" w:hAnsi="Times New Roman" w:cs="Times New Roman"/>
          <w:noProof/>
          <w:sz w:val="24"/>
          <w:szCs w:val="24"/>
        </w:rPr>
      </w:pPr>
      <w:r>
        <w:rPr>
          <w:rFonts w:ascii="Times New Roman" w:hAnsi="Times New Roman" w:cs="Times New Roman"/>
          <w:noProof/>
          <w:sz w:val="24"/>
          <w:szCs w:val="24"/>
        </w:rPr>
        <w:t xml:space="preserve">With this limitation in mind, the evaluation found that a large proportion of </w:t>
      </w:r>
      <w:r>
        <w:rPr>
          <w:rFonts w:ascii="Times New Roman" w:hAnsi="Times New Roman" w:cs="Times New Roman"/>
          <w:noProof/>
          <w:sz w:val="24"/>
          <w:szCs w:val="24"/>
        </w:rPr>
        <w:t>MS assessed that the positive effects of the EIF lasted to a high extent after the interventions were terminated</w:t>
      </w:r>
      <w:r>
        <w:rPr>
          <w:rStyle w:val="FootnoteReference"/>
          <w:rFonts w:ascii="Times New Roman" w:hAnsi="Times New Roman" w:cs="Times New Roman"/>
          <w:noProof/>
          <w:sz w:val="24"/>
          <w:szCs w:val="24"/>
        </w:rPr>
        <w:footnoteReference w:id="126"/>
      </w:r>
      <w:r>
        <w:rPr>
          <w:rFonts w:ascii="Times New Roman" w:hAnsi="Times New Roman" w:cs="Times New Roman"/>
          <w:noProof/>
          <w:sz w:val="24"/>
          <w:szCs w:val="24"/>
        </w:rPr>
        <w:t>; a number of MS assessed that the positive effects lasted to some extent, but varied from one project to another</w:t>
      </w:r>
      <w:r>
        <w:rPr>
          <w:rFonts w:ascii="Times New Roman" w:hAnsi="Times New Roman" w:cs="Times New Roman"/>
          <w:noProof/>
          <w:sz w:val="20"/>
          <w:szCs w:val="20"/>
        </w:rPr>
        <w:footnoteReference w:id="127"/>
      </w:r>
      <w:r>
        <w:rPr>
          <w:rFonts w:ascii="Times New Roman" w:hAnsi="Times New Roman" w:cs="Times New Roman"/>
          <w:noProof/>
          <w:sz w:val="24"/>
          <w:szCs w:val="24"/>
        </w:rPr>
        <w:t>. 4 MS indicated that the pos</w:t>
      </w:r>
      <w:r>
        <w:rPr>
          <w:rFonts w:ascii="Times New Roman" w:hAnsi="Times New Roman" w:cs="Times New Roman"/>
          <w:noProof/>
          <w:sz w:val="24"/>
          <w:szCs w:val="24"/>
        </w:rPr>
        <w:t>itive effects of the actions under the EIF programmes lasted to a low extent</w:t>
      </w:r>
      <w:r>
        <w:rPr>
          <w:rFonts w:ascii="Times New Roman" w:hAnsi="Times New Roman" w:cs="Times New Roman"/>
          <w:noProof/>
          <w:sz w:val="20"/>
          <w:szCs w:val="20"/>
        </w:rPr>
        <w:footnoteReference w:id="128"/>
      </w:r>
      <w:r>
        <w:rPr>
          <w:rFonts w:ascii="Times New Roman" w:hAnsi="Times New Roman" w:cs="Times New Roman"/>
          <w:noProof/>
          <w:sz w:val="24"/>
          <w:szCs w:val="24"/>
        </w:rPr>
        <w:t>.</w:t>
      </w:r>
    </w:p>
    <w:p w:rsidR="00821F17" w:rsidRDefault="006B159E">
      <w:pPr>
        <w:jc w:val="both"/>
        <w:rPr>
          <w:rFonts w:ascii="Times New Roman" w:hAnsi="Times New Roman" w:cs="Times New Roman"/>
          <w:noProof/>
          <w:sz w:val="24"/>
          <w:szCs w:val="24"/>
        </w:rPr>
      </w:pPr>
      <w:r>
        <w:rPr>
          <w:rFonts w:ascii="Times New Roman" w:hAnsi="Times New Roman" w:cs="Times New Roman"/>
          <w:noProof/>
          <w:sz w:val="24"/>
          <w:szCs w:val="24"/>
        </w:rPr>
        <w:t>For projects under Community Actions, 55% of project managers (11 out of 20 respondents) reported that, for the 2007-2010 period, their projects continued without EU funding, wh</w:t>
      </w:r>
      <w:r>
        <w:rPr>
          <w:rFonts w:ascii="Times New Roman" w:hAnsi="Times New Roman" w:cs="Times New Roman"/>
          <w:noProof/>
          <w:sz w:val="24"/>
          <w:szCs w:val="24"/>
        </w:rPr>
        <w:t>ether in the same or in an adjusted form.</w:t>
      </w:r>
      <w:r>
        <w:rPr>
          <w:noProof/>
        </w:rPr>
        <w:t xml:space="preserve"> </w:t>
      </w:r>
      <w:r>
        <w:rPr>
          <w:rFonts w:ascii="Times New Roman" w:hAnsi="Times New Roman" w:cs="Times New Roman"/>
          <w:noProof/>
          <w:sz w:val="24"/>
          <w:szCs w:val="24"/>
        </w:rPr>
        <w:t>Examples of sustained positive effects brought about by Community Actions include the continued use of monitoring and evaluation methods which were developed under the EIF projects, the continuation of created netw</w:t>
      </w:r>
      <w:r>
        <w:rPr>
          <w:rFonts w:ascii="Times New Roman" w:hAnsi="Times New Roman" w:cs="Times New Roman"/>
          <w:noProof/>
          <w:sz w:val="24"/>
          <w:szCs w:val="24"/>
        </w:rPr>
        <w:t>orks, and the dissemination of research project results, although some project managers were unaware of how research projects had been adopted at a political level or if there was any political will to employ the results at all. None of the interviewees re</w:t>
      </w:r>
      <w:r>
        <w:rPr>
          <w:rFonts w:ascii="Times New Roman" w:hAnsi="Times New Roman" w:cs="Times New Roman"/>
          <w:noProof/>
          <w:sz w:val="24"/>
          <w:szCs w:val="24"/>
        </w:rPr>
        <w:t>ported using a systematic approach to ensure sustainability of projects. Commission officials also indicated that there was not a single, unified approach to ensuring project sustainability, but a variety of approaches depending on the type of project.</w:t>
      </w:r>
    </w:p>
    <w:p w:rsidR="00821F17" w:rsidRDefault="00821F17">
      <w:pPr>
        <w:jc w:val="both"/>
        <w:rPr>
          <w:rFonts w:ascii="Times New Roman" w:hAnsi="Times New Roman" w:cs="Times New Roman"/>
          <w:noProof/>
          <w:sz w:val="24"/>
          <w:szCs w:val="24"/>
        </w:rPr>
      </w:pPr>
    </w:p>
    <w:p w:rsidR="00821F17" w:rsidRDefault="006B159E">
      <w:pPr>
        <w:pStyle w:val="Body"/>
        <w:rPr>
          <w:rFonts w:ascii="Times New Roman" w:hAnsi="Times New Roman" w:cs="Times New Roman"/>
          <w:b/>
          <w:noProof/>
          <w:sz w:val="24"/>
          <w:szCs w:val="24"/>
          <w:lang w:val="en-GB"/>
        </w:rPr>
      </w:pPr>
      <w:r>
        <w:rPr>
          <w:rFonts w:ascii="Times New Roman" w:hAnsi="Times New Roman" w:cs="Times New Roman"/>
          <w:b/>
          <w:noProof/>
          <w:sz w:val="24"/>
          <w:szCs w:val="24"/>
          <w:lang w:val="en-GB"/>
        </w:rPr>
        <w:t>7.</w:t>
      </w:r>
      <w:r>
        <w:rPr>
          <w:rFonts w:ascii="Times New Roman" w:hAnsi="Times New Roman" w:cs="Times New Roman"/>
          <w:b/>
          <w:noProof/>
          <w:sz w:val="24"/>
          <w:szCs w:val="24"/>
          <w:lang w:val="en-GB"/>
        </w:rPr>
        <w:t xml:space="preserve"> Coherence and Complementarity</w:t>
      </w:r>
    </w:p>
    <w:p w:rsidR="00821F17" w:rsidRDefault="006B159E">
      <w:pPr>
        <w:jc w:val="both"/>
        <w:rPr>
          <w:rFonts w:ascii="Times New Roman" w:hAnsi="Times New Roman" w:cs="Times New Roman"/>
          <w:noProof/>
          <w:sz w:val="24"/>
          <w:szCs w:val="24"/>
        </w:rPr>
      </w:pPr>
      <w:r>
        <w:rPr>
          <w:rFonts w:ascii="Times New Roman" w:hAnsi="Times New Roman" w:cs="Times New Roman"/>
          <w:noProof/>
          <w:sz w:val="24"/>
          <w:szCs w:val="24"/>
        </w:rPr>
        <w:t>For the evaluation period 2007-2010, all MS reported that the EIF was complementary to other funding, with some pointing out that the EIF was the only funding instrument targeting the integration of TCNs. As the majority of R</w:t>
      </w:r>
      <w:r>
        <w:rPr>
          <w:rFonts w:ascii="Times New Roman" w:hAnsi="Times New Roman" w:cs="Times New Roman"/>
          <w:noProof/>
          <w:sz w:val="24"/>
          <w:szCs w:val="24"/>
        </w:rPr>
        <w:t>esponsible Authorities interviewed were unaware of the Community Actions which were implemented in their respective countries, it proved difficult to assess coherence and complementarity adequately.</w:t>
      </w:r>
    </w:p>
    <w:p w:rsidR="00821F17" w:rsidRDefault="006B159E">
      <w:pPr>
        <w:jc w:val="both"/>
        <w:rPr>
          <w:rFonts w:ascii="Times New Roman" w:hAnsi="Times New Roman" w:cs="Times New Roman"/>
          <w:noProof/>
          <w:sz w:val="24"/>
          <w:szCs w:val="24"/>
        </w:rPr>
      </w:pPr>
      <w:r>
        <w:rPr>
          <w:rFonts w:ascii="Times New Roman" w:hAnsi="Times New Roman" w:cs="Times New Roman"/>
          <w:noProof/>
          <w:sz w:val="24"/>
          <w:szCs w:val="24"/>
        </w:rPr>
        <w:t>73% of respondents for the period 2007-2010 (19 out of 26</w:t>
      </w:r>
      <w:r>
        <w:rPr>
          <w:rFonts w:ascii="Times New Roman" w:hAnsi="Times New Roman" w:cs="Times New Roman"/>
          <w:noProof/>
          <w:sz w:val="24"/>
          <w:szCs w:val="24"/>
        </w:rPr>
        <w:t xml:space="preserve"> respondents) reported that the projects implemented led to the development of links with other national-level actions, with Community Actions bringing an international dimension to those at national level. The survey also showed there were few overlaps wi</w:t>
      </w:r>
      <w:r>
        <w:rPr>
          <w:rFonts w:ascii="Times New Roman" w:hAnsi="Times New Roman" w:cs="Times New Roman"/>
          <w:noProof/>
          <w:sz w:val="24"/>
          <w:szCs w:val="24"/>
        </w:rPr>
        <w:t>th national actions during this period.</w:t>
      </w:r>
    </w:p>
    <w:p w:rsidR="00821F17" w:rsidRDefault="006B159E">
      <w:pPr>
        <w:jc w:val="both"/>
        <w:rPr>
          <w:rFonts w:ascii="Times New Roman" w:hAnsi="Times New Roman" w:cs="Times New Roman"/>
          <w:noProof/>
          <w:sz w:val="24"/>
          <w:szCs w:val="24"/>
        </w:rPr>
      </w:pPr>
      <w:r>
        <w:rPr>
          <w:rFonts w:ascii="Times New Roman" w:hAnsi="Times New Roman" w:cs="Times New Roman"/>
          <w:noProof/>
          <w:sz w:val="24"/>
          <w:szCs w:val="24"/>
        </w:rPr>
        <w:t>75% of respondents (15 out of 20) indicated that links had been developed between their projects and others at EU level. Project managers did, however, highlight a lack of Commission involvement – there was no overvi</w:t>
      </w:r>
      <w:r>
        <w:rPr>
          <w:rFonts w:ascii="Times New Roman" w:hAnsi="Times New Roman" w:cs="Times New Roman"/>
          <w:noProof/>
          <w:sz w:val="24"/>
          <w:szCs w:val="24"/>
        </w:rPr>
        <w:t>ew provided of what was taking place in other Community Actions. 5 cases of overlap with other EU projects were highlighted for this period.</w:t>
      </w:r>
    </w:p>
    <w:p w:rsidR="00821F17" w:rsidRDefault="00821F17">
      <w:pPr>
        <w:ind w:firstLine="720"/>
        <w:jc w:val="both"/>
        <w:rPr>
          <w:rFonts w:ascii="Times New Roman" w:hAnsi="Times New Roman" w:cs="Times New Roman"/>
          <w:noProof/>
          <w:sz w:val="24"/>
          <w:szCs w:val="24"/>
        </w:rPr>
      </w:pPr>
    </w:p>
    <w:p w:rsidR="00821F17" w:rsidRDefault="006B159E">
      <w:pPr>
        <w:pStyle w:val="Body"/>
        <w:rPr>
          <w:rFonts w:ascii="Times New Roman" w:hAnsi="Times New Roman" w:cs="Times New Roman"/>
          <w:b/>
          <w:noProof/>
          <w:sz w:val="24"/>
          <w:szCs w:val="24"/>
          <w:lang w:val="en-GB"/>
        </w:rPr>
      </w:pPr>
      <w:r>
        <w:rPr>
          <w:rFonts w:ascii="Times New Roman" w:hAnsi="Times New Roman" w:cs="Times New Roman"/>
          <w:b/>
          <w:noProof/>
          <w:sz w:val="24"/>
          <w:szCs w:val="24"/>
          <w:lang w:val="en-GB"/>
        </w:rPr>
        <w:t>8. EU Added Value</w:t>
      </w:r>
    </w:p>
    <w:p w:rsidR="00821F17" w:rsidRDefault="006B159E">
      <w:pPr>
        <w:jc w:val="both"/>
        <w:rPr>
          <w:rFonts w:ascii="Times New Roman" w:hAnsi="Times New Roman" w:cs="Times New Roman"/>
          <w:noProof/>
          <w:sz w:val="24"/>
          <w:szCs w:val="24"/>
        </w:rPr>
      </w:pPr>
      <w:r>
        <w:rPr>
          <w:rFonts w:ascii="Times New Roman" w:hAnsi="Times New Roman" w:cs="Times New Roman"/>
          <w:noProof/>
          <w:sz w:val="24"/>
          <w:szCs w:val="24"/>
        </w:rPr>
        <w:t>All MS, with the exception of the Netherlands and Portugal</w:t>
      </w:r>
      <w:r>
        <w:rPr>
          <w:rStyle w:val="FootnoteReference"/>
          <w:rFonts w:ascii="Times New Roman" w:hAnsi="Times New Roman" w:cs="Times New Roman"/>
          <w:noProof/>
          <w:sz w:val="24"/>
          <w:szCs w:val="24"/>
        </w:rPr>
        <w:footnoteReference w:id="129"/>
      </w:r>
      <w:r>
        <w:rPr>
          <w:rFonts w:ascii="Times New Roman" w:hAnsi="Times New Roman" w:cs="Times New Roman"/>
          <w:noProof/>
          <w:sz w:val="24"/>
          <w:szCs w:val="24"/>
        </w:rPr>
        <w:t xml:space="preserve">, found that the fund brought added </w:t>
      </w:r>
      <w:r>
        <w:rPr>
          <w:rFonts w:ascii="Times New Roman" w:hAnsi="Times New Roman" w:cs="Times New Roman"/>
          <w:noProof/>
          <w:sz w:val="24"/>
          <w:szCs w:val="24"/>
        </w:rPr>
        <w:t xml:space="preserve">value which could not have been achieved through national funding alone. The most significant impacts could be identified in the implementation of projects targeting integration which would not have been put in place without EIF funding, the expansion and </w:t>
      </w:r>
      <w:r>
        <w:rPr>
          <w:rFonts w:ascii="Times New Roman" w:hAnsi="Times New Roman" w:cs="Times New Roman"/>
          <w:noProof/>
          <w:sz w:val="24"/>
          <w:szCs w:val="24"/>
        </w:rPr>
        <w:t>support of actions carried out by NGOs and local authorities, and the exchange of ideas between relevant stakeholders.</w:t>
      </w:r>
    </w:p>
    <w:p w:rsidR="00821F17" w:rsidRDefault="006B159E">
      <w:pPr>
        <w:jc w:val="both"/>
        <w:rPr>
          <w:rFonts w:ascii="Times New Roman" w:hAnsi="Times New Roman" w:cs="Times New Roman"/>
          <w:noProof/>
          <w:sz w:val="24"/>
          <w:szCs w:val="24"/>
        </w:rPr>
      </w:pPr>
      <w:r>
        <w:rPr>
          <w:rFonts w:ascii="Times New Roman" w:hAnsi="Times New Roman" w:cs="Times New Roman"/>
          <w:noProof/>
          <w:sz w:val="24"/>
          <w:szCs w:val="24"/>
        </w:rPr>
        <w:t>The main benefits cited for the period 2007-2010 at project level were the development of knowledge and skills, and the distribution of i</w:t>
      </w:r>
      <w:r>
        <w:rPr>
          <w:rFonts w:ascii="Times New Roman" w:hAnsi="Times New Roman" w:cs="Times New Roman"/>
          <w:noProof/>
          <w:sz w:val="24"/>
          <w:szCs w:val="24"/>
        </w:rPr>
        <w:t>nformation and best practices. All of the 20 project managers who responded to the telephone survey for the 2007-2010 period reported that their projects could not have been carried out without EIF funding, attributing this to a lack of national funding di</w:t>
      </w:r>
      <w:r>
        <w:rPr>
          <w:rFonts w:ascii="Times New Roman" w:hAnsi="Times New Roman" w:cs="Times New Roman"/>
          <w:noProof/>
          <w:sz w:val="24"/>
          <w:szCs w:val="24"/>
        </w:rPr>
        <w:t>rected at projects of this kind. Additional benefits highlighted by the respondents include greater legitimacy of their organisation and its activities, increased awareness of the project, and a better established national and international network. As a r</w:t>
      </w:r>
      <w:r>
        <w:rPr>
          <w:rFonts w:ascii="Times New Roman" w:hAnsi="Times New Roman" w:cs="Times New Roman"/>
          <w:noProof/>
          <w:sz w:val="24"/>
          <w:szCs w:val="24"/>
        </w:rPr>
        <w:t>esult, the projects were able to have a more profound impact than they would have had without EIF funding.</w:t>
      </w:r>
    </w:p>
    <w:p w:rsidR="00821F17" w:rsidRDefault="006B159E">
      <w:pPr>
        <w:jc w:val="both"/>
        <w:rPr>
          <w:rFonts w:ascii="Times New Roman" w:hAnsi="Times New Roman" w:cs="Times New Roman"/>
          <w:noProof/>
          <w:sz w:val="24"/>
          <w:szCs w:val="24"/>
        </w:rPr>
      </w:pPr>
      <w:r>
        <w:rPr>
          <w:rFonts w:ascii="Times New Roman" w:hAnsi="Times New Roman" w:cs="Times New Roman"/>
          <w:noProof/>
          <w:sz w:val="24"/>
          <w:szCs w:val="24"/>
        </w:rPr>
        <w:t>22 MSs also made a positive assessment of the benefits brought by the EIF to target groups. Examples provided were facilitated connections between ta</w:t>
      </w:r>
      <w:r>
        <w:rPr>
          <w:rFonts w:ascii="Times New Roman" w:hAnsi="Times New Roman" w:cs="Times New Roman"/>
          <w:noProof/>
          <w:sz w:val="24"/>
          <w:szCs w:val="24"/>
        </w:rPr>
        <w:t>rget group persons and nationals</w:t>
      </w:r>
      <w:r>
        <w:rPr>
          <w:rStyle w:val="FootnoteReference"/>
          <w:rFonts w:ascii="Times New Roman" w:hAnsi="Times New Roman" w:cs="Times New Roman"/>
          <w:noProof/>
          <w:sz w:val="24"/>
          <w:szCs w:val="24"/>
        </w:rPr>
        <w:footnoteReference w:id="130"/>
      </w:r>
      <w:r>
        <w:rPr>
          <w:rFonts w:ascii="Times New Roman" w:hAnsi="Times New Roman" w:cs="Times New Roman"/>
          <w:noProof/>
          <w:sz w:val="24"/>
          <w:szCs w:val="24"/>
        </w:rPr>
        <w:t>; an increased focus on vulnerable groups</w:t>
      </w:r>
      <w:r>
        <w:rPr>
          <w:rStyle w:val="FootnoteReference"/>
          <w:rFonts w:ascii="Times New Roman" w:hAnsi="Times New Roman" w:cs="Times New Roman"/>
          <w:noProof/>
          <w:sz w:val="24"/>
          <w:szCs w:val="24"/>
        </w:rPr>
        <w:footnoteReference w:id="131"/>
      </w:r>
      <w:r>
        <w:rPr>
          <w:rFonts w:ascii="Times New Roman" w:hAnsi="Times New Roman" w:cs="Times New Roman"/>
          <w:noProof/>
          <w:sz w:val="24"/>
          <w:szCs w:val="24"/>
        </w:rPr>
        <w:t>; an increased awareness of services available to TCNs and rights</w:t>
      </w:r>
      <w:r>
        <w:rPr>
          <w:rStyle w:val="FootnoteReference"/>
          <w:rFonts w:ascii="Times New Roman" w:hAnsi="Times New Roman" w:cs="Times New Roman"/>
          <w:noProof/>
          <w:sz w:val="24"/>
          <w:szCs w:val="24"/>
        </w:rPr>
        <w:footnoteReference w:id="132"/>
      </w:r>
      <w:r>
        <w:rPr>
          <w:rFonts w:ascii="Times New Roman" w:hAnsi="Times New Roman" w:cs="Times New Roman"/>
          <w:noProof/>
          <w:sz w:val="24"/>
          <w:szCs w:val="24"/>
        </w:rPr>
        <w:t>; enhancing the skills and knowledge of TCNs</w:t>
      </w:r>
      <w:r>
        <w:rPr>
          <w:rStyle w:val="FootnoteReference"/>
          <w:rFonts w:ascii="Times New Roman" w:hAnsi="Times New Roman" w:cs="Times New Roman"/>
          <w:noProof/>
          <w:sz w:val="24"/>
          <w:szCs w:val="24"/>
        </w:rPr>
        <w:footnoteReference w:id="133"/>
      </w:r>
      <w:r>
        <w:rPr>
          <w:rFonts w:ascii="Times New Roman" w:hAnsi="Times New Roman" w:cs="Times New Roman"/>
          <w:noProof/>
          <w:sz w:val="24"/>
          <w:szCs w:val="24"/>
        </w:rPr>
        <w:t>; increased appeal of projects</w:t>
      </w:r>
      <w:r>
        <w:rPr>
          <w:rStyle w:val="FootnoteReference"/>
          <w:rFonts w:ascii="Times New Roman" w:hAnsi="Times New Roman" w:cs="Times New Roman"/>
          <w:noProof/>
          <w:sz w:val="24"/>
          <w:szCs w:val="24"/>
        </w:rPr>
        <w:footnoteReference w:id="134"/>
      </w:r>
      <w:r>
        <w:rPr>
          <w:rFonts w:ascii="Times New Roman" w:hAnsi="Times New Roman" w:cs="Times New Roman"/>
          <w:noProof/>
          <w:sz w:val="24"/>
          <w:szCs w:val="24"/>
        </w:rPr>
        <w:t>; and allowing projects to cover a wide</w:t>
      </w:r>
      <w:r>
        <w:rPr>
          <w:rFonts w:ascii="Times New Roman" w:hAnsi="Times New Roman" w:cs="Times New Roman"/>
          <w:noProof/>
          <w:sz w:val="24"/>
          <w:szCs w:val="24"/>
        </w:rPr>
        <w:t>r scope of integration activities</w:t>
      </w:r>
      <w:r>
        <w:rPr>
          <w:rStyle w:val="FootnoteReference"/>
          <w:bCs/>
          <w:noProof/>
          <w:sz w:val="16"/>
          <w:szCs w:val="16"/>
          <w:lang w:val="pl-PL"/>
        </w:rPr>
        <w:footnoteReference w:id="135"/>
      </w:r>
      <w:r>
        <w:rPr>
          <w:rFonts w:ascii="Times New Roman" w:hAnsi="Times New Roman" w:cs="Times New Roman"/>
          <w:noProof/>
          <w:sz w:val="24"/>
          <w:szCs w:val="24"/>
        </w:rPr>
        <w:t>.</w:t>
      </w:r>
    </w:p>
    <w:p w:rsidR="00821F17" w:rsidRDefault="006B159E">
      <w:pPr>
        <w:jc w:val="both"/>
        <w:rPr>
          <w:rFonts w:ascii="Times New Roman" w:hAnsi="Times New Roman" w:cs="Times New Roman"/>
          <w:noProof/>
          <w:sz w:val="24"/>
          <w:szCs w:val="24"/>
        </w:rPr>
      </w:pPr>
      <w:r>
        <w:rPr>
          <w:rFonts w:ascii="Times New Roman" w:hAnsi="Times New Roman" w:cs="Times New Roman"/>
          <w:noProof/>
          <w:sz w:val="24"/>
          <w:szCs w:val="24"/>
        </w:rPr>
        <w:t>Similar results were found for Community Actions. Most respondents to the telephone survey of project managers except for one reported that there were few funds available at national level for cross-national projects and</w:t>
      </w:r>
      <w:r>
        <w:rPr>
          <w:rFonts w:ascii="Times New Roman" w:hAnsi="Times New Roman" w:cs="Times New Roman"/>
          <w:noProof/>
          <w:sz w:val="24"/>
          <w:szCs w:val="24"/>
        </w:rPr>
        <w:t xml:space="preserve"> for projects of the size and innovative character of the Community Action projects. Additional benefits reported from the EIF were the increased legitimacy of the organisation and its activities; increased access to key stakeholders; stronger networks at </w:t>
      </w:r>
      <w:r>
        <w:rPr>
          <w:rFonts w:ascii="Times New Roman" w:hAnsi="Times New Roman" w:cs="Times New Roman"/>
          <w:noProof/>
          <w:sz w:val="24"/>
          <w:szCs w:val="24"/>
        </w:rPr>
        <w:t>national and international level; the possibility for cross-national inspiration and exchange; and the possibility to conduct projects and research in topics that may be politically sensitive to fund at national level.</w:t>
      </w:r>
    </w:p>
    <w:p w:rsidR="00821F17" w:rsidRDefault="00821F17">
      <w:pPr>
        <w:jc w:val="both"/>
        <w:rPr>
          <w:rFonts w:ascii="Times New Roman" w:hAnsi="Times New Roman" w:cs="Times New Roman"/>
          <w:noProof/>
          <w:sz w:val="24"/>
          <w:szCs w:val="24"/>
        </w:rPr>
      </w:pPr>
    </w:p>
    <w:p w:rsidR="00821F17" w:rsidRDefault="006B159E">
      <w:pPr>
        <w:pStyle w:val="Body"/>
        <w:rPr>
          <w:rFonts w:ascii="Times New Roman" w:hAnsi="Times New Roman" w:cs="Times New Roman"/>
          <w:b/>
          <w:noProof/>
          <w:sz w:val="24"/>
          <w:szCs w:val="24"/>
          <w:lang w:val="en-GB"/>
        </w:rPr>
      </w:pPr>
      <w:r>
        <w:rPr>
          <w:rFonts w:ascii="Times New Roman" w:hAnsi="Times New Roman" w:cs="Times New Roman"/>
          <w:b/>
          <w:noProof/>
          <w:sz w:val="24"/>
          <w:szCs w:val="24"/>
          <w:lang w:val="en-GB"/>
        </w:rPr>
        <w:t>9. Conclusion</w:t>
      </w:r>
    </w:p>
    <w:p w:rsidR="00821F17" w:rsidRDefault="006B159E">
      <w:pPr>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offers </w:t>
      </w:r>
      <w:r>
        <w:rPr>
          <w:rFonts w:ascii="Times New Roman" w:hAnsi="Times New Roman" w:cs="Times New Roman"/>
          <w:noProof/>
          <w:sz w:val="24"/>
          <w:szCs w:val="24"/>
        </w:rPr>
        <w:t>several conclusions regarding the various impacts of the EIF. Despite the financial contribution itself being relatively small compared to other European funds, it was found that the EIF had a significant impact on the added value brought to the projects b</w:t>
      </w:r>
      <w:r>
        <w:rPr>
          <w:rFonts w:ascii="Times New Roman" w:hAnsi="Times New Roman" w:cs="Times New Roman"/>
          <w:noProof/>
          <w:sz w:val="24"/>
          <w:szCs w:val="24"/>
        </w:rPr>
        <w:t>y the fund. The EIF allowed the implementation of projects which would not have been put into effect with national resources alone and also allowed existing projects to be expanded geographically and to a greater number of beneficiaries. The secondary impa</w:t>
      </w:r>
      <w:r>
        <w:rPr>
          <w:rFonts w:ascii="Times New Roman" w:hAnsi="Times New Roman" w:cs="Times New Roman"/>
          <w:noProof/>
          <w:sz w:val="24"/>
          <w:szCs w:val="24"/>
        </w:rPr>
        <w:t>cts were also significant, such as increased focus on vulnerable groups. The EIF had a particularly noticeable impact in MS with little experience of and limited funding for integration, reinforcing the position of integration on the political agenda.</w:t>
      </w:r>
    </w:p>
    <w:p w:rsidR="00821F17" w:rsidRDefault="006B159E">
      <w:pPr>
        <w:jc w:val="both"/>
        <w:rPr>
          <w:rFonts w:ascii="Times New Roman" w:hAnsi="Times New Roman" w:cs="Times New Roman"/>
          <w:noProof/>
          <w:sz w:val="24"/>
          <w:szCs w:val="24"/>
        </w:rPr>
      </w:pPr>
      <w:r>
        <w:rPr>
          <w:rFonts w:ascii="Times New Roman" w:hAnsi="Times New Roman" w:cs="Times New Roman"/>
          <w:noProof/>
          <w:sz w:val="24"/>
          <w:szCs w:val="24"/>
        </w:rPr>
        <w:t>It w</w:t>
      </w:r>
      <w:r>
        <w:rPr>
          <w:rFonts w:ascii="Times New Roman" w:hAnsi="Times New Roman" w:cs="Times New Roman"/>
          <w:noProof/>
          <w:sz w:val="24"/>
          <w:szCs w:val="24"/>
        </w:rPr>
        <w:t>as found that the EIF was broad enough to allow specific needs relating to integration to be targeted at any one time, allowing the fund a significant degree of flexibility. Although synergies were addressed to a lesser extent than other priorities, a lack</w:t>
      </w:r>
      <w:r>
        <w:rPr>
          <w:rFonts w:ascii="Times New Roman" w:hAnsi="Times New Roman" w:cs="Times New Roman"/>
          <w:noProof/>
          <w:sz w:val="24"/>
          <w:szCs w:val="24"/>
        </w:rPr>
        <w:t xml:space="preserve"> of overlaps indicates that projects funded via the EIF were generally coherent with other activities at national and EU level. However, as Responsible Authorities were generally unaware of Community Actions, it was difficult to ensure complementarity betw</w:t>
      </w:r>
      <w:r>
        <w:rPr>
          <w:rFonts w:ascii="Times New Roman" w:hAnsi="Times New Roman" w:cs="Times New Roman"/>
          <w:noProof/>
          <w:sz w:val="24"/>
          <w:szCs w:val="24"/>
        </w:rPr>
        <w:t>een projects.</w:t>
      </w:r>
    </w:p>
    <w:p w:rsidR="00821F17" w:rsidRDefault="006B159E">
      <w:pPr>
        <w:jc w:val="both"/>
        <w:rPr>
          <w:rFonts w:ascii="Times New Roman" w:hAnsi="Times New Roman" w:cs="Times New Roman"/>
          <w:noProof/>
          <w:sz w:val="24"/>
          <w:szCs w:val="24"/>
        </w:rPr>
      </w:pPr>
      <w:r>
        <w:rPr>
          <w:rFonts w:ascii="Times New Roman" w:hAnsi="Times New Roman" w:cs="Times New Roman"/>
          <w:noProof/>
          <w:sz w:val="24"/>
          <w:szCs w:val="24"/>
        </w:rPr>
        <w:t>The evaluation concluded that the actions implemented adhered well to the objectives of the EIF. Community Actions led to greater cooperation between different groups across the MS, although there were few exchanges between those implementing</w:t>
      </w:r>
      <w:r>
        <w:rPr>
          <w:rFonts w:ascii="Times New Roman" w:hAnsi="Times New Roman" w:cs="Times New Roman"/>
          <w:noProof/>
          <w:sz w:val="24"/>
          <w:szCs w:val="24"/>
        </w:rPr>
        <w:t xml:space="preserve"> the projects and the respective national authorities.</w:t>
      </w:r>
    </w:p>
    <w:p w:rsidR="00821F17" w:rsidRDefault="006B159E">
      <w:pPr>
        <w:jc w:val="both"/>
        <w:rPr>
          <w:rFonts w:ascii="Times New Roman" w:hAnsi="Times New Roman" w:cs="Times New Roman"/>
          <w:noProof/>
          <w:sz w:val="24"/>
          <w:szCs w:val="24"/>
        </w:rPr>
      </w:pPr>
      <w:r>
        <w:rPr>
          <w:rFonts w:ascii="Times New Roman" w:hAnsi="Times New Roman" w:cs="Times New Roman"/>
          <w:noProof/>
          <w:sz w:val="24"/>
          <w:szCs w:val="24"/>
        </w:rPr>
        <w:t xml:space="preserve">There was found to be an issue with the definition of the target group, despite the Commission stating that there had been no intention to impose limits on it. Some MS interpreted 'newly-arrived' TCNs </w:t>
      </w:r>
      <w:r>
        <w:rPr>
          <w:rFonts w:ascii="Times New Roman" w:hAnsi="Times New Roman" w:cs="Times New Roman"/>
          <w:noProof/>
          <w:sz w:val="24"/>
          <w:szCs w:val="24"/>
        </w:rPr>
        <w:t>very precisely, whilst others understood it more loosely. This may have limited the EIF's effectiveness. In addition to this, it is not always clear how the results of projects were being taken up at a political level. Project results were not always commu</w:t>
      </w:r>
      <w:r>
        <w:rPr>
          <w:rFonts w:ascii="Times New Roman" w:hAnsi="Times New Roman" w:cs="Times New Roman"/>
          <w:noProof/>
          <w:sz w:val="24"/>
          <w:szCs w:val="24"/>
        </w:rPr>
        <w:t>nicated effectively and this had an impact on the attention which they received politically in the MS and within the Commission, thereby limiting the overall effectiveness of the fund.</w:t>
      </w:r>
    </w:p>
    <w:p w:rsidR="00821F17" w:rsidRDefault="006B159E">
      <w:pPr>
        <w:jc w:val="both"/>
        <w:rPr>
          <w:rFonts w:ascii="Times New Roman" w:hAnsi="Times New Roman" w:cs="Times New Roman"/>
          <w:noProof/>
          <w:sz w:val="24"/>
          <w:szCs w:val="24"/>
        </w:rPr>
      </w:pPr>
      <w:r>
        <w:rPr>
          <w:rFonts w:ascii="Times New Roman" w:hAnsi="Times New Roman" w:cs="Times New Roman"/>
          <w:noProof/>
          <w:sz w:val="24"/>
          <w:szCs w:val="24"/>
        </w:rPr>
        <w:t>As there was no requirement to collect data relating to costs, the asse</w:t>
      </w:r>
      <w:r>
        <w:rPr>
          <w:rFonts w:ascii="Times New Roman" w:hAnsi="Times New Roman" w:cs="Times New Roman"/>
          <w:noProof/>
          <w:sz w:val="24"/>
          <w:szCs w:val="24"/>
        </w:rPr>
        <w:t>ssment of the EIF's efficiency was significantly limited. For example, there was no data available to differentiate between administrative costs and the costs of the activities themselves, which meant that the assessment had to rely on stakeholders' own as</w:t>
      </w:r>
      <w:r>
        <w:rPr>
          <w:rFonts w:ascii="Times New Roman" w:hAnsi="Times New Roman" w:cs="Times New Roman"/>
          <w:noProof/>
          <w:sz w:val="24"/>
          <w:szCs w:val="24"/>
        </w:rPr>
        <w:t>sessments. Some beneficiaries found that the administrative demands of the fund were high.</w:t>
      </w:r>
    </w:p>
    <w:p w:rsidR="00821F17" w:rsidRDefault="006B159E">
      <w:pPr>
        <w:jc w:val="both"/>
        <w:rPr>
          <w:rFonts w:ascii="Times New Roman" w:hAnsi="Times New Roman" w:cs="Times New Roman"/>
          <w:noProof/>
          <w:sz w:val="24"/>
          <w:szCs w:val="24"/>
        </w:rPr>
      </w:pPr>
      <w:r>
        <w:rPr>
          <w:rFonts w:ascii="Times New Roman" w:hAnsi="Times New Roman" w:cs="Times New Roman"/>
          <w:noProof/>
          <w:sz w:val="24"/>
          <w:szCs w:val="24"/>
        </w:rPr>
        <w:t>The Commission did not place a great deal of emphasis on sustainability during project selection, and it was found that only a limited number of projects were able t</w:t>
      </w:r>
      <w:r>
        <w:rPr>
          <w:rFonts w:ascii="Times New Roman" w:hAnsi="Times New Roman" w:cs="Times New Roman"/>
          <w:noProof/>
          <w:sz w:val="24"/>
          <w:szCs w:val="24"/>
        </w:rPr>
        <w:t>o source alternative funding once the implementation period of the EIF had ended. The extent to which impacts endured varied between projects, as did the capacity to assess sustainability effectively. It is difficult to establish to what extent the EIF had</w:t>
      </w:r>
      <w:r>
        <w:rPr>
          <w:rFonts w:ascii="Times New Roman" w:hAnsi="Times New Roman" w:cs="Times New Roman"/>
          <w:noProof/>
          <w:sz w:val="24"/>
          <w:szCs w:val="24"/>
        </w:rPr>
        <w:t xml:space="preserve"> a lasting influence on TCNs; no follow-up was carried out with the individuals themselves. It is particularly difficult to determine the impact of projects which provided indirect services to TCNs, such as information campaigns.</w:t>
      </w:r>
    </w:p>
    <w:p w:rsidR="00821F17" w:rsidRDefault="006B159E">
      <w:pPr>
        <w:jc w:val="both"/>
        <w:rPr>
          <w:rFonts w:ascii="Times New Roman" w:hAnsi="Times New Roman" w:cs="Times New Roman"/>
          <w:noProof/>
          <w:sz w:val="24"/>
          <w:szCs w:val="24"/>
        </w:rPr>
      </w:pPr>
      <w:r>
        <w:rPr>
          <w:rFonts w:ascii="Times New Roman" w:hAnsi="Times New Roman" w:cs="Times New Roman"/>
          <w:noProof/>
          <w:sz w:val="24"/>
          <w:szCs w:val="24"/>
        </w:rPr>
        <w:t>Over the course</w:t>
      </w:r>
      <w:r>
        <w:rPr>
          <w:rFonts w:ascii="Times New Roman" w:hAnsi="Times New Roman" w:cs="Times New Roman"/>
          <w:noProof/>
          <w:color w:val="FF0000"/>
          <w:sz w:val="24"/>
          <w:szCs w:val="24"/>
        </w:rPr>
        <w:t xml:space="preserve"> </w:t>
      </w:r>
      <w:r>
        <w:rPr>
          <w:rFonts w:ascii="Times New Roman" w:hAnsi="Times New Roman" w:cs="Times New Roman"/>
          <w:noProof/>
          <w:sz w:val="24"/>
          <w:szCs w:val="24"/>
        </w:rPr>
        <w:t>of the imp</w:t>
      </w:r>
      <w:r>
        <w:rPr>
          <w:rFonts w:ascii="Times New Roman" w:hAnsi="Times New Roman" w:cs="Times New Roman"/>
          <w:noProof/>
          <w:sz w:val="24"/>
          <w:szCs w:val="24"/>
        </w:rPr>
        <w:t>lementation period 2007-2010 a number of lessons were drawn. A number of MS</w:t>
      </w:r>
      <w:r>
        <w:rPr>
          <w:rStyle w:val="FootnoteReference"/>
          <w:rFonts w:ascii="Times New Roman" w:hAnsi="Times New Roman" w:cs="Times New Roman"/>
          <w:noProof/>
          <w:sz w:val="24"/>
          <w:szCs w:val="24"/>
        </w:rPr>
        <w:footnoteReference w:id="136"/>
      </w:r>
      <w:r>
        <w:rPr>
          <w:rFonts w:ascii="Times New Roman" w:hAnsi="Times New Roman" w:cs="Times New Roman"/>
          <w:noProof/>
          <w:sz w:val="24"/>
          <w:szCs w:val="24"/>
        </w:rPr>
        <w:t xml:space="preserve"> reported the administrative burden as a significant obstacle to the efficient implementation of national programmes. It was also felt that the EIF was too limiting when it came to</w:t>
      </w:r>
      <w:r>
        <w:rPr>
          <w:rFonts w:ascii="Times New Roman" w:hAnsi="Times New Roman" w:cs="Times New Roman"/>
          <w:noProof/>
          <w:sz w:val="24"/>
          <w:szCs w:val="24"/>
        </w:rPr>
        <w:t xml:space="preserve"> making programme revisions and managing eligible and ineligible costs, which added to the administrative strain. A clarification of the target group was considered necessary by several MS</w:t>
      </w:r>
      <w:r>
        <w:rPr>
          <w:rStyle w:val="FootnoteReference"/>
          <w:rFonts w:ascii="Times New Roman" w:hAnsi="Times New Roman" w:cs="Times New Roman"/>
          <w:noProof/>
          <w:sz w:val="24"/>
          <w:szCs w:val="24"/>
        </w:rPr>
        <w:footnoteReference w:id="137"/>
      </w:r>
      <w:r>
        <w:rPr>
          <w:rFonts w:ascii="Times New Roman" w:hAnsi="Times New Roman" w:cs="Times New Roman"/>
          <w:noProof/>
          <w:sz w:val="24"/>
          <w:szCs w:val="24"/>
        </w:rPr>
        <w:t>.</w:t>
      </w:r>
    </w:p>
    <w:p w:rsidR="00821F17" w:rsidRDefault="00821F17">
      <w:pPr>
        <w:rPr>
          <w:rFonts w:ascii="Times New Roman" w:hAnsi="Times New Roman" w:cs="Times New Roman"/>
          <w:noProof/>
          <w:sz w:val="24"/>
          <w:szCs w:val="24"/>
        </w:rPr>
      </w:pPr>
    </w:p>
    <w:p w:rsidR="00821F17" w:rsidRDefault="00821F17">
      <w:pPr>
        <w:spacing w:line="360" w:lineRule="auto"/>
        <w:jc w:val="both"/>
        <w:rPr>
          <w:rFonts w:ascii="Times New Roman" w:hAnsi="Times New Roman" w:cs="Times New Roman"/>
          <w:noProof/>
          <w:color w:val="000000" w:themeColor="text1"/>
          <w:sz w:val="24"/>
          <w:szCs w:val="24"/>
        </w:rPr>
      </w:pPr>
    </w:p>
    <w:sectPr w:rsidR="00821F17">
      <w:headerReference w:type="even" r:id="rId27"/>
      <w:headerReference w:type="default" r:id="rId28"/>
      <w:footerReference w:type="even" r:id="rId29"/>
      <w:footerReference w:type="default" r:id="rId30"/>
      <w:headerReference w:type="first" r:id="rId31"/>
      <w:footerReference w:type="first" r:id="rId3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F17" w:rsidRDefault="006B159E">
      <w:pPr>
        <w:spacing w:after="0" w:line="240" w:lineRule="auto"/>
      </w:pPr>
      <w:r>
        <w:separator/>
      </w:r>
    </w:p>
  </w:endnote>
  <w:endnote w:type="continuationSeparator" w:id="0">
    <w:p w:rsidR="00821F17" w:rsidRDefault="006B159E">
      <w:pPr>
        <w:spacing w:after="0" w:line="240" w:lineRule="auto"/>
      </w:pPr>
      <w:r>
        <w:continuationSeparator/>
      </w:r>
    </w:p>
  </w:endnote>
  <w:endnote w:type="continuationNotice" w:id="1">
    <w:p w:rsidR="00821F17" w:rsidRDefault="00821F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59E" w:rsidRPr="006B159E" w:rsidRDefault="006B159E" w:rsidP="006B15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59E" w:rsidRPr="006B159E" w:rsidRDefault="006B159E" w:rsidP="006B159E">
    <w:pPr>
      <w:pStyle w:val="FooterCoverPage"/>
      <w:rPr>
        <w:rFonts w:ascii="Arial" w:hAnsi="Arial" w:cs="Arial"/>
        <w:b/>
        <w:sz w:val="48"/>
      </w:rPr>
    </w:pPr>
    <w:r w:rsidRPr="006B159E">
      <w:rPr>
        <w:rFonts w:ascii="Arial" w:hAnsi="Arial" w:cs="Arial"/>
        <w:b/>
        <w:sz w:val="48"/>
      </w:rPr>
      <w:t>EN</w:t>
    </w:r>
    <w:r w:rsidRPr="006B159E">
      <w:rPr>
        <w:rFonts w:ascii="Arial" w:hAnsi="Arial" w:cs="Arial"/>
        <w:b/>
        <w:sz w:val="48"/>
      </w:rPr>
      <w:tab/>
    </w:r>
    <w:r w:rsidRPr="006B159E">
      <w:rPr>
        <w:rFonts w:ascii="Arial" w:hAnsi="Arial" w:cs="Arial"/>
        <w:b/>
        <w:sz w:val="48"/>
      </w:rPr>
      <w:tab/>
    </w:r>
    <w:r w:rsidRPr="006B159E">
      <w:tab/>
    </w:r>
    <w:r w:rsidRPr="006B159E">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59E" w:rsidRPr="006B159E" w:rsidRDefault="006B159E" w:rsidP="006B159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17" w:rsidRDefault="00821F1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17" w:rsidRDefault="006B159E">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17" w:rsidRDefault="00821F17">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17" w:rsidRDefault="00821F1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458984"/>
      <w:docPartObj>
        <w:docPartGallery w:val="Page Numbers (Bottom of Page)"/>
        <w:docPartUnique/>
      </w:docPartObj>
    </w:sdtPr>
    <w:sdtEndPr>
      <w:rPr>
        <w:noProof/>
      </w:rPr>
    </w:sdtEndPr>
    <w:sdtContent>
      <w:p w:rsidR="00821F17" w:rsidRDefault="006B159E">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821F17" w:rsidRDefault="00821F1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17" w:rsidRDefault="00821F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F17" w:rsidRDefault="006B159E">
      <w:pPr>
        <w:spacing w:after="0" w:line="240" w:lineRule="auto"/>
      </w:pPr>
      <w:r>
        <w:separator/>
      </w:r>
    </w:p>
  </w:footnote>
  <w:footnote w:type="continuationSeparator" w:id="0">
    <w:p w:rsidR="00821F17" w:rsidRDefault="006B159E">
      <w:pPr>
        <w:spacing w:after="0" w:line="240" w:lineRule="auto"/>
      </w:pPr>
      <w:r>
        <w:continuationSeparator/>
      </w:r>
    </w:p>
  </w:footnote>
  <w:footnote w:type="continuationNotice" w:id="1">
    <w:p w:rsidR="00821F17" w:rsidRDefault="00821F17">
      <w:pPr>
        <w:spacing w:after="0" w:line="240" w:lineRule="auto"/>
      </w:pPr>
    </w:p>
  </w:footnote>
  <w:footnote w:id="2">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sz w:val="20"/>
          <w:szCs w:val="20"/>
        </w:rPr>
        <w:t xml:space="preserve">AT, BE, BG, CY, CZ, DE, EE, EL, ES, FI, FR, HU, IE, IT, LT, LU, LV, MT, NL, PL, PT, RO, SE, SI, SK, UK (all the MSs at the time, with the exception of Denmark). </w:t>
      </w:r>
    </w:p>
  </w:footnote>
  <w:footnote w:id="3">
    <w:p w:rsidR="00821F17" w:rsidRDefault="006B159E">
      <w:pPr>
        <w:pStyle w:val="FootnoteText"/>
        <w:spacing w:after="0"/>
        <w:ind w:left="360" w:hanging="360"/>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vertAlign w:val="superscript"/>
        </w:rPr>
        <w:t xml:space="preserve"> </w:t>
      </w:r>
      <w:r>
        <w:rPr>
          <w:rFonts w:ascii="Times New Roman" w:hAnsi="Times New Roman" w:cs="Times New Roman"/>
          <w:sz w:val="20"/>
          <w:szCs w:val="20"/>
          <w:vertAlign w:val="superscript"/>
        </w:rPr>
        <w:tab/>
      </w:r>
      <w:r>
        <w:rPr>
          <w:rFonts w:ascii="Times New Roman" w:hAnsi="Times New Roman" w:cs="Times New Roman"/>
          <w:sz w:val="20"/>
          <w:szCs w:val="20"/>
        </w:rPr>
        <w:t xml:space="preserve">The previous funding period (2007-2010) has already been examined in previous evaluations. </w:t>
      </w:r>
      <w:r>
        <w:rPr>
          <w:rFonts w:ascii="Times New Roman" w:hAnsi="Times New Roman" w:cs="Times New Roman"/>
          <w:sz w:val="20"/>
          <w:szCs w:val="20"/>
        </w:rPr>
        <w:t>See COM (2011)847 final, Report from the Commission to the European Parliament, the Council, the European economic and social committee and the committee of the regions on the results achieved and on qualitative and quantitative aspects of implementation o</w:t>
      </w:r>
      <w:r>
        <w:rPr>
          <w:rFonts w:ascii="Times New Roman" w:hAnsi="Times New Roman" w:cs="Times New Roman"/>
          <w:sz w:val="20"/>
          <w:szCs w:val="20"/>
        </w:rPr>
        <w:t>f the European Fund for the Integration of third-country nationals for the period 2007-2009, European Commission, 5 December 2011.</w:t>
      </w:r>
    </w:p>
  </w:footnote>
  <w:footnote w:id="4">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COM (2005) 123 final, Communication establishing a framework programme on Solidarity and the Management of Migration Flows</w:t>
      </w:r>
      <w:r>
        <w:rPr>
          <w:rFonts w:ascii="Times New Roman" w:hAnsi="Times New Roman" w:cs="Times New Roman"/>
          <w:sz w:val="20"/>
          <w:szCs w:val="20"/>
        </w:rPr>
        <w:t xml:space="preserve"> for the period 2007-2013, European Commission, 6 April 2005.</w:t>
      </w:r>
    </w:p>
  </w:footnote>
  <w:footnote w:id="5">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Commission Decision C(2007)3926.</w:t>
      </w:r>
    </w:p>
  </w:footnote>
  <w:footnote w:id="6">
    <w:p w:rsidR="00821F17" w:rsidRDefault="006B159E">
      <w:pPr>
        <w:pStyle w:val="FootnoteText"/>
        <w:spacing w:after="0"/>
        <w:ind w:left="360" w:hanging="360"/>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The Justice and Home Affairs (JHA) Council of 19 November 2004 adopted the Common Basic Principles (CBPs) for immigrant integration policy in the European </w:t>
      </w:r>
      <w:r>
        <w:rPr>
          <w:rFonts w:ascii="Times New Roman" w:hAnsi="Times New Roman" w:cs="Times New Roman"/>
          <w:sz w:val="20"/>
          <w:szCs w:val="20"/>
        </w:rPr>
        <w:t>Union (COM(2005)0389 FINAL). These eleven principles underline the importance of a holistic approach to integration. Principle 1: ‘Integration is a dynamic, two-way process of mutual accommodation by all immigrants and residents of Member States’; Principl</w:t>
      </w:r>
      <w:r>
        <w:rPr>
          <w:rFonts w:ascii="Times New Roman" w:hAnsi="Times New Roman" w:cs="Times New Roman"/>
          <w:sz w:val="20"/>
          <w:szCs w:val="20"/>
        </w:rPr>
        <w:t>e 2: ‘Integration implies respect for the basic values of the European Union’; Principle 3:  ‘Employment is a key part of the integration process and is central to the participation of immigrants, to the contributions immigrants make to the host society, a</w:t>
      </w:r>
      <w:r>
        <w:rPr>
          <w:rFonts w:ascii="Times New Roman" w:hAnsi="Times New Roman" w:cs="Times New Roman"/>
          <w:sz w:val="20"/>
          <w:szCs w:val="20"/>
        </w:rPr>
        <w:t xml:space="preserve">nd to making such contributions visible’. Principle 4: ‘Basic knowledge of the host society’s language, history, and institutions is indispensable to integration; enabling immigrants to acquire this basic knowledge is essential to successful integration’; </w:t>
      </w:r>
      <w:r>
        <w:rPr>
          <w:rFonts w:ascii="Times New Roman" w:hAnsi="Times New Roman" w:cs="Times New Roman"/>
          <w:sz w:val="20"/>
          <w:szCs w:val="20"/>
        </w:rPr>
        <w:t>Principle 5: ‘Efforts in education are critical to preparing immigrants, and particularly their descendants, to be more successful and more active participants in society’; Principle 6: ‘Access for immigrants to institutions, as well as to public and priva</w:t>
      </w:r>
      <w:r>
        <w:rPr>
          <w:rFonts w:ascii="Times New Roman" w:hAnsi="Times New Roman" w:cs="Times New Roman"/>
          <w:sz w:val="20"/>
          <w:szCs w:val="20"/>
        </w:rPr>
        <w:t>te goods and services, on a basis equal to national citizens and in a non-discriminatory way is a critical foundation for better integration’; principle 7: ‘Frequent interaction between immigrants and Member State citizens is a fundamental mechanism for in</w:t>
      </w:r>
      <w:r>
        <w:rPr>
          <w:rFonts w:ascii="Times New Roman" w:hAnsi="Times New Roman" w:cs="Times New Roman"/>
          <w:sz w:val="20"/>
          <w:szCs w:val="20"/>
        </w:rPr>
        <w:t xml:space="preserve">tegration. Shared forums, intercultural dialogue, education about immigrants and immigrant cultures, and stimulating living conditions in urban environments enhance the interactions between immigrants and Member State citizens’; Principle 8: ‘The practice </w:t>
      </w:r>
      <w:r>
        <w:rPr>
          <w:rFonts w:ascii="Times New Roman" w:hAnsi="Times New Roman" w:cs="Times New Roman"/>
          <w:sz w:val="20"/>
          <w:szCs w:val="20"/>
        </w:rPr>
        <w:t>of diverse cultures and religions is guaranteed under the Charter of Fundamental Rights and must  be safeguarded, unless practices conflict with other inviolable European rights or with national law’ ; principle 9: ‘The participation of immigrants in the d</w:t>
      </w:r>
      <w:r>
        <w:rPr>
          <w:rFonts w:ascii="Times New Roman" w:hAnsi="Times New Roman" w:cs="Times New Roman"/>
          <w:sz w:val="20"/>
          <w:szCs w:val="20"/>
        </w:rPr>
        <w:t>emocratic process and in the formulation of integration policies and measures, especially at the local level, supports their integration’; principle 10: ‘Mainstreaming integration policies and measures in all relevant policy portfolios and levels of govern</w:t>
      </w:r>
      <w:r>
        <w:rPr>
          <w:rFonts w:ascii="Times New Roman" w:hAnsi="Times New Roman" w:cs="Times New Roman"/>
          <w:sz w:val="20"/>
          <w:szCs w:val="20"/>
        </w:rPr>
        <w:t>ment and public services is an important consideration in public policy formation and implementation.’; Principle 11: ‘Developing clear goals, indicators and evaluation mechanisms are necessary to adjust policy, evaluate progress on integration and to make</w:t>
      </w:r>
      <w:r>
        <w:rPr>
          <w:rFonts w:ascii="Times New Roman" w:hAnsi="Times New Roman" w:cs="Times New Roman"/>
          <w:sz w:val="20"/>
          <w:szCs w:val="20"/>
        </w:rPr>
        <w:t xml:space="preserve"> the exchange of information more effective.’</w:t>
      </w:r>
    </w:p>
  </w:footnote>
  <w:footnote w:id="7">
    <w:p w:rsidR="00821F17" w:rsidRDefault="006B159E">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Cs/>
          <w:sz w:val="20"/>
          <w:szCs w:val="20"/>
        </w:rPr>
        <w:t xml:space="preserve">Decision No 573/2007/EC </w:t>
      </w:r>
      <w:r>
        <w:rPr>
          <w:rFonts w:ascii="Times New Roman" w:hAnsi="Times New Roman" w:cs="Times New Roman"/>
          <w:sz w:val="20"/>
          <w:szCs w:val="20"/>
        </w:rPr>
        <w:t xml:space="preserve">of </w:t>
      </w:r>
      <w:r>
        <w:rPr>
          <w:rFonts w:ascii="Times New Roman" w:hAnsi="Times New Roman" w:cs="Times New Roman"/>
          <w:bCs/>
          <w:sz w:val="20"/>
          <w:szCs w:val="20"/>
        </w:rPr>
        <w:t>23 May 2007 establishing the European Refugee Fund for the period 2008 to 2013 as part of the General programme ‘Solidarity and Management of Migration Flows’.</w:t>
      </w:r>
    </w:p>
  </w:footnote>
  <w:footnote w:id="8">
    <w:p w:rsidR="00821F17" w:rsidRDefault="006B159E">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Cs/>
          <w:sz w:val="20"/>
          <w:szCs w:val="20"/>
        </w:rPr>
        <w:t>Decision No 574/2</w:t>
      </w:r>
      <w:r>
        <w:rPr>
          <w:rFonts w:ascii="Times New Roman" w:hAnsi="Times New Roman" w:cs="Times New Roman"/>
          <w:bCs/>
          <w:sz w:val="20"/>
          <w:szCs w:val="20"/>
        </w:rPr>
        <w:t xml:space="preserve">007/EC </w:t>
      </w:r>
      <w:r>
        <w:rPr>
          <w:rFonts w:ascii="Times New Roman" w:hAnsi="Times New Roman" w:cs="Times New Roman"/>
          <w:sz w:val="20"/>
          <w:szCs w:val="20"/>
        </w:rPr>
        <w:t xml:space="preserve">of </w:t>
      </w:r>
      <w:r>
        <w:rPr>
          <w:rFonts w:ascii="Times New Roman" w:hAnsi="Times New Roman" w:cs="Times New Roman"/>
          <w:bCs/>
          <w:sz w:val="20"/>
          <w:szCs w:val="20"/>
        </w:rPr>
        <w:t>23 May 2007 establishing the External Borders Fund for the period 2007 to 2013 as part of the General programme ‘Solidarity and Management of Migration Flows’.</w:t>
      </w:r>
    </w:p>
  </w:footnote>
  <w:footnote w:id="9">
    <w:p w:rsidR="00821F17" w:rsidRDefault="006B159E">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Decision No 575/2007/EC of 23 May 2007 establishing the European Return Fund for </w:t>
      </w:r>
      <w:r>
        <w:rPr>
          <w:rFonts w:ascii="Times New Roman" w:hAnsi="Times New Roman" w:cs="Times New Roman"/>
          <w:sz w:val="20"/>
          <w:szCs w:val="20"/>
        </w:rPr>
        <w:t>the period 2008 to 2013 as part of the General Programme ‘Solidarity and Management of Migration Flows’.</w:t>
      </w:r>
    </w:p>
  </w:footnote>
  <w:footnote w:id="10">
    <w:p w:rsidR="00821F17" w:rsidRDefault="006B159E">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Style w:val="Strong"/>
          <w:rFonts w:ascii="Times New Roman" w:hAnsi="Times New Roman" w:cs="Times New Roman"/>
          <w:b w:val="0"/>
          <w:sz w:val="20"/>
          <w:szCs w:val="20"/>
        </w:rPr>
        <w:t>Regulation (EU) No 516/2014 of 16 April 2014 establishing the Asylum, Migration and Integration Fund.</w:t>
      </w:r>
    </w:p>
  </w:footnote>
  <w:footnote w:id="11">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geographical scope comprises all EU Me</w:t>
      </w:r>
      <w:r>
        <w:rPr>
          <w:rFonts w:ascii="Times New Roman" w:hAnsi="Times New Roman" w:cs="Times New Roman"/>
          <w:sz w:val="20"/>
          <w:szCs w:val="20"/>
        </w:rPr>
        <w:t>mber States except Denmark and Croatia (26 Member States): Croatia was not a member of the EU at the time and Denmark did not participate in the implementation of the Fund.</w:t>
      </w:r>
    </w:p>
  </w:footnote>
  <w:footnote w:id="12">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Available on Eurostat and the publication “Integration Indicators 2015: Settling</w:t>
      </w:r>
      <w:r>
        <w:rPr>
          <w:rFonts w:ascii="Times New Roman" w:hAnsi="Times New Roman" w:cs="Times New Roman"/>
          <w:sz w:val="20"/>
          <w:szCs w:val="20"/>
        </w:rPr>
        <w:t xml:space="preserve"> in”, published by the OECD in July 2015, based on joint research by the OECD and the European Commission (DG HOME). </w:t>
      </w:r>
    </w:p>
  </w:footnote>
  <w:footnote w:id="13">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Migration Policy Index (MIPEX) is a unique tool which measures policies to integrate migrants in all EU Member States as well as so</w:t>
      </w:r>
      <w:r>
        <w:rPr>
          <w:rFonts w:ascii="Times New Roman" w:hAnsi="Times New Roman" w:cs="Times New Roman"/>
          <w:sz w:val="20"/>
          <w:szCs w:val="20"/>
        </w:rPr>
        <w:t xml:space="preserve">me third countries; </w:t>
      </w:r>
      <w:r>
        <w:rPr>
          <w:rFonts w:ascii="Times New Roman" w:hAnsi="Times New Roman" w:cs="Times New Roman"/>
          <w:color w:val="000000" w:themeColor="text1"/>
          <w:sz w:val="20"/>
          <w:szCs w:val="20"/>
        </w:rPr>
        <w:t xml:space="preserve">please refer to </w:t>
      </w:r>
      <w:hyperlink r:id="rId1" w:history="1">
        <w:r>
          <w:rPr>
            <w:rStyle w:val="Hyperlink"/>
            <w:rFonts w:ascii="Times New Roman" w:hAnsi="Times New Roman" w:cs="Times New Roman"/>
            <w:color w:val="000000" w:themeColor="text1"/>
            <w:sz w:val="20"/>
            <w:szCs w:val="20"/>
          </w:rPr>
          <w:t>www.mipex.eu</w:t>
        </w:r>
      </w:hyperlink>
      <w:r>
        <w:rPr>
          <w:rFonts w:ascii="Times New Roman" w:hAnsi="Times New Roman" w:cs="Times New Roman"/>
          <w:color w:val="000000" w:themeColor="text1"/>
          <w:sz w:val="20"/>
          <w:szCs w:val="20"/>
        </w:rPr>
        <w:t xml:space="preserve">. </w:t>
      </w:r>
    </w:p>
  </w:footnote>
  <w:footnote w:id="14">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changes in these OECD/EU and MIPEX indicators cannot be linked to the Fund, so these data cannot be used to assess the effectiveness of the Fund. However, they ar</w:t>
      </w:r>
      <w:r>
        <w:rPr>
          <w:rFonts w:ascii="Times New Roman" w:hAnsi="Times New Roman" w:cs="Times New Roman"/>
          <w:sz w:val="20"/>
          <w:szCs w:val="20"/>
        </w:rPr>
        <w:t>e relevant as they provide an overview of factors surrounding the implementation of the Fund. For this reason, these data were used to assess the relevance of the Fund and in the context of the case studies.</w:t>
      </w:r>
    </w:p>
  </w:footnote>
  <w:footnote w:id="15">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BE, FR, DE, IT, LV, PL, ES and SE.</w:t>
      </w:r>
    </w:p>
  </w:footnote>
  <w:footnote w:id="16">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For the</w:t>
      </w:r>
      <w:r>
        <w:rPr>
          <w:rFonts w:ascii="Times New Roman" w:hAnsi="Times New Roman" w:cs="Times New Roman"/>
          <w:sz w:val="20"/>
          <w:szCs w:val="20"/>
        </w:rPr>
        <w:t xml:space="preserve"> period 2007-2010 the provision for national programmes was equal to EUR 326 million.</w:t>
      </w:r>
    </w:p>
  </w:footnote>
  <w:footnote w:id="17">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For the period 2007-2010 the provision for community actions was equal to EUR 18 million.</w:t>
      </w:r>
    </w:p>
  </w:footnote>
  <w:footnote w:id="18">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absorption rate represents the ratio of actually paid funds over total</w:t>
      </w:r>
      <w:r>
        <w:rPr>
          <w:rFonts w:ascii="Times New Roman" w:hAnsi="Times New Roman" w:cs="Times New Roman"/>
          <w:sz w:val="20"/>
          <w:szCs w:val="20"/>
        </w:rPr>
        <w:t xml:space="preserve"> allocation.</w:t>
      </w:r>
    </w:p>
  </w:footnote>
  <w:footnote w:id="19">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In practice, Member States were given until June 2016 to finish implementing actions under the EIF.</w:t>
      </w:r>
    </w:p>
  </w:footnote>
  <w:footnote w:id="20">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SFC is an online monitoring tool managed by the Commission and used for certain funding programmes, where Member States can upload implem</w:t>
      </w:r>
      <w:r>
        <w:rPr>
          <w:rFonts w:ascii="Times New Roman" w:hAnsi="Times New Roman" w:cs="Times New Roman"/>
          <w:sz w:val="20"/>
          <w:szCs w:val="20"/>
        </w:rPr>
        <w:t xml:space="preserve">entation reports and financial information. ABAC is the Commission's accrual based online accounting system.  </w:t>
      </w:r>
    </w:p>
  </w:footnote>
  <w:footnote w:id="21">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CY, EE, FI, LU and MT.</w:t>
      </w:r>
    </w:p>
  </w:footnote>
  <w:footnote w:id="22">
    <w:p w:rsidR="00821F17" w:rsidRDefault="006B159E">
      <w:pPr>
        <w:pStyle w:val="FootnoteText"/>
        <w:spacing w:after="0"/>
        <w:ind w:left="360" w:hanging="360"/>
        <w:rPr>
          <w:rFonts w:ascii="Times New Roman" w:hAnsi="Times New Roman" w:cs="Times New Roman"/>
          <w:sz w:val="20"/>
          <w:szCs w:val="20"/>
          <w:lang w:val="es-ES_tradnl"/>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_tradnl"/>
        </w:rPr>
        <w:t xml:space="preserve"> </w:t>
      </w:r>
      <w:r>
        <w:rPr>
          <w:rFonts w:ascii="Times New Roman" w:hAnsi="Times New Roman" w:cs="Times New Roman"/>
          <w:sz w:val="20"/>
          <w:szCs w:val="20"/>
          <w:lang w:val="es-ES_tradnl"/>
        </w:rPr>
        <w:tab/>
        <w:t>DE, EE, EL, ES, HU, LT, MT, RO, and UK.</w:t>
      </w:r>
    </w:p>
  </w:footnote>
  <w:footnote w:id="23">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AT, EL, ES, IE, LT, LV, MT, NL, SE and SK.</w:t>
      </w:r>
    </w:p>
  </w:footnote>
  <w:footnote w:id="24">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EL, FI, LV, IE, MT and the </w:t>
      </w:r>
      <w:r>
        <w:rPr>
          <w:rFonts w:ascii="Times New Roman" w:hAnsi="Times New Roman" w:cs="Times New Roman"/>
          <w:sz w:val="20"/>
          <w:szCs w:val="20"/>
        </w:rPr>
        <w:t>UK.</w:t>
      </w:r>
    </w:p>
  </w:footnote>
  <w:footnote w:id="25">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FI and the UK.</w:t>
      </w:r>
    </w:p>
  </w:footnote>
  <w:footnote w:id="26">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LV.</w:t>
      </w:r>
    </w:p>
  </w:footnote>
  <w:footnote w:id="27">
    <w:p w:rsidR="00821F17" w:rsidRDefault="006B159E">
      <w:pPr>
        <w:pStyle w:val="FootnoteText"/>
        <w:spacing w:after="0"/>
        <w:ind w:left="360" w:hanging="360"/>
        <w:rPr>
          <w:rFonts w:ascii="Times New Roman" w:hAnsi="Times New Roman" w:cs="Times New Roman"/>
          <w:sz w:val="20"/>
          <w:szCs w:val="20"/>
          <w:lang w:val="es-ES_tradnl"/>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_tradnl"/>
        </w:rPr>
        <w:t xml:space="preserve"> </w:t>
      </w:r>
      <w:r>
        <w:rPr>
          <w:rFonts w:ascii="Times New Roman" w:hAnsi="Times New Roman" w:cs="Times New Roman"/>
          <w:sz w:val="20"/>
          <w:szCs w:val="20"/>
          <w:lang w:val="es-ES_tradnl"/>
        </w:rPr>
        <w:tab/>
        <w:t>CY, ES, PL, SI and LU.</w:t>
      </w:r>
    </w:p>
  </w:footnote>
  <w:footnote w:id="28">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CZ, IT and HU.</w:t>
      </w:r>
    </w:p>
  </w:footnote>
  <w:footnote w:id="29">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AT, EL, ES, FI, FR, IE, LT, LV, MT, SE, SK and the UK.</w:t>
      </w:r>
    </w:p>
  </w:footnote>
  <w:footnote w:id="30">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DE, RO and EE.</w:t>
      </w:r>
    </w:p>
  </w:footnote>
  <w:footnote w:id="31">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Activities which provide TCNs with assistance to understand and function within the receiving society we</w:t>
      </w:r>
      <w:r>
        <w:rPr>
          <w:rFonts w:ascii="Times New Roman" w:hAnsi="Times New Roman" w:cs="Times New Roman"/>
          <w:sz w:val="20"/>
          <w:szCs w:val="20"/>
        </w:rPr>
        <w:t>re implemented in 12 MSs, namely AT, BG, CY, CZ, EE, FR, DE, EL, HU, IE, IT, LV, LT, LU, MT, PL, RO, SI, ES, SE and the UK..</w:t>
      </w:r>
    </w:p>
  </w:footnote>
  <w:footnote w:id="32">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Activities which provide TCNs with knowledge of culture, history, institutions of receiving Member States, as well as rights and</w:t>
      </w:r>
      <w:r>
        <w:rPr>
          <w:rFonts w:ascii="Times New Roman" w:hAnsi="Times New Roman" w:cs="Times New Roman"/>
          <w:sz w:val="20"/>
          <w:szCs w:val="20"/>
        </w:rPr>
        <w:t xml:space="preserve"> obligations were implemented in 22 MSs : AT, BG, CY, CZ, EE, FI, FR, DE, EL, HU, IE, IT, LV, LT, LU, NL, PL, RO, SI, ES, SE and the UK.</w:t>
      </w:r>
    </w:p>
  </w:footnote>
  <w:footnote w:id="33">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Activities which provided opportunities for TCNs to learn the host language or improve their language skills, such a</w:t>
      </w:r>
      <w:r>
        <w:rPr>
          <w:rFonts w:ascii="Times New Roman" w:hAnsi="Times New Roman" w:cs="Times New Roman"/>
          <w:sz w:val="20"/>
          <w:szCs w:val="20"/>
        </w:rPr>
        <w:t>s language courses, tandems or materials implemented in 22 MSs: AT, BG, CY, CZ, EE, FI, FR, DE, EL, HU, IE, IT, LV, LT, MT, NL, PL, RO, SI, ES, SE and the UK.</w:t>
      </w:r>
    </w:p>
  </w:footnote>
  <w:footnote w:id="34">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 xml:space="preserve"> CY, CZ, DE, EE, ES, FR, HU, IE, IT, LT, LV, LU, PL, RO, SE, SK, SI and the UK.</w:t>
      </w:r>
    </w:p>
  </w:footnote>
  <w:footnote w:id="35">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CY, CZ, DE, </w:t>
      </w:r>
      <w:r>
        <w:rPr>
          <w:rFonts w:ascii="Times New Roman" w:hAnsi="Times New Roman" w:cs="Times New Roman"/>
          <w:sz w:val="20"/>
          <w:szCs w:val="20"/>
        </w:rPr>
        <w:t>EE, HU, IT, PL, RO, LV and the UK.</w:t>
      </w:r>
    </w:p>
  </w:footnote>
  <w:footnote w:id="36">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SK, RO and IT.</w:t>
      </w:r>
    </w:p>
  </w:footnote>
  <w:footnote w:id="37">
    <w:p w:rsidR="00821F17" w:rsidRDefault="006B159E">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27 out of 31 Community Action projects, implemented in the period 2011-2013, and 30 out of 38 projects implemented in period 2007-2010.</w:t>
      </w:r>
    </w:p>
  </w:footnote>
  <w:footnote w:id="38">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AT, BE, BG, CY, CZ, EE, FI, FR, DE, EL, HU, IT, LV, LT, MT, N</w:t>
      </w:r>
      <w:r>
        <w:rPr>
          <w:rFonts w:ascii="Times New Roman" w:hAnsi="Times New Roman" w:cs="Times New Roman"/>
          <w:sz w:val="20"/>
          <w:szCs w:val="20"/>
        </w:rPr>
        <w:t>L, PL, PT, RO, ES, SE and the UK.</w:t>
      </w:r>
    </w:p>
  </w:footnote>
  <w:footnote w:id="39">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In 12 Member States, such as BG, CZ, EE, FI, DE, HU, IT, LV, PL, RO, SE and the UK.</w:t>
      </w:r>
    </w:p>
  </w:footnote>
  <w:footnote w:id="40">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This category of activities was implemented in the following Member States: AT, FI, FR, DE, EL, IT, LV, LU, MT, NL, PL, RO, SI, ES a</w:t>
      </w:r>
      <w:r>
        <w:rPr>
          <w:rFonts w:ascii="Times New Roman" w:hAnsi="Times New Roman" w:cs="Times New Roman"/>
          <w:sz w:val="20"/>
          <w:szCs w:val="20"/>
        </w:rPr>
        <w:t>nd SE.</w:t>
      </w:r>
    </w:p>
  </w:footnote>
  <w:footnote w:id="41">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CY, DE, EL, FR, IT, LV, LT, MT, PT, RO and SK.</w:t>
      </w:r>
    </w:p>
  </w:footnote>
  <w:footnote w:id="42">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CY, DE, HU, IE, IT, LV, LT, MT and PT.</w:t>
      </w:r>
    </w:p>
  </w:footnote>
  <w:footnote w:id="43">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CY, CZ, DE, EE, ES, FR, HU, IE, IT, LT, LV, LU, PL, RO, SE, SK, SI and the UK.</w:t>
      </w:r>
    </w:p>
  </w:footnote>
  <w:footnote w:id="44">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Further details on the Common Basic Principles are provided in section </w:t>
      </w:r>
      <w:r>
        <w:rPr>
          <w:rFonts w:ascii="Times New Roman" w:hAnsi="Times New Roman" w:cs="Times New Roman"/>
          <w:sz w:val="20"/>
          <w:szCs w:val="20"/>
        </w:rPr>
        <w:t>2.</w:t>
      </w:r>
    </w:p>
  </w:footnote>
  <w:footnote w:id="45">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BG, CY, CZ, DE, EL, FR, LT, MT, PL, PT, SI and SK.</w:t>
      </w:r>
    </w:p>
  </w:footnote>
  <w:footnote w:id="46">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AT, EE, FI, HU, IE, IT, LV and RO.</w:t>
      </w:r>
    </w:p>
  </w:footnote>
  <w:footnote w:id="47">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BE and the UK.</w:t>
      </w:r>
    </w:p>
  </w:footnote>
  <w:footnote w:id="48">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AT, BG, CY, CZ, IT, LT, MT, PL, PT, RO, SI and SK.</w:t>
      </w:r>
    </w:p>
  </w:footnote>
  <w:footnote w:id="49">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18 MSs: AT, BE, CY, CZ, EE, FI, FR, DE, EL, HU, LV, LT, MT, NL, PL, PT, RO and SE.</w:t>
      </w:r>
    </w:p>
  </w:footnote>
  <w:footnote w:id="50">
    <w:p w:rsidR="00821F17" w:rsidRDefault="006B159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t>12 MSs: CY, CZ, EE, FI, FR, DE, EL, HU, LV, MT, PL and SE.</w:t>
      </w:r>
    </w:p>
  </w:footnote>
  <w:footnote w:id="51">
    <w:p w:rsidR="00821F17" w:rsidRDefault="006B159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t>9 MSs: BG, CY, CZ, LT, LV, MT, PL, RO and SK.</w:t>
      </w:r>
    </w:p>
  </w:footnote>
  <w:footnote w:id="52">
    <w:p w:rsidR="00821F17" w:rsidRDefault="006B159E">
      <w:pPr>
        <w:pStyle w:val="FootnoteText"/>
        <w:spacing w:after="0"/>
        <w:ind w:left="360" w:hanging="360"/>
        <w:rPr>
          <w:rFonts w:ascii="Times New Roman" w:hAnsi="Times New Roman" w:cs="Times New Roman"/>
          <w:sz w:val="20"/>
          <w:szCs w:val="20"/>
          <w:lang w:val="da-DK"/>
        </w:rPr>
      </w:pPr>
      <w:r>
        <w:rPr>
          <w:rStyle w:val="FootnoteReference"/>
          <w:rFonts w:ascii="Times New Roman" w:hAnsi="Times New Roman" w:cs="Times New Roman"/>
          <w:sz w:val="20"/>
          <w:szCs w:val="20"/>
        </w:rPr>
        <w:footnoteRef/>
      </w:r>
      <w:r>
        <w:rPr>
          <w:rFonts w:ascii="Times New Roman" w:hAnsi="Times New Roman" w:cs="Times New Roman"/>
          <w:sz w:val="20"/>
          <w:szCs w:val="20"/>
          <w:lang w:val="da-DK"/>
        </w:rPr>
        <w:t xml:space="preserve"> </w:t>
      </w:r>
      <w:r>
        <w:rPr>
          <w:rFonts w:ascii="Times New Roman" w:hAnsi="Times New Roman" w:cs="Times New Roman"/>
          <w:sz w:val="20"/>
          <w:szCs w:val="20"/>
          <w:lang w:val="da-DK"/>
        </w:rPr>
        <w:tab/>
        <w:t>10 MSs: DE, EL, HU, IE, LV, LT, MT, PT, RO and SK.</w:t>
      </w:r>
    </w:p>
  </w:footnote>
  <w:footnote w:id="53">
    <w:p w:rsidR="00821F17" w:rsidRDefault="006B159E">
      <w:pPr>
        <w:pStyle w:val="FootnoteText"/>
        <w:spacing w:after="0"/>
        <w:ind w:left="360" w:hanging="360"/>
        <w:rPr>
          <w:rFonts w:ascii="Times New Roman" w:hAnsi="Times New Roman" w:cs="Times New Roman"/>
          <w:sz w:val="20"/>
          <w:szCs w:val="20"/>
          <w:lang w:val="da-DK"/>
        </w:rPr>
      </w:pPr>
      <w:r>
        <w:rPr>
          <w:rStyle w:val="FootnoteReference"/>
          <w:rFonts w:ascii="Times New Roman" w:hAnsi="Times New Roman" w:cs="Times New Roman"/>
          <w:sz w:val="20"/>
          <w:szCs w:val="20"/>
        </w:rPr>
        <w:footnoteRef/>
      </w:r>
      <w:r>
        <w:rPr>
          <w:rFonts w:ascii="Times New Roman" w:hAnsi="Times New Roman" w:cs="Times New Roman"/>
          <w:sz w:val="20"/>
          <w:szCs w:val="20"/>
          <w:lang w:val="da-DK"/>
        </w:rPr>
        <w:tab/>
        <w:t>9 MSs: CZ, EL, FI, FR, LT, LV, PL, RO and SK.</w:t>
      </w:r>
    </w:p>
  </w:footnote>
  <w:footnote w:id="54">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3 MSs: FI, FR and RO.</w:t>
      </w:r>
    </w:p>
  </w:footnote>
  <w:footnote w:id="55">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12 MSs: BG, CY, C</w:t>
      </w:r>
      <w:r>
        <w:rPr>
          <w:rFonts w:ascii="Times New Roman" w:hAnsi="Times New Roman" w:cs="Times New Roman"/>
          <w:sz w:val="20"/>
          <w:szCs w:val="20"/>
        </w:rPr>
        <w:t>Z, EL, FI, FR, LT, LV, MT, PL, RO and SK.</w:t>
      </w:r>
    </w:p>
  </w:footnote>
  <w:footnote w:id="56">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BG, CY, DE, EE, EL, ES, FI, FR, HU, IT, LT, LU, LV, MT, PT, RO, SI, SK and the UK.</w:t>
      </w:r>
    </w:p>
  </w:footnote>
  <w:footnote w:id="57">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CY, ES, NL, PL, RO, LU and the UK.</w:t>
      </w:r>
    </w:p>
  </w:footnote>
  <w:footnote w:id="58">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Comparisons were made mainly with the European Social Fund (ES, NL, PL and RO), the Coh</w:t>
      </w:r>
      <w:r>
        <w:rPr>
          <w:rFonts w:ascii="Times New Roman" w:hAnsi="Times New Roman" w:cs="Times New Roman"/>
          <w:sz w:val="20"/>
          <w:szCs w:val="20"/>
        </w:rPr>
        <w:t>esion Fund (CY), the European Refugee Fund and the Return Fund (LU, UK, ES). In comparison with the ERF (and RF), there were reported accounts that the costs were reasonable and comparable (LU), with two Member States even indicating that the costs were mo</w:t>
      </w:r>
      <w:r>
        <w:rPr>
          <w:rFonts w:ascii="Times New Roman" w:hAnsi="Times New Roman" w:cs="Times New Roman"/>
          <w:sz w:val="20"/>
          <w:szCs w:val="20"/>
        </w:rPr>
        <w:t>re moderate than under the ERF (ES, UK).</w:t>
      </w:r>
    </w:p>
  </w:footnote>
  <w:footnote w:id="59">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HU, SK, IT, LU, MT, SI and NL.</w:t>
      </w:r>
    </w:p>
  </w:footnote>
  <w:footnote w:id="60">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NL and PL.</w:t>
      </w:r>
    </w:p>
  </w:footnote>
  <w:footnote w:id="61">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BG, CY, CZ, DE, EE, ES, HU, IT, LT, MT, NL, PT, SI and the UK.</w:t>
      </w:r>
    </w:p>
  </w:footnote>
  <w:footnote w:id="62">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AT, EL, FI, FR, IT, LV, LU, PL, RO, SE and SK.</w:t>
      </w:r>
    </w:p>
  </w:footnote>
  <w:footnote w:id="63">
    <w:p w:rsidR="00821F17" w:rsidRDefault="006B159E">
      <w:pPr>
        <w:pStyle w:val="FootnoteText"/>
        <w:spacing w:after="0"/>
        <w:ind w:left="360" w:hanging="360"/>
        <w:rPr>
          <w:rFonts w:ascii="Times New Roman" w:hAnsi="Times New Roman" w:cs="Times New Roman"/>
          <w:sz w:val="20"/>
          <w:szCs w:val="20"/>
          <w:lang w:val="da-DK"/>
        </w:rPr>
      </w:pPr>
      <w:r>
        <w:rPr>
          <w:rStyle w:val="FootnoteReference"/>
          <w:rFonts w:ascii="Times New Roman" w:hAnsi="Times New Roman" w:cs="Times New Roman"/>
          <w:sz w:val="20"/>
          <w:szCs w:val="20"/>
        </w:rPr>
        <w:footnoteRef/>
      </w:r>
      <w:r>
        <w:rPr>
          <w:rFonts w:ascii="Times New Roman" w:hAnsi="Times New Roman" w:cs="Times New Roman"/>
          <w:sz w:val="20"/>
          <w:szCs w:val="20"/>
          <w:lang w:val="da-DK"/>
        </w:rPr>
        <w:t xml:space="preserve"> </w:t>
      </w:r>
      <w:r>
        <w:rPr>
          <w:rFonts w:ascii="Times New Roman" w:hAnsi="Times New Roman" w:cs="Times New Roman"/>
          <w:sz w:val="20"/>
          <w:szCs w:val="20"/>
          <w:lang w:val="da-DK"/>
        </w:rPr>
        <w:tab/>
        <w:t>AT, DE, FI, FR, IT, LV, PL.</w:t>
      </w:r>
    </w:p>
  </w:footnote>
  <w:footnote w:id="64">
    <w:p w:rsidR="00821F17" w:rsidRDefault="006B159E">
      <w:pPr>
        <w:pStyle w:val="FootnoteText"/>
        <w:spacing w:after="0"/>
        <w:ind w:left="360" w:hanging="360"/>
        <w:rPr>
          <w:rFonts w:ascii="Times New Roman" w:hAnsi="Times New Roman" w:cs="Times New Roman"/>
          <w:sz w:val="20"/>
          <w:szCs w:val="20"/>
          <w:lang w:val="da-DK"/>
        </w:rPr>
      </w:pPr>
      <w:r>
        <w:rPr>
          <w:rStyle w:val="FootnoteReference"/>
          <w:rFonts w:ascii="Times New Roman" w:hAnsi="Times New Roman" w:cs="Times New Roman"/>
          <w:sz w:val="20"/>
          <w:szCs w:val="20"/>
        </w:rPr>
        <w:footnoteRef/>
      </w:r>
      <w:r>
        <w:rPr>
          <w:rFonts w:ascii="Times New Roman" w:hAnsi="Times New Roman" w:cs="Times New Roman"/>
          <w:sz w:val="20"/>
          <w:szCs w:val="20"/>
          <w:lang w:val="da-DK"/>
        </w:rPr>
        <w:t xml:space="preserve"> </w:t>
      </w:r>
      <w:r>
        <w:rPr>
          <w:rFonts w:ascii="Times New Roman" w:hAnsi="Times New Roman" w:cs="Times New Roman"/>
          <w:sz w:val="20"/>
          <w:szCs w:val="20"/>
          <w:lang w:val="da-DK"/>
        </w:rPr>
        <w:tab/>
        <w:t>PL.</w:t>
      </w:r>
    </w:p>
  </w:footnote>
  <w:footnote w:id="65">
    <w:p w:rsidR="00821F17" w:rsidRDefault="006B159E">
      <w:pPr>
        <w:pStyle w:val="FootnoteText"/>
        <w:spacing w:after="0"/>
        <w:ind w:left="360" w:hanging="360"/>
        <w:rPr>
          <w:rFonts w:ascii="Times New Roman" w:hAnsi="Times New Roman" w:cs="Times New Roman"/>
          <w:sz w:val="20"/>
          <w:szCs w:val="20"/>
          <w:lang w:val="da-DK"/>
        </w:rPr>
      </w:pPr>
      <w:r>
        <w:rPr>
          <w:rStyle w:val="FootnoteReference"/>
          <w:rFonts w:ascii="Times New Roman" w:hAnsi="Times New Roman" w:cs="Times New Roman"/>
          <w:sz w:val="20"/>
          <w:szCs w:val="20"/>
        </w:rPr>
        <w:footnoteRef/>
      </w:r>
      <w:r>
        <w:rPr>
          <w:rFonts w:ascii="Times New Roman" w:hAnsi="Times New Roman" w:cs="Times New Roman"/>
          <w:sz w:val="20"/>
          <w:szCs w:val="20"/>
          <w:lang w:val="da-DK"/>
        </w:rPr>
        <w:tab/>
        <w:t>FR, PL, and</w:t>
      </w:r>
      <w:r>
        <w:rPr>
          <w:rFonts w:ascii="Times New Roman" w:hAnsi="Times New Roman" w:cs="Times New Roman"/>
          <w:sz w:val="20"/>
          <w:szCs w:val="20"/>
          <w:lang w:val="da-DK"/>
        </w:rPr>
        <w:t xml:space="preserve"> SE.</w:t>
      </w:r>
    </w:p>
  </w:footnote>
  <w:footnote w:id="66">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BE, CY, CZ, DE, ES, HU, IE, LV, MT, NL, PL, RO, SK and the UK.</w:t>
      </w:r>
    </w:p>
  </w:footnote>
  <w:footnote w:id="67">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CZ, EL, PL and LU.</w:t>
      </w:r>
    </w:p>
  </w:footnote>
  <w:footnote w:id="68">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AT, EE, FI, FR, IT, LT, LU, SE and SK.</w:t>
      </w:r>
    </w:p>
  </w:footnote>
  <w:footnote w:id="69">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EE, FI, IT, and LU.</w:t>
      </w:r>
    </w:p>
  </w:footnote>
  <w:footnote w:id="70">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BE, CY, CZ, DE, ES, FR, HU, IE, LT, LU, LV, SI and the UK .</w:t>
      </w:r>
    </w:p>
  </w:footnote>
  <w:footnote w:id="71">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AT, EE, EL, MT, NL, PL, PT and </w:t>
      </w:r>
      <w:r>
        <w:rPr>
          <w:rFonts w:ascii="Times New Roman" w:hAnsi="Times New Roman" w:cs="Times New Roman"/>
          <w:sz w:val="20"/>
          <w:szCs w:val="20"/>
        </w:rPr>
        <w:t>RO.</w:t>
      </w:r>
    </w:p>
  </w:footnote>
  <w:footnote w:id="72">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AT, CZ, DE, EL, HU, IT, LT, SE and FR.</w:t>
      </w:r>
    </w:p>
  </w:footnote>
  <w:footnote w:id="73">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CY, CZ and DE.</w:t>
      </w:r>
    </w:p>
  </w:footnote>
  <w:footnote w:id="74">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AT, EE and RO.</w:t>
      </w:r>
    </w:p>
  </w:footnote>
  <w:footnote w:id="75">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EE, RO and SK.</w:t>
      </w:r>
    </w:p>
  </w:footnote>
  <w:footnote w:id="76">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The UK.</w:t>
      </w:r>
    </w:p>
  </w:footnote>
  <w:footnote w:id="77">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AT.</w:t>
      </w:r>
    </w:p>
  </w:footnote>
  <w:footnote w:id="78">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HU, LT, LV, RO, SE, LU and the UK.</w:t>
      </w:r>
    </w:p>
  </w:footnote>
  <w:footnote w:id="79">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MT and the UK.</w:t>
      </w:r>
    </w:p>
  </w:footnote>
  <w:footnote w:id="80">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AT, BE, CY, CZ, EE, DE, EL, ES, FR, HU, IE, IT, LU, LV, MT, NL, RO, SI, SK, SE, a</w:t>
      </w:r>
      <w:r>
        <w:rPr>
          <w:rFonts w:ascii="Times New Roman" w:hAnsi="Times New Roman" w:cs="Times New Roman"/>
          <w:sz w:val="20"/>
          <w:szCs w:val="20"/>
        </w:rPr>
        <w:t>nd the UK.</w:t>
      </w:r>
    </w:p>
  </w:footnote>
  <w:footnote w:id="81">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FI, LT, PL and PT.</w:t>
      </w:r>
    </w:p>
  </w:footnote>
  <w:footnote w:id="82">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E.g. ESF and EIF in EL, ES, HU, IT, SE and RO.</w:t>
      </w:r>
    </w:p>
  </w:footnote>
  <w:footnote w:id="83">
    <w:p w:rsidR="00821F17" w:rsidRDefault="006B159E">
      <w:pPr>
        <w:pStyle w:val="FootnoteText"/>
        <w:spacing w:after="0"/>
        <w:ind w:left="360" w:hanging="360"/>
        <w:rPr>
          <w:rFonts w:ascii="Times New Roman" w:hAnsi="Times New Roman" w:cs="Times New Roman"/>
          <w:sz w:val="20"/>
          <w:szCs w:val="20"/>
          <w:lang w:val="es-ES_tradnl"/>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_tradnl"/>
        </w:rPr>
        <w:t xml:space="preserve"> </w:t>
      </w:r>
      <w:r>
        <w:rPr>
          <w:rFonts w:ascii="Times New Roman" w:hAnsi="Times New Roman" w:cs="Times New Roman"/>
          <w:sz w:val="20"/>
          <w:szCs w:val="20"/>
          <w:lang w:val="es-ES_tradnl"/>
        </w:rPr>
        <w:tab/>
        <w:t>AT, CY, CZ, DE, EE, EL, LU, LV, LT, MT and RO.</w:t>
      </w:r>
    </w:p>
  </w:footnote>
  <w:footnote w:id="84">
    <w:p w:rsidR="00821F17" w:rsidRDefault="006B159E">
      <w:pPr>
        <w:pStyle w:val="FootnoteText"/>
        <w:spacing w:after="0"/>
        <w:ind w:left="360" w:hanging="360"/>
        <w:rPr>
          <w:rFonts w:ascii="Times New Roman" w:hAnsi="Times New Roman" w:cs="Times New Roman"/>
          <w:sz w:val="20"/>
          <w:szCs w:val="20"/>
          <w:lang w:val="da-DK"/>
        </w:rPr>
      </w:pPr>
      <w:r>
        <w:rPr>
          <w:rStyle w:val="FootnoteReference"/>
          <w:rFonts w:ascii="Times New Roman" w:hAnsi="Times New Roman" w:cs="Times New Roman"/>
          <w:sz w:val="20"/>
          <w:szCs w:val="20"/>
        </w:rPr>
        <w:footnoteRef/>
      </w:r>
      <w:r>
        <w:rPr>
          <w:rFonts w:ascii="Times New Roman" w:hAnsi="Times New Roman" w:cs="Times New Roman"/>
          <w:sz w:val="20"/>
          <w:szCs w:val="20"/>
          <w:lang w:val="da-DK"/>
        </w:rPr>
        <w:t xml:space="preserve"> </w:t>
      </w:r>
      <w:r>
        <w:rPr>
          <w:rFonts w:ascii="Times New Roman" w:hAnsi="Times New Roman" w:cs="Times New Roman"/>
          <w:sz w:val="20"/>
          <w:szCs w:val="20"/>
          <w:lang w:val="da-DK"/>
        </w:rPr>
        <w:tab/>
        <w:t>AT, CZ, DE, EL, LV, MT, NL and PT.</w:t>
      </w:r>
    </w:p>
  </w:footnote>
  <w:footnote w:id="85">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CY, CZ, EL, FI, HU, IE, IT, LT, LU, MT, NL and RO.</w:t>
      </w:r>
    </w:p>
  </w:footnote>
  <w:footnote w:id="86">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CY, EL, IT, NL, PT and the </w:t>
      </w:r>
      <w:r>
        <w:rPr>
          <w:rFonts w:ascii="Times New Roman" w:hAnsi="Times New Roman" w:cs="Times New Roman"/>
          <w:sz w:val="20"/>
          <w:szCs w:val="20"/>
        </w:rPr>
        <w:t>UK.</w:t>
      </w:r>
    </w:p>
  </w:footnote>
  <w:footnote w:id="87">
    <w:p w:rsidR="00821F17" w:rsidRDefault="006B159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t>BG, EL, HU, CY, CZ, DE, EL, ES, FI, FR, IE, LT, LU, LV, MT, PL, SE and SK.</w:t>
      </w:r>
    </w:p>
  </w:footnote>
  <w:footnote w:id="88">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AT and the NL.</w:t>
      </w:r>
    </w:p>
  </w:footnote>
  <w:footnote w:id="89">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AT, BE, BG, EE, EL, FI, IE, IT, LV, NL, PL, PT, RO, UK, ES and SI.</w:t>
      </w:r>
    </w:p>
  </w:footnote>
  <w:footnote w:id="90">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PL.</w:t>
      </w:r>
    </w:p>
  </w:footnote>
  <w:footnote w:id="91">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CY, EL, HU, IE, LV, PL, RO, SK, AT, BE, EL, LT and MT.</w:t>
      </w:r>
    </w:p>
  </w:footnote>
  <w:footnote w:id="92">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 xml:space="preserve">Some questions are based on the objectives of the legal basis, others are based on the priorities in the Strategic guidelines. For this reason the questions may partially overlap. </w:t>
      </w:r>
    </w:p>
  </w:footnote>
  <w:footnote w:id="93">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Croatia had not yet become a Member State of the EU at this moment.</w:t>
      </w:r>
    </w:p>
  </w:footnote>
  <w:footnote w:id="94">
    <w:p w:rsidR="00821F17" w:rsidRDefault="006B159E">
      <w:pPr>
        <w:autoSpaceDE w:val="0"/>
        <w:autoSpaceDN w:val="0"/>
        <w:adjustRightInd w:val="0"/>
        <w:spacing w:after="0" w:line="240" w:lineRule="auto"/>
        <w:ind w:left="360" w:hanging="36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w:t>
      </w:r>
      <w:r>
        <w:rPr>
          <w:rFonts w:ascii="Times New Roman" w:hAnsi="Times New Roman" w:cs="Times New Roman"/>
          <w:sz w:val="20"/>
          <w:szCs w:val="20"/>
        </w:rPr>
        <w:t>ommunication from the Commission to the Council and the European Parliament establishing a framework programme on solidarity and management of migration flows for the period 2007-2013, COM(2005) 123 final.</w:t>
      </w:r>
    </w:p>
  </w:footnote>
  <w:footnote w:id="95">
    <w:p w:rsidR="00821F17" w:rsidRDefault="006B159E">
      <w:pPr>
        <w:spacing w:after="0" w:line="240" w:lineRule="auto"/>
        <w:ind w:left="360" w:hanging="36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For the 2007 annual programme EUR 60 357 000 </w:t>
      </w:r>
      <w:r>
        <w:rPr>
          <w:rFonts w:ascii="Times New Roman" w:hAnsi="Times New Roman" w:cs="Times New Roman"/>
          <w:sz w:val="20"/>
          <w:szCs w:val="20"/>
        </w:rPr>
        <w:t>were allocated (of which EUR 4 543 000 for Community Actions); for 2008 EUR 72 075 000 (of which EUR 5 425 000 for Community Actions); for 2009 EUR 90 675 000 (of which EUR 6 825 000 for Community Actions) and for 2010 EUR 102 765 000 (of which EUR 7 735 0</w:t>
      </w:r>
      <w:r>
        <w:rPr>
          <w:rFonts w:ascii="Times New Roman" w:hAnsi="Times New Roman" w:cs="Times New Roman"/>
          <w:sz w:val="20"/>
          <w:szCs w:val="20"/>
        </w:rPr>
        <w:t>00 for Community Actions).</w:t>
      </w:r>
    </w:p>
  </w:footnote>
  <w:footnote w:id="96">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size and number of projects varied between Member States, with Spain funding 530 projects and Ireland funding 8, for example.</w:t>
      </w:r>
    </w:p>
  </w:footnote>
  <w:footnote w:id="97">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MS benefitting from the Cohesion Funds for the period 2007-2013 were allowed to have a 75% EU</w:t>
      </w:r>
      <w:r>
        <w:rPr>
          <w:rFonts w:ascii="Times New Roman" w:hAnsi="Times New Roman" w:cs="Times New Roman"/>
          <w:sz w:val="20"/>
          <w:szCs w:val="20"/>
        </w:rPr>
        <w:t xml:space="preserve"> co-financing rate from the Fund.</w:t>
      </w:r>
    </w:p>
  </w:footnote>
  <w:footnote w:id="98">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C(2007)3926 of 21/08/2007.</w:t>
      </w:r>
    </w:p>
  </w:footnote>
  <w:footnote w:id="99">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See COM (2011)847 final, Report from the Commission to the European Parliament, the Council, the European economic and social committee and the committee of the regions on the results achie</w:t>
      </w:r>
      <w:r>
        <w:rPr>
          <w:rFonts w:ascii="Times New Roman" w:hAnsi="Times New Roman" w:cs="Times New Roman"/>
          <w:sz w:val="20"/>
          <w:szCs w:val="20"/>
        </w:rPr>
        <w:t xml:space="preserve">ved and on qualitative and quantitative aspects of implementation of the European Fund for the Integration of third-country nationals for the period 2007-2009, European Commission, 5 December 2011. See also European Commission (2011) </w:t>
      </w:r>
      <w:r>
        <w:rPr>
          <w:rFonts w:ascii="Times New Roman" w:hAnsi="Times New Roman" w:cs="Times New Roman"/>
          <w:i/>
          <w:sz w:val="20"/>
          <w:szCs w:val="20"/>
        </w:rPr>
        <w:t>Synthesis of the Natio</w:t>
      </w:r>
      <w:r>
        <w:rPr>
          <w:rFonts w:ascii="Times New Roman" w:hAnsi="Times New Roman" w:cs="Times New Roman"/>
          <w:i/>
          <w:sz w:val="20"/>
          <w:szCs w:val="20"/>
        </w:rPr>
        <w:t>nal Evaluation Reports on Implementation of Actions Co-Financed by the European Fund for the Integration of Third Country Nationals from 2007 to 2009 and Report at European Union Level</w:t>
      </w:r>
      <w:r>
        <w:rPr>
          <w:rFonts w:ascii="Times New Roman" w:hAnsi="Times New Roman" w:cs="Times New Roman"/>
          <w:sz w:val="20"/>
          <w:szCs w:val="20"/>
        </w:rPr>
        <w:t>. Available online at:</w:t>
      </w:r>
      <w:r>
        <w:rPr>
          <w:rFonts w:ascii="Times New Roman" w:hAnsi="Times New Roman" w:cs="Times New Roman"/>
          <w:sz w:val="20"/>
          <w:szCs w:val="20"/>
        </w:rPr>
        <w:tab/>
      </w:r>
      <w:r>
        <w:rPr>
          <w:rFonts w:ascii="Times New Roman" w:hAnsi="Times New Roman" w:cs="Times New Roman"/>
          <w:sz w:val="20"/>
          <w:szCs w:val="20"/>
        </w:rPr>
        <w:br/>
      </w:r>
      <w:hyperlink r:id="rId2" w:history="1">
        <w:r>
          <w:rPr>
            <w:rStyle w:val="Hyperlink"/>
            <w:rFonts w:ascii="Times New Roman" w:hAnsi="Times New Roman" w:cs="Times New Roman"/>
            <w:sz w:val="20"/>
            <w:szCs w:val="20"/>
          </w:rPr>
          <w:t>https://ec.europa.eu/home-affairs/sites/homeaffairs/files/financing/fundings/pdf/integration/synthesis_of_the_national_evaluation_reports.pdf</w:t>
        </w:r>
      </w:hyperlink>
      <w:r>
        <w:rPr>
          <w:rFonts w:ascii="Times New Roman" w:hAnsi="Times New Roman" w:cs="Times New Roman"/>
          <w:sz w:val="20"/>
          <w:szCs w:val="20"/>
        </w:rPr>
        <w:t xml:space="preserve"> </w:t>
      </w:r>
    </w:p>
  </w:footnote>
  <w:footnote w:id="100">
    <w:p w:rsidR="00821F17" w:rsidRDefault="006B159E">
      <w:pPr>
        <w:pStyle w:val="FootnoteText"/>
        <w:spacing w:after="0"/>
        <w:ind w:left="360" w:hanging="360"/>
        <w:rPr>
          <w:rFonts w:ascii="Times New Roman" w:hAnsi="Times New Roman" w:cs="Times New Roman"/>
          <w:sz w:val="20"/>
          <w:szCs w:val="20"/>
          <w:lang w:val="nl-NL"/>
        </w:rPr>
      </w:pPr>
      <w:r>
        <w:rPr>
          <w:rStyle w:val="FootnoteReference"/>
          <w:rFonts w:ascii="Times New Roman" w:hAnsi="Times New Roman" w:cs="Times New Roman"/>
          <w:sz w:val="20"/>
          <w:szCs w:val="20"/>
        </w:rPr>
        <w:footnoteRef/>
      </w:r>
      <w:r>
        <w:rPr>
          <w:rFonts w:ascii="Times New Roman" w:hAnsi="Times New Roman" w:cs="Times New Roman"/>
          <w:sz w:val="20"/>
          <w:szCs w:val="20"/>
          <w:lang w:val="nl-NL"/>
        </w:rPr>
        <w:t xml:space="preserve"> </w:t>
      </w:r>
      <w:r>
        <w:rPr>
          <w:rFonts w:ascii="Times New Roman" w:hAnsi="Times New Roman" w:cs="Times New Roman"/>
          <w:sz w:val="20"/>
          <w:szCs w:val="20"/>
          <w:lang w:val="nl-NL"/>
        </w:rPr>
        <w:tab/>
      </w:r>
      <w:r>
        <w:rPr>
          <w:rFonts w:ascii="Times New Roman" w:hAnsi="Times New Roman" w:cs="Times New Roman"/>
          <w:sz w:val="20"/>
          <w:szCs w:val="20"/>
          <w:lang w:val="nl-NL"/>
        </w:rPr>
        <w:t>BG, CZ, FR, EL, IE, IT, LV, LT, PL, UK.</w:t>
      </w:r>
    </w:p>
  </w:footnote>
  <w:footnote w:id="101">
    <w:p w:rsidR="00821F17" w:rsidRDefault="006B159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t>AT, CY, EE, FI, DE, HU, LU, RO, SK, SI, ES.</w:t>
      </w:r>
    </w:p>
  </w:footnote>
  <w:footnote w:id="102">
    <w:p w:rsidR="00821F17" w:rsidRDefault="006B159E">
      <w:pPr>
        <w:pStyle w:val="FootnoteText"/>
        <w:spacing w:after="0"/>
        <w:ind w:left="360" w:hanging="360"/>
        <w:rPr>
          <w:rFonts w:ascii="Times New Roman" w:hAnsi="Times New Roman" w:cs="Times New Roman"/>
          <w:sz w:val="20"/>
          <w:szCs w:val="20"/>
          <w:lang w:val="nl-NL"/>
        </w:rPr>
      </w:pPr>
      <w:r>
        <w:rPr>
          <w:rStyle w:val="FootnoteReference"/>
          <w:rFonts w:ascii="Times New Roman" w:hAnsi="Times New Roman" w:cs="Times New Roman"/>
          <w:sz w:val="20"/>
          <w:szCs w:val="20"/>
        </w:rPr>
        <w:footnoteRef/>
      </w:r>
      <w:r>
        <w:rPr>
          <w:rFonts w:ascii="Times New Roman" w:hAnsi="Times New Roman" w:cs="Times New Roman"/>
          <w:sz w:val="20"/>
          <w:szCs w:val="20"/>
          <w:lang w:val="nl-NL"/>
        </w:rPr>
        <w:t xml:space="preserve"> </w:t>
      </w:r>
      <w:r>
        <w:rPr>
          <w:rFonts w:ascii="Times New Roman" w:hAnsi="Times New Roman" w:cs="Times New Roman"/>
          <w:sz w:val="20"/>
          <w:szCs w:val="20"/>
          <w:lang w:val="nl-NL"/>
        </w:rPr>
        <w:tab/>
        <w:t>EE, HU, LU, RO, SK, UK.</w:t>
      </w:r>
    </w:p>
  </w:footnote>
  <w:footnote w:id="103">
    <w:p w:rsidR="00821F17" w:rsidRDefault="006B159E">
      <w:pPr>
        <w:pStyle w:val="FootnoteText"/>
        <w:spacing w:after="0"/>
        <w:ind w:left="360" w:hanging="360"/>
        <w:rPr>
          <w:rFonts w:ascii="Times New Roman" w:hAnsi="Times New Roman" w:cs="Times New Roman"/>
          <w:sz w:val="20"/>
          <w:szCs w:val="20"/>
          <w:lang w:val="nl-NL"/>
        </w:rPr>
      </w:pPr>
      <w:r>
        <w:rPr>
          <w:rStyle w:val="FootnoteReference"/>
          <w:rFonts w:ascii="Times New Roman" w:hAnsi="Times New Roman" w:cs="Times New Roman"/>
          <w:sz w:val="20"/>
          <w:szCs w:val="20"/>
        </w:rPr>
        <w:footnoteRef/>
      </w:r>
      <w:r>
        <w:rPr>
          <w:rFonts w:ascii="Times New Roman" w:hAnsi="Times New Roman" w:cs="Times New Roman"/>
          <w:sz w:val="20"/>
          <w:szCs w:val="20"/>
          <w:lang w:val="nl-NL"/>
        </w:rPr>
        <w:t xml:space="preserve"> </w:t>
      </w:r>
      <w:r>
        <w:rPr>
          <w:rFonts w:ascii="Times New Roman" w:hAnsi="Times New Roman" w:cs="Times New Roman"/>
          <w:sz w:val="20"/>
          <w:szCs w:val="20"/>
          <w:lang w:val="nl-NL"/>
        </w:rPr>
        <w:tab/>
        <w:t>EE, HU, LU, UK.</w:t>
      </w:r>
    </w:p>
  </w:footnote>
  <w:footnote w:id="104">
    <w:p w:rsidR="00821F17" w:rsidRDefault="006B159E">
      <w:pPr>
        <w:pStyle w:val="FootnoteText"/>
        <w:spacing w:after="0"/>
        <w:ind w:left="360" w:hanging="360"/>
        <w:rPr>
          <w:rFonts w:ascii="Times New Roman" w:hAnsi="Times New Roman" w:cs="Times New Roman"/>
          <w:sz w:val="20"/>
          <w:szCs w:val="20"/>
          <w:lang w:val="da-DK"/>
        </w:rPr>
      </w:pPr>
      <w:r>
        <w:rPr>
          <w:rStyle w:val="FootnoteReference"/>
          <w:rFonts w:ascii="Times New Roman" w:hAnsi="Times New Roman" w:cs="Times New Roman"/>
          <w:sz w:val="20"/>
          <w:szCs w:val="20"/>
        </w:rPr>
        <w:footnoteRef/>
      </w:r>
      <w:r>
        <w:rPr>
          <w:rFonts w:ascii="Times New Roman" w:hAnsi="Times New Roman" w:cs="Times New Roman"/>
          <w:sz w:val="20"/>
          <w:szCs w:val="20"/>
          <w:lang w:val="da-DK"/>
        </w:rPr>
        <w:t xml:space="preserve"> </w:t>
      </w:r>
      <w:r>
        <w:rPr>
          <w:rFonts w:ascii="Times New Roman" w:hAnsi="Times New Roman" w:cs="Times New Roman"/>
          <w:sz w:val="20"/>
          <w:szCs w:val="20"/>
          <w:lang w:val="da-DK"/>
        </w:rPr>
        <w:tab/>
        <w:t>SK, DE, HU.</w:t>
      </w:r>
    </w:p>
  </w:footnote>
  <w:footnote w:id="105">
    <w:p w:rsidR="00821F17" w:rsidRDefault="006B159E">
      <w:pPr>
        <w:pStyle w:val="FootnoteText"/>
        <w:spacing w:after="0"/>
        <w:ind w:left="360" w:hanging="360"/>
        <w:rPr>
          <w:rFonts w:ascii="Times New Roman" w:hAnsi="Times New Roman" w:cs="Times New Roman"/>
          <w:sz w:val="20"/>
          <w:szCs w:val="20"/>
          <w:lang w:val="da-DK"/>
        </w:rPr>
      </w:pPr>
      <w:r>
        <w:rPr>
          <w:rStyle w:val="FootnoteReference"/>
          <w:rFonts w:ascii="Times New Roman" w:hAnsi="Times New Roman" w:cs="Times New Roman"/>
          <w:sz w:val="20"/>
          <w:szCs w:val="20"/>
        </w:rPr>
        <w:footnoteRef/>
      </w:r>
      <w:r>
        <w:rPr>
          <w:rFonts w:ascii="Times New Roman" w:hAnsi="Times New Roman" w:cs="Times New Roman"/>
          <w:sz w:val="20"/>
          <w:szCs w:val="20"/>
          <w:lang w:val="da-DK"/>
        </w:rPr>
        <w:t xml:space="preserve"> </w:t>
      </w:r>
      <w:r>
        <w:rPr>
          <w:rFonts w:ascii="Times New Roman" w:hAnsi="Times New Roman" w:cs="Times New Roman"/>
          <w:sz w:val="20"/>
          <w:szCs w:val="20"/>
          <w:lang w:val="da-DK"/>
        </w:rPr>
        <w:tab/>
        <w:t>HU, LU.</w:t>
      </w:r>
    </w:p>
  </w:footnote>
  <w:footnote w:id="106">
    <w:p w:rsidR="00821F17" w:rsidRDefault="006B159E">
      <w:pPr>
        <w:pStyle w:val="FootnoteText"/>
        <w:spacing w:after="0"/>
        <w:ind w:left="360" w:hanging="360"/>
        <w:rPr>
          <w:rFonts w:ascii="Times New Roman" w:hAnsi="Times New Roman" w:cs="Times New Roman"/>
          <w:sz w:val="20"/>
          <w:szCs w:val="20"/>
          <w:lang w:val="da-DK"/>
        </w:rPr>
      </w:pPr>
      <w:r>
        <w:rPr>
          <w:rStyle w:val="FootnoteReference"/>
          <w:rFonts w:ascii="Times New Roman" w:hAnsi="Times New Roman" w:cs="Times New Roman"/>
          <w:sz w:val="20"/>
          <w:szCs w:val="20"/>
        </w:rPr>
        <w:footnoteRef/>
      </w:r>
      <w:r>
        <w:rPr>
          <w:rFonts w:ascii="Times New Roman" w:hAnsi="Times New Roman" w:cs="Times New Roman"/>
          <w:sz w:val="20"/>
          <w:szCs w:val="20"/>
          <w:lang w:val="da-DK"/>
        </w:rPr>
        <w:t xml:space="preserve"> </w:t>
      </w:r>
      <w:r>
        <w:rPr>
          <w:rFonts w:ascii="Times New Roman" w:hAnsi="Times New Roman" w:cs="Times New Roman"/>
          <w:sz w:val="20"/>
          <w:szCs w:val="20"/>
          <w:lang w:val="da-DK"/>
        </w:rPr>
        <w:tab/>
        <w:t>BE, MT, NL, PT, SE.</w:t>
      </w:r>
    </w:p>
  </w:footnote>
  <w:footnote w:id="107">
    <w:p w:rsidR="00821F17" w:rsidRDefault="006B159E">
      <w:pPr>
        <w:pStyle w:val="FootnoteText"/>
        <w:spacing w:after="0"/>
        <w:ind w:left="360" w:hanging="360"/>
        <w:rPr>
          <w:rFonts w:ascii="Times New Roman" w:hAnsi="Times New Roman" w:cs="Times New Roman"/>
          <w:sz w:val="20"/>
          <w:szCs w:val="20"/>
          <w:lang w:val="da-DK"/>
        </w:rPr>
      </w:pPr>
      <w:r>
        <w:rPr>
          <w:rStyle w:val="FootnoteReference"/>
          <w:rFonts w:ascii="Times New Roman" w:hAnsi="Times New Roman" w:cs="Times New Roman"/>
          <w:sz w:val="20"/>
          <w:szCs w:val="20"/>
        </w:rPr>
        <w:footnoteRef/>
      </w:r>
      <w:r>
        <w:rPr>
          <w:rFonts w:ascii="Times New Roman" w:hAnsi="Times New Roman" w:cs="Times New Roman"/>
          <w:sz w:val="20"/>
          <w:szCs w:val="20"/>
          <w:lang w:val="da-DK"/>
        </w:rPr>
        <w:t xml:space="preserve"> </w:t>
      </w:r>
      <w:r>
        <w:rPr>
          <w:rFonts w:ascii="Times New Roman" w:hAnsi="Times New Roman" w:cs="Times New Roman"/>
          <w:sz w:val="20"/>
          <w:szCs w:val="20"/>
          <w:lang w:val="da-DK"/>
        </w:rPr>
        <w:tab/>
        <w:t>AT, CZ, FI, FR, DE, EL, HU, IR, IT, LV, LT, LU, PL, PT, RO, SK, SL, ES,</w:t>
      </w:r>
      <w:r>
        <w:rPr>
          <w:rFonts w:ascii="Times New Roman" w:hAnsi="Times New Roman" w:cs="Times New Roman"/>
          <w:sz w:val="20"/>
          <w:szCs w:val="20"/>
          <w:lang w:val="da-DK"/>
        </w:rPr>
        <w:t xml:space="preserve"> UK.</w:t>
      </w:r>
    </w:p>
  </w:footnote>
  <w:footnote w:id="108">
    <w:p w:rsidR="00821F17" w:rsidRDefault="006B159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t>AT, BG, CY, EE, FR, DE, EL, IT, LV, LT, PL, PT, SK, ES, UK.</w:t>
      </w:r>
    </w:p>
  </w:footnote>
  <w:footnote w:id="109">
    <w:p w:rsidR="00821F17" w:rsidRDefault="006B159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t>CY, LV, UK.</w:t>
      </w:r>
    </w:p>
  </w:footnote>
  <w:footnote w:id="110">
    <w:p w:rsidR="00821F17" w:rsidRDefault="006B159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ab/>
        <w:t>EE, EL, IT, LT, LV.</w:t>
      </w:r>
    </w:p>
  </w:footnote>
  <w:footnote w:id="111">
    <w:p w:rsidR="00821F17" w:rsidRDefault="006B159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t>AT, BE, BG, CZ, DE, FI, HU, LU, NL, PL, PT, RO, SE, SK.</w:t>
      </w:r>
    </w:p>
  </w:footnote>
  <w:footnote w:id="112">
    <w:p w:rsidR="00821F17" w:rsidRDefault="006B159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t>BG, SE.</w:t>
      </w:r>
    </w:p>
  </w:footnote>
  <w:footnote w:id="113">
    <w:p w:rsidR="00821F17" w:rsidRDefault="006B159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t>HU, RO.</w:t>
      </w:r>
    </w:p>
  </w:footnote>
  <w:footnote w:id="114">
    <w:p w:rsidR="00821F17" w:rsidRDefault="006B159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t>AT, DE.</w:t>
      </w:r>
    </w:p>
  </w:footnote>
  <w:footnote w:id="115">
    <w:p w:rsidR="00821F17" w:rsidRDefault="006B159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t>CZ, LU, NL, PL, PT.</w:t>
      </w:r>
    </w:p>
  </w:footnote>
  <w:footnote w:id="116">
    <w:p w:rsidR="00821F17" w:rsidRDefault="006B159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t>BG, CZ, FR, DE, HU, IE, NL, LV, P</w:t>
      </w:r>
      <w:r>
        <w:rPr>
          <w:rFonts w:ascii="Times New Roman" w:hAnsi="Times New Roman" w:cs="Times New Roman"/>
          <w:sz w:val="20"/>
          <w:szCs w:val="20"/>
          <w:lang w:val="es-ES"/>
        </w:rPr>
        <w:t>T, RO.</w:t>
      </w:r>
    </w:p>
  </w:footnote>
  <w:footnote w:id="117">
    <w:p w:rsidR="00821F17" w:rsidRDefault="006B159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t>AT, BE, CY, EL, HU, LU, PL, RO.</w:t>
      </w:r>
    </w:p>
  </w:footnote>
  <w:footnote w:id="118">
    <w:p w:rsidR="00821F17" w:rsidRDefault="006B159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t>FR, LV, ES.</w:t>
      </w:r>
    </w:p>
  </w:footnote>
  <w:footnote w:id="119">
    <w:p w:rsidR="00821F17" w:rsidRDefault="006B159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t>BG, CY, CZ, MT.</w:t>
      </w:r>
    </w:p>
  </w:footnote>
  <w:footnote w:id="120">
    <w:p w:rsidR="00821F17" w:rsidRDefault="006B159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t>CY, EE, FI, LU, MT.</w:t>
      </w:r>
    </w:p>
  </w:footnote>
  <w:footnote w:id="121">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 xml:space="preserve">Article 1(4) Council Decision of 25 June 2007 establishing the European Fund for the Integration of third-country nationals for the period 2007 to 2013 as part of the General programme ‘Solidarity and Management of Migration Flows’, OJ L 168, 28.6.2007. </w:t>
      </w:r>
    </w:p>
  </w:footnote>
  <w:footnote w:id="122">
    <w:p w:rsidR="00821F17" w:rsidRDefault="006B159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t>DE, EE, EL, ES, HU, LT, MT, RO, UK.</w:t>
      </w:r>
    </w:p>
  </w:footnote>
  <w:footnote w:id="123">
    <w:p w:rsidR="00821F17" w:rsidRDefault="006B159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t>BE, BG, CY, EE, MT, NL, SE.</w:t>
      </w:r>
    </w:p>
  </w:footnote>
  <w:footnote w:id="124">
    <w:p w:rsidR="00821F17" w:rsidRDefault="006B159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t>BG, FR, EL, HU, IT, LV, PT, RO, SK, SI, ES, UK.</w:t>
      </w:r>
    </w:p>
  </w:footnote>
  <w:footnote w:id="125">
    <w:p w:rsidR="00821F17" w:rsidRDefault="006B159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t>BG, CZ, FR, EL, HU, LV, LT, LU, RO, SK, SI, ES, UK.</w:t>
      </w:r>
    </w:p>
  </w:footnote>
  <w:footnote w:id="126">
    <w:p w:rsidR="00821F17" w:rsidRDefault="006B159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t>BE, CY, CZ, DE, ES, FR, HU, IE, LT, LU, LV, SI, UK.</w:t>
      </w:r>
    </w:p>
  </w:footnote>
  <w:footnote w:id="127">
    <w:p w:rsidR="00821F17" w:rsidRDefault="006B159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t>AT, EE, EL, MT, NL, PL,</w:t>
      </w:r>
      <w:r>
        <w:rPr>
          <w:rFonts w:ascii="Times New Roman" w:hAnsi="Times New Roman" w:cs="Times New Roman"/>
          <w:sz w:val="20"/>
          <w:szCs w:val="20"/>
          <w:lang w:val="es-ES"/>
        </w:rPr>
        <w:t xml:space="preserve"> PT, RO.</w:t>
      </w:r>
    </w:p>
  </w:footnote>
  <w:footnote w:id="128">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FI, IT, SE, SK.</w:t>
      </w:r>
    </w:p>
  </w:footnote>
  <w:footnote w:id="129">
    <w:p w:rsidR="00821F17" w:rsidRDefault="006B159E">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Portugal provided no information regarding this issue, and the Netherlands faced difficulties relating to the definition of target groups, the small contribution of the EIF, and the administrative burden.</w:t>
      </w:r>
    </w:p>
  </w:footnote>
  <w:footnote w:id="130">
    <w:p w:rsidR="00821F17" w:rsidRDefault="006B159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t>CZ, FR, LU.</w:t>
      </w:r>
    </w:p>
  </w:footnote>
  <w:footnote w:id="131">
    <w:p w:rsidR="00821F17" w:rsidRDefault="006B159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r>
      <w:r>
        <w:rPr>
          <w:rFonts w:ascii="Times New Roman" w:hAnsi="Times New Roman" w:cs="Times New Roman"/>
          <w:bCs/>
          <w:sz w:val="20"/>
          <w:szCs w:val="20"/>
          <w:lang w:val="es-ES"/>
        </w:rPr>
        <w:t>BE</w:t>
      </w:r>
      <w:r>
        <w:rPr>
          <w:rFonts w:ascii="Times New Roman" w:hAnsi="Times New Roman" w:cs="Times New Roman"/>
          <w:bCs/>
          <w:sz w:val="20"/>
          <w:szCs w:val="20"/>
          <w:lang w:val="es-ES"/>
        </w:rPr>
        <w:t>, DE, EL, ES, FI, FR, IT, SE, SI.</w:t>
      </w:r>
    </w:p>
  </w:footnote>
  <w:footnote w:id="132">
    <w:p w:rsidR="00821F17" w:rsidRDefault="006B159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t>RO.</w:t>
      </w:r>
    </w:p>
  </w:footnote>
  <w:footnote w:id="133">
    <w:p w:rsidR="00821F17" w:rsidRDefault="006B159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r>
      <w:r>
        <w:rPr>
          <w:rFonts w:ascii="Times New Roman" w:hAnsi="Times New Roman" w:cs="Times New Roman"/>
          <w:bCs/>
          <w:sz w:val="20"/>
          <w:szCs w:val="20"/>
          <w:lang w:val="es-ES"/>
        </w:rPr>
        <w:t>EE, ES, LV, MT, NL, PL, SE, SI, UK.</w:t>
      </w:r>
    </w:p>
  </w:footnote>
  <w:footnote w:id="134">
    <w:p w:rsidR="00821F17" w:rsidRDefault="006B159E">
      <w:pPr>
        <w:pStyle w:val="FootnoteText"/>
        <w:spacing w:after="0"/>
        <w:ind w:left="360" w:hanging="360"/>
        <w:rPr>
          <w:rFonts w:ascii="Times New Roman" w:hAnsi="Times New Roman" w:cs="Times New Roman"/>
          <w:sz w:val="20"/>
          <w:szCs w:val="20"/>
          <w:lang w:val="pl-PL"/>
        </w:rPr>
      </w:pPr>
      <w:r>
        <w:rPr>
          <w:rStyle w:val="FootnoteReference"/>
          <w:rFonts w:ascii="Times New Roman" w:hAnsi="Times New Roman" w:cs="Times New Roman"/>
          <w:sz w:val="20"/>
          <w:szCs w:val="20"/>
        </w:rPr>
        <w:footnoteRef/>
      </w:r>
      <w:r>
        <w:rPr>
          <w:rFonts w:ascii="Times New Roman" w:hAnsi="Times New Roman" w:cs="Times New Roman"/>
          <w:sz w:val="20"/>
          <w:szCs w:val="20"/>
          <w:lang w:val="pl-PL"/>
        </w:rPr>
        <w:t xml:space="preserve"> </w:t>
      </w:r>
      <w:r>
        <w:rPr>
          <w:rFonts w:ascii="Times New Roman" w:hAnsi="Times New Roman" w:cs="Times New Roman"/>
          <w:sz w:val="20"/>
          <w:szCs w:val="20"/>
          <w:lang w:val="pl-PL"/>
        </w:rPr>
        <w:tab/>
        <w:t>CY.</w:t>
      </w:r>
    </w:p>
  </w:footnote>
  <w:footnote w:id="135">
    <w:p w:rsidR="00821F17" w:rsidRDefault="006B159E">
      <w:pPr>
        <w:pStyle w:val="FootnoteText"/>
        <w:spacing w:after="0"/>
        <w:ind w:left="360" w:hanging="360"/>
        <w:rPr>
          <w:rFonts w:ascii="Times New Roman" w:hAnsi="Times New Roman" w:cs="Times New Roman"/>
          <w:sz w:val="20"/>
          <w:szCs w:val="20"/>
          <w:lang w:val="pl-PL"/>
        </w:rPr>
      </w:pPr>
      <w:r>
        <w:rPr>
          <w:rStyle w:val="FootnoteReference"/>
          <w:rFonts w:ascii="Times New Roman" w:hAnsi="Times New Roman" w:cs="Times New Roman"/>
          <w:sz w:val="20"/>
          <w:szCs w:val="20"/>
        </w:rPr>
        <w:footnoteRef/>
      </w:r>
      <w:r>
        <w:rPr>
          <w:rFonts w:ascii="Times New Roman" w:hAnsi="Times New Roman" w:cs="Times New Roman"/>
          <w:sz w:val="20"/>
          <w:szCs w:val="20"/>
          <w:lang w:val="pl-PL"/>
        </w:rPr>
        <w:t xml:space="preserve"> </w:t>
      </w:r>
      <w:r>
        <w:rPr>
          <w:rFonts w:ascii="Times New Roman" w:hAnsi="Times New Roman" w:cs="Times New Roman"/>
          <w:sz w:val="20"/>
          <w:szCs w:val="20"/>
          <w:lang w:val="pl-PL"/>
        </w:rPr>
        <w:tab/>
      </w:r>
      <w:r>
        <w:rPr>
          <w:rFonts w:ascii="Times New Roman" w:hAnsi="Times New Roman" w:cs="Times New Roman"/>
          <w:bCs/>
          <w:sz w:val="20"/>
          <w:szCs w:val="20"/>
          <w:lang w:val="pl-PL"/>
        </w:rPr>
        <w:t>CY, CZ, EE, FI, PL.</w:t>
      </w:r>
    </w:p>
  </w:footnote>
  <w:footnote w:id="136">
    <w:p w:rsidR="00821F17" w:rsidRDefault="006B159E">
      <w:pPr>
        <w:pStyle w:val="FootnoteText"/>
        <w:spacing w:after="0"/>
        <w:ind w:left="360" w:hanging="360"/>
        <w:rPr>
          <w:rFonts w:ascii="Times New Roman" w:hAnsi="Times New Roman" w:cs="Times New Roman"/>
          <w:sz w:val="20"/>
          <w:szCs w:val="20"/>
          <w:lang w:val="fr-BE"/>
        </w:rPr>
      </w:pPr>
      <w:r>
        <w:rPr>
          <w:rStyle w:val="FootnoteReference"/>
          <w:rFonts w:ascii="Times New Roman" w:hAnsi="Times New Roman" w:cs="Times New Roman"/>
          <w:sz w:val="20"/>
          <w:szCs w:val="20"/>
        </w:rPr>
        <w:footnoteRef/>
      </w:r>
      <w:r>
        <w:rPr>
          <w:rFonts w:ascii="Times New Roman" w:hAnsi="Times New Roman" w:cs="Times New Roman"/>
          <w:sz w:val="20"/>
          <w:szCs w:val="20"/>
          <w:lang w:val="fr-BE"/>
        </w:rPr>
        <w:t xml:space="preserve"> </w:t>
      </w:r>
      <w:r>
        <w:rPr>
          <w:rFonts w:ascii="Times New Roman" w:hAnsi="Times New Roman" w:cs="Times New Roman"/>
          <w:sz w:val="20"/>
          <w:szCs w:val="20"/>
          <w:lang w:val="fr-BE"/>
        </w:rPr>
        <w:tab/>
        <w:t>AT, CZ, DE, LT, LU, MT, NL, PL, SK, SE.</w:t>
      </w:r>
    </w:p>
  </w:footnote>
  <w:footnote w:id="137">
    <w:p w:rsidR="00821F17" w:rsidRDefault="006B159E">
      <w:pPr>
        <w:pStyle w:val="FootnoteText"/>
        <w:spacing w:after="0"/>
        <w:ind w:left="360" w:hanging="36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AT, </w:t>
      </w:r>
      <w:r>
        <w:rPr>
          <w:rFonts w:ascii="Times New Roman" w:hAnsi="Times New Roman" w:cs="Times New Roman"/>
          <w:sz w:val="20"/>
          <w:szCs w:val="20"/>
          <w:lang w:val="es-ES"/>
        </w:rPr>
        <w:t>BE, FR, NL, SK, SE, HU, ES, UK.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59E" w:rsidRPr="006B159E" w:rsidRDefault="006B159E" w:rsidP="006B15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59E" w:rsidRPr="006B159E" w:rsidRDefault="006B159E" w:rsidP="006B159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59E" w:rsidRPr="006B159E" w:rsidRDefault="006B159E" w:rsidP="006B159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17" w:rsidRDefault="00821F1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17" w:rsidRDefault="00821F17">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17" w:rsidRDefault="00821F17">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17" w:rsidRDefault="00821F1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17" w:rsidRDefault="00821F1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17" w:rsidRDefault="00821F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5268"/>
    <w:multiLevelType w:val="hybridMultilevel"/>
    <w:tmpl w:val="2EBADFD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3F620EF"/>
    <w:multiLevelType w:val="hybridMultilevel"/>
    <w:tmpl w:val="4240F1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4F85B63"/>
    <w:multiLevelType w:val="hybridMultilevel"/>
    <w:tmpl w:val="697646AA"/>
    <w:lvl w:ilvl="0" w:tplc="CAFA4F56">
      <w:numFmt w:val="bullet"/>
      <w:lvlText w:val="•"/>
      <w:lvlJc w:val="left"/>
      <w:pPr>
        <w:ind w:left="720" w:hanging="360"/>
      </w:pPr>
      <w:rPr>
        <w:rFonts w:ascii="Times New Roman" w:eastAsia="Times New Roman" w:hAnsi="Times New Roman" w:cs="Times New Roman" w:hint="default"/>
        <w:color w:val="002395"/>
      </w:rPr>
    </w:lvl>
    <w:lvl w:ilvl="1" w:tplc="E5CA32CC">
      <w:start w:val="1"/>
      <w:numFmt w:val="bullet"/>
      <w:lvlText w:val="-"/>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nsid w:val="0B06239E"/>
    <w:multiLevelType w:val="hybridMultilevel"/>
    <w:tmpl w:val="1896A19E"/>
    <w:lvl w:ilvl="0" w:tplc="9EA6C6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B86942"/>
    <w:multiLevelType w:val="hybridMultilevel"/>
    <w:tmpl w:val="AE34B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1A3E93"/>
    <w:multiLevelType w:val="hybridMultilevel"/>
    <w:tmpl w:val="7EC49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AD3E42"/>
    <w:multiLevelType w:val="hybridMultilevel"/>
    <w:tmpl w:val="75385D08"/>
    <w:lvl w:ilvl="0" w:tplc="9EA6C6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726730"/>
    <w:multiLevelType w:val="hybridMultilevel"/>
    <w:tmpl w:val="C04A6B8C"/>
    <w:lvl w:ilvl="0" w:tplc="9EA6C6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F05A9A"/>
    <w:multiLevelType w:val="hybridMultilevel"/>
    <w:tmpl w:val="BB9E0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6144BD4"/>
    <w:multiLevelType w:val="hybridMultilevel"/>
    <w:tmpl w:val="D09C82B0"/>
    <w:lvl w:ilvl="0" w:tplc="10E2FCB0">
      <w:start w:val="1"/>
      <w:numFmt w:val="bullet"/>
      <w:pStyle w:val="bullet"/>
      <w:lvlText w:val=""/>
      <w:lvlJc w:val="left"/>
      <w:pPr>
        <w:ind w:left="720" w:hanging="360"/>
      </w:pPr>
      <w:rPr>
        <w:rFonts w:ascii="Symbol" w:hAnsi="Symbol" w:cs="Symbol" w:hint="default"/>
        <w:color w:val="002395"/>
      </w:rPr>
    </w:lvl>
    <w:lvl w:ilvl="1" w:tplc="E5CA32CC">
      <w:start w:val="1"/>
      <w:numFmt w:val="bullet"/>
      <w:lvlText w:val="-"/>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nsid w:val="3CF07AE7"/>
    <w:multiLevelType w:val="hybridMultilevel"/>
    <w:tmpl w:val="46E2AD0A"/>
    <w:lvl w:ilvl="0" w:tplc="9EA6C6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702960"/>
    <w:multiLevelType w:val="hybridMultilevel"/>
    <w:tmpl w:val="1B6C4AAC"/>
    <w:lvl w:ilvl="0" w:tplc="B8E48C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6228D2"/>
    <w:multiLevelType w:val="hybridMultilevel"/>
    <w:tmpl w:val="539AB2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0BC1E34"/>
    <w:multiLevelType w:val="hybridMultilevel"/>
    <w:tmpl w:val="AA646158"/>
    <w:lvl w:ilvl="0" w:tplc="49860406">
      <w:start w:val="1"/>
      <w:numFmt w:val="decimal"/>
      <w:lvlText w:val="(%1)"/>
      <w:lvlJc w:val="left"/>
      <w:pPr>
        <w:ind w:left="720" w:hanging="360"/>
      </w:pPr>
      <w:rPr>
        <w:rFonts w:hint="default"/>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434446A8"/>
    <w:multiLevelType w:val="hybridMultilevel"/>
    <w:tmpl w:val="97342A5E"/>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44C74288"/>
    <w:multiLevelType w:val="hybridMultilevel"/>
    <w:tmpl w:val="4600C4E6"/>
    <w:lvl w:ilvl="0" w:tplc="9EA6C6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7BF244C"/>
    <w:multiLevelType w:val="hybridMultilevel"/>
    <w:tmpl w:val="5A2CE4A4"/>
    <w:lvl w:ilvl="0" w:tplc="E4B6C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9295FA8"/>
    <w:multiLevelType w:val="hybridMultilevel"/>
    <w:tmpl w:val="F95CD9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96E18AA"/>
    <w:multiLevelType w:val="hybridMultilevel"/>
    <w:tmpl w:val="BE707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59E3B4F"/>
    <w:multiLevelType w:val="hybridMultilevel"/>
    <w:tmpl w:val="30A20668"/>
    <w:lvl w:ilvl="0" w:tplc="9EA6C6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A7586F"/>
    <w:multiLevelType w:val="multilevel"/>
    <w:tmpl w:val="31FA939A"/>
    <w:lvl w:ilvl="0">
      <w:start w:val="1"/>
      <w:numFmt w:val="decimal"/>
      <w:pStyle w:val="Heading1"/>
      <w:lvlText w:val="%1"/>
      <w:lvlJc w:val="left"/>
      <w:pPr>
        <w:ind w:left="432" w:hanging="432"/>
      </w:pPr>
      <w:rPr>
        <w:rFonts w:hint="default"/>
        <w:i w:val="0"/>
        <w:iCs w:val="0"/>
        <w:sz w:val="22"/>
        <w:szCs w:val="22"/>
      </w:rPr>
    </w:lvl>
    <w:lvl w:ilvl="1">
      <w:start w:val="1"/>
      <w:numFmt w:val="decimal"/>
      <w:lvlText w:val="%1.%2"/>
      <w:lvlJc w:val="left"/>
      <w:pPr>
        <w:ind w:left="576" w:hanging="576"/>
      </w:pPr>
      <w:rPr>
        <w:rFonts w:hint="default"/>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9"/>
  </w:num>
  <w:num w:numId="2">
    <w:abstractNumId w:val="20"/>
  </w:num>
  <w:num w:numId="3">
    <w:abstractNumId w:val="2"/>
  </w:num>
  <w:num w:numId="4">
    <w:abstractNumId w:val="11"/>
  </w:num>
  <w:num w:numId="5">
    <w:abstractNumId w:val="4"/>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18"/>
  </w:num>
  <w:num w:numId="10">
    <w:abstractNumId w:val="17"/>
  </w:num>
  <w:num w:numId="11">
    <w:abstractNumId w:val="1"/>
  </w:num>
  <w:num w:numId="12">
    <w:abstractNumId w:val="12"/>
  </w:num>
  <w:num w:numId="13">
    <w:abstractNumId w:val="0"/>
  </w:num>
  <w:num w:numId="14">
    <w:abstractNumId w:val="3"/>
  </w:num>
  <w:num w:numId="15">
    <w:abstractNumId w:val="15"/>
  </w:num>
  <w:num w:numId="16">
    <w:abstractNumId w:val="6"/>
  </w:num>
  <w:num w:numId="17">
    <w:abstractNumId w:val="19"/>
  </w:num>
  <w:num w:numId="18">
    <w:abstractNumId w:val="7"/>
  </w:num>
  <w:num w:numId="19">
    <w:abstractNumId w:val="10"/>
  </w:num>
  <w:num w:numId="20">
    <w:abstractNumId w:val="16"/>
  </w:num>
  <w:num w:numId="21">
    <w:abstractNumId w:val="2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14"/>
  </w:num>
  <w:num w:numId="3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hyphenationZone w:val="425"/>
  <w:characterSpacingControl w:val="doNotCompress"/>
  <w:hdrShapeDefaults>
    <o:shapedefaults v:ext="edit" spidmax="296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D04BB866-09EE-4490-A661-792B2EC1C9B4"/>
    <w:docVar w:name="LW_COVERPAGE_TYPE" w:val="1"/>
    <w:docVar w:name="LW_CROSSREFERENCE" w:val="{COM(2018) 456 final}_x000d__x000a_{SWD(2018) 334 final}_x000d__x000a_{SWD(2018) 335 final}_x000d__x000a_{SWD(2018) 336 final}"/>
    <w:docVar w:name="LW_DocType" w:val="NORMAL"/>
    <w:docVar w:name="LW_EMISSION" w:val="12.6.2018"/>
    <w:docVar w:name="LW_EMISSION_ISODATE" w:val="2018-06-12"/>
    <w:docVar w:name="LW_EMISSION_LOCATION" w:val="BRX"/>
    <w:docVar w:name="LW_EMISSION_PREFIX" w:val="Brussels,"/>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Ex post evaluation reports for the period 2011 to 2013 of actions co-financed by the four Funds under the framework programme 'Solidarity and Management of Migration Flows'"/>
    <w:docVar w:name="LW_PART_NBR" w:val="1"/>
    <w:docVar w:name="LW_PART_NBR_TOTAL" w:val="1"/>
    <w:docVar w:name="LW_REF.INST.NEW" w:val="SWD"/>
    <w:docVar w:name="LW_REF.INST.NEW_ADOPTED" w:val="final"/>
    <w:docVar w:name="LW_REF.INST.NEW_TEXT" w:val="(2018) 3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Ex Post Evaluation of the European Integration Fund 2011-2013 and 2007-2010"/>
    <w:docVar w:name="LW_TYPE.DOC.CP" w:val="COMMISSION STAFF WORKING DOCUMENT"/>
    <w:docVar w:name="LW_TYPEACTEPRINCIPAL.CP" w:val="Report from the Commission to the European Parliament, the Council, the European Economic and Social Committee and the Committee of the Regions "/>
  </w:docVars>
  <w:rsids>
    <w:rsidRoot w:val="00821F17"/>
    <w:rsid w:val="006B159E"/>
    <w:rsid w:val="00821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numPr>
        <w:numId w:val="2"/>
      </w:numPr>
      <w:spacing w:before="240" w:after="240" w:line="240" w:lineRule="auto"/>
      <w:jc w:val="both"/>
      <w:outlineLvl w:val="0"/>
    </w:pPr>
    <w:rPr>
      <w:rFonts w:ascii="Times New Roman" w:eastAsia="Times New Roman" w:hAnsi="Times New Roman" w:cs="Verdana"/>
      <w:b/>
      <w:bCs/>
      <w:smallCaps/>
      <w:sz w:val="20"/>
      <w:szCs w:val="20"/>
      <w:lang w:val="fr-FR"/>
    </w:rPr>
  </w:style>
  <w:style w:type="paragraph" w:styleId="Heading2">
    <w:name w:val="heading 2"/>
    <w:basedOn w:val="Normal"/>
    <w:next w:val="Normal"/>
    <w:link w:val="Heading2Char"/>
    <w:uiPriority w:val="9"/>
    <w:qFormat/>
    <w:pPr>
      <w:keepNext/>
      <w:spacing w:after="240" w:line="240" w:lineRule="auto"/>
      <w:ind w:left="576" w:hanging="576"/>
      <w:jc w:val="both"/>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qFormat/>
    <w:pPr>
      <w:keepNext/>
      <w:spacing w:after="240" w:line="240" w:lineRule="auto"/>
      <w:ind w:firstLine="720"/>
      <w:jc w:val="both"/>
      <w:outlineLvl w:val="2"/>
    </w:pPr>
    <w:rPr>
      <w:rFonts w:ascii="Times New Roman" w:hAnsi="Times New Roman" w:cs="Times New Roman"/>
      <w:b/>
      <w:iCs/>
      <w:sz w:val="24"/>
      <w:szCs w:val="24"/>
      <w:u w:val="single"/>
    </w:rPr>
  </w:style>
  <w:style w:type="paragraph" w:styleId="Heading4">
    <w:name w:val="heading 4"/>
    <w:basedOn w:val="Normal"/>
    <w:next w:val="Normal"/>
    <w:link w:val="Heading4Char"/>
    <w:uiPriority w:val="9"/>
    <w:qFormat/>
    <w:pPr>
      <w:keepNext/>
      <w:numPr>
        <w:ilvl w:val="3"/>
        <w:numId w:val="2"/>
      </w:numPr>
      <w:spacing w:after="240" w:line="240" w:lineRule="auto"/>
      <w:jc w:val="both"/>
      <w:outlineLvl w:val="3"/>
    </w:pPr>
    <w:rPr>
      <w:rFonts w:ascii="Verdana" w:eastAsia="Times New Roman" w:hAnsi="Verdana" w:cs="Verdana"/>
      <w:sz w:val="20"/>
      <w:szCs w:val="20"/>
      <w:lang w:val="fr-FR"/>
    </w:rPr>
  </w:style>
  <w:style w:type="paragraph" w:styleId="Heading5">
    <w:name w:val="heading 5"/>
    <w:basedOn w:val="Normal"/>
    <w:next w:val="Normal"/>
    <w:link w:val="Heading5Char"/>
    <w:uiPriority w:val="99"/>
    <w:qFormat/>
    <w:pPr>
      <w:numPr>
        <w:ilvl w:val="4"/>
        <w:numId w:val="2"/>
      </w:numPr>
      <w:spacing w:before="240" w:after="60" w:line="240" w:lineRule="auto"/>
      <w:jc w:val="both"/>
      <w:outlineLvl w:val="4"/>
    </w:pPr>
    <w:rPr>
      <w:rFonts w:ascii="Arial" w:eastAsia="Times New Roman" w:hAnsi="Arial" w:cs="Arial"/>
      <w:lang w:val="fr-FR"/>
    </w:rPr>
  </w:style>
  <w:style w:type="paragraph" w:styleId="Heading6">
    <w:name w:val="heading 6"/>
    <w:basedOn w:val="Normal"/>
    <w:next w:val="Normal"/>
    <w:link w:val="Heading6Char"/>
    <w:uiPriority w:val="99"/>
    <w:qFormat/>
    <w:pPr>
      <w:numPr>
        <w:ilvl w:val="5"/>
        <w:numId w:val="2"/>
      </w:numPr>
      <w:spacing w:before="240" w:after="60" w:line="240" w:lineRule="auto"/>
      <w:jc w:val="both"/>
      <w:outlineLvl w:val="5"/>
    </w:pPr>
    <w:rPr>
      <w:rFonts w:ascii="Arial" w:eastAsia="Times New Roman" w:hAnsi="Arial" w:cs="Arial"/>
      <w:i/>
      <w:iCs/>
      <w:lang w:val="fr-FR"/>
    </w:rPr>
  </w:style>
  <w:style w:type="paragraph" w:styleId="Heading7">
    <w:name w:val="heading 7"/>
    <w:basedOn w:val="Normal"/>
    <w:next w:val="Normal"/>
    <w:link w:val="Heading7Char"/>
    <w:uiPriority w:val="99"/>
    <w:qFormat/>
    <w:pPr>
      <w:numPr>
        <w:ilvl w:val="6"/>
        <w:numId w:val="2"/>
      </w:numPr>
      <w:spacing w:before="240" w:after="60" w:line="240" w:lineRule="auto"/>
      <w:jc w:val="both"/>
      <w:outlineLvl w:val="6"/>
    </w:pPr>
    <w:rPr>
      <w:rFonts w:ascii="Arial" w:eastAsia="Times New Roman" w:hAnsi="Arial" w:cs="Arial"/>
      <w:sz w:val="20"/>
      <w:szCs w:val="20"/>
      <w:lang w:val="fr-FR"/>
    </w:rPr>
  </w:style>
  <w:style w:type="paragraph" w:styleId="Heading8">
    <w:name w:val="heading 8"/>
    <w:basedOn w:val="Normal"/>
    <w:next w:val="Normal"/>
    <w:link w:val="Heading8Char"/>
    <w:uiPriority w:val="99"/>
    <w:qFormat/>
    <w:pPr>
      <w:numPr>
        <w:ilvl w:val="7"/>
        <w:numId w:val="2"/>
      </w:numPr>
      <w:spacing w:before="240" w:after="60" w:line="240" w:lineRule="auto"/>
      <w:jc w:val="both"/>
      <w:outlineLvl w:val="7"/>
    </w:pPr>
    <w:rPr>
      <w:rFonts w:ascii="Arial" w:eastAsia="Times New Roman" w:hAnsi="Arial" w:cs="Arial"/>
      <w:i/>
      <w:iCs/>
      <w:sz w:val="20"/>
      <w:szCs w:val="20"/>
      <w:lang w:val="fr-FR"/>
    </w:rPr>
  </w:style>
  <w:style w:type="paragraph" w:styleId="Heading9">
    <w:name w:val="heading 9"/>
    <w:basedOn w:val="Normal"/>
    <w:next w:val="Normal"/>
    <w:link w:val="Heading9Char"/>
    <w:uiPriority w:val="99"/>
    <w:qFormat/>
    <w:pPr>
      <w:numPr>
        <w:ilvl w:val="8"/>
        <w:numId w:val="2"/>
      </w:numPr>
      <w:spacing w:before="240" w:after="60" w:line="240" w:lineRule="auto"/>
      <w:jc w:val="both"/>
      <w:outlineLvl w:val="8"/>
    </w:pPr>
    <w:rPr>
      <w:rFonts w:ascii="Arial" w:eastAsia="Times New Roman" w:hAnsi="Arial" w:cs="Arial"/>
      <w:i/>
      <w:iCs/>
      <w:sz w:val="18"/>
      <w:szCs w:val="18"/>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Verdana"/>
      <w:b/>
      <w:bCs/>
      <w:smallCaps/>
      <w:sz w:val="20"/>
      <w:szCs w:val="20"/>
      <w:lang w:val="fr-FR"/>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Pr>
      <w:rFonts w:ascii="Times New Roman" w:hAnsi="Times New Roman" w:cs="Times New Roman"/>
      <w:b/>
      <w:iCs/>
      <w:sz w:val="24"/>
      <w:szCs w:val="24"/>
      <w:u w:val="single"/>
    </w:rPr>
  </w:style>
  <w:style w:type="character" w:customStyle="1" w:styleId="Heading4Char">
    <w:name w:val="Heading 4 Char"/>
    <w:basedOn w:val="DefaultParagraphFont"/>
    <w:link w:val="Heading4"/>
    <w:uiPriority w:val="9"/>
    <w:rPr>
      <w:rFonts w:ascii="Verdana" w:eastAsia="Times New Roman" w:hAnsi="Verdana" w:cs="Verdana"/>
      <w:sz w:val="20"/>
      <w:szCs w:val="20"/>
      <w:lang w:val="fr-FR"/>
    </w:rPr>
  </w:style>
  <w:style w:type="character" w:customStyle="1" w:styleId="Heading5Char">
    <w:name w:val="Heading 5 Char"/>
    <w:basedOn w:val="DefaultParagraphFont"/>
    <w:link w:val="Heading5"/>
    <w:uiPriority w:val="99"/>
    <w:rPr>
      <w:rFonts w:ascii="Arial" w:eastAsia="Times New Roman" w:hAnsi="Arial" w:cs="Arial"/>
      <w:lang w:val="fr-FR"/>
    </w:rPr>
  </w:style>
  <w:style w:type="character" w:customStyle="1" w:styleId="Heading6Char">
    <w:name w:val="Heading 6 Char"/>
    <w:basedOn w:val="DefaultParagraphFont"/>
    <w:link w:val="Heading6"/>
    <w:uiPriority w:val="99"/>
    <w:rPr>
      <w:rFonts w:ascii="Arial" w:eastAsia="Times New Roman" w:hAnsi="Arial" w:cs="Arial"/>
      <w:i/>
      <w:iCs/>
      <w:lang w:val="fr-FR"/>
    </w:rPr>
  </w:style>
  <w:style w:type="character" w:customStyle="1" w:styleId="Heading7Char">
    <w:name w:val="Heading 7 Char"/>
    <w:basedOn w:val="DefaultParagraphFont"/>
    <w:link w:val="Heading7"/>
    <w:uiPriority w:val="99"/>
    <w:rPr>
      <w:rFonts w:ascii="Arial" w:eastAsia="Times New Roman" w:hAnsi="Arial" w:cs="Arial"/>
      <w:sz w:val="20"/>
      <w:szCs w:val="20"/>
      <w:lang w:val="fr-FR"/>
    </w:rPr>
  </w:style>
  <w:style w:type="character" w:customStyle="1" w:styleId="Heading8Char">
    <w:name w:val="Heading 8 Char"/>
    <w:basedOn w:val="DefaultParagraphFont"/>
    <w:link w:val="Heading8"/>
    <w:uiPriority w:val="99"/>
    <w:rPr>
      <w:rFonts w:ascii="Arial" w:eastAsia="Times New Roman" w:hAnsi="Arial" w:cs="Arial"/>
      <w:i/>
      <w:iCs/>
      <w:sz w:val="20"/>
      <w:szCs w:val="20"/>
      <w:lang w:val="fr-FR"/>
    </w:rPr>
  </w:style>
  <w:style w:type="character" w:customStyle="1" w:styleId="Heading9Char">
    <w:name w:val="Heading 9 Char"/>
    <w:basedOn w:val="DefaultParagraphFont"/>
    <w:link w:val="Heading9"/>
    <w:uiPriority w:val="99"/>
    <w:rPr>
      <w:rFonts w:ascii="Arial" w:eastAsia="Times New Roman" w:hAnsi="Arial" w:cs="Arial"/>
      <w:i/>
      <w:iCs/>
      <w:sz w:val="18"/>
      <w:szCs w:val="18"/>
      <w:lang w:val="fr-FR"/>
    </w:rPr>
  </w:style>
  <w:style w:type="paragraph" w:styleId="FootnoteText">
    <w:name w:val="footnote text"/>
    <w:aliases w:val="Footnote,Fußnote,Footnote Text Char Char,Footnote text,Footnote Text Char1,Footnote Text Char2 Char,Footnote Text Char1 Char1 Char,Footnote Text Char2 Char Char Char,Footnote Text Char1 Char1 Char Char Char,Plonk,fn,Char1,Fuﬂ,Footnote1,o"/>
    <w:basedOn w:val="Normal"/>
    <w:link w:val="FootnoteTextChar2"/>
    <w:uiPriority w:val="99"/>
    <w:qFormat/>
    <w:pPr>
      <w:spacing w:after="60" w:line="240" w:lineRule="auto"/>
      <w:ind w:left="357" w:hanging="357"/>
      <w:jc w:val="both"/>
    </w:pPr>
    <w:rPr>
      <w:rFonts w:ascii="Verdana" w:eastAsia="Times New Roman" w:hAnsi="Verdana" w:cs="Verdana"/>
      <w:sz w:val="16"/>
      <w:szCs w:val="16"/>
    </w:rPr>
  </w:style>
  <w:style w:type="character" w:customStyle="1" w:styleId="FootnoteTextChar">
    <w:name w:val="Footnote Text Char"/>
    <w:aliases w:val="Car1 Char,footnote Char,Footnote Text Char Char1 Char,Footnote Text Char1 Char Char Char,Footnote Text Char Char Char Char Char,Footnote Text Char2 Char1 Char Char Char Char,Footnote Text Char Char Char Char,Footnote1 Char,o Char"/>
    <w:basedOn w:val="DefaultParagraphFont"/>
    <w:uiPriority w:val="99"/>
    <w:rPr>
      <w:sz w:val="20"/>
      <w:szCs w:val="20"/>
    </w:rPr>
  </w:style>
  <w:style w:type="character" w:styleId="FootnoteReference">
    <w:name w:val="footnote reference"/>
    <w:aliases w:val="Footnotes,Footnote Reference Superscript,Footnote symbol,Footnote Reference Number,BVI fnr,Voetnootverwijzing,Footnote reference number,Times 10 Point,Exposant 3 Point,Ref,de nota al pie,note TESI,SUPERS,FR,ftre,Odwołanie przypisu"/>
    <w:basedOn w:val="DefaultParagraphFont"/>
    <w:link w:val="FootnoteReferenceCharCarCharCharCarCharCarCharCarCharCarCharCharCarCarCharCharCharCharCharCarCharCarCharCharCarCharCar"/>
    <w:uiPriority w:val="99"/>
    <w:qFormat/>
    <w:rPr>
      <w:vertAlign w:val="superscript"/>
    </w:rPr>
  </w:style>
  <w:style w:type="paragraph" w:customStyle="1" w:styleId="Body">
    <w:name w:val="Body"/>
    <w:basedOn w:val="Normal"/>
    <w:link w:val="BodyChar"/>
    <w:qFormat/>
    <w:pPr>
      <w:spacing w:after="240" w:line="240" w:lineRule="auto"/>
      <w:jc w:val="both"/>
    </w:pPr>
    <w:rPr>
      <w:rFonts w:ascii="Verdana" w:eastAsia="Times New Roman" w:hAnsi="Verdana" w:cs="Verdana"/>
      <w:sz w:val="20"/>
      <w:szCs w:val="20"/>
      <w:lang w:val="fr-FR"/>
    </w:rPr>
  </w:style>
  <w:style w:type="character" w:customStyle="1" w:styleId="BodyChar">
    <w:name w:val="Body Char"/>
    <w:link w:val="Body"/>
    <w:rPr>
      <w:rFonts w:ascii="Verdana" w:eastAsia="Times New Roman" w:hAnsi="Verdana" w:cs="Verdana"/>
      <w:sz w:val="20"/>
      <w:szCs w:val="20"/>
      <w:lang w:val="fr-FR"/>
    </w:rPr>
  </w:style>
  <w:style w:type="character" w:customStyle="1" w:styleId="FootnoteTextChar2">
    <w:name w:val="Footnote Text Char2"/>
    <w:aliases w:val="Footnote Char,Fußnote Char,Footnote Text Char Char Char,Footnote text Char,Footnote Text Char1 Char,Footnote Text Char2 Char Char,Footnote Text Char1 Char1 Char Char,Footnote Text Char2 Char Char Char Char,Plonk Char,fn Char,Fuﬂ Char"/>
    <w:basedOn w:val="DefaultParagraphFont"/>
    <w:link w:val="FootnoteText"/>
    <w:uiPriority w:val="9"/>
    <w:rPr>
      <w:rFonts w:ascii="Verdana" w:eastAsia="Times New Roman" w:hAnsi="Verdana" w:cs="Verdana"/>
      <w:sz w:val="16"/>
      <w:szCs w:val="16"/>
    </w:rPr>
  </w:style>
  <w:style w:type="character" w:styleId="CommentReference">
    <w:name w:val="annotation reference"/>
    <w:basedOn w:val="DefaultParagraphFont"/>
    <w:uiPriority w:val="99"/>
    <w:semiHidden/>
    <w:rPr>
      <w:sz w:val="16"/>
      <w:szCs w:val="16"/>
    </w:rPr>
  </w:style>
  <w:style w:type="paragraph" w:styleId="BodyText">
    <w:name w:val="Body Text"/>
    <w:basedOn w:val="Normal"/>
    <w:link w:val="BodyTextChar"/>
    <w:qFormat/>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customStyle="1" w:styleId="Bulletpoint1">
    <w:name w:val="Bullet point1"/>
    <w:basedOn w:val="NormalIndent"/>
    <w:link w:val="Bulletpoint1Char"/>
    <w:uiPriority w:val="99"/>
    <w:qFormat/>
    <w:pPr>
      <w:spacing w:after="0"/>
      <w:ind w:hanging="360"/>
      <w:jc w:val="left"/>
    </w:pPr>
    <w:rPr>
      <w:rFonts w:cs="Times New Roman"/>
      <w:sz w:val="24"/>
      <w:szCs w:val="24"/>
      <w:lang w:val="en-GB" w:eastAsia="de-DE"/>
    </w:rPr>
  </w:style>
  <w:style w:type="character" w:customStyle="1" w:styleId="Bulletpoint1Char">
    <w:name w:val="Bullet point1 Char"/>
    <w:basedOn w:val="DefaultParagraphFont"/>
    <w:link w:val="Bulletpoint1"/>
    <w:uiPriority w:val="99"/>
    <w:rPr>
      <w:rFonts w:ascii="Verdana" w:eastAsia="Times New Roman" w:hAnsi="Verdana" w:cs="Times New Roman"/>
      <w:sz w:val="24"/>
      <w:szCs w:val="24"/>
      <w:lang w:eastAsia="de-DE"/>
    </w:rPr>
  </w:style>
  <w:style w:type="paragraph" w:customStyle="1" w:styleId="bullet">
    <w:name w:val="bullet"/>
    <w:basedOn w:val="Bulletpoint1"/>
    <w:link w:val="bulletChar"/>
    <w:qFormat/>
    <w:pPr>
      <w:numPr>
        <w:numId w:val="1"/>
      </w:numPr>
      <w:jc w:val="both"/>
    </w:pPr>
    <w:rPr>
      <w:sz w:val="20"/>
      <w:szCs w:val="20"/>
    </w:rPr>
  </w:style>
  <w:style w:type="paragraph" w:styleId="NormalIndent">
    <w:name w:val="Normal Indent"/>
    <w:basedOn w:val="Normal"/>
    <w:link w:val="NormalIndentChar"/>
    <w:uiPriority w:val="99"/>
    <w:unhideWhenUsed/>
    <w:pPr>
      <w:spacing w:after="240" w:line="240" w:lineRule="auto"/>
      <w:ind w:left="720"/>
      <w:jc w:val="both"/>
    </w:pPr>
    <w:rPr>
      <w:rFonts w:ascii="Verdana" w:eastAsia="Times New Roman" w:hAnsi="Verdana" w:cs="Verdana"/>
      <w:sz w:val="20"/>
      <w:szCs w:val="20"/>
      <w:lang w:val="fr-FR"/>
    </w:rPr>
  </w:style>
  <w:style w:type="table" w:styleId="TableGrid">
    <w:name w:val="Table Grid"/>
    <w:aliases w:val="HTG,Table Format 1,TabelEcorys"/>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link w:val="NormalIndent"/>
    <w:uiPriority w:val="99"/>
    <w:rPr>
      <w:rFonts w:ascii="Verdana" w:eastAsia="Times New Roman" w:hAnsi="Verdana" w:cs="Verdana"/>
      <w:sz w:val="20"/>
      <w:szCs w:val="20"/>
      <w:lang w:val="fr-FR"/>
    </w:rPr>
  </w:style>
  <w:style w:type="paragraph" w:styleId="CommentText">
    <w:name w:val="annotation text"/>
    <w:basedOn w:val="Normal"/>
    <w:link w:val="CommentTextChar"/>
    <w:uiPriority w:val="99"/>
    <w:semiHidden/>
    <w:pPr>
      <w:spacing w:after="240" w:line="240" w:lineRule="auto"/>
      <w:jc w:val="both"/>
    </w:pPr>
    <w:rPr>
      <w:rFonts w:ascii="Verdana" w:eastAsia="Times New Roman" w:hAnsi="Verdana" w:cs="Verdana"/>
      <w:sz w:val="20"/>
      <w:szCs w:val="20"/>
      <w:lang w:val="fr-FR"/>
    </w:rPr>
  </w:style>
  <w:style w:type="character" w:customStyle="1" w:styleId="CommentTextChar">
    <w:name w:val="Comment Text Char"/>
    <w:basedOn w:val="DefaultParagraphFont"/>
    <w:link w:val="CommentText"/>
    <w:uiPriority w:val="99"/>
    <w:semiHidden/>
    <w:rPr>
      <w:rFonts w:ascii="Verdana" w:eastAsia="Times New Roman" w:hAnsi="Verdana" w:cs="Verdana"/>
      <w:sz w:val="20"/>
      <w:szCs w:val="20"/>
      <w:lang w:val="fr-FR"/>
    </w:rPr>
  </w:style>
  <w:style w:type="character" w:customStyle="1" w:styleId="bulletChar">
    <w:name w:val="bullet Char"/>
    <w:basedOn w:val="Bulletpoint1Char"/>
    <w:link w:val="bullet"/>
    <w:rPr>
      <w:rFonts w:ascii="Verdana" w:eastAsia="Times New Roman" w:hAnsi="Verdana" w:cs="Times New Roman"/>
      <w:sz w:val="20"/>
      <w:szCs w:val="20"/>
      <w:lang w:eastAsia="de-DE"/>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pPr>
      <w:spacing w:after="160" w:line="240" w:lineRule="exact"/>
      <w:ind w:right="140"/>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2">
    <w:name w:val="Text 2"/>
    <w:basedOn w:val="Normal"/>
    <w:uiPriority w:val="99"/>
    <w:pPr>
      <w:tabs>
        <w:tab w:val="left" w:pos="2302"/>
      </w:tabs>
      <w:spacing w:after="240" w:line="240" w:lineRule="auto"/>
      <w:ind w:left="1202"/>
      <w:jc w:val="both"/>
    </w:pPr>
    <w:rPr>
      <w:rFonts w:ascii="Verdana" w:eastAsia="Times New Roman" w:hAnsi="Verdana" w:cs="Verdana"/>
      <w:sz w:val="20"/>
      <w:szCs w:val="20"/>
      <w:lang w:val="fr-FR"/>
    </w:rPr>
  </w:style>
  <w:style w:type="paragraph" w:styleId="Caption">
    <w:name w:val="caption"/>
    <w:aliases w:val="Char Char Char,Caption1 Char Char Char Char Char Char Char Char Tegn Tegn Tegn Tegn Tegn,Caption1 Char Char Char Char Char Char Char Char Tegn Tegn Tegn,Caption1 Char Char Char Char Char Char Char Char Tegn Tegn,Char,Char Car,Legend, Char"/>
    <w:basedOn w:val="Normal"/>
    <w:next w:val="Normal"/>
    <w:link w:val="CaptionChar"/>
    <w:uiPriority w:val="99"/>
    <w:qFormat/>
    <w:pPr>
      <w:keepNext/>
      <w:spacing w:before="120" w:after="120" w:line="240" w:lineRule="auto"/>
      <w:jc w:val="both"/>
    </w:pPr>
    <w:rPr>
      <w:rFonts w:ascii="Verdana" w:eastAsia="Times New Roman" w:hAnsi="Verdana" w:cs="Verdana"/>
      <w:b/>
      <w:bCs/>
      <w:sz w:val="20"/>
      <w:szCs w:val="20"/>
      <w:lang w:val="fr-FR"/>
    </w:rPr>
  </w:style>
  <w:style w:type="paragraph" w:customStyle="1" w:styleId="OAbodytext">
    <w:name w:val="OA body text"/>
    <w:basedOn w:val="Normal"/>
    <w:pPr>
      <w:spacing w:after="0"/>
      <w:jc w:val="both"/>
    </w:pPr>
    <w:rPr>
      <w:rFonts w:ascii="Calibri" w:eastAsia="MS Mincho" w:hAnsi="Calibri" w:cs="Calibri"/>
      <w:color w:val="EEECE1"/>
      <w:sz w:val="20"/>
      <w:szCs w:val="20"/>
    </w:rPr>
  </w:style>
  <w:style w:type="character" w:customStyle="1" w:styleId="CaptionChar">
    <w:name w:val="Caption Char"/>
    <w:aliases w:val="Char Char Char Char,Caption1 Char Char Char Char Char Char Char Char Tegn Tegn Tegn Tegn Tegn Char,Caption1 Char Char Char Char Char Char Char Char Tegn Tegn Tegn Char,Caption1 Char Char Char Char Char Char Char Char Tegn Tegn Char"/>
    <w:link w:val="Caption"/>
    <w:uiPriority w:val="99"/>
    <w:rPr>
      <w:rFonts w:ascii="Verdana" w:eastAsia="Times New Roman" w:hAnsi="Verdana" w:cs="Verdana"/>
      <w:b/>
      <w:bCs/>
      <w:sz w:val="20"/>
      <w:szCs w:val="20"/>
      <w:lang w:val="fr-FR"/>
    </w:rPr>
  </w:style>
  <w:style w:type="paragraph" w:styleId="ListParagraph">
    <w:name w:val="List Paragraph"/>
    <w:aliases w:val="Paragraphe de liste 2,Reference list,Normal bullet 2,Numbered List,List Paragraph1,1st level - Bullet List Paragraph,Lettre d'introduction,Paragraph,Bullet EY,List Paragraph11,Normal bullet 21"/>
    <w:basedOn w:val="Normal"/>
    <w:link w:val="ListParagraphChar"/>
    <w:uiPriority w:val="99"/>
    <w:qFormat/>
    <w:pPr>
      <w:spacing w:after="0" w:line="240" w:lineRule="atLeast"/>
      <w:ind w:left="720"/>
      <w:contextualSpacing/>
    </w:pPr>
    <w:rPr>
      <w:rFonts w:ascii="Verdana" w:eastAsia="Times New Roman" w:hAnsi="Verdana" w:cs="Times New Roman"/>
      <w:sz w:val="18"/>
      <w:szCs w:val="24"/>
      <w:lang w:eastAsia="da-DK"/>
    </w:rPr>
  </w:style>
  <w:style w:type="paragraph" w:customStyle="1" w:styleId="AddressTR">
    <w:name w:val="AddressTR"/>
    <w:basedOn w:val="Normal"/>
    <w:next w:val="Normal"/>
    <w:uiPriority w:val="99"/>
    <w:pPr>
      <w:spacing w:after="720" w:line="240" w:lineRule="auto"/>
      <w:ind w:left="5103"/>
    </w:pPr>
    <w:rPr>
      <w:rFonts w:ascii="Verdana" w:eastAsia="Times New Roman" w:hAnsi="Verdana" w:cs="Verdana"/>
      <w:sz w:val="20"/>
      <w:szCs w:val="20"/>
      <w:lang w:val="fr-FR"/>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customStyle="1" w:styleId="st1">
    <w:name w:val="st1"/>
    <w:basedOn w:val="DefaultParagraphFont"/>
  </w:style>
  <w:style w:type="paragraph" w:customStyle="1" w:styleId="Heading">
    <w:name w:val="Heading"/>
    <w:basedOn w:val="Normal"/>
    <w:link w:val="HeadingChar"/>
    <w:uiPriority w:val="99"/>
    <w:pPr>
      <w:pageBreakBefore/>
      <w:spacing w:after="240" w:line="240" w:lineRule="auto"/>
      <w:outlineLvl w:val="0"/>
    </w:pPr>
    <w:rPr>
      <w:rFonts w:ascii="Verdana" w:eastAsia="Times New Roman" w:hAnsi="Verdana" w:cs="Times New Roman"/>
      <w:b/>
      <w:bCs/>
      <w:caps/>
    </w:rPr>
  </w:style>
  <w:style w:type="character" w:customStyle="1" w:styleId="HeadingChar">
    <w:name w:val="Heading Char"/>
    <w:link w:val="Heading"/>
    <w:uiPriority w:val="99"/>
    <w:rPr>
      <w:rFonts w:ascii="Verdana" w:eastAsia="Times New Roman" w:hAnsi="Verdana" w:cs="Times New Roman"/>
      <w:b/>
      <w:bCs/>
      <w:caps/>
    </w:rPr>
  </w:style>
  <w:style w:type="paragraph" w:customStyle="1" w:styleId="SUBTITLEsmall">
    <w:name w:val="SUBTITLE small"/>
    <w:basedOn w:val="Body"/>
    <w:link w:val="SUBTITLEsmallChar"/>
    <w:qFormat/>
    <w:pPr>
      <w:keepNext/>
    </w:pPr>
    <w:rPr>
      <w:b/>
      <w:bCs/>
    </w:rPr>
  </w:style>
  <w:style w:type="character" w:customStyle="1" w:styleId="SUBTITLEsmallChar">
    <w:name w:val="SUBTITLE small Char"/>
    <w:basedOn w:val="BodyChar"/>
    <w:link w:val="SUBTITLEsmall"/>
    <w:rPr>
      <w:rFonts w:ascii="Verdana" w:eastAsia="Times New Roman" w:hAnsi="Verdana" w:cs="Verdana"/>
      <w:b/>
      <w:bCs/>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Verdana" w:eastAsia="Times New Roman" w:hAnsi="Verdana" w:cs="Verdana"/>
      <w:b/>
      <w:bCs/>
      <w:sz w:val="20"/>
      <w:szCs w:val="20"/>
      <w:lang w:val="fr-FR"/>
    </w:rPr>
  </w:style>
  <w:style w:type="paragraph" w:styleId="Revision">
    <w:name w:val="Revision"/>
    <w:hidden/>
    <w:uiPriority w:val="99"/>
    <w:semiHidden/>
    <w:pPr>
      <w:spacing w:after="0" w:line="240" w:lineRule="auto"/>
    </w:pPr>
    <w:rPr>
      <w:rFonts w:ascii="Verdana" w:eastAsia="Times New Roman" w:hAnsi="Verdana" w:cs="Verdana"/>
      <w:sz w:val="20"/>
      <w:szCs w:val="20"/>
      <w:lang w:val="fr-FR"/>
    </w:rPr>
  </w:style>
  <w:style w:type="numbering" w:customStyle="1" w:styleId="NoList1">
    <w:name w:val="No List1"/>
    <w:next w:val="No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pPr>
      <w:spacing w:after="0" w:line="240" w:lineRule="auto"/>
    </w:pPr>
  </w:style>
  <w:style w:type="paragraph" w:styleId="TOCHeading">
    <w:name w:val="TOC Heading"/>
    <w:basedOn w:val="Heading1"/>
    <w:next w:val="Normal"/>
    <w:uiPriority w:val="39"/>
    <w:semiHidden/>
    <w:unhideWhenUsed/>
    <w:qFormat/>
    <w:pPr>
      <w:keepNext/>
      <w:keepLines/>
      <w:numPr>
        <w:numId w:val="0"/>
      </w:numPr>
      <w:spacing w:before="480" w:after="0" w:line="276" w:lineRule="auto"/>
      <w:jc w:val="left"/>
      <w:outlineLvl w:val="9"/>
    </w:pPr>
    <w:rPr>
      <w:rFonts w:asciiTheme="majorHAnsi" w:eastAsiaTheme="majorEastAsia" w:hAnsiTheme="majorHAnsi" w:cstheme="majorBidi"/>
      <w:smallCaps w:val="0"/>
      <w:color w:val="365F91" w:themeColor="accent1" w:themeShade="BF"/>
      <w:sz w:val="28"/>
      <w:szCs w:val="28"/>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customStyle="1" w:styleId="PSParagraphTextChar">
    <w:name w:val="PS_Paragraph_Text Char"/>
    <w:basedOn w:val="DefaultParagraphFont"/>
    <w:link w:val="PSParagraphText"/>
    <w:locked/>
  </w:style>
  <w:style w:type="paragraph" w:customStyle="1" w:styleId="PSParagraphText">
    <w:name w:val="PS_Paragraph_Text"/>
    <w:basedOn w:val="Normal"/>
    <w:link w:val="PSParagraphTextChar"/>
    <w:pPr>
      <w:spacing w:after="120" w:line="240" w:lineRule="auto"/>
      <w:jc w:val="both"/>
    </w:p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astandard3520normal">
    <w:name w:val="a_standard__35__20_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t19">
    <w:name w:val="a__t19"/>
    <w:basedOn w:val="DefaultParagraphFont"/>
  </w:style>
  <w:style w:type="character" w:customStyle="1" w:styleId="at20">
    <w:name w:val="a__t20"/>
    <w:basedOn w:val="DefaultParagraphFont"/>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table" w:styleId="LightList-Accent1">
    <w:name w:val="Light List Accent 1"/>
    <w:basedOn w:val="TableNormal"/>
    <w:uiPriority w:val="61"/>
    <w:pPr>
      <w:spacing w:after="0" w:line="240" w:lineRule="auto"/>
    </w:pPr>
    <w:rPr>
      <w:rFonts w:ascii="Verdana" w:eastAsia="Times New Roman" w:hAnsi="Verdana" w:cs="Times New Roman"/>
      <w:sz w:val="18"/>
      <w:szCs w:val="18"/>
      <w:lang w:val="da-DK" w:eastAsia="da-DK"/>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ListParagraphChar">
    <w:name w:val="List Paragraph Char"/>
    <w:aliases w:val="Paragraphe de liste 2 Char,Reference list Char,Normal bullet 2 Char,Numbered List Char,List Paragraph1 Char,1st level - Bullet List Paragraph Char,Lettre d'introduction Char,Paragraph Char,Bullet EY Char,List Paragraph11 Char"/>
    <w:link w:val="ListParagraph"/>
    <w:uiPriority w:val="99"/>
    <w:qFormat/>
    <w:locked/>
    <w:rPr>
      <w:rFonts w:ascii="Verdana" w:eastAsia="Times New Roman" w:hAnsi="Verdana" w:cs="Times New Roman"/>
      <w:sz w:val="18"/>
      <w:szCs w:val="24"/>
      <w:lang w:eastAsia="da-DK"/>
    </w:rPr>
  </w:style>
  <w:style w:type="table" w:customStyle="1" w:styleId="TableGrid1">
    <w:name w:val="Table Grid1"/>
    <w:basedOn w:val="TableNormal"/>
    <w:next w:val="TableGrid"/>
    <w:uiPriority w:val="59"/>
    <w:pPr>
      <w:spacing w:after="0" w:line="260" w:lineRule="atLeast"/>
    </w:pPr>
    <w:rPr>
      <w:rFonts w:ascii="Verdana" w:eastAsia="Times New Roman" w:hAnsi="Verdana" w:cs="Times New Roman"/>
      <w:sz w:val="18"/>
      <w:szCs w:val="18"/>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numPr>
        <w:numId w:val="2"/>
      </w:numPr>
      <w:spacing w:before="240" w:after="240" w:line="240" w:lineRule="auto"/>
      <w:jc w:val="both"/>
      <w:outlineLvl w:val="0"/>
    </w:pPr>
    <w:rPr>
      <w:rFonts w:ascii="Times New Roman" w:eastAsia="Times New Roman" w:hAnsi="Times New Roman" w:cs="Verdana"/>
      <w:b/>
      <w:bCs/>
      <w:smallCaps/>
      <w:sz w:val="20"/>
      <w:szCs w:val="20"/>
      <w:lang w:val="fr-FR"/>
    </w:rPr>
  </w:style>
  <w:style w:type="paragraph" w:styleId="Heading2">
    <w:name w:val="heading 2"/>
    <w:basedOn w:val="Normal"/>
    <w:next w:val="Normal"/>
    <w:link w:val="Heading2Char"/>
    <w:uiPriority w:val="9"/>
    <w:qFormat/>
    <w:pPr>
      <w:keepNext/>
      <w:spacing w:after="240" w:line="240" w:lineRule="auto"/>
      <w:ind w:left="576" w:hanging="576"/>
      <w:jc w:val="both"/>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qFormat/>
    <w:pPr>
      <w:keepNext/>
      <w:spacing w:after="240" w:line="240" w:lineRule="auto"/>
      <w:ind w:firstLine="720"/>
      <w:jc w:val="both"/>
      <w:outlineLvl w:val="2"/>
    </w:pPr>
    <w:rPr>
      <w:rFonts w:ascii="Times New Roman" w:hAnsi="Times New Roman" w:cs="Times New Roman"/>
      <w:b/>
      <w:iCs/>
      <w:sz w:val="24"/>
      <w:szCs w:val="24"/>
      <w:u w:val="single"/>
    </w:rPr>
  </w:style>
  <w:style w:type="paragraph" w:styleId="Heading4">
    <w:name w:val="heading 4"/>
    <w:basedOn w:val="Normal"/>
    <w:next w:val="Normal"/>
    <w:link w:val="Heading4Char"/>
    <w:uiPriority w:val="9"/>
    <w:qFormat/>
    <w:pPr>
      <w:keepNext/>
      <w:numPr>
        <w:ilvl w:val="3"/>
        <w:numId w:val="2"/>
      </w:numPr>
      <w:spacing w:after="240" w:line="240" w:lineRule="auto"/>
      <w:jc w:val="both"/>
      <w:outlineLvl w:val="3"/>
    </w:pPr>
    <w:rPr>
      <w:rFonts w:ascii="Verdana" w:eastAsia="Times New Roman" w:hAnsi="Verdana" w:cs="Verdana"/>
      <w:sz w:val="20"/>
      <w:szCs w:val="20"/>
      <w:lang w:val="fr-FR"/>
    </w:rPr>
  </w:style>
  <w:style w:type="paragraph" w:styleId="Heading5">
    <w:name w:val="heading 5"/>
    <w:basedOn w:val="Normal"/>
    <w:next w:val="Normal"/>
    <w:link w:val="Heading5Char"/>
    <w:uiPriority w:val="99"/>
    <w:qFormat/>
    <w:pPr>
      <w:numPr>
        <w:ilvl w:val="4"/>
        <w:numId w:val="2"/>
      </w:numPr>
      <w:spacing w:before="240" w:after="60" w:line="240" w:lineRule="auto"/>
      <w:jc w:val="both"/>
      <w:outlineLvl w:val="4"/>
    </w:pPr>
    <w:rPr>
      <w:rFonts w:ascii="Arial" w:eastAsia="Times New Roman" w:hAnsi="Arial" w:cs="Arial"/>
      <w:lang w:val="fr-FR"/>
    </w:rPr>
  </w:style>
  <w:style w:type="paragraph" w:styleId="Heading6">
    <w:name w:val="heading 6"/>
    <w:basedOn w:val="Normal"/>
    <w:next w:val="Normal"/>
    <w:link w:val="Heading6Char"/>
    <w:uiPriority w:val="99"/>
    <w:qFormat/>
    <w:pPr>
      <w:numPr>
        <w:ilvl w:val="5"/>
        <w:numId w:val="2"/>
      </w:numPr>
      <w:spacing w:before="240" w:after="60" w:line="240" w:lineRule="auto"/>
      <w:jc w:val="both"/>
      <w:outlineLvl w:val="5"/>
    </w:pPr>
    <w:rPr>
      <w:rFonts w:ascii="Arial" w:eastAsia="Times New Roman" w:hAnsi="Arial" w:cs="Arial"/>
      <w:i/>
      <w:iCs/>
      <w:lang w:val="fr-FR"/>
    </w:rPr>
  </w:style>
  <w:style w:type="paragraph" w:styleId="Heading7">
    <w:name w:val="heading 7"/>
    <w:basedOn w:val="Normal"/>
    <w:next w:val="Normal"/>
    <w:link w:val="Heading7Char"/>
    <w:uiPriority w:val="99"/>
    <w:qFormat/>
    <w:pPr>
      <w:numPr>
        <w:ilvl w:val="6"/>
        <w:numId w:val="2"/>
      </w:numPr>
      <w:spacing w:before="240" w:after="60" w:line="240" w:lineRule="auto"/>
      <w:jc w:val="both"/>
      <w:outlineLvl w:val="6"/>
    </w:pPr>
    <w:rPr>
      <w:rFonts w:ascii="Arial" w:eastAsia="Times New Roman" w:hAnsi="Arial" w:cs="Arial"/>
      <w:sz w:val="20"/>
      <w:szCs w:val="20"/>
      <w:lang w:val="fr-FR"/>
    </w:rPr>
  </w:style>
  <w:style w:type="paragraph" w:styleId="Heading8">
    <w:name w:val="heading 8"/>
    <w:basedOn w:val="Normal"/>
    <w:next w:val="Normal"/>
    <w:link w:val="Heading8Char"/>
    <w:uiPriority w:val="99"/>
    <w:qFormat/>
    <w:pPr>
      <w:numPr>
        <w:ilvl w:val="7"/>
        <w:numId w:val="2"/>
      </w:numPr>
      <w:spacing w:before="240" w:after="60" w:line="240" w:lineRule="auto"/>
      <w:jc w:val="both"/>
      <w:outlineLvl w:val="7"/>
    </w:pPr>
    <w:rPr>
      <w:rFonts w:ascii="Arial" w:eastAsia="Times New Roman" w:hAnsi="Arial" w:cs="Arial"/>
      <w:i/>
      <w:iCs/>
      <w:sz w:val="20"/>
      <w:szCs w:val="20"/>
      <w:lang w:val="fr-FR"/>
    </w:rPr>
  </w:style>
  <w:style w:type="paragraph" w:styleId="Heading9">
    <w:name w:val="heading 9"/>
    <w:basedOn w:val="Normal"/>
    <w:next w:val="Normal"/>
    <w:link w:val="Heading9Char"/>
    <w:uiPriority w:val="99"/>
    <w:qFormat/>
    <w:pPr>
      <w:numPr>
        <w:ilvl w:val="8"/>
        <w:numId w:val="2"/>
      </w:numPr>
      <w:spacing w:before="240" w:after="60" w:line="240" w:lineRule="auto"/>
      <w:jc w:val="both"/>
      <w:outlineLvl w:val="8"/>
    </w:pPr>
    <w:rPr>
      <w:rFonts w:ascii="Arial" w:eastAsia="Times New Roman" w:hAnsi="Arial" w:cs="Arial"/>
      <w:i/>
      <w:iCs/>
      <w:sz w:val="18"/>
      <w:szCs w:val="18"/>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Verdana"/>
      <w:b/>
      <w:bCs/>
      <w:smallCaps/>
      <w:sz w:val="20"/>
      <w:szCs w:val="20"/>
      <w:lang w:val="fr-FR"/>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Pr>
      <w:rFonts w:ascii="Times New Roman" w:hAnsi="Times New Roman" w:cs="Times New Roman"/>
      <w:b/>
      <w:iCs/>
      <w:sz w:val="24"/>
      <w:szCs w:val="24"/>
      <w:u w:val="single"/>
    </w:rPr>
  </w:style>
  <w:style w:type="character" w:customStyle="1" w:styleId="Heading4Char">
    <w:name w:val="Heading 4 Char"/>
    <w:basedOn w:val="DefaultParagraphFont"/>
    <w:link w:val="Heading4"/>
    <w:uiPriority w:val="9"/>
    <w:rPr>
      <w:rFonts w:ascii="Verdana" w:eastAsia="Times New Roman" w:hAnsi="Verdana" w:cs="Verdana"/>
      <w:sz w:val="20"/>
      <w:szCs w:val="20"/>
      <w:lang w:val="fr-FR"/>
    </w:rPr>
  </w:style>
  <w:style w:type="character" w:customStyle="1" w:styleId="Heading5Char">
    <w:name w:val="Heading 5 Char"/>
    <w:basedOn w:val="DefaultParagraphFont"/>
    <w:link w:val="Heading5"/>
    <w:uiPriority w:val="99"/>
    <w:rPr>
      <w:rFonts w:ascii="Arial" w:eastAsia="Times New Roman" w:hAnsi="Arial" w:cs="Arial"/>
      <w:lang w:val="fr-FR"/>
    </w:rPr>
  </w:style>
  <w:style w:type="character" w:customStyle="1" w:styleId="Heading6Char">
    <w:name w:val="Heading 6 Char"/>
    <w:basedOn w:val="DefaultParagraphFont"/>
    <w:link w:val="Heading6"/>
    <w:uiPriority w:val="99"/>
    <w:rPr>
      <w:rFonts w:ascii="Arial" w:eastAsia="Times New Roman" w:hAnsi="Arial" w:cs="Arial"/>
      <w:i/>
      <w:iCs/>
      <w:lang w:val="fr-FR"/>
    </w:rPr>
  </w:style>
  <w:style w:type="character" w:customStyle="1" w:styleId="Heading7Char">
    <w:name w:val="Heading 7 Char"/>
    <w:basedOn w:val="DefaultParagraphFont"/>
    <w:link w:val="Heading7"/>
    <w:uiPriority w:val="99"/>
    <w:rPr>
      <w:rFonts w:ascii="Arial" w:eastAsia="Times New Roman" w:hAnsi="Arial" w:cs="Arial"/>
      <w:sz w:val="20"/>
      <w:szCs w:val="20"/>
      <w:lang w:val="fr-FR"/>
    </w:rPr>
  </w:style>
  <w:style w:type="character" w:customStyle="1" w:styleId="Heading8Char">
    <w:name w:val="Heading 8 Char"/>
    <w:basedOn w:val="DefaultParagraphFont"/>
    <w:link w:val="Heading8"/>
    <w:uiPriority w:val="99"/>
    <w:rPr>
      <w:rFonts w:ascii="Arial" w:eastAsia="Times New Roman" w:hAnsi="Arial" w:cs="Arial"/>
      <w:i/>
      <w:iCs/>
      <w:sz w:val="20"/>
      <w:szCs w:val="20"/>
      <w:lang w:val="fr-FR"/>
    </w:rPr>
  </w:style>
  <w:style w:type="character" w:customStyle="1" w:styleId="Heading9Char">
    <w:name w:val="Heading 9 Char"/>
    <w:basedOn w:val="DefaultParagraphFont"/>
    <w:link w:val="Heading9"/>
    <w:uiPriority w:val="99"/>
    <w:rPr>
      <w:rFonts w:ascii="Arial" w:eastAsia="Times New Roman" w:hAnsi="Arial" w:cs="Arial"/>
      <w:i/>
      <w:iCs/>
      <w:sz w:val="18"/>
      <w:szCs w:val="18"/>
      <w:lang w:val="fr-FR"/>
    </w:rPr>
  </w:style>
  <w:style w:type="paragraph" w:styleId="FootnoteText">
    <w:name w:val="footnote text"/>
    <w:aliases w:val="Footnote,Fußnote,Footnote Text Char Char,Footnote text,Footnote Text Char1,Footnote Text Char2 Char,Footnote Text Char1 Char1 Char,Footnote Text Char2 Char Char Char,Footnote Text Char1 Char1 Char Char Char,Plonk,fn,Char1,Fuﬂ,Footnote1,o"/>
    <w:basedOn w:val="Normal"/>
    <w:link w:val="FootnoteTextChar2"/>
    <w:uiPriority w:val="99"/>
    <w:qFormat/>
    <w:pPr>
      <w:spacing w:after="60" w:line="240" w:lineRule="auto"/>
      <w:ind w:left="357" w:hanging="357"/>
      <w:jc w:val="both"/>
    </w:pPr>
    <w:rPr>
      <w:rFonts w:ascii="Verdana" w:eastAsia="Times New Roman" w:hAnsi="Verdana" w:cs="Verdana"/>
      <w:sz w:val="16"/>
      <w:szCs w:val="16"/>
    </w:rPr>
  </w:style>
  <w:style w:type="character" w:customStyle="1" w:styleId="FootnoteTextChar">
    <w:name w:val="Footnote Text Char"/>
    <w:aliases w:val="Car1 Char,footnote Char,Footnote Text Char Char1 Char,Footnote Text Char1 Char Char Char,Footnote Text Char Char Char Char Char,Footnote Text Char2 Char1 Char Char Char Char,Footnote Text Char Char Char Char,Footnote1 Char,o Char"/>
    <w:basedOn w:val="DefaultParagraphFont"/>
    <w:uiPriority w:val="99"/>
    <w:rPr>
      <w:sz w:val="20"/>
      <w:szCs w:val="20"/>
    </w:rPr>
  </w:style>
  <w:style w:type="character" w:styleId="FootnoteReference">
    <w:name w:val="footnote reference"/>
    <w:aliases w:val="Footnotes,Footnote Reference Superscript,Footnote symbol,Footnote Reference Number,BVI fnr,Voetnootverwijzing,Footnote reference number,Times 10 Point,Exposant 3 Point,Ref,de nota al pie,note TESI,SUPERS,FR,ftre,Odwołanie przypisu"/>
    <w:basedOn w:val="DefaultParagraphFont"/>
    <w:link w:val="FootnoteReferenceCharCarCharCharCarCharCarCharCarCharCarCharCharCarCarCharCharCharCharCharCarCharCarCharCharCarCharCar"/>
    <w:uiPriority w:val="99"/>
    <w:qFormat/>
    <w:rPr>
      <w:vertAlign w:val="superscript"/>
    </w:rPr>
  </w:style>
  <w:style w:type="paragraph" w:customStyle="1" w:styleId="Body">
    <w:name w:val="Body"/>
    <w:basedOn w:val="Normal"/>
    <w:link w:val="BodyChar"/>
    <w:qFormat/>
    <w:pPr>
      <w:spacing w:after="240" w:line="240" w:lineRule="auto"/>
      <w:jc w:val="both"/>
    </w:pPr>
    <w:rPr>
      <w:rFonts w:ascii="Verdana" w:eastAsia="Times New Roman" w:hAnsi="Verdana" w:cs="Verdana"/>
      <w:sz w:val="20"/>
      <w:szCs w:val="20"/>
      <w:lang w:val="fr-FR"/>
    </w:rPr>
  </w:style>
  <w:style w:type="character" w:customStyle="1" w:styleId="BodyChar">
    <w:name w:val="Body Char"/>
    <w:link w:val="Body"/>
    <w:rPr>
      <w:rFonts w:ascii="Verdana" w:eastAsia="Times New Roman" w:hAnsi="Verdana" w:cs="Verdana"/>
      <w:sz w:val="20"/>
      <w:szCs w:val="20"/>
      <w:lang w:val="fr-FR"/>
    </w:rPr>
  </w:style>
  <w:style w:type="character" w:customStyle="1" w:styleId="FootnoteTextChar2">
    <w:name w:val="Footnote Text Char2"/>
    <w:aliases w:val="Footnote Char,Fußnote Char,Footnote Text Char Char Char,Footnote text Char,Footnote Text Char1 Char,Footnote Text Char2 Char Char,Footnote Text Char1 Char1 Char Char,Footnote Text Char2 Char Char Char Char,Plonk Char,fn Char,Fuﬂ Char"/>
    <w:basedOn w:val="DefaultParagraphFont"/>
    <w:link w:val="FootnoteText"/>
    <w:uiPriority w:val="9"/>
    <w:rPr>
      <w:rFonts w:ascii="Verdana" w:eastAsia="Times New Roman" w:hAnsi="Verdana" w:cs="Verdana"/>
      <w:sz w:val="16"/>
      <w:szCs w:val="16"/>
    </w:rPr>
  </w:style>
  <w:style w:type="character" w:styleId="CommentReference">
    <w:name w:val="annotation reference"/>
    <w:basedOn w:val="DefaultParagraphFont"/>
    <w:uiPriority w:val="99"/>
    <w:semiHidden/>
    <w:rPr>
      <w:sz w:val="16"/>
      <w:szCs w:val="16"/>
    </w:rPr>
  </w:style>
  <w:style w:type="paragraph" w:styleId="BodyText">
    <w:name w:val="Body Text"/>
    <w:basedOn w:val="Normal"/>
    <w:link w:val="BodyTextChar"/>
    <w:qFormat/>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customStyle="1" w:styleId="Bulletpoint1">
    <w:name w:val="Bullet point1"/>
    <w:basedOn w:val="NormalIndent"/>
    <w:link w:val="Bulletpoint1Char"/>
    <w:uiPriority w:val="99"/>
    <w:qFormat/>
    <w:pPr>
      <w:spacing w:after="0"/>
      <w:ind w:hanging="360"/>
      <w:jc w:val="left"/>
    </w:pPr>
    <w:rPr>
      <w:rFonts w:cs="Times New Roman"/>
      <w:sz w:val="24"/>
      <w:szCs w:val="24"/>
      <w:lang w:val="en-GB" w:eastAsia="de-DE"/>
    </w:rPr>
  </w:style>
  <w:style w:type="character" w:customStyle="1" w:styleId="Bulletpoint1Char">
    <w:name w:val="Bullet point1 Char"/>
    <w:basedOn w:val="DefaultParagraphFont"/>
    <w:link w:val="Bulletpoint1"/>
    <w:uiPriority w:val="99"/>
    <w:rPr>
      <w:rFonts w:ascii="Verdana" w:eastAsia="Times New Roman" w:hAnsi="Verdana" w:cs="Times New Roman"/>
      <w:sz w:val="24"/>
      <w:szCs w:val="24"/>
      <w:lang w:eastAsia="de-DE"/>
    </w:rPr>
  </w:style>
  <w:style w:type="paragraph" w:customStyle="1" w:styleId="bullet">
    <w:name w:val="bullet"/>
    <w:basedOn w:val="Bulletpoint1"/>
    <w:link w:val="bulletChar"/>
    <w:qFormat/>
    <w:pPr>
      <w:numPr>
        <w:numId w:val="1"/>
      </w:numPr>
      <w:jc w:val="both"/>
    </w:pPr>
    <w:rPr>
      <w:sz w:val="20"/>
      <w:szCs w:val="20"/>
    </w:rPr>
  </w:style>
  <w:style w:type="paragraph" w:styleId="NormalIndent">
    <w:name w:val="Normal Indent"/>
    <w:basedOn w:val="Normal"/>
    <w:link w:val="NormalIndentChar"/>
    <w:uiPriority w:val="99"/>
    <w:unhideWhenUsed/>
    <w:pPr>
      <w:spacing w:after="240" w:line="240" w:lineRule="auto"/>
      <w:ind w:left="720"/>
      <w:jc w:val="both"/>
    </w:pPr>
    <w:rPr>
      <w:rFonts w:ascii="Verdana" w:eastAsia="Times New Roman" w:hAnsi="Verdana" w:cs="Verdana"/>
      <w:sz w:val="20"/>
      <w:szCs w:val="20"/>
      <w:lang w:val="fr-FR"/>
    </w:rPr>
  </w:style>
  <w:style w:type="table" w:styleId="TableGrid">
    <w:name w:val="Table Grid"/>
    <w:aliases w:val="HTG,Table Format 1,TabelEcorys"/>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link w:val="NormalIndent"/>
    <w:uiPriority w:val="99"/>
    <w:rPr>
      <w:rFonts w:ascii="Verdana" w:eastAsia="Times New Roman" w:hAnsi="Verdana" w:cs="Verdana"/>
      <w:sz w:val="20"/>
      <w:szCs w:val="20"/>
      <w:lang w:val="fr-FR"/>
    </w:rPr>
  </w:style>
  <w:style w:type="paragraph" w:styleId="CommentText">
    <w:name w:val="annotation text"/>
    <w:basedOn w:val="Normal"/>
    <w:link w:val="CommentTextChar"/>
    <w:uiPriority w:val="99"/>
    <w:semiHidden/>
    <w:pPr>
      <w:spacing w:after="240" w:line="240" w:lineRule="auto"/>
      <w:jc w:val="both"/>
    </w:pPr>
    <w:rPr>
      <w:rFonts w:ascii="Verdana" w:eastAsia="Times New Roman" w:hAnsi="Verdana" w:cs="Verdana"/>
      <w:sz w:val="20"/>
      <w:szCs w:val="20"/>
      <w:lang w:val="fr-FR"/>
    </w:rPr>
  </w:style>
  <w:style w:type="character" w:customStyle="1" w:styleId="CommentTextChar">
    <w:name w:val="Comment Text Char"/>
    <w:basedOn w:val="DefaultParagraphFont"/>
    <w:link w:val="CommentText"/>
    <w:uiPriority w:val="99"/>
    <w:semiHidden/>
    <w:rPr>
      <w:rFonts w:ascii="Verdana" w:eastAsia="Times New Roman" w:hAnsi="Verdana" w:cs="Verdana"/>
      <w:sz w:val="20"/>
      <w:szCs w:val="20"/>
      <w:lang w:val="fr-FR"/>
    </w:rPr>
  </w:style>
  <w:style w:type="character" w:customStyle="1" w:styleId="bulletChar">
    <w:name w:val="bullet Char"/>
    <w:basedOn w:val="Bulletpoint1Char"/>
    <w:link w:val="bullet"/>
    <w:rPr>
      <w:rFonts w:ascii="Verdana" w:eastAsia="Times New Roman" w:hAnsi="Verdana" w:cs="Times New Roman"/>
      <w:sz w:val="20"/>
      <w:szCs w:val="20"/>
      <w:lang w:eastAsia="de-DE"/>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pPr>
      <w:spacing w:after="160" w:line="240" w:lineRule="exact"/>
      <w:ind w:right="140"/>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2">
    <w:name w:val="Text 2"/>
    <w:basedOn w:val="Normal"/>
    <w:uiPriority w:val="99"/>
    <w:pPr>
      <w:tabs>
        <w:tab w:val="left" w:pos="2302"/>
      </w:tabs>
      <w:spacing w:after="240" w:line="240" w:lineRule="auto"/>
      <w:ind w:left="1202"/>
      <w:jc w:val="both"/>
    </w:pPr>
    <w:rPr>
      <w:rFonts w:ascii="Verdana" w:eastAsia="Times New Roman" w:hAnsi="Verdana" w:cs="Verdana"/>
      <w:sz w:val="20"/>
      <w:szCs w:val="20"/>
      <w:lang w:val="fr-FR"/>
    </w:rPr>
  </w:style>
  <w:style w:type="paragraph" w:styleId="Caption">
    <w:name w:val="caption"/>
    <w:aliases w:val="Char Char Char,Caption1 Char Char Char Char Char Char Char Char Tegn Tegn Tegn Tegn Tegn,Caption1 Char Char Char Char Char Char Char Char Tegn Tegn Tegn,Caption1 Char Char Char Char Char Char Char Char Tegn Tegn,Char,Char Car,Legend, Char"/>
    <w:basedOn w:val="Normal"/>
    <w:next w:val="Normal"/>
    <w:link w:val="CaptionChar"/>
    <w:uiPriority w:val="99"/>
    <w:qFormat/>
    <w:pPr>
      <w:keepNext/>
      <w:spacing w:before="120" w:after="120" w:line="240" w:lineRule="auto"/>
      <w:jc w:val="both"/>
    </w:pPr>
    <w:rPr>
      <w:rFonts w:ascii="Verdana" w:eastAsia="Times New Roman" w:hAnsi="Verdana" w:cs="Verdana"/>
      <w:b/>
      <w:bCs/>
      <w:sz w:val="20"/>
      <w:szCs w:val="20"/>
      <w:lang w:val="fr-FR"/>
    </w:rPr>
  </w:style>
  <w:style w:type="paragraph" w:customStyle="1" w:styleId="OAbodytext">
    <w:name w:val="OA body text"/>
    <w:basedOn w:val="Normal"/>
    <w:pPr>
      <w:spacing w:after="0"/>
      <w:jc w:val="both"/>
    </w:pPr>
    <w:rPr>
      <w:rFonts w:ascii="Calibri" w:eastAsia="MS Mincho" w:hAnsi="Calibri" w:cs="Calibri"/>
      <w:color w:val="EEECE1"/>
      <w:sz w:val="20"/>
      <w:szCs w:val="20"/>
    </w:rPr>
  </w:style>
  <w:style w:type="character" w:customStyle="1" w:styleId="CaptionChar">
    <w:name w:val="Caption Char"/>
    <w:aliases w:val="Char Char Char Char,Caption1 Char Char Char Char Char Char Char Char Tegn Tegn Tegn Tegn Tegn Char,Caption1 Char Char Char Char Char Char Char Char Tegn Tegn Tegn Char,Caption1 Char Char Char Char Char Char Char Char Tegn Tegn Char"/>
    <w:link w:val="Caption"/>
    <w:uiPriority w:val="99"/>
    <w:rPr>
      <w:rFonts w:ascii="Verdana" w:eastAsia="Times New Roman" w:hAnsi="Verdana" w:cs="Verdana"/>
      <w:b/>
      <w:bCs/>
      <w:sz w:val="20"/>
      <w:szCs w:val="20"/>
      <w:lang w:val="fr-FR"/>
    </w:rPr>
  </w:style>
  <w:style w:type="paragraph" w:styleId="ListParagraph">
    <w:name w:val="List Paragraph"/>
    <w:aliases w:val="Paragraphe de liste 2,Reference list,Normal bullet 2,Numbered List,List Paragraph1,1st level - Bullet List Paragraph,Lettre d'introduction,Paragraph,Bullet EY,List Paragraph11,Normal bullet 21"/>
    <w:basedOn w:val="Normal"/>
    <w:link w:val="ListParagraphChar"/>
    <w:uiPriority w:val="99"/>
    <w:qFormat/>
    <w:pPr>
      <w:spacing w:after="0" w:line="240" w:lineRule="atLeast"/>
      <w:ind w:left="720"/>
      <w:contextualSpacing/>
    </w:pPr>
    <w:rPr>
      <w:rFonts w:ascii="Verdana" w:eastAsia="Times New Roman" w:hAnsi="Verdana" w:cs="Times New Roman"/>
      <w:sz w:val="18"/>
      <w:szCs w:val="24"/>
      <w:lang w:eastAsia="da-DK"/>
    </w:rPr>
  </w:style>
  <w:style w:type="paragraph" w:customStyle="1" w:styleId="AddressTR">
    <w:name w:val="AddressTR"/>
    <w:basedOn w:val="Normal"/>
    <w:next w:val="Normal"/>
    <w:uiPriority w:val="99"/>
    <w:pPr>
      <w:spacing w:after="720" w:line="240" w:lineRule="auto"/>
      <w:ind w:left="5103"/>
    </w:pPr>
    <w:rPr>
      <w:rFonts w:ascii="Verdana" w:eastAsia="Times New Roman" w:hAnsi="Verdana" w:cs="Verdana"/>
      <w:sz w:val="20"/>
      <w:szCs w:val="20"/>
      <w:lang w:val="fr-FR"/>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customStyle="1" w:styleId="st1">
    <w:name w:val="st1"/>
    <w:basedOn w:val="DefaultParagraphFont"/>
  </w:style>
  <w:style w:type="paragraph" w:customStyle="1" w:styleId="Heading">
    <w:name w:val="Heading"/>
    <w:basedOn w:val="Normal"/>
    <w:link w:val="HeadingChar"/>
    <w:uiPriority w:val="99"/>
    <w:pPr>
      <w:pageBreakBefore/>
      <w:spacing w:after="240" w:line="240" w:lineRule="auto"/>
      <w:outlineLvl w:val="0"/>
    </w:pPr>
    <w:rPr>
      <w:rFonts w:ascii="Verdana" w:eastAsia="Times New Roman" w:hAnsi="Verdana" w:cs="Times New Roman"/>
      <w:b/>
      <w:bCs/>
      <w:caps/>
    </w:rPr>
  </w:style>
  <w:style w:type="character" w:customStyle="1" w:styleId="HeadingChar">
    <w:name w:val="Heading Char"/>
    <w:link w:val="Heading"/>
    <w:uiPriority w:val="99"/>
    <w:rPr>
      <w:rFonts w:ascii="Verdana" w:eastAsia="Times New Roman" w:hAnsi="Verdana" w:cs="Times New Roman"/>
      <w:b/>
      <w:bCs/>
      <w:caps/>
    </w:rPr>
  </w:style>
  <w:style w:type="paragraph" w:customStyle="1" w:styleId="SUBTITLEsmall">
    <w:name w:val="SUBTITLE small"/>
    <w:basedOn w:val="Body"/>
    <w:link w:val="SUBTITLEsmallChar"/>
    <w:qFormat/>
    <w:pPr>
      <w:keepNext/>
    </w:pPr>
    <w:rPr>
      <w:b/>
      <w:bCs/>
    </w:rPr>
  </w:style>
  <w:style w:type="character" w:customStyle="1" w:styleId="SUBTITLEsmallChar">
    <w:name w:val="SUBTITLE small Char"/>
    <w:basedOn w:val="BodyChar"/>
    <w:link w:val="SUBTITLEsmall"/>
    <w:rPr>
      <w:rFonts w:ascii="Verdana" w:eastAsia="Times New Roman" w:hAnsi="Verdana" w:cs="Verdana"/>
      <w:b/>
      <w:bCs/>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Verdana" w:eastAsia="Times New Roman" w:hAnsi="Verdana" w:cs="Verdana"/>
      <w:b/>
      <w:bCs/>
      <w:sz w:val="20"/>
      <w:szCs w:val="20"/>
      <w:lang w:val="fr-FR"/>
    </w:rPr>
  </w:style>
  <w:style w:type="paragraph" w:styleId="Revision">
    <w:name w:val="Revision"/>
    <w:hidden/>
    <w:uiPriority w:val="99"/>
    <w:semiHidden/>
    <w:pPr>
      <w:spacing w:after="0" w:line="240" w:lineRule="auto"/>
    </w:pPr>
    <w:rPr>
      <w:rFonts w:ascii="Verdana" w:eastAsia="Times New Roman" w:hAnsi="Verdana" w:cs="Verdana"/>
      <w:sz w:val="20"/>
      <w:szCs w:val="20"/>
      <w:lang w:val="fr-FR"/>
    </w:rPr>
  </w:style>
  <w:style w:type="numbering" w:customStyle="1" w:styleId="NoList1">
    <w:name w:val="No List1"/>
    <w:next w:val="No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pPr>
      <w:spacing w:after="0" w:line="240" w:lineRule="auto"/>
    </w:pPr>
  </w:style>
  <w:style w:type="paragraph" w:styleId="TOCHeading">
    <w:name w:val="TOC Heading"/>
    <w:basedOn w:val="Heading1"/>
    <w:next w:val="Normal"/>
    <w:uiPriority w:val="39"/>
    <w:semiHidden/>
    <w:unhideWhenUsed/>
    <w:qFormat/>
    <w:pPr>
      <w:keepNext/>
      <w:keepLines/>
      <w:numPr>
        <w:numId w:val="0"/>
      </w:numPr>
      <w:spacing w:before="480" w:after="0" w:line="276" w:lineRule="auto"/>
      <w:jc w:val="left"/>
      <w:outlineLvl w:val="9"/>
    </w:pPr>
    <w:rPr>
      <w:rFonts w:asciiTheme="majorHAnsi" w:eastAsiaTheme="majorEastAsia" w:hAnsiTheme="majorHAnsi" w:cstheme="majorBidi"/>
      <w:smallCaps w:val="0"/>
      <w:color w:val="365F91" w:themeColor="accent1" w:themeShade="BF"/>
      <w:sz w:val="28"/>
      <w:szCs w:val="28"/>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customStyle="1" w:styleId="PSParagraphTextChar">
    <w:name w:val="PS_Paragraph_Text Char"/>
    <w:basedOn w:val="DefaultParagraphFont"/>
    <w:link w:val="PSParagraphText"/>
    <w:locked/>
  </w:style>
  <w:style w:type="paragraph" w:customStyle="1" w:styleId="PSParagraphText">
    <w:name w:val="PS_Paragraph_Text"/>
    <w:basedOn w:val="Normal"/>
    <w:link w:val="PSParagraphTextChar"/>
    <w:pPr>
      <w:spacing w:after="120" w:line="240" w:lineRule="auto"/>
      <w:jc w:val="both"/>
    </w:p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astandard3520normal">
    <w:name w:val="a_standard__35__20_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t19">
    <w:name w:val="a__t19"/>
    <w:basedOn w:val="DefaultParagraphFont"/>
  </w:style>
  <w:style w:type="character" w:customStyle="1" w:styleId="at20">
    <w:name w:val="a__t20"/>
    <w:basedOn w:val="DefaultParagraphFont"/>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table" w:styleId="LightList-Accent1">
    <w:name w:val="Light List Accent 1"/>
    <w:basedOn w:val="TableNormal"/>
    <w:uiPriority w:val="61"/>
    <w:pPr>
      <w:spacing w:after="0" w:line="240" w:lineRule="auto"/>
    </w:pPr>
    <w:rPr>
      <w:rFonts w:ascii="Verdana" w:eastAsia="Times New Roman" w:hAnsi="Verdana" w:cs="Times New Roman"/>
      <w:sz w:val="18"/>
      <w:szCs w:val="18"/>
      <w:lang w:val="da-DK" w:eastAsia="da-DK"/>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ListParagraphChar">
    <w:name w:val="List Paragraph Char"/>
    <w:aliases w:val="Paragraphe de liste 2 Char,Reference list Char,Normal bullet 2 Char,Numbered List Char,List Paragraph1 Char,1st level - Bullet List Paragraph Char,Lettre d'introduction Char,Paragraph Char,Bullet EY Char,List Paragraph11 Char"/>
    <w:link w:val="ListParagraph"/>
    <w:uiPriority w:val="99"/>
    <w:qFormat/>
    <w:locked/>
    <w:rPr>
      <w:rFonts w:ascii="Verdana" w:eastAsia="Times New Roman" w:hAnsi="Verdana" w:cs="Times New Roman"/>
      <w:sz w:val="18"/>
      <w:szCs w:val="24"/>
      <w:lang w:eastAsia="da-DK"/>
    </w:rPr>
  </w:style>
  <w:style w:type="table" w:customStyle="1" w:styleId="TableGrid1">
    <w:name w:val="Table Grid1"/>
    <w:basedOn w:val="TableNormal"/>
    <w:next w:val="TableGrid"/>
    <w:uiPriority w:val="59"/>
    <w:pPr>
      <w:spacing w:after="0" w:line="260" w:lineRule="atLeast"/>
    </w:pPr>
    <w:rPr>
      <w:rFonts w:ascii="Verdana" w:eastAsia="Times New Roman" w:hAnsi="Verdana" w:cs="Times New Roman"/>
      <w:sz w:val="18"/>
      <w:szCs w:val="18"/>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1630">
      <w:bodyDiv w:val="1"/>
      <w:marLeft w:val="0"/>
      <w:marRight w:val="0"/>
      <w:marTop w:val="0"/>
      <w:marBottom w:val="0"/>
      <w:divBdr>
        <w:top w:val="none" w:sz="0" w:space="0" w:color="auto"/>
        <w:left w:val="none" w:sz="0" w:space="0" w:color="auto"/>
        <w:bottom w:val="none" w:sz="0" w:space="0" w:color="auto"/>
        <w:right w:val="none" w:sz="0" w:space="0" w:color="auto"/>
      </w:divBdr>
      <w:divsChild>
        <w:div w:id="924190797">
          <w:marLeft w:val="0"/>
          <w:marRight w:val="0"/>
          <w:marTop w:val="0"/>
          <w:marBottom w:val="0"/>
          <w:divBdr>
            <w:top w:val="none" w:sz="0" w:space="0" w:color="auto"/>
            <w:left w:val="none" w:sz="0" w:space="0" w:color="auto"/>
            <w:bottom w:val="none" w:sz="0" w:space="0" w:color="auto"/>
            <w:right w:val="none" w:sz="0" w:space="0" w:color="auto"/>
          </w:divBdr>
          <w:divsChild>
            <w:div w:id="110442922">
              <w:marLeft w:val="0"/>
              <w:marRight w:val="0"/>
              <w:marTop w:val="0"/>
              <w:marBottom w:val="0"/>
              <w:divBdr>
                <w:top w:val="none" w:sz="0" w:space="0" w:color="auto"/>
                <w:left w:val="none" w:sz="0" w:space="0" w:color="auto"/>
                <w:bottom w:val="none" w:sz="0" w:space="0" w:color="auto"/>
                <w:right w:val="none" w:sz="0" w:space="0" w:color="auto"/>
              </w:divBdr>
              <w:divsChild>
                <w:div w:id="1454326612">
                  <w:marLeft w:val="0"/>
                  <w:marRight w:val="0"/>
                  <w:marTop w:val="0"/>
                  <w:marBottom w:val="0"/>
                  <w:divBdr>
                    <w:top w:val="none" w:sz="0" w:space="0" w:color="auto"/>
                    <w:left w:val="none" w:sz="0" w:space="0" w:color="auto"/>
                    <w:bottom w:val="none" w:sz="0" w:space="0" w:color="auto"/>
                    <w:right w:val="none" w:sz="0" w:space="0" w:color="auto"/>
                  </w:divBdr>
                  <w:divsChild>
                    <w:div w:id="17168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5124">
      <w:bodyDiv w:val="1"/>
      <w:marLeft w:val="0"/>
      <w:marRight w:val="0"/>
      <w:marTop w:val="0"/>
      <w:marBottom w:val="0"/>
      <w:divBdr>
        <w:top w:val="none" w:sz="0" w:space="0" w:color="auto"/>
        <w:left w:val="none" w:sz="0" w:space="0" w:color="auto"/>
        <w:bottom w:val="none" w:sz="0" w:space="0" w:color="auto"/>
        <w:right w:val="none" w:sz="0" w:space="0" w:color="auto"/>
      </w:divBdr>
      <w:divsChild>
        <w:div w:id="348525726">
          <w:marLeft w:val="0"/>
          <w:marRight w:val="0"/>
          <w:marTop w:val="0"/>
          <w:marBottom w:val="0"/>
          <w:divBdr>
            <w:top w:val="none" w:sz="0" w:space="0" w:color="auto"/>
            <w:left w:val="none" w:sz="0" w:space="0" w:color="auto"/>
            <w:bottom w:val="none" w:sz="0" w:space="0" w:color="auto"/>
            <w:right w:val="none" w:sz="0" w:space="0" w:color="auto"/>
          </w:divBdr>
          <w:divsChild>
            <w:div w:id="275717780">
              <w:marLeft w:val="0"/>
              <w:marRight w:val="0"/>
              <w:marTop w:val="0"/>
              <w:marBottom w:val="0"/>
              <w:divBdr>
                <w:top w:val="none" w:sz="0" w:space="0" w:color="auto"/>
                <w:left w:val="none" w:sz="0" w:space="0" w:color="auto"/>
                <w:bottom w:val="none" w:sz="0" w:space="0" w:color="auto"/>
                <w:right w:val="none" w:sz="0" w:space="0" w:color="auto"/>
              </w:divBdr>
              <w:divsChild>
                <w:div w:id="36525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4762">
      <w:bodyDiv w:val="1"/>
      <w:marLeft w:val="0"/>
      <w:marRight w:val="0"/>
      <w:marTop w:val="0"/>
      <w:marBottom w:val="0"/>
      <w:divBdr>
        <w:top w:val="none" w:sz="0" w:space="0" w:color="auto"/>
        <w:left w:val="none" w:sz="0" w:space="0" w:color="auto"/>
        <w:bottom w:val="none" w:sz="0" w:space="0" w:color="auto"/>
        <w:right w:val="none" w:sz="0" w:space="0" w:color="auto"/>
      </w:divBdr>
    </w:div>
    <w:div w:id="376976726">
      <w:bodyDiv w:val="1"/>
      <w:marLeft w:val="0"/>
      <w:marRight w:val="0"/>
      <w:marTop w:val="0"/>
      <w:marBottom w:val="0"/>
      <w:divBdr>
        <w:top w:val="none" w:sz="0" w:space="0" w:color="auto"/>
        <w:left w:val="none" w:sz="0" w:space="0" w:color="auto"/>
        <w:bottom w:val="none" w:sz="0" w:space="0" w:color="auto"/>
        <w:right w:val="none" w:sz="0" w:space="0" w:color="auto"/>
      </w:divBdr>
      <w:divsChild>
        <w:div w:id="784422305">
          <w:marLeft w:val="0"/>
          <w:marRight w:val="0"/>
          <w:marTop w:val="0"/>
          <w:marBottom w:val="0"/>
          <w:divBdr>
            <w:top w:val="none" w:sz="0" w:space="0" w:color="auto"/>
            <w:left w:val="none" w:sz="0" w:space="0" w:color="auto"/>
            <w:bottom w:val="none" w:sz="0" w:space="0" w:color="auto"/>
            <w:right w:val="none" w:sz="0" w:space="0" w:color="auto"/>
          </w:divBdr>
          <w:divsChild>
            <w:div w:id="283077053">
              <w:marLeft w:val="0"/>
              <w:marRight w:val="0"/>
              <w:marTop w:val="0"/>
              <w:marBottom w:val="0"/>
              <w:divBdr>
                <w:top w:val="none" w:sz="0" w:space="0" w:color="auto"/>
                <w:left w:val="none" w:sz="0" w:space="0" w:color="auto"/>
                <w:bottom w:val="none" w:sz="0" w:space="0" w:color="auto"/>
                <w:right w:val="none" w:sz="0" w:space="0" w:color="auto"/>
              </w:divBdr>
              <w:divsChild>
                <w:div w:id="4017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04197">
      <w:bodyDiv w:val="1"/>
      <w:marLeft w:val="0"/>
      <w:marRight w:val="0"/>
      <w:marTop w:val="0"/>
      <w:marBottom w:val="0"/>
      <w:divBdr>
        <w:top w:val="none" w:sz="0" w:space="0" w:color="auto"/>
        <w:left w:val="none" w:sz="0" w:space="0" w:color="auto"/>
        <w:bottom w:val="none" w:sz="0" w:space="0" w:color="auto"/>
        <w:right w:val="none" w:sz="0" w:space="0" w:color="auto"/>
      </w:divBdr>
      <w:divsChild>
        <w:div w:id="533036789">
          <w:marLeft w:val="0"/>
          <w:marRight w:val="0"/>
          <w:marTop w:val="0"/>
          <w:marBottom w:val="0"/>
          <w:divBdr>
            <w:top w:val="none" w:sz="0" w:space="0" w:color="auto"/>
            <w:left w:val="none" w:sz="0" w:space="0" w:color="auto"/>
            <w:bottom w:val="none" w:sz="0" w:space="0" w:color="auto"/>
            <w:right w:val="none" w:sz="0" w:space="0" w:color="auto"/>
          </w:divBdr>
          <w:divsChild>
            <w:div w:id="1722630016">
              <w:marLeft w:val="0"/>
              <w:marRight w:val="0"/>
              <w:marTop w:val="0"/>
              <w:marBottom w:val="0"/>
              <w:divBdr>
                <w:top w:val="none" w:sz="0" w:space="0" w:color="auto"/>
                <w:left w:val="none" w:sz="0" w:space="0" w:color="auto"/>
                <w:bottom w:val="none" w:sz="0" w:space="0" w:color="auto"/>
                <w:right w:val="none" w:sz="0" w:space="0" w:color="auto"/>
              </w:divBdr>
              <w:divsChild>
                <w:div w:id="119249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24165">
      <w:bodyDiv w:val="1"/>
      <w:marLeft w:val="0"/>
      <w:marRight w:val="0"/>
      <w:marTop w:val="0"/>
      <w:marBottom w:val="0"/>
      <w:divBdr>
        <w:top w:val="none" w:sz="0" w:space="0" w:color="auto"/>
        <w:left w:val="none" w:sz="0" w:space="0" w:color="auto"/>
        <w:bottom w:val="none" w:sz="0" w:space="0" w:color="auto"/>
        <w:right w:val="none" w:sz="0" w:space="0" w:color="auto"/>
      </w:divBdr>
    </w:div>
    <w:div w:id="820928926">
      <w:bodyDiv w:val="1"/>
      <w:marLeft w:val="0"/>
      <w:marRight w:val="0"/>
      <w:marTop w:val="0"/>
      <w:marBottom w:val="0"/>
      <w:divBdr>
        <w:top w:val="none" w:sz="0" w:space="0" w:color="auto"/>
        <w:left w:val="none" w:sz="0" w:space="0" w:color="auto"/>
        <w:bottom w:val="none" w:sz="0" w:space="0" w:color="auto"/>
        <w:right w:val="none" w:sz="0" w:space="0" w:color="auto"/>
      </w:divBdr>
      <w:divsChild>
        <w:div w:id="1686979560">
          <w:marLeft w:val="0"/>
          <w:marRight w:val="0"/>
          <w:marTop w:val="0"/>
          <w:marBottom w:val="0"/>
          <w:divBdr>
            <w:top w:val="none" w:sz="0" w:space="0" w:color="auto"/>
            <w:left w:val="none" w:sz="0" w:space="0" w:color="auto"/>
            <w:bottom w:val="none" w:sz="0" w:space="0" w:color="auto"/>
            <w:right w:val="none" w:sz="0" w:space="0" w:color="auto"/>
          </w:divBdr>
          <w:divsChild>
            <w:div w:id="1420176813">
              <w:marLeft w:val="0"/>
              <w:marRight w:val="0"/>
              <w:marTop w:val="0"/>
              <w:marBottom w:val="0"/>
              <w:divBdr>
                <w:top w:val="none" w:sz="0" w:space="0" w:color="auto"/>
                <w:left w:val="none" w:sz="0" w:space="0" w:color="auto"/>
                <w:bottom w:val="none" w:sz="0" w:space="0" w:color="auto"/>
                <w:right w:val="none" w:sz="0" w:space="0" w:color="auto"/>
              </w:divBdr>
              <w:divsChild>
                <w:div w:id="4445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12458">
      <w:bodyDiv w:val="1"/>
      <w:marLeft w:val="0"/>
      <w:marRight w:val="0"/>
      <w:marTop w:val="0"/>
      <w:marBottom w:val="0"/>
      <w:divBdr>
        <w:top w:val="none" w:sz="0" w:space="0" w:color="auto"/>
        <w:left w:val="none" w:sz="0" w:space="0" w:color="auto"/>
        <w:bottom w:val="none" w:sz="0" w:space="0" w:color="auto"/>
        <w:right w:val="none" w:sz="0" w:space="0" w:color="auto"/>
      </w:divBdr>
      <w:divsChild>
        <w:div w:id="2140419301">
          <w:marLeft w:val="0"/>
          <w:marRight w:val="0"/>
          <w:marTop w:val="0"/>
          <w:marBottom w:val="0"/>
          <w:divBdr>
            <w:top w:val="none" w:sz="0" w:space="0" w:color="auto"/>
            <w:left w:val="none" w:sz="0" w:space="0" w:color="auto"/>
            <w:bottom w:val="none" w:sz="0" w:space="0" w:color="auto"/>
            <w:right w:val="none" w:sz="0" w:space="0" w:color="auto"/>
          </w:divBdr>
          <w:divsChild>
            <w:div w:id="964041590">
              <w:marLeft w:val="0"/>
              <w:marRight w:val="0"/>
              <w:marTop w:val="0"/>
              <w:marBottom w:val="0"/>
              <w:divBdr>
                <w:top w:val="none" w:sz="0" w:space="0" w:color="auto"/>
                <w:left w:val="none" w:sz="0" w:space="0" w:color="auto"/>
                <w:bottom w:val="none" w:sz="0" w:space="0" w:color="auto"/>
                <w:right w:val="none" w:sz="0" w:space="0" w:color="auto"/>
              </w:divBdr>
              <w:divsChild>
                <w:div w:id="5965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884348">
      <w:bodyDiv w:val="1"/>
      <w:marLeft w:val="0"/>
      <w:marRight w:val="0"/>
      <w:marTop w:val="0"/>
      <w:marBottom w:val="0"/>
      <w:divBdr>
        <w:top w:val="none" w:sz="0" w:space="0" w:color="auto"/>
        <w:left w:val="none" w:sz="0" w:space="0" w:color="auto"/>
        <w:bottom w:val="none" w:sz="0" w:space="0" w:color="auto"/>
        <w:right w:val="none" w:sz="0" w:space="0" w:color="auto"/>
      </w:divBdr>
    </w:div>
    <w:div w:id="1154764490">
      <w:bodyDiv w:val="1"/>
      <w:marLeft w:val="0"/>
      <w:marRight w:val="0"/>
      <w:marTop w:val="0"/>
      <w:marBottom w:val="0"/>
      <w:divBdr>
        <w:top w:val="none" w:sz="0" w:space="0" w:color="auto"/>
        <w:left w:val="none" w:sz="0" w:space="0" w:color="auto"/>
        <w:bottom w:val="none" w:sz="0" w:space="0" w:color="auto"/>
        <w:right w:val="none" w:sz="0" w:space="0" w:color="auto"/>
      </w:divBdr>
    </w:div>
    <w:div w:id="1472942098">
      <w:bodyDiv w:val="1"/>
      <w:marLeft w:val="0"/>
      <w:marRight w:val="0"/>
      <w:marTop w:val="0"/>
      <w:marBottom w:val="0"/>
      <w:divBdr>
        <w:top w:val="none" w:sz="0" w:space="0" w:color="auto"/>
        <w:left w:val="none" w:sz="0" w:space="0" w:color="auto"/>
        <w:bottom w:val="none" w:sz="0" w:space="0" w:color="auto"/>
        <w:right w:val="none" w:sz="0" w:space="0" w:color="auto"/>
      </w:divBdr>
      <w:divsChild>
        <w:div w:id="177080800">
          <w:marLeft w:val="0"/>
          <w:marRight w:val="0"/>
          <w:marTop w:val="0"/>
          <w:marBottom w:val="0"/>
          <w:divBdr>
            <w:top w:val="none" w:sz="0" w:space="0" w:color="auto"/>
            <w:left w:val="none" w:sz="0" w:space="0" w:color="auto"/>
            <w:bottom w:val="none" w:sz="0" w:space="0" w:color="auto"/>
            <w:right w:val="none" w:sz="0" w:space="0" w:color="auto"/>
          </w:divBdr>
          <w:divsChild>
            <w:div w:id="1862430271">
              <w:marLeft w:val="0"/>
              <w:marRight w:val="0"/>
              <w:marTop w:val="0"/>
              <w:marBottom w:val="0"/>
              <w:divBdr>
                <w:top w:val="none" w:sz="0" w:space="0" w:color="auto"/>
                <w:left w:val="none" w:sz="0" w:space="0" w:color="auto"/>
                <w:bottom w:val="none" w:sz="0" w:space="0" w:color="auto"/>
                <w:right w:val="none" w:sz="0" w:space="0" w:color="auto"/>
              </w:divBdr>
              <w:divsChild>
                <w:div w:id="18491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19932">
      <w:bodyDiv w:val="1"/>
      <w:marLeft w:val="0"/>
      <w:marRight w:val="0"/>
      <w:marTop w:val="0"/>
      <w:marBottom w:val="0"/>
      <w:divBdr>
        <w:top w:val="none" w:sz="0" w:space="0" w:color="auto"/>
        <w:left w:val="none" w:sz="0" w:space="0" w:color="auto"/>
        <w:bottom w:val="none" w:sz="0" w:space="0" w:color="auto"/>
        <w:right w:val="none" w:sz="0" w:space="0" w:color="auto"/>
      </w:divBdr>
    </w:div>
    <w:div w:id="1785076947">
      <w:bodyDiv w:val="1"/>
      <w:marLeft w:val="0"/>
      <w:marRight w:val="0"/>
      <w:marTop w:val="0"/>
      <w:marBottom w:val="0"/>
      <w:divBdr>
        <w:top w:val="none" w:sz="0" w:space="0" w:color="auto"/>
        <w:left w:val="none" w:sz="0" w:space="0" w:color="auto"/>
        <w:bottom w:val="none" w:sz="0" w:space="0" w:color="auto"/>
        <w:right w:val="none" w:sz="0" w:space="0" w:color="auto"/>
      </w:divBdr>
    </w:div>
    <w:div w:id="1840652152">
      <w:bodyDiv w:val="1"/>
      <w:marLeft w:val="0"/>
      <w:marRight w:val="0"/>
      <w:marTop w:val="0"/>
      <w:marBottom w:val="0"/>
      <w:divBdr>
        <w:top w:val="none" w:sz="0" w:space="0" w:color="auto"/>
        <w:left w:val="none" w:sz="0" w:space="0" w:color="auto"/>
        <w:bottom w:val="none" w:sz="0" w:space="0" w:color="auto"/>
        <w:right w:val="none" w:sz="0" w:space="0" w:color="auto"/>
      </w:divBdr>
      <w:divsChild>
        <w:div w:id="171802295">
          <w:marLeft w:val="0"/>
          <w:marRight w:val="0"/>
          <w:marTop w:val="0"/>
          <w:marBottom w:val="0"/>
          <w:divBdr>
            <w:top w:val="none" w:sz="0" w:space="0" w:color="auto"/>
            <w:left w:val="none" w:sz="0" w:space="0" w:color="auto"/>
            <w:bottom w:val="none" w:sz="0" w:space="0" w:color="auto"/>
            <w:right w:val="none" w:sz="0" w:space="0" w:color="auto"/>
          </w:divBdr>
          <w:divsChild>
            <w:div w:id="47149117">
              <w:marLeft w:val="0"/>
              <w:marRight w:val="0"/>
              <w:marTop w:val="0"/>
              <w:marBottom w:val="0"/>
              <w:divBdr>
                <w:top w:val="none" w:sz="0" w:space="0" w:color="auto"/>
                <w:left w:val="none" w:sz="0" w:space="0" w:color="auto"/>
                <w:bottom w:val="none" w:sz="0" w:space="0" w:color="auto"/>
                <w:right w:val="none" w:sz="0" w:space="0" w:color="auto"/>
              </w:divBdr>
              <w:divsChild>
                <w:div w:id="16287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03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file:///O:\1.HOME%20FUNDS\1.%20Horizontal%20pts\18.%20Evaluation\08.%20SOLID%20ex-post%202011-2013\5.%20Tender%20&amp;amp;%20contract\EIF%20tender&amp;amp;contract\99.%20SWD\EIF%20SWD_draft.docx" TargetMode="Externa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file:///O:\1.HOME%20FUNDS\1.%20Horizontal%20pts\18.%20Evaluation\08.%20SOLID%20ex-post%202011-2013\5.%20Tender%20&amp;amp;%20contract\EIF%20tender&amp;amp;contract\99.%20SWD\EIF%20SWD_draft.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file:///O:\1.HOME%20FUNDS\1.%20Horizontal%20pts\18.%20Evaluation\08.%20SOLID%20ex-post%202011-2013\5.%20Tender%20&amp;amp;%20contract\EIF%20tender&amp;amp;contract\99.%20SWD\EIF%20SWD_draft.docx" TargetMode="External"/><Relationship Id="rId32"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2.png"/><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1.xml"/><Relationship Id="rId27" Type="http://schemas.openxmlformats.org/officeDocument/2006/relationships/header" Target="header7.xml"/><Relationship Id="rId30" Type="http://schemas.openxmlformats.org/officeDocument/2006/relationships/footer" Target="footer8.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home-affairs/sites/homeaffairs/files/financing/fundings/pdf/integration/synthesis_of_the_national_evaluation_reports.pdf" TargetMode="External"/><Relationship Id="rId1" Type="http://schemas.openxmlformats.org/officeDocument/2006/relationships/hyperlink" Target="http://www.mipex.e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ci\public\1.HOME%20FUNDS\1.%20Horizontal%20pts\18.%20Evaluation\08.%20SOLID%20ex-post%202011-2013\10.%20SWD\Statistics\Preparatory\3_EIF\EIF_SWD_Stats_rev%20CAs%20by%20S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44992428429599"/>
          <c:y val="0.11950675323641299"/>
          <c:w val="0.80356128796783799"/>
          <c:h val="0.74420976809013895"/>
        </c:manualLayout>
      </c:layout>
      <c:barChart>
        <c:barDir val="col"/>
        <c:grouping val="clustered"/>
        <c:varyColors val="0"/>
        <c:ser>
          <c:idx val="0"/>
          <c:order val="0"/>
          <c:tx>
            <c:strRef>
              <c:f>'2011-2013_Marta'!$D$66</c:f>
              <c:strCache>
                <c:ptCount val="1"/>
                <c:pt idx="0">
                  <c:v>Programmed EU contribution</c:v>
                </c:pt>
              </c:strCache>
            </c:strRef>
          </c:tx>
          <c:spPr>
            <a:solidFill>
              <a:srgbClr val="61D3FB">
                <a:alpha val="40000"/>
              </a:srgbClr>
            </a:solidFill>
            <a:ln>
              <a:solidFill>
                <a:srgbClr val="34AFFA"/>
              </a:solidFill>
            </a:ln>
          </c:spPr>
          <c:invertIfNegative val="0"/>
          <c:cat>
            <c:numRef>
              <c:f>'2011-2013_Marta'!$C$67:$C$73</c:f>
              <c:numCache>
                <c:formatCode>General</c:formatCode>
                <c:ptCount val="7"/>
                <c:pt idx="0">
                  <c:v>2007</c:v>
                </c:pt>
                <c:pt idx="1">
                  <c:v>2008</c:v>
                </c:pt>
                <c:pt idx="2">
                  <c:v>2009</c:v>
                </c:pt>
                <c:pt idx="3">
                  <c:v>2010</c:v>
                </c:pt>
                <c:pt idx="4">
                  <c:v>2011</c:v>
                </c:pt>
                <c:pt idx="5">
                  <c:v>2012</c:v>
                </c:pt>
                <c:pt idx="6">
                  <c:v>2013</c:v>
                </c:pt>
              </c:numCache>
            </c:numRef>
          </c:cat>
          <c:val>
            <c:numRef>
              <c:f>'2011-2013_Marta'!$D$67:$D$73</c:f>
              <c:numCache>
                <c:formatCode>#,##0</c:formatCode>
                <c:ptCount val="7"/>
                <c:pt idx="0">
                  <c:v>60356999.990000002</c:v>
                </c:pt>
                <c:pt idx="1">
                  <c:v>72075000</c:v>
                </c:pt>
                <c:pt idx="2">
                  <c:v>90689455.790000007</c:v>
                </c:pt>
                <c:pt idx="3">
                  <c:v>102764999.17</c:v>
                </c:pt>
                <c:pt idx="4">
                  <c:v>122294999.98</c:v>
                </c:pt>
                <c:pt idx="5">
                  <c:v>153221718.68000001</c:v>
                </c:pt>
                <c:pt idx="6">
                  <c:v>171382069</c:v>
                </c:pt>
              </c:numCache>
            </c:numRef>
          </c:val>
          <c:extLst xmlns:c16r2="http://schemas.microsoft.com/office/drawing/2015/06/chart">
            <c:ext xmlns:c16="http://schemas.microsoft.com/office/drawing/2014/chart" uri="{C3380CC4-5D6E-409C-BE32-E72D297353CC}">
              <c16:uniqueId val="{00000000-FBB5-4D9B-8933-4EF53FD8173D}"/>
            </c:ext>
          </c:extLst>
        </c:ser>
        <c:ser>
          <c:idx val="1"/>
          <c:order val="1"/>
          <c:tx>
            <c:strRef>
              <c:f>'2011-2013_Marta'!$E$66</c:f>
              <c:strCache>
                <c:ptCount val="1"/>
                <c:pt idx="0">
                  <c:v>Net EU contribution</c:v>
                </c:pt>
              </c:strCache>
            </c:strRef>
          </c:tx>
          <c:spPr>
            <a:solidFill>
              <a:srgbClr val="2107BF"/>
            </a:solidFill>
          </c:spPr>
          <c:invertIfNegative val="0"/>
          <c:dLbls>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FBB5-4D9B-8933-4EF53FD8173D}"/>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'2011-2013_Marta'!$C$67:$C$73</c:f>
              <c:numCache>
                <c:formatCode>General</c:formatCode>
                <c:ptCount val="7"/>
                <c:pt idx="0">
                  <c:v>2007</c:v>
                </c:pt>
                <c:pt idx="1">
                  <c:v>2008</c:v>
                </c:pt>
                <c:pt idx="2">
                  <c:v>2009</c:v>
                </c:pt>
                <c:pt idx="3">
                  <c:v>2010</c:v>
                </c:pt>
                <c:pt idx="4">
                  <c:v>2011</c:v>
                </c:pt>
                <c:pt idx="5">
                  <c:v>2012</c:v>
                </c:pt>
                <c:pt idx="6">
                  <c:v>2013</c:v>
                </c:pt>
              </c:numCache>
            </c:numRef>
          </c:cat>
          <c:val>
            <c:numRef>
              <c:f>'2011-2013_Marta'!$E$67:$E$73</c:f>
              <c:numCache>
                <c:formatCode>#,##0</c:formatCode>
                <c:ptCount val="7"/>
                <c:pt idx="0">
                  <c:v>42870096.950000003</c:v>
                </c:pt>
                <c:pt idx="1">
                  <c:v>45218157.210000001</c:v>
                </c:pt>
                <c:pt idx="2">
                  <c:v>64153512.159999996</c:v>
                </c:pt>
                <c:pt idx="3">
                  <c:v>76115059.420000002</c:v>
                </c:pt>
                <c:pt idx="4">
                  <c:v>89591112.920000002</c:v>
                </c:pt>
                <c:pt idx="5">
                  <c:v>114752405.17</c:v>
                </c:pt>
                <c:pt idx="6">
                  <c:v>141457179.81</c:v>
                </c:pt>
              </c:numCache>
            </c:numRef>
          </c:val>
          <c:extLst xmlns:c16r2="http://schemas.microsoft.com/office/drawing/2015/06/chart">
            <c:ext xmlns:c16="http://schemas.microsoft.com/office/drawing/2014/chart" uri="{C3380CC4-5D6E-409C-BE32-E72D297353CC}">
              <c16:uniqueId val="{00000002-FBB5-4D9B-8933-4EF53FD8173D}"/>
            </c:ext>
          </c:extLst>
        </c:ser>
        <c:dLbls>
          <c:showLegendKey val="0"/>
          <c:showVal val="0"/>
          <c:showCatName val="0"/>
          <c:showSerName val="0"/>
          <c:showPercent val="0"/>
          <c:showBubbleSize val="0"/>
        </c:dLbls>
        <c:gapWidth val="81"/>
        <c:axId val="109847680"/>
        <c:axId val="109922560"/>
      </c:barChart>
      <c:lineChart>
        <c:grouping val="standard"/>
        <c:varyColors val="0"/>
        <c:ser>
          <c:idx val="2"/>
          <c:order val="2"/>
          <c:tx>
            <c:strRef>
              <c:f>'2011-2013_Marta'!$F$66</c:f>
              <c:strCache>
                <c:ptCount val="1"/>
                <c:pt idx="0">
                  <c:v>Absorption rate</c:v>
                </c:pt>
              </c:strCache>
            </c:strRef>
          </c:tx>
          <c:spPr>
            <a:ln>
              <a:noFill/>
            </a:ln>
          </c:spPr>
          <c:marker>
            <c:symbol val="circle"/>
            <c:size val="8"/>
            <c:spPr>
              <a:solidFill>
                <a:srgbClr val="F9A7EF"/>
              </a:solidFill>
              <a:ln>
                <a:solidFill>
                  <a:srgbClr val="A76799"/>
                </a:solidFill>
              </a:ln>
            </c:spPr>
          </c:marker>
          <c:dLbls>
            <c:dLbl>
              <c:idx val="6"/>
              <c:layout>
                <c:manualLayout>
                  <c:x val="-1.19697671480904E-2"/>
                  <c:y val="-4.039423652666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FBB5-4D9B-8933-4EF53FD8173D}"/>
                </c:ext>
              </c:extLst>
            </c:dLbl>
            <c:spPr>
              <a:noFill/>
              <a:ln>
                <a:noFill/>
              </a:ln>
              <a:effectLst/>
            </c:spPr>
            <c:txPr>
              <a:bodyPr/>
              <a:lstStyle/>
              <a:p>
                <a:pPr>
                  <a:defRPr b="1">
                    <a:solidFill>
                      <a:srgbClr val="0070C0"/>
                    </a:solidFill>
                    <a:latin typeface="Times New Roman" panose="02020603050405020304" pitchFamily="18" charset="0"/>
                    <a:cs typeface="Times New Roman" panose="02020603050405020304" pitchFamily="18" charset="0"/>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'2011-2013_Marta'!$C$67:$C$73</c:f>
              <c:numCache>
                <c:formatCode>General</c:formatCode>
                <c:ptCount val="7"/>
                <c:pt idx="0">
                  <c:v>2007</c:v>
                </c:pt>
                <c:pt idx="1">
                  <c:v>2008</c:v>
                </c:pt>
                <c:pt idx="2">
                  <c:v>2009</c:v>
                </c:pt>
                <c:pt idx="3">
                  <c:v>2010</c:v>
                </c:pt>
                <c:pt idx="4">
                  <c:v>2011</c:v>
                </c:pt>
                <c:pt idx="5">
                  <c:v>2012</c:v>
                </c:pt>
                <c:pt idx="6">
                  <c:v>2013</c:v>
                </c:pt>
              </c:numCache>
            </c:numRef>
          </c:cat>
          <c:val>
            <c:numRef>
              <c:f>'2011-2013_Marta'!$F$67:$F$73</c:f>
              <c:numCache>
                <c:formatCode>0%</c:formatCode>
                <c:ptCount val="7"/>
                <c:pt idx="0">
                  <c:v>0.71027547686436998</c:v>
                </c:pt>
                <c:pt idx="1">
                  <c:v>0.62737644412070803</c:v>
                </c:pt>
                <c:pt idx="2">
                  <c:v>0.70739769691146404</c:v>
                </c:pt>
                <c:pt idx="3">
                  <c:v>0.74067104592766897</c:v>
                </c:pt>
                <c:pt idx="4">
                  <c:v>0.73258197746965703</c:v>
                </c:pt>
                <c:pt idx="5">
                  <c:v>0.74893041377285297</c:v>
                </c:pt>
                <c:pt idx="6">
                  <c:v>0.82539078116742803</c:v>
                </c:pt>
              </c:numCache>
            </c:numRef>
          </c:val>
          <c:smooth val="0"/>
          <c:extLst xmlns:c16r2="http://schemas.microsoft.com/office/drawing/2015/06/chart">
            <c:ext xmlns:c16="http://schemas.microsoft.com/office/drawing/2014/chart" uri="{C3380CC4-5D6E-409C-BE32-E72D297353CC}">
              <c16:uniqueId val="{00000004-FBB5-4D9B-8933-4EF53FD8173D}"/>
            </c:ext>
          </c:extLst>
        </c:ser>
        <c:dLbls>
          <c:showLegendKey val="0"/>
          <c:showVal val="0"/>
          <c:showCatName val="0"/>
          <c:showSerName val="0"/>
          <c:showPercent val="0"/>
          <c:showBubbleSize val="0"/>
        </c:dLbls>
        <c:marker val="1"/>
        <c:smooth val="0"/>
        <c:axId val="115872896"/>
        <c:axId val="115869184"/>
      </c:lineChart>
      <c:catAx>
        <c:axId val="109847680"/>
        <c:scaling>
          <c:orientation val="minMax"/>
        </c:scaling>
        <c:delete val="0"/>
        <c:axPos val="b"/>
        <c:numFmt formatCode="General" sourceLinked="1"/>
        <c:majorTickMark val="out"/>
        <c:minorTickMark val="none"/>
        <c:tickLblPos val="nextTo"/>
        <c:txPr>
          <a:bodyPr/>
          <a:lstStyle/>
          <a:p>
            <a:pPr>
              <a:defRPr b="1">
                <a:solidFill>
                  <a:schemeClr val="accent1">
                    <a:lumMod val="75000"/>
                  </a:schemeClr>
                </a:solidFill>
                <a:latin typeface="Times New Roman" panose="02020603050405020304" pitchFamily="18" charset="0"/>
                <a:cs typeface="Times New Roman" panose="02020603050405020304" pitchFamily="18" charset="0"/>
              </a:defRPr>
            </a:pPr>
            <a:endParaRPr lang="en-US"/>
          </a:p>
        </c:txPr>
        <c:crossAx val="109922560"/>
        <c:crosses val="autoZero"/>
        <c:auto val="1"/>
        <c:lblAlgn val="ctr"/>
        <c:lblOffset val="100"/>
        <c:noMultiLvlLbl val="0"/>
      </c:catAx>
      <c:valAx>
        <c:axId val="109922560"/>
        <c:scaling>
          <c:orientation val="minMax"/>
        </c:scaling>
        <c:delete val="0"/>
        <c:axPos val="l"/>
        <c:majorGridlines>
          <c:spPr>
            <a:ln>
              <a:solidFill>
                <a:schemeClr val="tx2">
                  <a:lumMod val="75000"/>
                  <a:alpha val="16000"/>
                </a:schemeClr>
              </a:solidFill>
            </a:ln>
          </c:spPr>
        </c:majorGridlines>
        <c:title>
          <c:tx>
            <c:rich>
              <a:bodyPr/>
              <a:lstStyle/>
              <a:p>
                <a:pPr>
                  <a:defRPr sz="1100" b="0">
                    <a:solidFill>
                      <a:schemeClr val="accent1">
                        <a:lumMod val="75000"/>
                      </a:schemeClr>
                    </a:solidFill>
                    <a:latin typeface="Times New Roman" panose="02020603050405020304" pitchFamily="18" charset="0"/>
                    <a:cs typeface="Times New Roman" panose="02020603050405020304" pitchFamily="18" charset="0"/>
                  </a:defRPr>
                </a:pPr>
                <a:r>
                  <a:rPr lang="en-GB" sz="1000" b="0">
                    <a:solidFill>
                      <a:schemeClr val="tx2"/>
                    </a:solidFill>
                    <a:latin typeface="Times New Roman" panose="02020603050405020304" pitchFamily="18" charset="0"/>
                    <a:cs typeface="Times New Roman" panose="02020603050405020304" pitchFamily="18" charset="0"/>
                  </a:rPr>
                  <a:t>Programmed  and net EU</a:t>
                </a:r>
                <a:r>
                  <a:rPr lang="en-GB" sz="1000" b="0" baseline="0">
                    <a:solidFill>
                      <a:schemeClr val="tx2"/>
                    </a:solidFill>
                    <a:latin typeface="Times New Roman" panose="02020603050405020304" pitchFamily="18" charset="0"/>
                    <a:cs typeface="Times New Roman" panose="02020603050405020304" pitchFamily="18" charset="0"/>
                  </a:rPr>
                  <a:t> contributions in millions EUR</a:t>
                </a:r>
              </a:p>
            </c:rich>
          </c:tx>
          <c:layout>
            <c:manualLayout>
              <c:xMode val="edge"/>
              <c:yMode val="edge"/>
              <c:x val="3.0506880071814401E-3"/>
              <c:y val="7.7610550384872995E-2"/>
            </c:manualLayout>
          </c:layout>
          <c:overlay val="0"/>
        </c:title>
        <c:numFmt formatCode="#,##0" sourceLinked="0"/>
        <c:majorTickMark val="out"/>
        <c:minorTickMark val="none"/>
        <c:tickLblPos val="nextTo"/>
        <c:txPr>
          <a:bodyPr/>
          <a:lstStyle/>
          <a:p>
            <a:pPr>
              <a:defRPr b="0">
                <a:solidFill>
                  <a:schemeClr val="accent1">
                    <a:lumMod val="75000"/>
                  </a:schemeClr>
                </a:solidFill>
                <a:latin typeface="Times New Roman" panose="02020603050405020304" pitchFamily="18" charset="0"/>
                <a:cs typeface="Times New Roman" panose="02020603050405020304" pitchFamily="18" charset="0"/>
              </a:defRPr>
            </a:pPr>
            <a:endParaRPr lang="en-US"/>
          </a:p>
        </c:txPr>
        <c:crossAx val="109847680"/>
        <c:crosses val="autoZero"/>
        <c:crossBetween val="between"/>
        <c:dispUnits>
          <c:builtInUnit val="millions"/>
        </c:dispUnits>
      </c:valAx>
      <c:valAx>
        <c:axId val="115869184"/>
        <c:scaling>
          <c:orientation val="minMax"/>
          <c:max val="1"/>
        </c:scaling>
        <c:delete val="0"/>
        <c:axPos val="r"/>
        <c:title>
          <c:tx>
            <c:rich>
              <a:bodyPr rot="-5400000" vert="horz"/>
              <a:lstStyle/>
              <a:p>
                <a:pPr>
                  <a:defRPr sz="1000" b="0"/>
                </a:pPr>
                <a:r>
                  <a:rPr lang="en-US" sz="1000" b="0" i="0" kern="1200" baseline="0">
                    <a:solidFill>
                      <a:srgbClr val="83359B"/>
                    </a:solidFill>
                    <a:effectLst/>
                    <a:latin typeface="Times New Roman"/>
                    <a:cs typeface="Times New Roman"/>
                  </a:rPr>
                  <a:t>Absorption rate</a:t>
                </a:r>
                <a:endParaRPr lang="en-GB" sz="1000" b="0">
                  <a:effectLst/>
                </a:endParaRPr>
              </a:p>
            </c:rich>
          </c:tx>
          <c:overlay val="0"/>
        </c:title>
        <c:numFmt formatCode="0%" sourceLinked="0"/>
        <c:majorTickMark val="out"/>
        <c:minorTickMark val="none"/>
        <c:tickLblPos val="nextTo"/>
        <c:spPr>
          <a:ln>
            <a:solidFill>
              <a:srgbClr val="A76799"/>
            </a:solidFill>
          </a:ln>
        </c:spPr>
        <c:txPr>
          <a:bodyPr/>
          <a:lstStyle/>
          <a:p>
            <a:pPr>
              <a:defRPr b="0" baseline="0">
                <a:solidFill>
                  <a:srgbClr val="9C348D"/>
                </a:solidFill>
                <a:latin typeface="Times New Roman" panose="02020603050405020304" pitchFamily="18" charset="0"/>
                <a:cs typeface="Times New Roman" panose="02020603050405020304" pitchFamily="18" charset="0"/>
              </a:defRPr>
            </a:pPr>
            <a:endParaRPr lang="en-US"/>
          </a:p>
        </c:txPr>
        <c:crossAx val="115872896"/>
        <c:crosses val="max"/>
        <c:crossBetween val="between"/>
      </c:valAx>
      <c:catAx>
        <c:axId val="115872896"/>
        <c:scaling>
          <c:orientation val="minMax"/>
        </c:scaling>
        <c:delete val="1"/>
        <c:axPos val="b"/>
        <c:numFmt formatCode="General" sourceLinked="1"/>
        <c:majorTickMark val="out"/>
        <c:minorTickMark val="none"/>
        <c:tickLblPos val="nextTo"/>
        <c:crossAx val="115869184"/>
        <c:crosses val="autoZero"/>
        <c:auto val="1"/>
        <c:lblAlgn val="ctr"/>
        <c:lblOffset val="100"/>
        <c:noMultiLvlLbl val="0"/>
      </c:catAx>
    </c:plotArea>
    <c:legend>
      <c:legendPos val="r"/>
      <c:layout>
        <c:manualLayout>
          <c:xMode val="edge"/>
          <c:yMode val="edge"/>
          <c:x val="1.85499081522373E-2"/>
          <c:y val="0.92039844650415004"/>
          <c:w val="0.97980673940421104"/>
          <c:h val="7.9601453664445807E-2"/>
        </c:manualLayout>
      </c:layout>
      <c:overlay val="0"/>
      <c:txPr>
        <a:bodyPr/>
        <a:lstStyle/>
        <a:p>
          <a:pPr>
            <a:defRPr>
              <a:solidFill>
                <a:schemeClr val="accent1">
                  <a:lumMod val="75000"/>
                </a:schemeClr>
              </a:solidFill>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solidFill>
        <a:schemeClr val="accent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FCF48-562D-4C78-816B-51D91287E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18439</Words>
  <Characters>103009</Characters>
  <Application>Microsoft Office Word</Application>
  <DocSecurity>4</DocSecurity>
  <Lines>1891</Lines>
  <Paragraphs>507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2018-06-07T14:44:00Z</dcterms:created>
  <dcterms:modified xsi:type="dcterms:W3CDTF">2018-06-07T14:44:00Z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