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FD" w:rsidRDefault="005E3FDE" w:rsidP="005E3FD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628BE7D-3577-47E1-B54A-E81C715279C8" style="width:450.45pt;height:444.3pt">
            <v:imagedata r:id="rId9" o:title=""/>
          </v:shape>
        </w:pict>
      </w:r>
    </w:p>
    <w:bookmarkEnd w:id="0"/>
    <w:p w:rsidR="007013FD" w:rsidRDefault="007013FD">
      <w:pPr>
        <w:rPr>
          <w:noProof/>
        </w:rPr>
        <w:sectPr w:rsidR="007013FD" w:rsidSect="005E3FD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013FD" w:rsidRDefault="007013FD">
      <w:pPr>
        <w:rPr>
          <w:noProof/>
        </w:rPr>
      </w:pPr>
      <w:bookmarkStart w:id="1" w:name="_GoBack"/>
      <w:bookmarkEnd w:id="1"/>
    </w:p>
    <w:bookmarkStart w:id="2" w:name="_Toc515379342" w:displacedByCustomXml="next"/>
    <w:bookmarkStart w:id="3" w:name="_Toc496630441" w:displacedByCustomXml="next"/>
    <w:bookmarkStart w:id="4" w:name="_Toc496711926" w:displacedByCustomXml="next"/>
    <w:bookmarkStart w:id="5" w:name="_Toc500337541" w:displacedByCustomXml="next"/>
    <w:sdt>
      <w:sdtPr>
        <w:rPr>
          <w:rFonts w:asciiTheme="minorHAnsi" w:eastAsiaTheme="minorHAnsi" w:hAnsiTheme="minorHAnsi" w:cstheme="minorBidi"/>
          <w:b w:val="0"/>
          <w:bCs w:val="0"/>
          <w:noProof/>
          <w:sz w:val="22"/>
          <w:szCs w:val="22"/>
          <w:lang w:val="fr-BE"/>
        </w:rPr>
        <w:id w:val="-1160777136"/>
        <w:docPartObj>
          <w:docPartGallery w:val="Table of Contents"/>
          <w:docPartUnique/>
        </w:docPartObj>
      </w:sdtPr>
      <w:sdtEndPr>
        <w:rPr>
          <w:rFonts w:ascii="Times New Roman" w:hAnsi="Times New Roman" w:cs="Times New Roman"/>
        </w:rPr>
      </w:sdtEndPr>
      <w:sdtContent>
        <w:p w:rsidR="007013FD" w:rsidRDefault="005E3FDE">
          <w:pPr>
            <w:pStyle w:val="Heading1"/>
            <w:numPr>
              <w:ilvl w:val="0"/>
              <w:numId w:val="0"/>
            </w:numPr>
            <w:ind w:left="432"/>
            <w:rPr>
              <w:noProof/>
            </w:rPr>
          </w:pPr>
          <w:r>
            <w:rPr>
              <w:noProof/>
            </w:rPr>
            <w:t>Table of</w:t>
          </w:r>
          <w:r>
            <w:rPr>
              <w:rFonts w:asciiTheme="minorHAnsi" w:eastAsiaTheme="minorHAnsi" w:hAnsiTheme="minorHAnsi" w:cstheme="minorBidi"/>
              <w:b w:val="0"/>
              <w:bCs w:val="0"/>
              <w:noProof/>
              <w:sz w:val="22"/>
              <w:szCs w:val="22"/>
              <w:lang w:val="fr-BE"/>
            </w:rPr>
            <w:t xml:space="preserve"> </w:t>
          </w:r>
          <w:r>
            <w:rPr>
              <w:noProof/>
            </w:rPr>
            <w:t>Contents</w:t>
          </w:r>
          <w:bookmarkEnd w:id="5"/>
          <w:bookmarkEnd w:id="4"/>
          <w:bookmarkEnd w:id="3"/>
          <w:bookmarkEnd w:id="2"/>
        </w:p>
        <w:p w:rsidR="007013FD" w:rsidRDefault="005E3FDE">
          <w:pPr>
            <w:pStyle w:val="TOC1"/>
            <w:tabs>
              <w:tab w:val="right" w:leader="dot" w:pos="9062"/>
            </w:tabs>
            <w:rPr>
              <w:rFonts w:eastAsiaTheme="minorEastAsia"/>
              <w:noProof/>
              <w:lang w:val="fr-BE" w:eastAsia="fr-BE"/>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515379342" w:history="1">
            <w:r>
              <w:rPr>
                <w:rStyle w:val="Hyperlink"/>
                <w:noProof/>
              </w:rPr>
              <w:t>Table of</w:t>
            </w:r>
            <w:r>
              <w:rPr>
                <w:rStyle w:val="Hyperlink"/>
                <w:noProof/>
                <w:lang w:val="fr-BE"/>
              </w:rPr>
              <w:t xml:space="preserve"> </w:t>
            </w:r>
            <w:r>
              <w:rPr>
                <w:rStyle w:val="Hyperlink"/>
                <w:noProof/>
              </w:rPr>
              <w:t>Contents</w:t>
            </w:r>
            <w:r>
              <w:rPr>
                <w:noProof/>
                <w:webHidden/>
              </w:rPr>
              <w:tab/>
            </w:r>
            <w:r>
              <w:rPr>
                <w:noProof/>
                <w:webHidden/>
              </w:rPr>
              <w:fldChar w:fldCharType="begin"/>
            </w:r>
            <w:r>
              <w:rPr>
                <w:noProof/>
                <w:webHidden/>
              </w:rPr>
              <w:instrText xml:space="preserve"> PAGEREF _Toc515379342 \h </w:instrText>
            </w:r>
            <w:r>
              <w:rPr>
                <w:noProof/>
                <w:webHidden/>
              </w:rPr>
            </w:r>
            <w:r>
              <w:rPr>
                <w:noProof/>
                <w:webHidden/>
              </w:rPr>
              <w:fldChar w:fldCharType="separate"/>
            </w:r>
            <w:r>
              <w:rPr>
                <w:noProof/>
                <w:webHidden/>
              </w:rPr>
              <w:t>1</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3" w:history="1">
            <w:r>
              <w:rPr>
                <w:rStyle w:val="Hyperlink"/>
                <w:noProof/>
              </w:rPr>
              <w:t>1</w:t>
            </w:r>
            <w:r>
              <w:rPr>
                <w:rFonts w:eastAsiaTheme="minorEastAsia"/>
                <w:noProof/>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_Toc515379343 \h </w:instrText>
            </w:r>
            <w:r>
              <w:rPr>
                <w:noProof/>
                <w:webHidden/>
              </w:rPr>
            </w:r>
            <w:r>
              <w:rPr>
                <w:noProof/>
                <w:webHidden/>
              </w:rPr>
              <w:fldChar w:fldCharType="separate"/>
            </w:r>
            <w:r>
              <w:rPr>
                <w:noProof/>
                <w:webHidden/>
              </w:rPr>
              <w:t>3</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4" w:history="1">
            <w:r>
              <w:rPr>
                <w:rStyle w:val="Hyperlink"/>
                <w:noProof/>
              </w:rPr>
              <w:t>2</w:t>
            </w:r>
            <w:r>
              <w:rPr>
                <w:rFonts w:eastAsiaTheme="minorEastAsia"/>
                <w:noProof/>
                <w:lang w:val="fr-BE" w:eastAsia="fr-BE"/>
              </w:rPr>
              <w:tab/>
            </w:r>
            <w:r>
              <w:rPr>
                <w:rStyle w:val="Hyperlink"/>
                <w:noProof/>
              </w:rPr>
              <w:t xml:space="preserve">Background </w:t>
            </w:r>
            <w:r>
              <w:rPr>
                <w:rStyle w:val="Hyperlink"/>
                <w:noProof/>
              </w:rPr>
              <w:t>to the initiative</w:t>
            </w:r>
            <w:r>
              <w:rPr>
                <w:noProof/>
                <w:webHidden/>
              </w:rPr>
              <w:tab/>
            </w:r>
            <w:r>
              <w:rPr>
                <w:noProof/>
                <w:webHidden/>
              </w:rPr>
              <w:fldChar w:fldCharType="begin"/>
            </w:r>
            <w:r>
              <w:rPr>
                <w:noProof/>
                <w:webHidden/>
              </w:rPr>
              <w:instrText xml:space="preserve"> PAGEREF _Toc515379344 \h </w:instrText>
            </w:r>
            <w:r>
              <w:rPr>
                <w:noProof/>
                <w:webHidden/>
              </w:rPr>
            </w:r>
            <w:r>
              <w:rPr>
                <w:noProof/>
                <w:webHidden/>
              </w:rPr>
              <w:fldChar w:fldCharType="separate"/>
            </w:r>
            <w:r>
              <w:rPr>
                <w:noProof/>
                <w:webHidden/>
              </w:rPr>
              <w:t>5</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5" w:history="1">
            <w:r>
              <w:rPr>
                <w:rStyle w:val="Hyperlink"/>
                <w:noProof/>
              </w:rPr>
              <w:t>3</w:t>
            </w:r>
            <w:r>
              <w:rPr>
                <w:rFonts w:eastAsiaTheme="minorEastAsia"/>
                <w:noProof/>
                <w:lang w:val="fr-BE" w:eastAsia="fr-BE"/>
              </w:rPr>
              <w:tab/>
            </w:r>
            <w:r>
              <w:rPr>
                <w:rStyle w:val="Hyperlink"/>
                <w:noProof/>
              </w:rPr>
              <w:t>The Return Fund as funding instrument (Objectives and priorities)</w:t>
            </w:r>
            <w:r>
              <w:rPr>
                <w:noProof/>
                <w:webHidden/>
              </w:rPr>
              <w:tab/>
            </w:r>
            <w:r>
              <w:rPr>
                <w:noProof/>
                <w:webHidden/>
              </w:rPr>
              <w:fldChar w:fldCharType="begin"/>
            </w:r>
            <w:r>
              <w:rPr>
                <w:noProof/>
                <w:webHidden/>
              </w:rPr>
              <w:instrText xml:space="preserve"> PAGEREF _Toc515379345 \h </w:instrText>
            </w:r>
            <w:r>
              <w:rPr>
                <w:noProof/>
                <w:webHidden/>
              </w:rPr>
            </w:r>
            <w:r>
              <w:rPr>
                <w:noProof/>
                <w:webHidden/>
              </w:rPr>
              <w:fldChar w:fldCharType="separate"/>
            </w:r>
            <w:r>
              <w:rPr>
                <w:noProof/>
                <w:webHidden/>
              </w:rPr>
              <w:t>7</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6" w:history="1">
            <w:r>
              <w:rPr>
                <w:rStyle w:val="Hyperlink"/>
                <w:noProof/>
              </w:rPr>
              <w:t>4</w:t>
            </w:r>
            <w:r>
              <w:rPr>
                <w:rFonts w:eastAsiaTheme="minorEastAsia"/>
                <w:noProof/>
                <w:lang w:val="fr-BE" w:eastAsia="fr-BE"/>
              </w:rPr>
              <w:tab/>
            </w:r>
            <w:r>
              <w:rPr>
                <w:rStyle w:val="Hyperlink"/>
                <w:noProof/>
              </w:rPr>
              <w:t>Evaluation questions</w:t>
            </w:r>
            <w:r>
              <w:rPr>
                <w:noProof/>
                <w:webHidden/>
              </w:rPr>
              <w:tab/>
            </w:r>
            <w:r>
              <w:rPr>
                <w:noProof/>
                <w:webHidden/>
              </w:rPr>
              <w:fldChar w:fldCharType="begin"/>
            </w:r>
            <w:r>
              <w:rPr>
                <w:noProof/>
                <w:webHidden/>
              </w:rPr>
              <w:instrText xml:space="preserve"> PAGEREF _Toc515379346 \h </w:instrText>
            </w:r>
            <w:r>
              <w:rPr>
                <w:noProof/>
                <w:webHidden/>
              </w:rPr>
            </w:r>
            <w:r>
              <w:rPr>
                <w:noProof/>
                <w:webHidden/>
              </w:rPr>
              <w:fldChar w:fldCharType="separate"/>
            </w:r>
            <w:r>
              <w:rPr>
                <w:noProof/>
                <w:webHidden/>
              </w:rPr>
              <w:t>10</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7" w:history="1">
            <w:r>
              <w:rPr>
                <w:rStyle w:val="Hyperlink"/>
                <w:noProof/>
              </w:rPr>
              <w:t>5</w:t>
            </w:r>
            <w:r>
              <w:rPr>
                <w:rFonts w:eastAsiaTheme="minorEastAsia"/>
                <w:noProof/>
                <w:lang w:val="fr-BE" w:eastAsia="fr-BE"/>
              </w:rPr>
              <w:tab/>
            </w:r>
            <w:r>
              <w:rPr>
                <w:rStyle w:val="Hyperlink"/>
                <w:noProof/>
              </w:rPr>
              <w:t>Method</w:t>
            </w:r>
            <w:r>
              <w:rPr>
                <w:noProof/>
                <w:webHidden/>
              </w:rPr>
              <w:tab/>
            </w:r>
            <w:r>
              <w:rPr>
                <w:noProof/>
                <w:webHidden/>
              </w:rPr>
              <w:fldChar w:fldCharType="begin"/>
            </w:r>
            <w:r>
              <w:rPr>
                <w:noProof/>
                <w:webHidden/>
              </w:rPr>
              <w:instrText xml:space="preserve"> PAGEREF </w:instrText>
            </w:r>
            <w:r>
              <w:rPr>
                <w:noProof/>
                <w:webHidden/>
              </w:rPr>
              <w:instrText xml:space="preserve">_Toc515379347 \h </w:instrText>
            </w:r>
            <w:r>
              <w:rPr>
                <w:noProof/>
                <w:webHidden/>
              </w:rPr>
            </w:r>
            <w:r>
              <w:rPr>
                <w:noProof/>
                <w:webHidden/>
              </w:rPr>
              <w:fldChar w:fldCharType="separate"/>
            </w:r>
            <w:r>
              <w:rPr>
                <w:noProof/>
                <w:webHidden/>
              </w:rPr>
              <w:t>10</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48" w:history="1">
            <w:r>
              <w:rPr>
                <w:rStyle w:val="Hyperlink"/>
                <w:rFonts w:ascii="Times New Roman" w:hAnsi="Times New Roman" w:cs="Times New Roman"/>
                <w:noProof/>
              </w:rPr>
              <w:t>5.1</w:t>
            </w:r>
            <w:r>
              <w:rPr>
                <w:rFonts w:eastAsiaTheme="minorEastAsia"/>
                <w:noProof/>
                <w:lang w:val="fr-BE" w:eastAsia="fr-BE"/>
              </w:rPr>
              <w:tab/>
            </w:r>
            <w:r>
              <w:rPr>
                <w:rStyle w:val="Hyperlink"/>
                <w:rFonts w:ascii="Times New Roman" w:hAnsi="Times New Roman" w:cs="Times New Roman"/>
                <w:noProof/>
              </w:rPr>
              <w:t>Limitations</w:t>
            </w:r>
            <w:r>
              <w:rPr>
                <w:noProof/>
                <w:webHidden/>
              </w:rPr>
              <w:tab/>
            </w:r>
            <w:r>
              <w:rPr>
                <w:noProof/>
                <w:webHidden/>
              </w:rPr>
              <w:fldChar w:fldCharType="begin"/>
            </w:r>
            <w:r>
              <w:rPr>
                <w:noProof/>
                <w:webHidden/>
              </w:rPr>
              <w:instrText xml:space="preserve"> PAGEREF _Toc515379348 \h </w:instrText>
            </w:r>
            <w:r>
              <w:rPr>
                <w:noProof/>
                <w:webHidden/>
              </w:rPr>
            </w:r>
            <w:r>
              <w:rPr>
                <w:noProof/>
                <w:webHidden/>
              </w:rPr>
              <w:fldChar w:fldCharType="separate"/>
            </w:r>
            <w:r>
              <w:rPr>
                <w:noProof/>
                <w:webHidden/>
              </w:rPr>
              <w:t>11</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49" w:history="1">
            <w:r>
              <w:rPr>
                <w:rStyle w:val="Hyperlink"/>
                <w:noProof/>
              </w:rPr>
              <w:t>6</w:t>
            </w:r>
            <w:r>
              <w:rPr>
                <w:rFonts w:eastAsiaTheme="minorEastAsia"/>
                <w:noProof/>
                <w:lang w:val="fr-BE" w:eastAsia="fr-BE"/>
              </w:rPr>
              <w:tab/>
            </w:r>
            <w:r>
              <w:rPr>
                <w:rStyle w:val="Hyperlink"/>
                <w:noProof/>
              </w:rPr>
              <w:t>Management modes of the RF</w:t>
            </w:r>
            <w:r>
              <w:rPr>
                <w:noProof/>
                <w:webHidden/>
              </w:rPr>
              <w:tab/>
            </w:r>
            <w:r>
              <w:rPr>
                <w:noProof/>
                <w:webHidden/>
              </w:rPr>
              <w:fldChar w:fldCharType="begin"/>
            </w:r>
            <w:r>
              <w:rPr>
                <w:noProof/>
                <w:webHidden/>
              </w:rPr>
              <w:instrText xml:space="preserve"> PAGEREF _Toc515379349 \h </w:instrText>
            </w:r>
            <w:r>
              <w:rPr>
                <w:noProof/>
                <w:webHidden/>
              </w:rPr>
            </w:r>
            <w:r>
              <w:rPr>
                <w:noProof/>
                <w:webHidden/>
              </w:rPr>
              <w:fldChar w:fldCharType="separate"/>
            </w:r>
            <w:r>
              <w:rPr>
                <w:noProof/>
                <w:webHidden/>
              </w:rPr>
              <w:t>12</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0" w:history="1">
            <w:r>
              <w:rPr>
                <w:rStyle w:val="Hyperlink"/>
                <w:rFonts w:ascii="Times New Roman" w:hAnsi="Times New Roman" w:cs="Times New Roman"/>
                <w:noProof/>
              </w:rPr>
              <w:t>6.1</w:t>
            </w:r>
            <w:r>
              <w:rPr>
                <w:rFonts w:eastAsiaTheme="minorEastAsia"/>
                <w:noProof/>
                <w:lang w:val="fr-BE" w:eastAsia="fr-BE"/>
              </w:rPr>
              <w:tab/>
            </w:r>
            <w:r>
              <w:rPr>
                <w:rStyle w:val="Hyperlink"/>
                <w:rFonts w:ascii="Times New Roman" w:hAnsi="Times New Roman" w:cs="Times New Roman"/>
                <w:noProof/>
                <w:lang w:eastAsia="de-DE"/>
              </w:rPr>
              <w:t>Shared management: Multiannual and Annual Programmes of the Member States</w:t>
            </w:r>
            <w:r>
              <w:rPr>
                <w:noProof/>
                <w:webHidden/>
              </w:rPr>
              <w:tab/>
            </w:r>
            <w:r>
              <w:rPr>
                <w:noProof/>
                <w:webHidden/>
              </w:rPr>
              <w:fldChar w:fldCharType="begin"/>
            </w:r>
            <w:r>
              <w:rPr>
                <w:noProof/>
                <w:webHidden/>
              </w:rPr>
              <w:instrText xml:space="preserve"> PAGEREF _Toc515379350 \h </w:instrText>
            </w:r>
            <w:r>
              <w:rPr>
                <w:noProof/>
                <w:webHidden/>
              </w:rPr>
            </w:r>
            <w:r>
              <w:rPr>
                <w:noProof/>
                <w:webHidden/>
              </w:rPr>
              <w:fldChar w:fldCharType="separate"/>
            </w:r>
            <w:r>
              <w:rPr>
                <w:noProof/>
                <w:webHidden/>
              </w:rPr>
              <w:t>12</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1" w:history="1">
            <w:r>
              <w:rPr>
                <w:rStyle w:val="Hyperlink"/>
                <w:rFonts w:ascii="Times New Roman" w:hAnsi="Times New Roman" w:cs="Times New Roman"/>
                <w:noProof/>
              </w:rPr>
              <w:t>6.2</w:t>
            </w:r>
            <w:r>
              <w:rPr>
                <w:rFonts w:eastAsiaTheme="minorEastAsia"/>
                <w:noProof/>
                <w:lang w:val="fr-BE" w:eastAsia="fr-BE"/>
              </w:rPr>
              <w:tab/>
            </w:r>
            <w:r>
              <w:rPr>
                <w:rStyle w:val="Hyperlink"/>
                <w:rFonts w:ascii="Times New Roman" w:hAnsi="Times New Roman" w:cs="Times New Roman"/>
                <w:noProof/>
              </w:rPr>
              <w:t>Direct management: Annual Work Programmes of</w:t>
            </w:r>
            <w:r>
              <w:rPr>
                <w:rStyle w:val="Hyperlink"/>
                <w:rFonts w:ascii="Times New Roman" w:hAnsi="Times New Roman" w:cs="Times New Roman"/>
                <w:noProof/>
              </w:rPr>
              <w:t xml:space="preserve"> the Commission</w:t>
            </w:r>
            <w:r>
              <w:rPr>
                <w:noProof/>
                <w:webHidden/>
              </w:rPr>
              <w:tab/>
            </w:r>
            <w:r>
              <w:rPr>
                <w:noProof/>
                <w:webHidden/>
              </w:rPr>
              <w:fldChar w:fldCharType="begin"/>
            </w:r>
            <w:r>
              <w:rPr>
                <w:noProof/>
                <w:webHidden/>
              </w:rPr>
              <w:instrText xml:space="preserve"> PAGEREF _Toc515379351 \h </w:instrText>
            </w:r>
            <w:r>
              <w:rPr>
                <w:noProof/>
                <w:webHidden/>
              </w:rPr>
            </w:r>
            <w:r>
              <w:rPr>
                <w:noProof/>
                <w:webHidden/>
              </w:rPr>
              <w:fldChar w:fldCharType="separate"/>
            </w:r>
            <w:r>
              <w:rPr>
                <w:noProof/>
                <w:webHidden/>
              </w:rPr>
              <w:t>14</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52" w:history="1">
            <w:r>
              <w:rPr>
                <w:rStyle w:val="Hyperlink"/>
                <w:noProof/>
              </w:rPr>
              <w:t>7</w:t>
            </w:r>
            <w:r>
              <w:rPr>
                <w:rFonts w:eastAsiaTheme="minorEastAsia"/>
                <w:noProof/>
                <w:lang w:val="fr-BE" w:eastAsia="fr-BE"/>
              </w:rPr>
              <w:tab/>
            </w:r>
            <w:r>
              <w:rPr>
                <w:rStyle w:val="Hyperlink"/>
                <w:noProof/>
              </w:rPr>
              <w:t>Implementation status of the two management modes</w:t>
            </w:r>
            <w:r>
              <w:rPr>
                <w:noProof/>
                <w:webHidden/>
              </w:rPr>
              <w:tab/>
            </w:r>
            <w:r>
              <w:rPr>
                <w:noProof/>
                <w:webHidden/>
              </w:rPr>
              <w:fldChar w:fldCharType="begin"/>
            </w:r>
            <w:r>
              <w:rPr>
                <w:noProof/>
                <w:webHidden/>
              </w:rPr>
              <w:instrText xml:space="preserve"> PAGEREF _Toc515379352 \h </w:instrText>
            </w:r>
            <w:r>
              <w:rPr>
                <w:noProof/>
                <w:webHidden/>
              </w:rPr>
            </w:r>
            <w:r>
              <w:rPr>
                <w:noProof/>
                <w:webHidden/>
              </w:rPr>
              <w:fldChar w:fldCharType="separate"/>
            </w:r>
            <w:r>
              <w:rPr>
                <w:noProof/>
                <w:webHidden/>
              </w:rPr>
              <w:t>15</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3" w:history="1">
            <w:r>
              <w:rPr>
                <w:rStyle w:val="Hyperlink"/>
                <w:rFonts w:ascii="Times New Roman" w:hAnsi="Times New Roman" w:cs="Times New Roman"/>
                <w:noProof/>
              </w:rPr>
              <w:t>7.1</w:t>
            </w:r>
            <w:r>
              <w:rPr>
                <w:rFonts w:eastAsiaTheme="minorEastAsia"/>
                <w:noProof/>
                <w:lang w:val="fr-BE" w:eastAsia="fr-BE"/>
              </w:rPr>
              <w:tab/>
            </w:r>
            <w:r>
              <w:rPr>
                <w:rStyle w:val="Hyperlink"/>
                <w:rFonts w:ascii="Times New Roman" w:hAnsi="Times New Roman" w:cs="Times New Roman"/>
                <w:noProof/>
              </w:rPr>
              <w:t>Implementation through shared management (annual programmes)</w:t>
            </w:r>
            <w:r>
              <w:rPr>
                <w:noProof/>
                <w:webHidden/>
              </w:rPr>
              <w:tab/>
            </w:r>
            <w:r>
              <w:rPr>
                <w:noProof/>
                <w:webHidden/>
              </w:rPr>
              <w:fldChar w:fldCharType="begin"/>
            </w:r>
            <w:r>
              <w:rPr>
                <w:noProof/>
                <w:webHidden/>
              </w:rPr>
              <w:instrText xml:space="preserve"> PAGEREF _Toc515379353 \h </w:instrText>
            </w:r>
            <w:r>
              <w:rPr>
                <w:noProof/>
                <w:webHidden/>
              </w:rPr>
            </w:r>
            <w:r>
              <w:rPr>
                <w:noProof/>
                <w:webHidden/>
              </w:rPr>
              <w:fldChar w:fldCharType="separate"/>
            </w:r>
            <w:r>
              <w:rPr>
                <w:noProof/>
                <w:webHidden/>
              </w:rPr>
              <w:t>15</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4" w:history="1">
            <w:r>
              <w:rPr>
                <w:rStyle w:val="Hyperlink"/>
                <w:rFonts w:ascii="Times New Roman" w:hAnsi="Times New Roman"/>
                <w:noProof/>
              </w:rPr>
              <w:t>7.2</w:t>
            </w:r>
            <w:r>
              <w:rPr>
                <w:rFonts w:eastAsiaTheme="minorEastAsia"/>
                <w:noProof/>
                <w:lang w:val="fr-BE" w:eastAsia="fr-BE"/>
              </w:rPr>
              <w:tab/>
            </w:r>
            <w:r>
              <w:rPr>
                <w:rStyle w:val="Hyperlink"/>
                <w:rFonts w:ascii="Times New Roman" w:hAnsi="Times New Roman"/>
                <w:noProof/>
              </w:rPr>
              <w:t>Implementation through direct management</w:t>
            </w:r>
            <w:r>
              <w:rPr>
                <w:noProof/>
                <w:webHidden/>
              </w:rPr>
              <w:tab/>
            </w:r>
            <w:r>
              <w:rPr>
                <w:noProof/>
                <w:webHidden/>
              </w:rPr>
              <w:fldChar w:fldCharType="begin"/>
            </w:r>
            <w:r>
              <w:rPr>
                <w:noProof/>
                <w:webHidden/>
              </w:rPr>
              <w:instrText xml:space="preserve"> PAGEREF _Toc515379354 \h </w:instrText>
            </w:r>
            <w:r>
              <w:rPr>
                <w:noProof/>
                <w:webHidden/>
              </w:rPr>
            </w:r>
            <w:r>
              <w:rPr>
                <w:noProof/>
                <w:webHidden/>
              </w:rPr>
              <w:fldChar w:fldCharType="separate"/>
            </w:r>
            <w:r>
              <w:rPr>
                <w:noProof/>
                <w:webHidden/>
              </w:rPr>
              <w:t>18</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55" w:history="1">
            <w:r>
              <w:rPr>
                <w:rStyle w:val="Hyperlink"/>
                <w:noProof/>
              </w:rPr>
              <w:t>8</w:t>
            </w:r>
            <w:r>
              <w:rPr>
                <w:rFonts w:eastAsiaTheme="minorEastAsia"/>
                <w:noProof/>
                <w:lang w:val="fr-BE" w:eastAsia="fr-BE"/>
              </w:rPr>
              <w:tab/>
            </w:r>
            <w:r>
              <w:rPr>
                <w:rStyle w:val="Hyperlink"/>
                <w:noProof/>
              </w:rPr>
              <w:t>Answers to the evaluation questions</w:t>
            </w:r>
            <w:r>
              <w:rPr>
                <w:noProof/>
                <w:webHidden/>
              </w:rPr>
              <w:tab/>
            </w:r>
            <w:r>
              <w:rPr>
                <w:noProof/>
                <w:webHidden/>
              </w:rPr>
              <w:fldChar w:fldCharType="begin"/>
            </w:r>
            <w:r>
              <w:rPr>
                <w:noProof/>
                <w:webHidden/>
              </w:rPr>
              <w:instrText xml:space="preserve"> PAGEREF _Toc515379355 \h </w:instrText>
            </w:r>
            <w:r>
              <w:rPr>
                <w:noProof/>
                <w:webHidden/>
              </w:rPr>
            </w:r>
            <w:r>
              <w:rPr>
                <w:noProof/>
                <w:webHidden/>
              </w:rPr>
              <w:fldChar w:fldCharType="separate"/>
            </w:r>
            <w:r>
              <w:rPr>
                <w:noProof/>
                <w:webHidden/>
              </w:rPr>
              <w:t>19</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6" w:history="1">
            <w:r>
              <w:rPr>
                <w:rStyle w:val="Hyperlink"/>
                <w:noProof/>
              </w:rPr>
              <w:t>8.1</w:t>
            </w:r>
            <w:r>
              <w:rPr>
                <w:rFonts w:eastAsiaTheme="minorEastAsia"/>
                <w:noProof/>
                <w:lang w:val="fr-BE" w:eastAsia="fr-BE"/>
              </w:rPr>
              <w:tab/>
            </w:r>
            <w:r>
              <w:rPr>
                <w:rStyle w:val="Hyperlink"/>
                <w:rFonts w:ascii="Times New Roman" w:hAnsi="Times New Roman" w:cs="Times New Roman"/>
                <w:noProof/>
              </w:rPr>
              <w:t>Relevance</w:t>
            </w:r>
            <w:r>
              <w:rPr>
                <w:noProof/>
                <w:webHidden/>
              </w:rPr>
              <w:tab/>
            </w:r>
            <w:r>
              <w:rPr>
                <w:noProof/>
                <w:webHidden/>
              </w:rPr>
              <w:fldChar w:fldCharType="begin"/>
            </w:r>
            <w:r>
              <w:rPr>
                <w:noProof/>
                <w:webHidden/>
              </w:rPr>
              <w:instrText xml:space="preserve"> PAGEREF _Toc515379356 \h </w:instrText>
            </w:r>
            <w:r>
              <w:rPr>
                <w:noProof/>
                <w:webHidden/>
              </w:rPr>
            </w:r>
            <w:r>
              <w:rPr>
                <w:noProof/>
                <w:webHidden/>
              </w:rPr>
              <w:fldChar w:fldCharType="separate"/>
            </w:r>
            <w:r>
              <w:rPr>
                <w:noProof/>
                <w:webHidden/>
              </w:rPr>
              <w:t>19</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57" w:history="1">
            <w:r>
              <w:rPr>
                <w:rStyle w:val="Hyperlink"/>
                <w:rFonts w:ascii="Times New Roman" w:hAnsi="Times New Roman" w:cs="Times New Roman"/>
                <w:noProof/>
              </w:rPr>
              <w:t>8.2</w:t>
            </w:r>
            <w:r>
              <w:rPr>
                <w:rFonts w:eastAsiaTheme="minorEastAsia"/>
                <w:noProof/>
                <w:lang w:val="fr-BE" w:eastAsia="fr-BE"/>
              </w:rPr>
              <w:tab/>
            </w:r>
            <w:r>
              <w:rPr>
                <w:rStyle w:val="Hyperlink"/>
                <w:rFonts w:ascii="Times New Roman" w:hAnsi="Times New Roman" w:cs="Times New Roman"/>
                <w:noProof/>
              </w:rPr>
              <w:t>Effectiveness</w:t>
            </w:r>
            <w:r>
              <w:rPr>
                <w:noProof/>
                <w:webHidden/>
              </w:rPr>
              <w:tab/>
            </w:r>
            <w:r>
              <w:rPr>
                <w:noProof/>
                <w:webHidden/>
              </w:rPr>
              <w:fldChar w:fldCharType="begin"/>
            </w:r>
            <w:r>
              <w:rPr>
                <w:noProof/>
                <w:webHidden/>
              </w:rPr>
              <w:instrText xml:space="preserve"> PAGEREF _Toc515379357 \h </w:instrText>
            </w:r>
            <w:r>
              <w:rPr>
                <w:noProof/>
                <w:webHidden/>
              </w:rPr>
            </w:r>
            <w:r>
              <w:rPr>
                <w:noProof/>
                <w:webHidden/>
              </w:rPr>
              <w:fldChar w:fldCharType="separate"/>
            </w:r>
            <w:r>
              <w:rPr>
                <w:noProof/>
                <w:webHidden/>
              </w:rPr>
              <w:t>21</w:t>
            </w:r>
            <w:r>
              <w:rPr>
                <w:noProof/>
                <w:webHidden/>
              </w:rPr>
              <w:fldChar w:fldCharType="end"/>
            </w:r>
          </w:hyperlink>
        </w:p>
        <w:p w:rsidR="007013FD" w:rsidRDefault="005E3FDE">
          <w:pPr>
            <w:pStyle w:val="TOC3"/>
            <w:tabs>
              <w:tab w:val="left" w:pos="1320"/>
              <w:tab w:val="right" w:leader="dot" w:pos="9062"/>
            </w:tabs>
            <w:rPr>
              <w:rFonts w:eastAsiaTheme="minorEastAsia"/>
              <w:noProof/>
              <w:lang w:val="fr-BE" w:eastAsia="fr-BE"/>
            </w:rPr>
          </w:pPr>
          <w:hyperlink w:anchor="_Toc515379358" w:history="1">
            <w:r>
              <w:rPr>
                <w:rStyle w:val="Hyperlink"/>
                <w:rFonts w:ascii="Times New Roman" w:hAnsi="Times New Roman" w:cs="Times New Roman"/>
                <w:noProof/>
              </w:rPr>
              <w:t>8.2.1</w:t>
            </w:r>
            <w:r>
              <w:rPr>
                <w:rFonts w:eastAsiaTheme="minorEastAsia"/>
                <w:noProof/>
                <w:lang w:val="fr-BE" w:eastAsia="fr-BE"/>
              </w:rPr>
              <w:tab/>
            </w:r>
            <w:r>
              <w:rPr>
                <w:rStyle w:val="Hyperlink"/>
                <w:rFonts w:ascii="Times New Roman" w:hAnsi="Times New Roman" w:cs="Times New Roman"/>
                <w:noProof/>
              </w:rPr>
              <w:t xml:space="preserve">Specific Objective a): The </w:t>
            </w:r>
            <w:r>
              <w:rPr>
                <w:rStyle w:val="Hyperlink"/>
                <w:rFonts w:ascii="Times New Roman" w:hAnsi="Times New Roman" w:cs="Times New Roman"/>
                <w:noProof/>
              </w:rPr>
              <w:t>contribution of the Fund to the introduction and improvement of integrated return management</w:t>
            </w:r>
            <w:r>
              <w:rPr>
                <w:noProof/>
                <w:webHidden/>
              </w:rPr>
              <w:tab/>
            </w:r>
            <w:r>
              <w:rPr>
                <w:noProof/>
                <w:webHidden/>
              </w:rPr>
              <w:fldChar w:fldCharType="begin"/>
            </w:r>
            <w:r>
              <w:rPr>
                <w:noProof/>
                <w:webHidden/>
              </w:rPr>
              <w:instrText xml:space="preserve"> PAGEREF _Toc515379358 \h </w:instrText>
            </w:r>
            <w:r>
              <w:rPr>
                <w:noProof/>
                <w:webHidden/>
              </w:rPr>
            </w:r>
            <w:r>
              <w:rPr>
                <w:noProof/>
                <w:webHidden/>
              </w:rPr>
              <w:fldChar w:fldCharType="separate"/>
            </w:r>
            <w:r>
              <w:rPr>
                <w:noProof/>
                <w:webHidden/>
              </w:rPr>
              <w:t>22</w:t>
            </w:r>
            <w:r>
              <w:rPr>
                <w:noProof/>
                <w:webHidden/>
              </w:rPr>
              <w:fldChar w:fldCharType="end"/>
            </w:r>
          </w:hyperlink>
        </w:p>
        <w:p w:rsidR="007013FD" w:rsidRDefault="005E3FDE">
          <w:pPr>
            <w:pStyle w:val="TOC3"/>
            <w:tabs>
              <w:tab w:val="left" w:pos="1320"/>
              <w:tab w:val="right" w:leader="dot" w:pos="9062"/>
            </w:tabs>
            <w:rPr>
              <w:rFonts w:eastAsiaTheme="minorEastAsia"/>
              <w:noProof/>
              <w:lang w:val="fr-BE" w:eastAsia="fr-BE"/>
            </w:rPr>
          </w:pPr>
          <w:hyperlink w:anchor="_Toc515379359" w:history="1">
            <w:r>
              <w:rPr>
                <w:rStyle w:val="Hyperlink"/>
                <w:rFonts w:ascii="Times New Roman" w:hAnsi="Times New Roman" w:cs="Times New Roman"/>
                <w:noProof/>
              </w:rPr>
              <w:t>8.2.2</w:t>
            </w:r>
            <w:r>
              <w:rPr>
                <w:rFonts w:eastAsiaTheme="minorEastAsia"/>
                <w:noProof/>
                <w:lang w:val="fr-BE" w:eastAsia="fr-BE"/>
              </w:rPr>
              <w:tab/>
            </w:r>
            <w:r>
              <w:rPr>
                <w:rStyle w:val="Hyperlink"/>
                <w:rFonts w:ascii="Times New Roman" w:hAnsi="Times New Roman" w:cs="Times New Roman"/>
                <w:noProof/>
              </w:rPr>
              <w:t>Specific Objective b) Contri</w:t>
            </w:r>
            <w:r>
              <w:rPr>
                <w:rStyle w:val="Hyperlink"/>
                <w:rFonts w:ascii="Times New Roman" w:hAnsi="Times New Roman" w:cs="Times New Roman"/>
                <w:noProof/>
              </w:rPr>
              <w:t>bution of the RF to Cooperation between Member States in Return Management</w:t>
            </w:r>
            <w:r>
              <w:rPr>
                <w:noProof/>
                <w:webHidden/>
              </w:rPr>
              <w:tab/>
            </w:r>
            <w:r>
              <w:rPr>
                <w:noProof/>
                <w:webHidden/>
              </w:rPr>
              <w:fldChar w:fldCharType="begin"/>
            </w:r>
            <w:r>
              <w:rPr>
                <w:noProof/>
                <w:webHidden/>
              </w:rPr>
              <w:instrText xml:space="preserve"> PAGEREF _Toc515379359 \h </w:instrText>
            </w:r>
            <w:r>
              <w:rPr>
                <w:noProof/>
                <w:webHidden/>
              </w:rPr>
            </w:r>
            <w:r>
              <w:rPr>
                <w:noProof/>
                <w:webHidden/>
              </w:rPr>
              <w:fldChar w:fldCharType="separate"/>
            </w:r>
            <w:r>
              <w:rPr>
                <w:noProof/>
                <w:webHidden/>
              </w:rPr>
              <w:t>27</w:t>
            </w:r>
            <w:r>
              <w:rPr>
                <w:noProof/>
                <w:webHidden/>
              </w:rPr>
              <w:fldChar w:fldCharType="end"/>
            </w:r>
          </w:hyperlink>
        </w:p>
        <w:p w:rsidR="007013FD" w:rsidRDefault="005E3FDE">
          <w:pPr>
            <w:pStyle w:val="TOC3"/>
            <w:tabs>
              <w:tab w:val="left" w:pos="1320"/>
              <w:tab w:val="right" w:leader="dot" w:pos="9062"/>
            </w:tabs>
            <w:rPr>
              <w:rFonts w:eastAsiaTheme="minorEastAsia"/>
              <w:noProof/>
              <w:lang w:val="fr-BE" w:eastAsia="fr-BE"/>
            </w:rPr>
          </w:pPr>
          <w:hyperlink w:anchor="_Toc515379360" w:history="1">
            <w:r>
              <w:rPr>
                <w:rStyle w:val="Hyperlink"/>
                <w:rFonts w:ascii="Times New Roman" w:hAnsi="Times New Roman" w:cs="Times New Roman"/>
                <w:noProof/>
              </w:rPr>
              <w:t>8.2.3</w:t>
            </w:r>
            <w:r>
              <w:rPr>
                <w:rFonts w:eastAsiaTheme="minorEastAsia"/>
                <w:noProof/>
                <w:lang w:val="fr-BE" w:eastAsia="fr-BE"/>
              </w:rPr>
              <w:tab/>
            </w:r>
            <w:r>
              <w:rPr>
                <w:rStyle w:val="Hyperlink"/>
                <w:rFonts w:ascii="Times New Roman" w:hAnsi="Times New Roman" w:cs="Times New Roman"/>
                <w:noProof/>
              </w:rPr>
              <w:t>Specific objective c): The Contribution of the</w:t>
            </w:r>
            <w:r>
              <w:rPr>
                <w:rStyle w:val="Hyperlink"/>
                <w:rFonts w:ascii="Times New Roman" w:hAnsi="Times New Roman" w:cs="Times New Roman"/>
                <w:noProof/>
              </w:rPr>
              <w:t xml:space="preserve"> RF to the Implementation of EU Standards and Best Practices in Return Management</w:t>
            </w:r>
            <w:r>
              <w:rPr>
                <w:noProof/>
                <w:webHidden/>
              </w:rPr>
              <w:tab/>
            </w:r>
            <w:r>
              <w:rPr>
                <w:noProof/>
                <w:webHidden/>
              </w:rPr>
              <w:fldChar w:fldCharType="begin"/>
            </w:r>
            <w:r>
              <w:rPr>
                <w:noProof/>
                <w:webHidden/>
              </w:rPr>
              <w:instrText xml:space="preserve"> PAGEREF _Toc515379360 \h </w:instrText>
            </w:r>
            <w:r>
              <w:rPr>
                <w:noProof/>
                <w:webHidden/>
              </w:rPr>
            </w:r>
            <w:r>
              <w:rPr>
                <w:noProof/>
                <w:webHidden/>
              </w:rPr>
              <w:fldChar w:fldCharType="separate"/>
            </w:r>
            <w:r>
              <w:rPr>
                <w:noProof/>
                <w:webHidden/>
              </w:rPr>
              <w:t>29</w:t>
            </w:r>
            <w:r>
              <w:rPr>
                <w:noProof/>
                <w:webHidden/>
              </w:rPr>
              <w:fldChar w:fldCharType="end"/>
            </w:r>
          </w:hyperlink>
        </w:p>
        <w:p w:rsidR="007013FD" w:rsidRDefault="005E3FDE">
          <w:pPr>
            <w:pStyle w:val="TOC3"/>
            <w:tabs>
              <w:tab w:val="left" w:pos="1320"/>
              <w:tab w:val="right" w:leader="dot" w:pos="9062"/>
            </w:tabs>
            <w:rPr>
              <w:rFonts w:eastAsiaTheme="minorEastAsia"/>
              <w:noProof/>
              <w:lang w:val="fr-BE" w:eastAsia="fr-BE"/>
            </w:rPr>
          </w:pPr>
          <w:hyperlink w:anchor="_Toc515379361" w:history="1">
            <w:r>
              <w:rPr>
                <w:rStyle w:val="Hyperlink"/>
                <w:rFonts w:ascii="Times New Roman" w:hAnsi="Times New Roman" w:cs="Times New Roman"/>
                <w:noProof/>
              </w:rPr>
              <w:t>8.2.4</w:t>
            </w:r>
            <w:r>
              <w:rPr>
                <w:rFonts w:eastAsiaTheme="minorEastAsia"/>
                <w:noProof/>
                <w:lang w:val="fr-BE" w:eastAsia="fr-BE"/>
              </w:rPr>
              <w:tab/>
            </w:r>
            <w:r>
              <w:rPr>
                <w:rStyle w:val="Hyperlink"/>
                <w:rFonts w:ascii="Times New Roman" w:hAnsi="Times New Roman" w:cs="Times New Roman"/>
                <w:noProof/>
              </w:rPr>
              <w:t>Effectiveness of the principle of soli</w:t>
            </w:r>
            <w:r>
              <w:rPr>
                <w:rStyle w:val="Hyperlink"/>
                <w:rFonts w:ascii="Times New Roman" w:hAnsi="Times New Roman" w:cs="Times New Roman"/>
                <w:noProof/>
              </w:rPr>
              <w:t>darity: The Contribution of the RF to the Support Services Provided to Member States in Emergency Situations</w:t>
            </w:r>
            <w:r>
              <w:rPr>
                <w:noProof/>
                <w:webHidden/>
              </w:rPr>
              <w:tab/>
            </w:r>
            <w:r>
              <w:rPr>
                <w:noProof/>
                <w:webHidden/>
              </w:rPr>
              <w:fldChar w:fldCharType="begin"/>
            </w:r>
            <w:r>
              <w:rPr>
                <w:noProof/>
                <w:webHidden/>
              </w:rPr>
              <w:instrText xml:space="preserve"> PAGEREF _Toc515379361 \h </w:instrText>
            </w:r>
            <w:r>
              <w:rPr>
                <w:noProof/>
                <w:webHidden/>
              </w:rPr>
            </w:r>
            <w:r>
              <w:rPr>
                <w:noProof/>
                <w:webHidden/>
              </w:rPr>
              <w:fldChar w:fldCharType="separate"/>
            </w:r>
            <w:r>
              <w:rPr>
                <w:noProof/>
                <w:webHidden/>
              </w:rPr>
              <w:t>30</w:t>
            </w:r>
            <w:r>
              <w:rPr>
                <w:noProof/>
                <w:webHidden/>
              </w:rPr>
              <w:fldChar w:fldCharType="end"/>
            </w:r>
          </w:hyperlink>
        </w:p>
        <w:p w:rsidR="007013FD" w:rsidRDefault="005E3FDE">
          <w:pPr>
            <w:pStyle w:val="TOC3"/>
            <w:tabs>
              <w:tab w:val="left" w:pos="1320"/>
              <w:tab w:val="right" w:leader="dot" w:pos="9062"/>
            </w:tabs>
            <w:rPr>
              <w:rFonts w:eastAsiaTheme="minorEastAsia"/>
              <w:noProof/>
              <w:lang w:val="fr-BE" w:eastAsia="fr-BE"/>
            </w:rPr>
          </w:pPr>
          <w:hyperlink w:anchor="_Toc515379362" w:history="1">
            <w:r>
              <w:rPr>
                <w:rStyle w:val="Hyperlink"/>
                <w:rFonts w:ascii="Times New Roman" w:hAnsi="Times New Roman"/>
                <w:noProof/>
              </w:rPr>
              <w:t>8.2.5</w:t>
            </w:r>
            <w:r>
              <w:rPr>
                <w:rFonts w:eastAsiaTheme="minorEastAsia"/>
                <w:noProof/>
                <w:lang w:val="fr-BE" w:eastAsia="fr-BE"/>
              </w:rPr>
              <w:tab/>
            </w:r>
            <w:r>
              <w:rPr>
                <w:rStyle w:val="Hyperlink"/>
                <w:rFonts w:ascii="Times New Roman" w:hAnsi="Times New Roman" w:cs="Times New Roman"/>
                <w:noProof/>
              </w:rPr>
              <w:t xml:space="preserve">Specific </w:t>
            </w:r>
            <w:r>
              <w:rPr>
                <w:rStyle w:val="Hyperlink"/>
                <w:rFonts w:ascii="Times New Roman" w:hAnsi="Times New Roman" w:cs="Times New Roman"/>
                <w:noProof/>
              </w:rPr>
              <w:t>objective d): The contribution of the RF to Specific Innovative Tools for Return Management</w:t>
            </w:r>
            <w:r>
              <w:rPr>
                <w:noProof/>
                <w:webHidden/>
              </w:rPr>
              <w:tab/>
            </w:r>
            <w:r>
              <w:rPr>
                <w:noProof/>
                <w:webHidden/>
              </w:rPr>
              <w:fldChar w:fldCharType="begin"/>
            </w:r>
            <w:r>
              <w:rPr>
                <w:noProof/>
                <w:webHidden/>
              </w:rPr>
              <w:instrText xml:space="preserve"> PAGEREF _Toc515379362 \h </w:instrText>
            </w:r>
            <w:r>
              <w:rPr>
                <w:noProof/>
                <w:webHidden/>
              </w:rPr>
            </w:r>
            <w:r>
              <w:rPr>
                <w:noProof/>
                <w:webHidden/>
              </w:rPr>
              <w:fldChar w:fldCharType="separate"/>
            </w:r>
            <w:r>
              <w:rPr>
                <w:noProof/>
                <w:webHidden/>
              </w:rPr>
              <w:t>32</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63" w:history="1">
            <w:r>
              <w:rPr>
                <w:rStyle w:val="Hyperlink"/>
                <w:rFonts w:ascii="Times New Roman" w:hAnsi="Times New Roman" w:cs="Times New Roman"/>
                <w:noProof/>
              </w:rPr>
              <w:t>8.3</w:t>
            </w:r>
            <w:r>
              <w:rPr>
                <w:rFonts w:eastAsiaTheme="minorEastAsia"/>
                <w:noProof/>
                <w:lang w:val="fr-BE" w:eastAsia="fr-BE"/>
              </w:rPr>
              <w:tab/>
            </w:r>
            <w:r>
              <w:rPr>
                <w:rStyle w:val="Hyperlink"/>
                <w:rFonts w:ascii="Times New Roman" w:hAnsi="Times New Roman" w:cs="Times New Roman"/>
                <w:noProof/>
              </w:rPr>
              <w:t>Efficiency</w:t>
            </w:r>
            <w:r>
              <w:rPr>
                <w:noProof/>
                <w:webHidden/>
              </w:rPr>
              <w:tab/>
            </w:r>
            <w:r>
              <w:rPr>
                <w:noProof/>
                <w:webHidden/>
              </w:rPr>
              <w:fldChar w:fldCharType="begin"/>
            </w:r>
            <w:r>
              <w:rPr>
                <w:noProof/>
                <w:webHidden/>
              </w:rPr>
              <w:instrText xml:space="preserve"> PAGEREF _Toc515379</w:instrText>
            </w:r>
            <w:r>
              <w:rPr>
                <w:noProof/>
                <w:webHidden/>
              </w:rPr>
              <w:instrText xml:space="preserve">363 \h </w:instrText>
            </w:r>
            <w:r>
              <w:rPr>
                <w:noProof/>
                <w:webHidden/>
              </w:rPr>
            </w:r>
            <w:r>
              <w:rPr>
                <w:noProof/>
                <w:webHidden/>
              </w:rPr>
              <w:fldChar w:fldCharType="separate"/>
            </w:r>
            <w:r>
              <w:rPr>
                <w:noProof/>
                <w:webHidden/>
              </w:rPr>
              <w:t>33</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64" w:history="1">
            <w:r>
              <w:rPr>
                <w:rStyle w:val="Hyperlink"/>
                <w:rFonts w:ascii="Times New Roman" w:hAnsi="Times New Roman" w:cs="Times New Roman"/>
                <w:noProof/>
              </w:rPr>
              <w:t>8.4</w:t>
            </w:r>
            <w:r>
              <w:rPr>
                <w:rFonts w:eastAsiaTheme="minorEastAsia"/>
                <w:noProof/>
                <w:lang w:val="fr-BE" w:eastAsia="fr-BE"/>
              </w:rPr>
              <w:tab/>
            </w:r>
            <w:r>
              <w:rPr>
                <w:rStyle w:val="Hyperlink"/>
                <w:rFonts w:ascii="Times New Roman" w:hAnsi="Times New Roman" w:cs="Times New Roman"/>
                <w:noProof/>
              </w:rPr>
              <w:t>Sustainability</w:t>
            </w:r>
            <w:r>
              <w:rPr>
                <w:noProof/>
                <w:webHidden/>
              </w:rPr>
              <w:tab/>
            </w:r>
            <w:r>
              <w:rPr>
                <w:noProof/>
                <w:webHidden/>
              </w:rPr>
              <w:fldChar w:fldCharType="begin"/>
            </w:r>
            <w:r>
              <w:rPr>
                <w:noProof/>
                <w:webHidden/>
              </w:rPr>
              <w:instrText xml:space="preserve"> PAGEREF _Toc515379364 \h </w:instrText>
            </w:r>
            <w:r>
              <w:rPr>
                <w:noProof/>
                <w:webHidden/>
              </w:rPr>
            </w:r>
            <w:r>
              <w:rPr>
                <w:noProof/>
                <w:webHidden/>
              </w:rPr>
              <w:fldChar w:fldCharType="separate"/>
            </w:r>
            <w:r>
              <w:rPr>
                <w:noProof/>
                <w:webHidden/>
              </w:rPr>
              <w:t>36</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65" w:history="1">
            <w:r>
              <w:rPr>
                <w:rStyle w:val="Hyperlink"/>
                <w:rFonts w:ascii="Times New Roman" w:hAnsi="Times New Roman"/>
                <w:noProof/>
              </w:rPr>
              <w:t>8.5</w:t>
            </w:r>
            <w:r>
              <w:rPr>
                <w:rFonts w:eastAsiaTheme="minorEastAsia"/>
                <w:noProof/>
                <w:lang w:val="fr-BE" w:eastAsia="fr-BE"/>
              </w:rPr>
              <w:tab/>
            </w:r>
            <w:r>
              <w:rPr>
                <w:rStyle w:val="Hyperlink"/>
                <w:rFonts w:ascii="Times New Roman" w:hAnsi="Times New Roman"/>
                <w:noProof/>
              </w:rPr>
              <w:t>Coherence and Complementarity</w:t>
            </w:r>
            <w:r>
              <w:rPr>
                <w:noProof/>
                <w:webHidden/>
              </w:rPr>
              <w:tab/>
            </w:r>
            <w:r>
              <w:rPr>
                <w:noProof/>
                <w:webHidden/>
              </w:rPr>
              <w:fldChar w:fldCharType="begin"/>
            </w:r>
            <w:r>
              <w:rPr>
                <w:noProof/>
                <w:webHidden/>
              </w:rPr>
              <w:instrText xml:space="preserve"> PAGEREF _Toc515379365 \h </w:instrText>
            </w:r>
            <w:r>
              <w:rPr>
                <w:noProof/>
                <w:webHidden/>
              </w:rPr>
            </w:r>
            <w:r>
              <w:rPr>
                <w:noProof/>
                <w:webHidden/>
              </w:rPr>
              <w:fldChar w:fldCharType="separate"/>
            </w:r>
            <w:r>
              <w:rPr>
                <w:noProof/>
                <w:webHidden/>
              </w:rPr>
              <w:t>38</w:t>
            </w:r>
            <w:r>
              <w:rPr>
                <w:noProof/>
                <w:webHidden/>
              </w:rPr>
              <w:fldChar w:fldCharType="end"/>
            </w:r>
          </w:hyperlink>
        </w:p>
        <w:p w:rsidR="007013FD" w:rsidRDefault="005E3FDE">
          <w:pPr>
            <w:pStyle w:val="TOC2"/>
            <w:tabs>
              <w:tab w:val="left" w:pos="880"/>
              <w:tab w:val="right" w:leader="dot" w:pos="9062"/>
            </w:tabs>
            <w:rPr>
              <w:rFonts w:eastAsiaTheme="minorEastAsia"/>
              <w:noProof/>
              <w:lang w:val="fr-BE" w:eastAsia="fr-BE"/>
            </w:rPr>
          </w:pPr>
          <w:hyperlink w:anchor="_Toc515379366" w:history="1">
            <w:r>
              <w:rPr>
                <w:rStyle w:val="Hyperlink"/>
                <w:rFonts w:ascii="Times New Roman" w:hAnsi="Times New Roman" w:cs="Times New Roman"/>
                <w:noProof/>
              </w:rPr>
              <w:t>8.6</w:t>
            </w:r>
            <w:r>
              <w:rPr>
                <w:rFonts w:eastAsiaTheme="minorEastAsia"/>
                <w:noProof/>
                <w:lang w:val="fr-BE" w:eastAsia="fr-BE"/>
              </w:rPr>
              <w:tab/>
            </w:r>
            <w:r>
              <w:rPr>
                <w:rStyle w:val="Hyperlink"/>
                <w:rFonts w:ascii="Times New Roman" w:hAnsi="Times New Roman" w:cs="Times New Roman"/>
                <w:noProof/>
              </w:rPr>
              <w:t>EU added value</w:t>
            </w:r>
            <w:r>
              <w:rPr>
                <w:noProof/>
                <w:webHidden/>
              </w:rPr>
              <w:tab/>
            </w:r>
            <w:r>
              <w:rPr>
                <w:noProof/>
                <w:webHidden/>
              </w:rPr>
              <w:fldChar w:fldCharType="begin"/>
            </w:r>
            <w:r>
              <w:rPr>
                <w:noProof/>
                <w:webHidden/>
              </w:rPr>
              <w:instrText xml:space="preserve"> PAGEREF _Toc515379366 \h </w:instrText>
            </w:r>
            <w:r>
              <w:rPr>
                <w:noProof/>
                <w:webHidden/>
              </w:rPr>
            </w:r>
            <w:r>
              <w:rPr>
                <w:noProof/>
                <w:webHidden/>
              </w:rPr>
              <w:fldChar w:fldCharType="separate"/>
            </w:r>
            <w:r>
              <w:rPr>
                <w:noProof/>
                <w:webHidden/>
              </w:rPr>
              <w:t>40</w:t>
            </w:r>
            <w:r>
              <w:rPr>
                <w:noProof/>
                <w:webHidden/>
              </w:rPr>
              <w:fldChar w:fldCharType="end"/>
            </w:r>
          </w:hyperlink>
        </w:p>
        <w:p w:rsidR="007013FD" w:rsidRDefault="005E3FDE">
          <w:pPr>
            <w:pStyle w:val="TOC1"/>
            <w:tabs>
              <w:tab w:val="left" w:pos="440"/>
              <w:tab w:val="right" w:leader="dot" w:pos="9062"/>
            </w:tabs>
            <w:rPr>
              <w:rFonts w:eastAsiaTheme="minorEastAsia"/>
              <w:noProof/>
              <w:lang w:val="fr-BE" w:eastAsia="fr-BE"/>
            </w:rPr>
          </w:pPr>
          <w:hyperlink w:anchor="_Toc515379367" w:history="1">
            <w:r>
              <w:rPr>
                <w:rStyle w:val="Hyperlink"/>
                <w:noProof/>
              </w:rPr>
              <w:t>9</w:t>
            </w:r>
            <w:r>
              <w:rPr>
                <w:rFonts w:eastAsiaTheme="minorEastAsia"/>
                <w:noProof/>
                <w:lang w:val="fr-BE" w:eastAsia="fr-BE"/>
              </w:rPr>
              <w:tab/>
            </w:r>
            <w:r>
              <w:rPr>
                <w:rStyle w:val="Hyperlink"/>
                <w:noProof/>
              </w:rPr>
              <w:t>Conclusion</w:t>
            </w:r>
            <w:r>
              <w:rPr>
                <w:noProof/>
                <w:webHidden/>
              </w:rPr>
              <w:tab/>
            </w:r>
            <w:r>
              <w:rPr>
                <w:noProof/>
                <w:webHidden/>
              </w:rPr>
              <w:fldChar w:fldCharType="begin"/>
            </w:r>
            <w:r>
              <w:rPr>
                <w:noProof/>
                <w:webHidden/>
              </w:rPr>
              <w:instrText xml:space="preserve"> PAGEREF _Toc515379367 \h </w:instrText>
            </w:r>
            <w:r>
              <w:rPr>
                <w:noProof/>
                <w:webHidden/>
              </w:rPr>
            </w:r>
            <w:r>
              <w:rPr>
                <w:noProof/>
                <w:webHidden/>
              </w:rPr>
              <w:fldChar w:fldCharType="separate"/>
            </w:r>
            <w:r>
              <w:rPr>
                <w:noProof/>
                <w:webHidden/>
              </w:rPr>
              <w:t>43</w:t>
            </w:r>
            <w:r>
              <w:rPr>
                <w:noProof/>
                <w:webHidden/>
              </w:rPr>
              <w:fldChar w:fldCharType="end"/>
            </w:r>
          </w:hyperlink>
        </w:p>
        <w:p w:rsidR="007013FD" w:rsidRDefault="005E3FDE">
          <w:pPr>
            <w:pStyle w:val="TOC1"/>
            <w:tabs>
              <w:tab w:val="left" w:pos="660"/>
              <w:tab w:val="right" w:leader="dot" w:pos="9062"/>
            </w:tabs>
            <w:rPr>
              <w:rFonts w:eastAsiaTheme="minorEastAsia"/>
              <w:noProof/>
              <w:lang w:val="fr-BE" w:eastAsia="fr-BE"/>
            </w:rPr>
          </w:pPr>
          <w:hyperlink w:anchor="_Toc515379368" w:history="1">
            <w:r>
              <w:rPr>
                <w:rStyle w:val="Hyperlink"/>
                <w:noProof/>
              </w:rPr>
              <w:t>10</w:t>
            </w:r>
            <w:r>
              <w:rPr>
                <w:rFonts w:eastAsiaTheme="minorEastAsia"/>
                <w:noProof/>
                <w:lang w:val="fr-BE" w:eastAsia="fr-BE"/>
              </w:rPr>
              <w:tab/>
            </w:r>
            <w:r>
              <w:rPr>
                <w:rStyle w:val="Hyperlink"/>
                <w:noProof/>
              </w:rPr>
              <w:t>ANNEX 1 — Procedural information</w:t>
            </w:r>
            <w:r>
              <w:rPr>
                <w:noProof/>
                <w:webHidden/>
              </w:rPr>
              <w:tab/>
            </w:r>
            <w:r>
              <w:rPr>
                <w:noProof/>
                <w:webHidden/>
              </w:rPr>
              <w:fldChar w:fldCharType="begin"/>
            </w:r>
            <w:r>
              <w:rPr>
                <w:noProof/>
                <w:webHidden/>
              </w:rPr>
              <w:instrText xml:space="preserve"> PAGEREF _Toc515379368 \h </w:instrText>
            </w:r>
            <w:r>
              <w:rPr>
                <w:noProof/>
                <w:webHidden/>
              </w:rPr>
            </w:r>
            <w:r>
              <w:rPr>
                <w:noProof/>
                <w:webHidden/>
              </w:rPr>
              <w:fldChar w:fldCharType="separate"/>
            </w:r>
            <w:r>
              <w:rPr>
                <w:noProof/>
                <w:webHidden/>
              </w:rPr>
              <w:t>47</w:t>
            </w:r>
            <w:r>
              <w:rPr>
                <w:noProof/>
                <w:webHidden/>
              </w:rPr>
              <w:fldChar w:fldCharType="end"/>
            </w:r>
          </w:hyperlink>
        </w:p>
        <w:p w:rsidR="007013FD" w:rsidRDefault="005E3FDE">
          <w:pPr>
            <w:pStyle w:val="TOC1"/>
            <w:tabs>
              <w:tab w:val="left" w:pos="660"/>
              <w:tab w:val="right" w:leader="dot" w:pos="9062"/>
            </w:tabs>
            <w:rPr>
              <w:rFonts w:eastAsiaTheme="minorEastAsia"/>
              <w:noProof/>
              <w:lang w:val="fr-BE" w:eastAsia="fr-BE"/>
            </w:rPr>
          </w:pPr>
          <w:hyperlink w:anchor="_Toc515379369" w:history="1">
            <w:r>
              <w:rPr>
                <w:rStyle w:val="Hyperlink"/>
                <w:noProof/>
              </w:rPr>
              <w:t>11</w:t>
            </w:r>
            <w:r>
              <w:rPr>
                <w:rFonts w:eastAsiaTheme="minorEastAsia"/>
                <w:noProof/>
                <w:lang w:val="fr-BE" w:eastAsia="fr-BE"/>
              </w:rPr>
              <w:tab/>
            </w:r>
            <w:r>
              <w:rPr>
                <w:rStyle w:val="Hyperlink"/>
                <w:noProof/>
              </w:rPr>
              <w:t>ANNEX 2 — Stakeholders’ consultation</w:t>
            </w:r>
            <w:r>
              <w:rPr>
                <w:noProof/>
                <w:webHidden/>
              </w:rPr>
              <w:tab/>
            </w:r>
            <w:r>
              <w:rPr>
                <w:noProof/>
                <w:webHidden/>
              </w:rPr>
              <w:fldChar w:fldCharType="begin"/>
            </w:r>
            <w:r>
              <w:rPr>
                <w:noProof/>
                <w:webHidden/>
              </w:rPr>
              <w:instrText xml:space="preserve"> PAGEREF _Toc515379369 \h </w:instrText>
            </w:r>
            <w:r>
              <w:rPr>
                <w:noProof/>
                <w:webHidden/>
              </w:rPr>
            </w:r>
            <w:r>
              <w:rPr>
                <w:noProof/>
                <w:webHidden/>
              </w:rPr>
              <w:fldChar w:fldCharType="separate"/>
            </w:r>
            <w:r>
              <w:rPr>
                <w:noProof/>
                <w:webHidden/>
              </w:rPr>
              <w:t>48</w:t>
            </w:r>
            <w:r>
              <w:rPr>
                <w:noProof/>
                <w:webHidden/>
              </w:rPr>
              <w:fldChar w:fldCharType="end"/>
            </w:r>
          </w:hyperlink>
        </w:p>
        <w:p w:rsidR="007013FD" w:rsidRDefault="005E3FDE">
          <w:pPr>
            <w:pStyle w:val="TOC1"/>
            <w:tabs>
              <w:tab w:val="left" w:pos="660"/>
              <w:tab w:val="right" w:leader="dot" w:pos="9062"/>
            </w:tabs>
            <w:rPr>
              <w:rFonts w:eastAsiaTheme="minorEastAsia"/>
              <w:noProof/>
              <w:lang w:val="fr-BE" w:eastAsia="fr-BE"/>
            </w:rPr>
          </w:pPr>
          <w:hyperlink w:anchor="_Toc515379370" w:history="1">
            <w:r>
              <w:rPr>
                <w:rStyle w:val="Hyperlink"/>
                <w:noProof/>
              </w:rPr>
              <w:t>12</w:t>
            </w:r>
            <w:r>
              <w:rPr>
                <w:rFonts w:eastAsiaTheme="minorEastAsia"/>
                <w:noProof/>
                <w:lang w:val="fr-BE" w:eastAsia="fr-BE"/>
              </w:rPr>
              <w:tab/>
            </w:r>
            <w:r>
              <w:rPr>
                <w:rStyle w:val="Hyperlink"/>
                <w:noProof/>
              </w:rPr>
              <w:t>ANNEX 3 — Methodology</w:t>
            </w:r>
            <w:r>
              <w:rPr>
                <w:noProof/>
                <w:webHidden/>
              </w:rPr>
              <w:tab/>
            </w:r>
            <w:r>
              <w:rPr>
                <w:noProof/>
                <w:webHidden/>
              </w:rPr>
              <w:fldChar w:fldCharType="begin"/>
            </w:r>
            <w:r>
              <w:rPr>
                <w:noProof/>
                <w:webHidden/>
              </w:rPr>
              <w:instrText xml:space="preserve"> PAGEREF _Toc515379370 \h </w:instrText>
            </w:r>
            <w:r>
              <w:rPr>
                <w:noProof/>
                <w:webHidden/>
              </w:rPr>
            </w:r>
            <w:r>
              <w:rPr>
                <w:noProof/>
                <w:webHidden/>
              </w:rPr>
              <w:fldChar w:fldCharType="separate"/>
            </w:r>
            <w:r>
              <w:rPr>
                <w:noProof/>
                <w:webHidden/>
              </w:rPr>
              <w:t>53</w:t>
            </w:r>
            <w:r>
              <w:rPr>
                <w:noProof/>
                <w:webHidden/>
              </w:rPr>
              <w:fldChar w:fldCharType="end"/>
            </w:r>
          </w:hyperlink>
        </w:p>
        <w:p w:rsidR="007013FD" w:rsidRDefault="005E3FDE">
          <w:pPr>
            <w:pStyle w:val="TOC1"/>
            <w:tabs>
              <w:tab w:val="left" w:pos="660"/>
              <w:tab w:val="right" w:leader="dot" w:pos="9062"/>
            </w:tabs>
            <w:rPr>
              <w:rFonts w:eastAsiaTheme="minorEastAsia"/>
              <w:noProof/>
              <w:lang w:val="fr-BE" w:eastAsia="fr-BE"/>
            </w:rPr>
          </w:pPr>
          <w:hyperlink w:anchor="_Toc515379371" w:history="1">
            <w:r>
              <w:rPr>
                <w:rStyle w:val="Hyperlink"/>
                <w:noProof/>
              </w:rPr>
              <w:t>13</w:t>
            </w:r>
            <w:r>
              <w:rPr>
                <w:rFonts w:eastAsiaTheme="minorEastAsia"/>
                <w:noProof/>
                <w:lang w:val="fr-BE" w:eastAsia="fr-BE"/>
              </w:rPr>
              <w:tab/>
            </w:r>
            <w:r>
              <w:rPr>
                <w:rStyle w:val="Hyperlink"/>
                <w:noProof/>
              </w:rPr>
              <w:t>ANNEX 4 — List of evaluation questions</w:t>
            </w:r>
            <w:r>
              <w:rPr>
                <w:noProof/>
                <w:webHidden/>
              </w:rPr>
              <w:tab/>
            </w:r>
            <w:r>
              <w:rPr>
                <w:noProof/>
                <w:webHidden/>
              </w:rPr>
              <w:fldChar w:fldCharType="begin"/>
            </w:r>
            <w:r>
              <w:rPr>
                <w:noProof/>
                <w:webHidden/>
              </w:rPr>
              <w:instrText xml:space="preserve"> PAGEREF _Toc515379371 \h </w:instrText>
            </w:r>
            <w:r>
              <w:rPr>
                <w:noProof/>
                <w:webHidden/>
              </w:rPr>
            </w:r>
            <w:r>
              <w:rPr>
                <w:noProof/>
                <w:webHidden/>
              </w:rPr>
              <w:fldChar w:fldCharType="separate"/>
            </w:r>
            <w:r>
              <w:rPr>
                <w:noProof/>
                <w:webHidden/>
              </w:rPr>
              <w:t>56</w:t>
            </w:r>
            <w:r>
              <w:rPr>
                <w:noProof/>
                <w:webHidden/>
              </w:rPr>
              <w:fldChar w:fldCharType="end"/>
            </w:r>
          </w:hyperlink>
        </w:p>
        <w:p w:rsidR="007013FD" w:rsidRDefault="005E3FDE">
          <w:pPr>
            <w:pStyle w:val="TOC1"/>
            <w:tabs>
              <w:tab w:val="left" w:pos="660"/>
              <w:tab w:val="right" w:leader="dot" w:pos="9062"/>
            </w:tabs>
            <w:rPr>
              <w:rFonts w:eastAsiaTheme="minorEastAsia"/>
              <w:noProof/>
              <w:lang w:val="fr-BE" w:eastAsia="fr-BE"/>
            </w:rPr>
          </w:pPr>
          <w:hyperlink w:anchor="_Toc515379372" w:history="1">
            <w:r>
              <w:rPr>
                <w:rStyle w:val="Hyperlink"/>
                <w:noProof/>
              </w:rPr>
              <w:t>14</w:t>
            </w:r>
            <w:r>
              <w:rPr>
                <w:rFonts w:eastAsiaTheme="minorEastAsia"/>
                <w:noProof/>
                <w:lang w:val="fr-BE" w:eastAsia="fr-BE"/>
              </w:rPr>
              <w:tab/>
            </w:r>
            <w:r>
              <w:rPr>
                <w:rStyle w:val="Hyperlink"/>
                <w:noProof/>
              </w:rPr>
              <w:t>ANNEX</w:t>
            </w:r>
            <w:r>
              <w:rPr>
                <w:rStyle w:val="Hyperlink"/>
                <w:noProof/>
              </w:rPr>
              <w:t xml:space="preserve"> 5 — List of abbreviations and country codes</w:t>
            </w:r>
            <w:r>
              <w:rPr>
                <w:noProof/>
                <w:webHidden/>
              </w:rPr>
              <w:tab/>
            </w:r>
            <w:r>
              <w:rPr>
                <w:noProof/>
                <w:webHidden/>
              </w:rPr>
              <w:fldChar w:fldCharType="begin"/>
            </w:r>
            <w:r>
              <w:rPr>
                <w:noProof/>
                <w:webHidden/>
              </w:rPr>
              <w:instrText xml:space="preserve"> PAGEREF _Toc515379372 \h </w:instrText>
            </w:r>
            <w:r>
              <w:rPr>
                <w:noProof/>
                <w:webHidden/>
              </w:rPr>
            </w:r>
            <w:r>
              <w:rPr>
                <w:noProof/>
                <w:webHidden/>
              </w:rPr>
              <w:fldChar w:fldCharType="separate"/>
            </w:r>
            <w:r>
              <w:rPr>
                <w:noProof/>
                <w:webHidden/>
              </w:rPr>
              <w:t>58</w:t>
            </w:r>
            <w:r>
              <w:rPr>
                <w:noProof/>
                <w:webHidden/>
              </w:rPr>
              <w:fldChar w:fldCharType="end"/>
            </w:r>
          </w:hyperlink>
        </w:p>
        <w:p w:rsidR="007013FD" w:rsidRDefault="005E3FDE">
          <w:pPr>
            <w:spacing w:after="0" w:line="240" w:lineRule="auto"/>
            <w:rPr>
              <w:rFonts w:ascii="Times New Roman" w:hAnsi="Times New Roman" w:cs="Times New Roman"/>
              <w:noProof/>
            </w:rPr>
          </w:pPr>
          <w:r>
            <w:rPr>
              <w:rFonts w:ascii="Times New Roman" w:hAnsi="Times New Roman" w:cs="Times New Roman"/>
              <w:b/>
              <w:bCs/>
              <w:noProof/>
              <w:sz w:val="24"/>
              <w:szCs w:val="24"/>
            </w:rPr>
            <w:fldChar w:fldCharType="end"/>
          </w:r>
        </w:p>
      </w:sdtContent>
    </w:sdt>
    <w:p w:rsidR="007013FD" w:rsidRDefault="005E3FDE">
      <w:pPr>
        <w:rPr>
          <w:noProof/>
          <w:lang w:val="en-GB"/>
        </w:rPr>
      </w:pPr>
      <w:r>
        <w:rPr>
          <w:noProof/>
          <w:lang w:val="en-GB"/>
        </w:rPr>
        <w:br w:type="page"/>
      </w:r>
    </w:p>
    <w:p w:rsidR="007013FD" w:rsidRDefault="005E3FDE">
      <w:pPr>
        <w:pStyle w:val="Heading1"/>
        <w:rPr>
          <w:noProof/>
        </w:rPr>
      </w:pPr>
      <w:bookmarkStart w:id="6" w:name="_Toc496630443"/>
      <w:bookmarkStart w:id="7" w:name="_Toc496711928"/>
      <w:bookmarkStart w:id="8" w:name="_Toc515379343"/>
      <w:r>
        <w:rPr>
          <w:noProof/>
        </w:rPr>
        <w:lastRenderedPageBreak/>
        <w:t>Introduction</w:t>
      </w:r>
      <w:bookmarkEnd w:id="6"/>
      <w:bookmarkEnd w:id="7"/>
      <w:bookmarkEnd w:id="8"/>
    </w:p>
    <w:p w:rsidR="007013FD" w:rsidRDefault="005E3FDE">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Return Fund (RF) was established in 2007 for the period 2008 to 2013. It is one </w:t>
      </w:r>
      <w:r>
        <w:rPr>
          <w:rFonts w:ascii="Times New Roman" w:hAnsi="Times New Roman" w:cs="Times New Roman"/>
          <w:noProof/>
          <w:sz w:val="24"/>
          <w:szCs w:val="24"/>
          <w:lang w:val="en-GB"/>
        </w:rPr>
        <w:t>of four Funds (SOLID Funds) set up under the General Programme ‘Solidarity and Management of Migration Flows’</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The aim of this General Programme was to address the issue of a fair share of responsibilities between Member States concerning the financial </w:t>
      </w:r>
      <w:r>
        <w:rPr>
          <w:rFonts w:ascii="Times New Roman" w:hAnsi="Times New Roman" w:cs="Times New Roman"/>
          <w:noProof/>
          <w:sz w:val="24"/>
          <w:szCs w:val="24"/>
          <w:lang w:val="en-GB"/>
        </w:rPr>
        <w:t>burden arising from the introduction of an integrated management of the Union’s external borders and from the implementation of common policies on asylum and immigration.</w:t>
      </w:r>
    </w:p>
    <w:p w:rsidR="007013FD" w:rsidRDefault="007013FD">
      <w:pPr>
        <w:autoSpaceDE w:val="0"/>
        <w:autoSpaceDN w:val="0"/>
        <w:adjustRightInd w:val="0"/>
        <w:spacing w:after="0" w:line="240" w:lineRule="auto"/>
        <w:jc w:val="both"/>
        <w:rPr>
          <w:rFonts w:ascii="Times New Roman" w:hAnsi="Times New Roman" w:cs="Times New Roman"/>
          <w:noProof/>
          <w:sz w:val="24"/>
          <w:szCs w:val="24"/>
          <w:lang w:val="en-GB"/>
        </w:rPr>
      </w:pPr>
    </w:p>
    <w:p w:rsidR="007013FD" w:rsidRDefault="005E3FDE">
      <w:pPr>
        <w:pStyle w:val="BodyText"/>
        <w:spacing w:after="240"/>
        <w:rPr>
          <w:noProof/>
          <w:szCs w:val="24"/>
        </w:rPr>
      </w:pPr>
      <w:r>
        <w:rPr>
          <w:noProof/>
          <w:szCs w:val="24"/>
        </w:rPr>
        <w:t>The Decision establishing the fund requires the Commission to submit to the European</w:t>
      </w:r>
      <w:r>
        <w:rPr>
          <w:noProof/>
          <w:szCs w:val="24"/>
        </w:rPr>
        <w:t xml:space="preserve"> Parliament, the Council, the European Economic and Social Committee and the Committee of the Regions three evaluations reports:</w:t>
      </w:r>
    </w:p>
    <w:p w:rsidR="007013FD" w:rsidRDefault="005E3FDE">
      <w:pPr>
        <w:pStyle w:val="BodyText"/>
        <w:numPr>
          <w:ilvl w:val="0"/>
          <w:numId w:val="34"/>
        </w:numPr>
        <w:spacing w:after="240"/>
        <w:rPr>
          <w:noProof/>
          <w:szCs w:val="24"/>
        </w:rPr>
      </w:pPr>
      <w:r>
        <w:rPr>
          <w:noProof/>
          <w:szCs w:val="24"/>
        </w:rPr>
        <w:t>by 31 December 2010, an intermediate report on the results achieved and on qualitative and quantitative aspects of implementati</w:t>
      </w:r>
      <w:r>
        <w:rPr>
          <w:noProof/>
          <w:szCs w:val="24"/>
        </w:rPr>
        <w:t>on of the Fund, based on evaluation reports provided by the Member States by 30 June 2010</w:t>
      </w:r>
      <w:r>
        <w:rPr>
          <w:rStyle w:val="FootnoteReference"/>
          <w:noProof/>
          <w:szCs w:val="24"/>
        </w:rPr>
        <w:footnoteReference w:id="3"/>
      </w:r>
      <w:r>
        <w:rPr>
          <w:noProof/>
          <w:szCs w:val="24"/>
        </w:rPr>
        <w:t xml:space="preserve">; </w:t>
      </w:r>
    </w:p>
    <w:p w:rsidR="007013FD" w:rsidRDefault="005E3FDE">
      <w:pPr>
        <w:pStyle w:val="BodyText"/>
        <w:numPr>
          <w:ilvl w:val="0"/>
          <w:numId w:val="34"/>
        </w:numPr>
        <w:spacing w:after="240"/>
        <w:rPr>
          <w:noProof/>
          <w:szCs w:val="24"/>
        </w:rPr>
      </w:pPr>
      <w:r>
        <w:rPr>
          <w:noProof/>
          <w:szCs w:val="24"/>
        </w:rPr>
        <w:t xml:space="preserve">by 31 December 2012, an </w:t>
      </w:r>
      <w:r>
        <w:rPr>
          <w:i/>
          <w:noProof/>
          <w:szCs w:val="24"/>
        </w:rPr>
        <w:t>ex-post</w:t>
      </w:r>
      <w:r>
        <w:rPr>
          <w:noProof/>
          <w:szCs w:val="24"/>
        </w:rPr>
        <w:t xml:space="preserve"> evaluation for the period 2008 to 2010 based on national evaluation reports on the results and impact of actions co-financed by the</w:t>
      </w:r>
      <w:r>
        <w:rPr>
          <w:noProof/>
          <w:szCs w:val="24"/>
        </w:rPr>
        <w:t xml:space="preserve"> Fund</w:t>
      </w:r>
      <w:r>
        <w:rPr>
          <w:rStyle w:val="FootnoteReference"/>
          <w:noProof/>
          <w:szCs w:val="24"/>
        </w:rPr>
        <w:footnoteReference w:id="4"/>
      </w:r>
      <w:r>
        <w:rPr>
          <w:noProof/>
          <w:szCs w:val="24"/>
        </w:rPr>
        <w:t xml:space="preserve">. This </w:t>
      </w:r>
      <w:r>
        <w:rPr>
          <w:i/>
          <w:noProof/>
          <w:szCs w:val="24"/>
        </w:rPr>
        <w:t>ex-post</w:t>
      </w:r>
      <w:r>
        <w:rPr>
          <w:noProof/>
          <w:szCs w:val="24"/>
        </w:rPr>
        <w:t xml:space="preserve"> evaluation report covered the implementation of the 2008 to 2010 annual programmes implemented by the Member States</w:t>
      </w:r>
      <w:r>
        <w:rPr>
          <w:rStyle w:val="FootnoteReference"/>
          <w:noProof/>
          <w:szCs w:val="24"/>
        </w:rPr>
        <w:footnoteReference w:id="5"/>
      </w:r>
      <w:r>
        <w:rPr>
          <w:noProof/>
          <w:szCs w:val="24"/>
        </w:rPr>
        <w:t xml:space="preserve">. </w:t>
      </w:r>
    </w:p>
    <w:p w:rsidR="007013FD" w:rsidRDefault="005E3FDE">
      <w:pPr>
        <w:pStyle w:val="BodyText"/>
        <w:numPr>
          <w:ilvl w:val="0"/>
          <w:numId w:val="34"/>
        </w:numPr>
        <w:spacing w:after="240"/>
        <w:rPr>
          <w:noProof/>
          <w:szCs w:val="24"/>
        </w:rPr>
      </w:pPr>
      <w:r>
        <w:rPr>
          <w:noProof/>
          <w:szCs w:val="24"/>
        </w:rPr>
        <w:t xml:space="preserve">By 31 December 2015, an </w:t>
      </w:r>
      <w:r>
        <w:rPr>
          <w:i/>
          <w:noProof/>
          <w:szCs w:val="24"/>
        </w:rPr>
        <w:t>ex-post</w:t>
      </w:r>
      <w:r>
        <w:rPr>
          <w:noProof/>
          <w:szCs w:val="24"/>
        </w:rPr>
        <w:t xml:space="preserve"> evaluation for the period 2011 to 2013 based on national evaluation reports on the r</w:t>
      </w:r>
      <w:r>
        <w:rPr>
          <w:noProof/>
          <w:szCs w:val="24"/>
        </w:rPr>
        <w:t>esults and impact of actions co-financed by the Fund</w:t>
      </w:r>
      <w:r>
        <w:rPr>
          <w:rStyle w:val="FootnoteReference"/>
          <w:noProof/>
          <w:szCs w:val="24"/>
        </w:rPr>
        <w:footnoteReference w:id="6"/>
      </w:r>
      <w:r>
        <w:rPr>
          <w:noProof/>
          <w:szCs w:val="24"/>
        </w:rPr>
        <w:t xml:space="preserve">. </w:t>
      </w:r>
    </w:p>
    <w:p w:rsidR="007013FD" w:rsidRDefault="005E3FDE">
      <w:pPr>
        <w:pStyle w:val="BodyText"/>
        <w:spacing w:after="240"/>
        <w:rPr>
          <w:noProof/>
          <w:szCs w:val="24"/>
        </w:rPr>
      </w:pPr>
      <w:r>
        <w:rPr>
          <w:noProof/>
          <w:szCs w:val="24"/>
        </w:rPr>
        <w:t xml:space="preserve">The present staff working document reports on this </w:t>
      </w:r>
      <w:r>
        <w:rPr>
          <w:i/>
          <w:noProof/>
          <w:szCs w:val="24"/>
        </w:rPr>
        <w:t>ex-post</w:t>
      </w:r>
      <w:r>
        <w:rPr>
          <w:noProof/>
          <w:szCs w:val="24"/>
        </w:rPr>
        <w:t xml:space="preserve"> evaluation covering the evaluation for the period 2011 to 2013 and the annual programmes implemented by 27 participating Member States</w:t>
      </w:r>
      <w:r>
        <w:rPr>
          <w:rStyle w:val="FootnoteReference"/>
          <w:noProof/>
          <w:szCs w:val="24"/>
        </w:rPr>
        <w:footnoteReference w:id="7"/>
      </w:r>
      <w:r>
        <w:rPr>
          <w:noProof/>
          <w:szCs w:val="24"/>
        </w:rPr>
        <w:t xml:space="preserve"> from </w:t>
      </w:r>
      <w:r>
        <w:rPr>
          <w:noProof/>
          <w:szCs w:val="24"/>
        </w:rPr>
        <w:t>1 January 2011 to 30 June 2015. The implementation of the 2008 to 2010 annual programmes is not within the scope of this evaluation. Actions implemented during the 2008-2010 period are, however, considered where relevant, specifically as part of the analys</w:t>
      </w:r>
      <w:r>
        <w:rPr>
          <w:noProof/>
          <w:szCs w:val="24"/>
        </w:rPr>
        <w:t>is of complementarity and coherence.</w:t>
      </w:r>
    </w:p>
    <w:p w:rsidR="007013FD" w:rsidRDefault="005E3FDE">
      <w:pPr>
        <w:pStyle w:val="BodyText"/>
        <w:spacing w:after="240"/>
        <w:rPr>
          <w:noProof/>
          <w:szCs w:val="24"/>
        </w:rPr>
      </w:pPr>
      <w:r>
        <w:rPr>
          <w:noProof/>
          <w:szCs w:val="24"/>
        </w:rPr>
        <w:t xml:space="preserve">The present document also covers the evaluation of the Community actions implemented under the 2010 to 2013 annual work programmes </w:t>
      </w:r>
      <w:r>
        <w:rPr>
          <w:noProof/>
        </w:rPr>
        <w:t>with an eligibility period running from 1</w:t>
      </w:r>
      <w:r>
        <w:rPr>
          <w:noProof/>
          <w:szCs w:val="24"/>
        </w:rPr>
        <w:t xml:space="preserve"> January 2011 to 31 December 2016</w:t>
      </w:r>
      <w:r>
        <w:rPr>
          <w:rStyle w:val="FootnoteReference"/>
          <w:noProof/>
          <w:szCs w:val="24"/>
        </w:rPr>
        <w:footnoteReference w:id="8"/>
      </w:r>
      <w:r>
        <w:rPr>
          <w:noProof/>
          <w:szCs w:val="24"/>
        </w:rPr>
        <w:t xml:space="preserve">. </w:t>
      </w:r>
    </w:p>
    <w:p w:rsidR="007013FD" w:rsidRDefault="005E3FDE">
      <w:pPr>
        <w:pStyle w:val="BodyText"/>
        <w:spacing w:after="240"/>
        <w:rPr>
          <w:noProof/>
          <w:szCs w:val="24"/>
        </w:rPr>
      </w:pPr>
      <w:r>
        <w:rPr>
          <w:noProof/>
          <w:szCs w:val="24"/>
        </w:rPr>
        <w:t>The presen</w:t>
      </w:r>
      <w:r>
        <w:rPr>
          <w:noProof/>
          <w:szCs w:val="24"/>
        </w:rPr>
        <w:t xml:space="preserve">t evaluation builds upon the results of the </w:t>
      </w:r>
      <w:r>
        <w:rPr>
          <w:i/>
          <w:noProof/>
          <w:szCs w:val="24"/>
        </w:rPr>
        <w:t>ex post</w:t>
      </w:r>
      <w:r>
        <w:rPr>
          <w:noProof/>
          <w:szCs w:val="24"/>
        </w:rPr>
        <w:t xml:space="preserve"> evaluation of the actions implemented under the RF 2008-2010 annual programmes and the intermediate report mentioned above. </w:t>
      </w:r>
    </w:p>
    <w:p w:rsidR="007013FD" w:rsidRDefault="005E3FDE">
      <w:pPr>
        <w:pStyle w:val="BodyText"/>
        <w:spacing w:after="240"/>
        <w:rPr>
          <w:noProof/>
          <w:szCs w:val="24"/>
        </w:rPr>
      </w:pPr>
      <w:r>
        <w:rPr>
          <w:noProof/>
          <w:szCs w:val="24"/>
        </w:rPr>
        <w:t xml:space="preserve">This </w:t>
      </w:r>
      <w:r>
        <w:rPr>
          <w:i/>
          <w:noProof/>
          <w:szCs w:val="24"/>
        </w:rPr>
        <w:t>ex</w:t>
      </w:r>
      <w:r>
        <w:rPr>
          <w:noProof/>
          <w:szCs w:val="24"/>
        </w:rPr>
        <w:t xml:space="preserve"> </w:t>
      </w:r>
      <w:r>
        <w:rPr>
          <w:i/>
          <w:noProof/>
          <w:szCs w:val="24"/>
        </w:rPr>
        <w:t>post</w:t>
      </w:r>
      <w:r>
        <w:rPr>
          <w:noProof/>
          <w:szCs w:val="24"/>
        </w:rPr>
        <w:t xml:space="preserve"> evaluation</w:t>
      </w:r>
      <w:r>
        <w:rPr>
          <w:rStyle w:val="FootnoteReference"/>
          <w:noProof/>
          <w:szCs w:val="24"/>
        </w:rPr>
        <w:footnoteReference w:id="9"/>
      </w:r>
      <w:r>
        <w:rPr>
          <w:noProof/>
          <w:szCs w:val="24"/>
        </w:rPr>
        <w:t xml:space="preserve"> assesses the RF in the light of its relevance (whether</w:t>
      </w:r>
      <w:r>
        <w:rPr>
          <w:noProof/>
          <w:szCs w:val="24"/>
        </w:rPr>
        <w:t xml:space="preserve"> its objectives matched with societal needs), effectiveness (to what extent objectives have been achieved), efficiency (to what extent costs were proportionate to the achieved benefits), sustainability of effects after the intervention ended, coherence wit</w:t>
      </w:r>
      <w:r>
        <w:rPr>
          <w:noProof/>
          <w:szCs w:val="24"/>
        </w:rPr>
        <w:t>h and complementarity to other EU financial instruments or national resources of the Member States, and the added value of intervening at EU level.</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this</w:t>
      </w:r>
      <w:r>
        <w:rPr>
          <w:rFonts w:ascii="Times New Roman" w:hAnsi="Times New Roman" w:cs="Times New Roman"/>
          <w:i/>
          <w:noProof/>
          <w:sz w:val="24"/>
          <w:szCs w:val="24"/>
          <w:lang w:val="en-GB"/>
        </w:rPr>
        <w:t xml:space="preserve"> </w:t>
      </w:r>
      <w:r>
        <w:rPr>
          <w:rFonts w:ascii="Times New Roman" w:hAnsi="Times New Roman" w:cs="Times New Roman"/>
          <w:noProof/>
          <w:sz w:val="24"/>
          <w:szCs w:val="24"/>
          <w:lang w:val="en-GB"/>
        </w:rPr>
        <w:t>evaluation complements the interim evaluation of the Asylum, Migration and Integration F</w:t>
      </w:r>
      <w:r>
        <w:rPr>
          <w:rFonts w:ascii="Times New Roman" w:hAnsi="Times New Roman" w:cs="Times New Roman"/>
          <w:noProof/>
          <w:sz w:val="24"/>
          <w:szCs w:val="24"/>
          <w:lang w:val="en-GB"/>
        </w:rPr>
        <w:t>und (AMIF)</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the successor of the RF, Refugee Fund and Integration Fund for the period 2014-2020. The interim evaluation of the AMIF is due in 2018</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The Commission will submit an interim evaluation report of the Fund by 30 June 2018 to the European parlia</w:t>
      </w:r>
      <w:r>
        <w:rPr>
          <w:rFonts w:ascii="Times New Roman" w:hAnsi="Times New Roman" w:cs="Times New Roman"/>
          <w:noProof/>
          <w:sz w:val="24"/>
          <w:szCs w:val="24"/>
          <w:lang w:val="en-GB"/>
        </w:rPr>
        <w:t>ment, the Council, the European Economic and Social Committee and the Committee of the Regions. This interim evaluation report will be based on the interim evaluation reports provided by the Member States on the implementation of the actions and progress t</w:t>
      </w:r>
      <w:r>
        <w:rPr>
          <w:rFonts w:ascii="Times New Roman" w:hAnsi="Times New Roman" w:cs="Times New Roman"/>
          <w:noProof/>
          <w:sz w:val="24"/>
          <w:szCs w:val="24"/>
          <w:lang w:val="en-GB"/>
        </w:rPr>
        <w:t>owards achieving the objectives of their national programmes to be submitted to the Commission by 31 December 2017. The interim evaluation report which the Commission will submit will also include an assessment of the mid-term review carried out by the Mem</w:t>
      </w:r>
      <w:r>
        <w:rPr>
          <w:rFonts w:ascii="Times New Roman" w:hAnsi="Times New Roman" w:cs="Times New Roman"/>
          <w:noProof/>
          <w:sz w:val="24"/>
          <w:szCs w:val="24"/>
          <w:lang w:val="en-GB"/>
        </w:rPr>
        <w:t>ber States and of the implementation of the emergency assistance grants and Union actions. The results of the interim evaluation together with the results of the present evaluation will contribute to the shaping of the future policies under DG HOME respons</w:t>
      </w:r>
      <w:r>
        <w:rPr>
          <w:rFonts w:ascii="Times New Roman" w:hAnsi="Times New Roman" w:cs="Times New Roman"/>
          <w:noProof/>
          <w:sz w:val="24"/>
          <w:szCs w:val="24"/>
          <w:lang w:val="en-GB"/>
        </w:rPr>
        <w:t>ibility, especially to the preparation of the new funding instruments in the framework of the Multiannual Financial Framework (MFF) post 2020.</w:t>
      </w:r>
    </w:p>
    <w:p w:rsidR="007013FD" w:rsidRDefault="005E3FDE">
      <w:pPr>
        <w:pStyle w:val="Heading1"/>
        <w:rPr>
          <w:noProof/>
        </w:rPr>
      </w:pPr>
      <w:bookmarkStart w:id="9" w:name="_Toc496630444"/>
      <w:bookmarkStart w:id="10" w:name="_Toc496711929"/>
      <w:bookmarkStart w:id="11" w:name="_Toc515379344"/>
      <w:r>
        <w:rPr>
          <w:noProof/>
        </w:rPr>
        <w:t>Background to the initiative</w:t>
      </w:r>
      <w:bookmarkEnd w:id="9"/>
      <w:bookmarkEnd w:id="10"/>
      <w:bookmarkEnd w:id="11"/>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In the early 2000s, the European Union recorded between 240,000 and 400,000 removals</w:t>
      </w:r>
      <w:r>
        <w:rPr>
          <w:rStyle w:val="FootnoteReference"/>
          <w:rFonts w:ascii="Times New Roman" w:hAnsi="Times New Roman"/>
          <w:noProof/>
          <w:sz w:val="24"/>
          <w:lang w:val="en-GB"/>
        </w:rPr>
        <w:footnoteReference w:id="12"/>
      </w:r>
      <w:r>
        <w:rPr>
          <w:rFonts w:ascii="Times New Roman" w:hAnsi="Times New Roman"/>
          <w:noProof/>
          <w:sz w:val="24"/>
          <w:lang w:val="en-GB"/>
        </w:rPr>
        <w:t xml:space="preserve"> of third country nationals per year</w:t>
      </w:r>
      <w:r>
        <w:rPr>
          <w:rStyle w:val="FootnoteReference"/>
          <w:rFonts w:ascii="Times New Roman" w:hAnsi="Times New Roman"/>
          <w:noProof/>
          <w:sz w:val="24"/>
          <w:lang w:val="en-GB"/>
        </w:rPr>
        <w:footnoteReference w:id="13"/>
      </w:r>
      <w:r>
        <w:rPr>
          <w:rFonts w:ascii="Times New Roman" w:hAnsi="Times New Roman"/>
          <w:noProof/>
          <w:sz w:val="24"/>
          <w:lang w:val="en-GB"/>
        </w:rPr>
        <w:t xml:space="preserve"> and a total of 1,986,139 return decisions</w:t>
      </w:r>
      <w:r>
        <w:rPr>
          <w:rStyle w:val="FootnoteReference"/>
          <w:rFonts w:ascii="Times New Roman" w:hAnsi="Times New Roman"/>
          <w:noProof/>
          <w:sz w:val="24"/>
          <w:lang w:val="en-GB"/>
        </w:rPr>
        <w:footnoteReference w:id="14"/>
      </w:r>
      <w:r>
        <w:rPr>
          <w:rFonts w:ascii="Times New Roman" w:hAnsi="Times New Roman"/>
          <w:noProof/>
          <w:sz w:val="24"/>
          <w:lang w:val="en-GB"/>
        </w:rPr>
        <w:t xml:space="preserve"> were issued in 2002, 2003 and 2004</w:t>
      </w:r>
      <w:r>
        <w:rPr>
          <w:rStyle w:val="FootnoteReference"/>
          <w:rFonts w:ascii="Times New Roman" w:hAnsi="Times New Roman"/>
          <w:noProof/>
          <w:sz w:val="24"/>
          <w:lang w:val="en-GB"/>
        </w:rPr>
        <w:footnoteReference w:id="15"/>
      </w:r>
      <w:r>
        <w:rPr>
          <w:rFonts w:ascii="Times New Roman" w:hAnsi="Times New Roman"/>
          <w:noProof/>
          <w:sz w:val="24"/>
          <w:lang w:val="en-GB"/>
        </w:rPr>
        <w:t>.</w:t>
      </w:r>
    </w:p>
    <w:p w:rsidR="007013FD" w:rsidRDefault="005E3FDE">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return of third-country nationals who do not, or no longer, fulfil the conditions for entry to, presence in, or residence on the terr</w:t>
      </w:r>
      <w:r>
        <w:rPr>
          <w:rFonts w:ascii="Times New Roman" w:hAnsi="Times New Roman" w:cs="Times New Roman"/>
          <w:noProof/>
          <w:sz w:val="24"/>
          <w:szCs w:val="24"/>
          <w:lang w:val="en-GB"/>
        </w:rPr>
        <w:t>itories of the Member States of the European Union is vital to ensure that admission policy is not undermined and to enforce the rule of law, an</w:t>
      </w:r>
      <w:r>
        <w:rPr>
          <w:noProof/>
          <w:lang w:val="en-GB"/>
        </w:rPr>
        <w:t xml:space="preserve"> </w:t>
      </w:r>
      <w:r>
        <w:rPr>
          <w:rFonts w:ascii="Times New Roman" w:hAnsi="Times New Roman" w:cs="Times New Roman"/>
          <w:noProof/>
          <w:sz w:val="24"/>
          <w:szCs w:val="24"/>
          <w:lang w:val="en-GB"/>
        </w:rPr>
        <w:t>essential feature of an area of freedom, security and justice. In practice, however, putting return policy into</w:t>
      </w:r>
      <w:r>
        <w:rPr>
          <w:rFonts w:ascii="Times New Roman" w:hAnsi="Times New Roman" w:cs="Times New Roman"/>
          <w:noProof/>
          <w:sz w:val="24"/>
          <w:szCs w:val="24"/>
          <w:lang w:val="en-GB"/>
        </w:rPr>
        <w:t xml:space="preserve"> effect is a considerable challenge, in particular for Member States with relatively low GDP or little experience, or for some Member States that face disproportionate migration flows, due to their geographic situation or attractive economic profile. Retur</w:t>
      </w:r>
      <w:r>
        <w:rPr>
          <w:rFonts w:ascii="Times New Roman" w:hAnsi="Times New Roman" w:cs="Times New Roman"/>
          <w:noProof/>
          <w:sz w:val="24"/>
          <w:szCs w:val="24"/>
          <w:lang w:val="en-GB"/>
        </w:rPr>
        <w:t xml:space="preserve">n management is a complex process. It requires good working relationships with the countries of return, while balancing individual rights and humanitarian considerations with the state interest in law enforcement. </w:t>
      </w:r>
    </w:p>
    <w:p w:rsidR="007013FD" w:rsidRDefault="007013FD">
      <w:pPr>
        <w:autoSpaceDE w:val="0"/>
        <w:autoSpaceDN w:val="0"/>
        <w:adjustRightInd w:val="0"/>
        <w:spacing w:after="0" w:line="240" w:lineRule="auto"/>
        <w:jc w:val="both"/>
        <w:rPr>
          <w:rFonts w:ascii="Times New Roman" w:hAnsi="Times New Roman" w:cs="Times New Roman"/>
          <w:noProof/>
          <w:sz w:val="24"/>
          <w:szCs w:val="24"/>
          <w:lang w:val="en-GB"/>
        </w:rPr>
      </w:pPr>
    </w:p>
    <w:p w:rsidR="007013FD" w:rsidRDefault="005E3FDE">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Reducing irregular immigration through a</w:t>
      </w:r>
      <w:r>
        <w:rPr>
          <w:rFonts w:ascii="Times New Roman" w:hAnsi="Times New Roman" w:cs="Times New Roman"/>
          <w:noProof/>
          <w:sz w:val="24"/>
          <w:szCs w:val="24"/>
          <w:lang w:val="en-GB"/>
        </w:rPr>
        <w:t>n effective return policy should be the concern of all Member States. In an area without internal borders where people can in principle move without hindrance, tolerance of irregular stays in one Member State may lead to secondary movements and for instanc</w:t>
      </w:r>
      <w:r>
        <w:rPr>
          <w:rFonts w:ascii="Times New Roman" w:hAnsi="Times New Roman" w:cs="Times New Roman"/>
          <w:noProof/>
          <w:sz w:val="24"/>
          <w:szCs w:val="24"/>
          <w:lang w:val="en-GB"/>
        </w:rPr>
        <w:t>e adversely affect the fight against illegal employment throughout the EU, which, in turn, acts as a pull factor for more irregular immigration to the EU. Conversely, effective return policies throughout the EU have beneficial effects on the credibility of</w:t>
      </w:r>
      <w:r>
        <w:rPr>
          <w:rFonts w:ascii="Times New Roman" w:hAnsi="Times New Roman" w:cs="Times New Roman"/>
          <w:noProof/>
          <w:sz w:val="24"/>
          <w:szCs w:val="24"/>
          <w:lang w:val="en-GB"/>
        </w:rPr>
        <w:t xml:space="preserve"> the common immigration policy and help to increase the acceptance of legally staying third-country nationals in Member States.</w:t>
      </w:r>
    </w:p>
    <w:p w:rsidR="007013FD" w:rsidRDefault="007013FD">
      <w:pPr>
        <w:autoSpaceDE w:val="0"/>
        <w:autoSpaceDN w:val="0"/>
        <w:adjustRightInd w:val="0"/>
        <w:spacing w:after="0" w:line="240" w:lineRule="auto"/>
        <w:jc w:val="both"/>
        <w:rPr>
          <w:rFonts w:ascii="Times New Roman" w:hAnsi="Times New Roman" w:cs="Times New Roman"/>
          <w:noProof/>
          <w:sz w:val="24"/>
          <w:szCs w:val="24"/>
          <w:lang w:val="en-GB"/>
        </w:rPr>
      </w:pPr>
    </w:p>
    <w:p w:rsidR="007013FD" w:rsidRDefault="005E3FDE">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noProof/>
          <w:sz w:val="24"/>
          <w:lang w:val="en-GB"/>
        </w:rPr>
        <w:t>In this context, in the period 2005-2007, preparatory actions, namely the ‘Return Preparatory Actions 2005-2006' and the ‘Prepa</w:t>
      </w:r>
      <w:r>
        <w:rPr>
          <w:rFonts w:ascii="Times New Roman" w:hAnsi="Times New Roman"/>
          <w:noProof/>
          <w:sz w:val="24"/>
          <w:lang w:val="en-GB"/>
        </w:rPr>
        <w:t>ratory Action - Migration Management, Solidarity in Action 2007 - return and reintegration of returnees’ were launched. The instruments created first-hand practical experience with transnational projects and thus helped the Member States, NGOs and other st</w:t>
      </w:r>
      <w:r>
        <w:rPr>
          <w:rFonts w:ascii="Times New Roman" w:hAnsi="Times New Roman"/>
          <w:noProof/>
          <w:sz w:val="24"/>
          <w:lang w:val="en-GB"/>
        </w:rPr>
        <w:t xml:space="preserve">akeholders to prepare for the launch of the RF in 2008. </w:t>
      </w:r>
    </w:p>
    <w:p w:rsidR="007013FD" w:rsidRDefault="007013FD">
      <w:pPr>
        <w:autoSpaceDE w:val="0"/>
        <w:autoSpaceDN w:val="0"/>
        <w:adjustRightInd w:val="0"/>
        <w:spacing w:after="0" w:line="240" w:lineRule="auto"/>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A number of key issues in the field of EU return policy were identified in 2005 in the impact assessment accompanying the setting up of the RF and the other three SOLID Funds</w:t>
      </w:r>
      <w:r>
        <w:rPr>
          <w:rStyle w:val="FootnoteReference"/>
          <w:rFonts w:ascii="Times New Roman" w:hAnsi="Times New Roman"/>
          <w:noProof/>
          <w:sz w:val="24"/>
          <w:lang w:val="en-GB"/>
        </w:rPr>
        <w:footnoteReference w:id="16"/>
      </w:r>
      <w:r>
        <w:rPr>
          <w:rFonts w:ascii="Times New Roman" w:hAnsi="Times New Roman"/>
          <w:noProof/>
          <w:sz w:val="24"/>
          <w:lang w:val="en-GB"/>
        </w:rPr>
        <w:t>. Returns were found to</w:t>
      </w:r>
      <w:r>
        <w:rPr>
          <w:rFonts w:ascii="Times New Roman" w:hAnsi="Times New Roman"/>
          <w:noProof/>
          <w:sz w:val="24"/>
          <w:lang w:val="en-GB"/>
        </w:rPr>
        <w:t xml:space="preserve"> be costly and the cost per person returned varied greatly across Member States depending on the country of return, the length of the flights involved, whether direct flights were available or not, and whether return was voluntary or enforced. Voluntary re</w:t>
      </w:r>
      <w:r>
        <w:rPr>
          <w:rFonts w:ascii="Times New Roman" w:hAnsi="Times New Roman"/>
          <w:noProof/>
          <w:sz w:val="24"/>
          <w:lang w:val="en-GB"/>
        </w:rPr>
        <w:t xml:space="preserve">turn was usually found to be less costly than enforced return. However no robust baseline was set in the impact assessment, which proved to be an issue for the present evaluation (See Title 7 on 'Method'). </w:t>
      </w:r>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 xml:space="preserve">Given the challenges faced by the EU in the area </w:t>
      </w:r>
      <w:r>
        <w:rPr>
          <w:rFonts w:ascii="Times New Roman" w:hAnsi="Times New Roman"/>
          <w:noProof/>
          <w:sz w:val="24"/>
          <w:lang w:val="en-GB"/>
        </w:rPr>
        <w:t>of return, it became increasingly necessary for Member States to cooperate in this field and for a common EU return strategy to be developed. As identified by the 2005 impact assessment, the main problem to be addressed was putting into practice the princi</w:t>
      </w:r>
      <w:r>
        <w:rPr>
          <w:rFonts w:ascii="Times New Roman" w:hAnsi="Times New Roman"/>
          <w:noProof/>
          <w:sz w:val="24"/>
          <w:lang w:val="en-GB"/>
        </w:rPr>
        <w:t>ple of solidarity between Member States in managing migration flows, including EU return policy.</w:t>
      </w:r>
    </w:p>
    <w:p w:rsidR="007013FD" w:rsidRDefault="005E3FDE">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noProof/>
          <w:sz w:val="24"/>
          <w:lang w:val="en-GB"/>
        </w:rPr>
        <w:t xml:space="preserve">In this context, the RF was established for the period from 1 January 2008 until 31 December 2013, under the Multiannual Financial Framework 2007-2013 (MFF). </w:t>
      </w:r>
      <w:r>
        <w:rPr>
          <w:rFonts w:ascii="Times New Roman" w:hAnsi="Times New Roman" w:cs="Times New Roman"/>
          <w:noProof/>
          <w:sz w:val="24"/>
          <w:szCs w:val="24"/>
          <w:lang w:val="en-GB"/>
        </w:rPr>
        <w:t>I</w:t>
      </w:r>
      <w:r>
        <w:rPr>
          <w:rFonts w:ascii="Times New Roman" w:hAnsi="Times New Roman" w:cs="Times New Roman"/>
          <w:noProof/>
          <w:sz w:val="24"/>
          <w:szCs w:val="24"/>
          <w:lang w:val="en-GB"/>
        </w:rPr>
        <w:t>n order to make the fight against irregular migration at national level more effective, the RF was created to support the voluntary and, where necessary, forced return of illegally staying third-country nationals within a common framework of ‘integrated re</w:t>
      </w:r>
      <w:r>
        <w:rPr>
          <w:rFonts w:ascii="Times New Roman" w:hAnsi="Times New Roman" w:cs="Times New Roman"/>
          <w:noProof/>
          <w:sz w:val="24"/>
          <w:szCs w:val="24"/>
          <w:lang w:val="en-GB"/>
        </w:rPr>
        <w:t>turn management’</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and in accordance with common standards. In a migratory context where migration flows affect Member States differently, the </w:t>
      </w:r>
      <w:r>
        <w:rPr>
          <w:rFonts w:ascii="Times New Roman" w:hAnsi="Times New Roman" w:cs="Times New Roman"/>
          <w:bCs/>
          <w:noProof/>
          <w:sz w:val="24"/>
          <w:szCs w:val="24"/>
          <w:lang w:val="en-GB"/>
        </w:rPr>
        <w:t>Fund was</w:t>
      </w:r>
      <w:r>
        <w:rPr>
          <w:rFonts w:ascii="Times New Roman" w:hAnsi="Times New Roman" w:cs="Times New Roman"/>
          <w:noProof/>
          <w:sz w:val="24"/>
          <w:szCs w:val="24"/>
          <w:lang w:val="en-GB"/>
        </w:rPr>
        <w:t xml:space="preserve"> </w:t>
      </w:r>
      <w:r>
        <w:rPr>
          <w:rFonts w:ascii="Times New Roman" w:hAnsi="Times New Roman" w:cs="Times New Roman"/>
          <w:bCs/>
          <w:noProof/>
          <w:sz w:val="24"/>
          <w:szCs w:val="24"/>
          <w:lang w:val="en-GB"/>
        </w:rPr>
        <w:t>aimed at ensuring that the principles of solidarity and fair sharing of responsibilities are observed bet</w:t>
      </w:r>
      <w:r>
        <w:rPr>
          <w:rFonts w:ascii="Times New Roman" w:hAnsi="Times New Roman" w:cs="Times New Roman"/>
          <w:bCs/>
          <w:noProof/>
          <w:sz w:val="24"/>
          <w:szCs w:val="24"/>
          <w:lang w:val="en-GB"/>
        </w:rPr>
        <w:t xml:space="preserve">ween Member States </w:t>
      </w:r>
      <w:r>
        <w:rPr>
          <w:rFonts w:ascii="Times New Roman" w:hAnsi="Times New Roman" w:cs="Times New Roman"/>
          <w:noProof/>
          <w:sz w:val="24"/>
          <w:szCs w:val="24"/>
          <w:lang w:val="en-GB"/>
        </w:rPr>
        <w:t>by providing financial assistance to support their efforts</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to improve the management of return in all its dimensions. The distribution of the available EU resources among Member States was based on two criteria that reflect the situation</w:t>
      </w:r>
      <w:r>
        <w:rPr>
          <w:rFonts w:ascii="Times New Roman" w:hAnsi="Times New Roman" w:cs="Times New Roman"/>
          <w:noProof/>
          <w:sz w:val="24"/>
          <w:szCs w:val="24"/>
          <w:lang w:val="en-GB"/>
        </w:rPr>
        <w:t xml:space="preserve"> of the Member State with regard to the obligations undertaken on behalf of — or for the overall benefit of — the Union in this area: the number of removal decisions affecting third-country nationals, and the number of returns to third countries. </w:t>
      </w:r>
    </w:p>
    <w:p w:rsidR="007013FD" w:rsidRDefault="007013FD">
      <w:pPr>
        <w:autoSpaceDE w:val="0"/>
        <w:autoSpaceDN w:val="0"/>
        <w:adjustRightInd w:val="0"/>
        <w:spacing w:after="0" w:line="240" w:lineRule="auto"/>
        <w:jc w:val="both"/>
        <w:rPr>
          <w:rFonts w:ascii="Times New Roman" w:hAnsi="Times New Roman" w:cs="Times New Roman"/>
          <w:noProof/>
          <w:sz w:val="24"/>
          <w:szCs w:val="24"/>
          <w:lang w:val="en-GB"/>
        </w:rPr>
      </w:pPr>
    </w:p>
    <w:p w:rsidR="007013FD" w:rsidRDefault="005E3FDE">
      <w:pPr>
        <w:autoSpaceDE w:val="0"/>
        <w:autoSpaceDN w:val="0"/>
        <w:adjustRightInd w:val="0"/>
        <w:spacing w:after="0" w:line="240" w:lineRule="auto"/>
        <w:jc w:val="both"/>
        <w:rPr>
          <w:rFonts w:ascii="Times New Roman" w:hAnsi="Times New Roman"/>
          <w:noProof/>
          <w:sz w:val="24"/>
          <w:lang w:val="en-GB"/>
        </w:rPr>
      </w:pPr>
      <w:r>
        <w:rPr>
          <w:rFonts w:ascii="Times New Roman" w:hAnsi="Times New Roman"/>
          <w:noProof/>
          <w:sz w:val="24"/>
          <w:lang w:val="en-GB"/>
        </w:rPr>
        <w:t>An amou</w:t>
      </w:r>
      <w:r>
        <w:rPr>
          <w:rFonts w:ascii="Times New Roman" w:hAnsi="Times New Roman"/>
          <w:noProof/>
          <w:sz w:val="24"/>
          <w:lang w:val="en-GB"/>
        </w:rPr>
        <w:t>nt of EUR 676 million was allocated for the implementation of the Fund during the 2008-2013 period. As part of the wider policy framework in the field of return, the Return Directive</w:t>
      </w:r>
      <w:r>
        <w:rPr>
          <w:rStyle w:val="FootnoteReference"/>
          <w:rFonts w:ascii="Times New Roman" w:hAnsi="Times New Roman"/>
          <w:noProof/>
          <w:sz w:val="24"/>
          <w:lang w:val="en-GB"/>
        </w:rPr>
        <w:footnoteReference w:id="18"/>
      </w:r>
      <w:r>
        <w:rPr>
          <w:rFonts w:ascii="Times New Roman" w:hAnsi="Times New Roman"/>
          <w:noProof/>
          <w:sz w:val="24"/>
          <w:lang w:val="en-GB"/>
        </w:rPr>
        <w:t xml:space="preserve"> adopted in 2008 forms the basis of EU return policy, supplying common EU</w:t>
      </w:r>
      <w:r>
        <w:rPr>
          <w:rFonts w:ascii="Times New Roman" w:hAnsi="Times New Roman"/>
          <w:noProof/>
          <w:sz w:val="24"/>
          <w:lang w:val="en-GB"/>
        </w:rPr>
        <w:t xml:space="preserve"> rules for the return of those staying irregularly in the participating Member States including common standards which guarantee that returnees received humane and dignified treatment and the establishment of a two-step approach in the return procedure giv</w:t>
      </w:r>
      <w:r>
        <w:rPr>
          <w:rFonts w:ascii="Times New Roman" w:hAnsi="Times New Roman"/>
          <w:noProof/>
          <w:sz w:val="24"/>
          <w:lang w:val="en-GB"/>
        </w:rPr>
        <w:t xml:space="preserve">ing preference to voluntary return. </w:t>
      </w:r>
    </w:p>
    <w:p w:rsidR="007013FD" w:rsidRDefault="007013FD">
      <w:pPr>
        <w:autoSpaceDE w:val="0"/>
        <w:autoSpaceDN w:val="0"/>
        <w:adjustRightInd w:val="0"/>
        <w:spacing w:after="0" w:line="240" w:lineRule="auto"/>
        <w:jc w:val="both"/>
        <w:rPr>
          <w:rFonts w:ascii="Times New Roman" w:hAnsi="Times New Roman"/>
          <w:noProof/>
          <w:sz w:val="24"/>
          <w:lang w:val="en-GB"/>
        </w:rPr>
      </w:pPr>
    </w:p>
    <w:p w:rsidR="007013FD" w:rsidRDefault="005E3FDE">
      <w:pPr>
        <w:autoSpaceDE w:val="0"/>
        <w:autoSpaceDN w:val="0"/>
        <w:adjustRightInd w:val="0"/>
        <w:spacing w:after="0" w:line="240" w:lineRule="auto"/>
        <w:jc w:val="both"/>
        <w:rPr>
          <w:rFonts w:ascii="Fedra Sans Pro Book" w:hAnsi="Fedra Sans Pro Book" w:cs="Fedra Sans Pro Book"/>
          <w:noProof/>
          <w:sz w:val="17"/>
          <w:szCs w:val="17"/>
          <w:lang w:val="en-GB"/>
        </w:rPr>
      </w:pPr>
      <w:r>
        <w:rPr>
          <w:rFonts w:ascii="Times New Roman" w:hAnsi="Times New Roman"/>
          <w:noProof/>
          <w:sz w:val="24"/>
          <w:lang w:val="en-GB"/>
        </w:rPr>
        <w:t>One of the characteristics of the period relevant for the present evaluation is t</w:t>
      </w:r>
      <w:r>
        <w:rPr>
          <w:rFonts w:ascii="Times New Roman" w:hAnsi="Times New Roman" w:cs="Times New Roman"/>
          <w:bCs/>
          <w:noProof/>
          <w:sz w:val="24"/>
          <w:szCs w:val="24"/>
          <w:lang w:val="en-GB"/>
        </w:rPr>
        <w:t xml:space="preserve">he uprisings in North Africa of 2011 that </w:t>
      </w:r>
      <w:r>
        <w:rPr>
          <w:rFonts w:ascii="Times New Roman" w:hAnsi="Times New Roman" w:cs="Times New Roman"/>
          <w:noProof/>
          <w:sz w:val="24"/>
          <w:szCs w:val="24"/>
          <w:lang w:val="en-GB"/>
        </w:rPr>
        <w:t xml:space="preserve">contributed significantly to the </w:t>
      </w:r>
      <w:r>
        <w:rPr>
          <w:rFonts w:ascii="Times New Roman" w:hAnsi="Times New Roman" w:cs="Times New Roman"/>
          <w:bCs/>
          <w:noProof/>
          <w:sz w:val="24"/>
          <w:szCs w:val="24"/>
          <w:lang w:val="en-GB"/>
        </w:rPr>
        <w:t xml:space="preserve">rise in migratory pressure </w:t>
      </w:r>
      <w:r>
        <w:rPr>
          <w:rFonts w:ascii="Times New Roman" w:hAnsi="Times New Roman" w:cs="Times New Roman"/>
          <w:noProof/>
          <w:sz w:val="24"/>
          <w:szCs w:val="24"/>
          <w:lang w:val="en-GB"/>
        </w:rPr>
        <w:t>towards Mediterranean countries and</w:t>
      </w:r>
      <w:r>
        <w:rPr>
          <w:rFonts w:ascii="Times New Roman" w:hAnsi="Times New Roman" w:cs="Times New Roman"/>
          <w:noProof/>
          <w:sz w:val="24"/>
          <w:szCs w:val="24"/>
          <w:lang w:val="en-GB"/>
        </w:rPr>
        <w:t xml:space="preserve"> therefore to the overall national efforts in the area of return. In 2011, in the Central Mediterranean area, Member States reported a total of 64 000 detections, compared to only 5 000 in 2010</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Detections in the Central Mediterranean massively increased </w:t>
      </w:r>
      <w:r>
        <w:rPr>
          <w:rFonts w:ascii="Times New Roman" w:hAnsi="Times New Roman" w:cs="Times New Roman"/>
          <w:noProof/>
          <w:sz w:val="24"/>
          <w:szCs w:val="24"/>
          <w:lang w:val="en-GB"/>
        </w:rPr>
        <w:t>in early 2011, due to civil unrest erupting in the region, particularly in Tunisia, Libya and, to a lesser extent, Egypt. As a result, between January and March some 20 000 Tunisian migrants arrived on the Italian island of Lampedusa. In the second quarter</w:t>
      </w:r>
      <w:r>
        <w:rPr>
          <w:rFonts w:ascii="Times New Roman" w:hAnsi="Times New Roman" w:cs="Times New Roman"/>
          <w:noProof/>
          <w:sz w:val="24"/>
          <w:szCs w:val="24"/>
          <w:lang w:val="en-GB"/>
        </w:rPr>
        <w:t xml:space="preserve"> of 2011 the flow of Tunisian migrants was reduced by 75% following an accelerated repatriation agreement that was signed between Italy and Tunisia. The flow of Tunisian migrants who crossed the border illegally appeared to be mostly economically-driven, w</w:t>
      </w:r>
      <w:r>
        <w:rPr>
          <w:rFonts w:ascii="Times New Roman" w:hAnsi="Times New Roman" w:cs="Times New Roman"/>
          <w:noProof/>
          <w:sz w:val="24"/>
          <w:szCs w:val="24"/>
          <w:lang w:val="en-GB"/>
        </w:rPr>
        <w:t>ith most migrants heading to France as their final destination. The large number of detections of Tunisians crossing the external border illegally in 2011 increased from under 8 500 in 2010 to more than 22 500 in 2011. In 2011, approximately 8 600 Tunisian</w:t>
      </w:r>
      <w:r>
        <w:rPr>
          <w:rFonts w:ascii="Times New Roman" w:hAnsi="Times New Roman" w:cs="Times New Roman"/>
          <w:noProof/>
          <w:sz w:val="24"/>
          <w:szCs w:val="24"/>
          <w:lang w:val="en-GB"/>
        </w:rPr>
        <w:t xml:space="preserve">s were returned, mostly by Italy and France. In addition, large numbers of sub-Saharan migrants were detected in Lampedusa, Sicily and Malta, many having been forcibly expelled from Libya by the Gaddafi regime. The year 2013 saw a second peak of detection </w:t>
      </w:r>
      <w:r>
        <w:rPr>
          <w:rFonts w:ascii="Times New Roman" w:hAnsi="Times New Roman" w:cs="Times New Roman"/>
          <w:noProof/>
          <w:sz w:val="24"/>
          <w:szCs w:val="24"/>
          <w:lang w:val="en-GB"/>
        </w:rPr>
        <w:t>of illegal crossings along the EU external borders (107.000)</w:t>
      </w:r>
      <w:r>
        <w:rPr>
          <w:rFonts w:ascii="Times New Roman" w:hAnsi="Times New Roman" w:cs="Times New Roman"/>
          <w:noProof/>
          <w:sz w:val="24"/>
          <w:szCs w:val="24"/>
          <w:vertAlign w:val="superscript"/>
          <w:lang w:val="en-GB"/>
        </w:rPr>
        <w:footnoteReference w:id="20"/>
      </w:r>
      <w:r>
        <w:rPr>
          <w:rFonts w:ascii="Times New Roman" w:hAnsi="Times New Roman"/>
          <w:noProof/>
          <w:sz w:val="24"/>
          <w:lang w:val="en-GB"/>
        </w:rPr>
        <w:t xml:space="preserve"> which represents an annual increase of 48% in comparison to 2012. The year </w:t>
      </w:r>
      <w:r>
        <w:rPr>
          <w:rFonts w:ascii="Times New Roman" w:hAnsi="Times New Roman" w:cs="Times New Roman"/>
          <w:noProof/>
          <w:sz w:val="24"/>
          <w:szCs w:val="24"/>
          <w:lang w:val="en-GB"/>
        </w:rPr>
        <w:t>2013 was characterised by three phenomena:</w:t>
      </w:r>
      <w:r>
        <w:rPr>
          <w:rFonts w:ascii="Times New Roman" w:hAnsi="Times New Roman"/>
          <w:noProof/>
          <w:sz w:val="24"/>
          <w:lang w:val="en-GB"/>
        </w:rPr>
        <w:t xml:space="preserve"> </w:t>
      </w:r>
      <w:r>
        <w:rPr>
          <w:rFonts w:ascii="Times New Roman" w:hAnsi="Times New Roman" w:cs="Times New Roman"/>
          <w:noProof/>
          <w:sz w:val="24"/>
          <w:szCs w:val="24"/>
          <w:lang w:val="en-GB"/>
        </w:rPr>
        <w:t>a large increase in illegal border-crossings by Syrians on the Eastern Medit</w:t>
      </w:r>
      <w:r>
        <w:rPr>
          <w:rFonts w:ascii="Times New Roman" w:hAnsi="Times New Roman" w:cs="Times New Roman"/>
          <w:noProof/>
          <w:sz w:val="24"/>
          <w:szCs w:val="24"/>
          <w:lang w:val="en-GB"/>
        </w:rPr>
        <w:t>erranean route and in the Central Mediterranean, subsequently applying for asylum; a steady flow of migrants departing from North Africa (Libya and Egypt) and a sharp increase, mostly in January-June, in detections reported by Hungary at its land border wi</w:t>
      </w:r>
      <w:r>
        <w:rPr>
          <w:rFonts w:ascii="Times New Roman" w:hAnsi="Times New Roman" w:cs="Times New Roman"/>
          <w:noProof/>
          <w:sz w:val="24"/>
          <w:szCs w:val="24"/>
          <w:lang w:val="en-GB"/>
        </w:rPr>
        <w:t>th Serbia.</w:t>
      </w:r>
      <w:r>
        <w:rPr>
          <w:noProof/>
          <w:lang w:val="en-GB"/>
        </w:rPr>
        <w:t xml:space="preserve"> </w:t>
      </w:r>
      <w:r>
        <w:rPr>
          <w:rFonts w:ascii="Times New Roman" w:hAnsi="Times New Roman" w:cs="Times New Roman"/>
          <w:noProof/>
          <w:sz w:val="24"/>
          <w:szCs w:val="24"/>
          <w:lang w:val="en-GB"/>
        </w:rPr>
        <w:t>In 2014, detections of illegal border-crossing reached a new record, with more than 280 000 detections.</w:t>
      </w:r>
    </w:p>
    <w:p w:rsidR="007013FD" w:rsidRDefault="007013FD">
      <w:pPr>
        <w:autoSpaceDE w:val="0"/>
        <w:autoSpaceDN w:val="0"/>
        <w:adjustRightInd w:val="0"/>
        <w:spacing w:after="0"/>
        <w:jc w:val="both"/>
        <w:rPr>
          <w:rFonts w:ascii="Times New Roman" w:hAnsi="Times New Roman" w:cs="Times New Roman"/>
          <w:noProof/>
          <w:sz w:val="24"/>
          <w:szCs w:val="24"/>
          <w:lang w:val="en-GB"/>
        </w:rPr>
      </w:pPr>
    </w:p>
    <w:p w:rsidR="007013FD" w:rsidRDefault="005E3FDE">
      <w:pPr>
        <w:pStyle w:val="Heading1"/>
        <w:rPr>
          <w:noProof/>
        </w:rPr>
      </w:pPr>
      <w:bookmarkStart w:id="12" w:name="_Toc496630445"/>
      <w:bookmarkStart w:id="13" w:name="_Toc496711930"/>
      <w:bookmarkStart w:id="14" w:name="_Toc515379345"/>
      <w:r>
        <w:rPr>
          <w:noProof/>
        </w:rPr>
        <w:t>The Return Fund as funding instrument (Objectives and priorities)</w:t>
      </w:r>
      <w:bookmarkEnd w:id="12"/>
      <w:bookmarkEnd w:id="13"/>
      <w:bookmarkEnd w:id="14"/>
    </w:p>
    <w:p w:rsidR="007013FD" w:rsidRDefault="005E3FDE">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2005 impact assessment underpinning the setting up of the four SOLID F</w:t>
      </w:r>
      <w:r>
        <w:rPr>
          <w:rFonts w:ascii="Times New Roman" w:hAnsi="Times New Roman" w:cs="Times New Roman"/>
          <w:noProof/>
          <w:sz w:val="24"/>
          <w:lang w:val="en-GB"/>
        </w:rPr>
        <w:t>unds identified as a general need to be addressed by the four Funds the need for solidarity supporting the implementation of EU standards. As a specific need in the area of return, it identified the need to reduce illegal immigration through an effective r</w:t>
      </w:r>
      <w:r>
        <w:rPr>
          <w:rFonts w:ascii="Times New Roman" w:hAnsi="Times New Roman" w:cs="Times New Roman"/>
          <w:noProof/>
          <w:sz w:val="24"/>
          <w:lang w:val="en-GB"/>
        </w:rPr>
        <w:t xml:space="preserve">eturn policy. </w:t>
      </w:r>
    </w:p>
    <w:p w:rsidR="007013FD" w:rsidRDefault="005E3FDE">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accordance with the conclusions of the impact assessment, the general objective of the RF was identified as follows:</w:t>
      </w:r>
      <w:r>
        <w:rPr>
          <w:rFonts w:ascii="Times New Roman" w:hAnsi="Times New Roman" w:cs="Times New Roman"/>
          <w:noProof/>
          <w:lang w:val="en-GB"/>
        </w:rPr>
        <w:t xml:space="preserve"> "</w:t>
      </w:r>
      <w:r>
        <w:rPr>
          <w:rFonts w:ascii="Times New Roman" w:hAnsi="Times New Roman" w:cs="Times New Roman"/>
          <w:i/>
          <w:noProof/>
          <w:lang w:val="en-GB"/>
        </w:rPr>
        <w:t xml:space="preserve">to </w:t>
      </w:r>
      <w:r>
        <w:rPr>
          <w:rFonts w:ascii="Times New Roman" w:hAnsi="Times New Roman" w:cs="Times New Roman"/>
          <w:i/>
          <w:noProof/>
          <w:sz w:val="24"/>
          <w:lang w:val="en-GB"/>
        </w:rPr>
        <w:t>support the efforts made by the Member States to improve the management of return in all its dimensions through the u</w:t>
      </w:r>
      <w:r>
        <w:rPr>
          <w:rFonts w:ascii="Times New Roman" w:hAnsi="Times New Roman" w:cs="Times New Roman"/>
          <w:i/>
          <w:noProof/>
          <w:sz w:val="24"/>
          <w:lang w:val="en-GB"/>
        </w:rPr>
        <w:t>se of the concept of integrated management and by providing for joint actions to be implemented by Member States or national actions that pursue Community objectives under the principle of solidarity, taking account of Community legislation in this field a</w:t>
      </w:r>
      <w:r>
        <w:rPr>
          <w:rFonts w:ascii="Times New Roman" w:hAnsi="Times New Roman" w:cs="Times New Roman"/>
          <w:i/>
          <w:noProof/>
          <w:sz w:val="24"/>
          <w:lang w:val="en-GB"/>
        </w:rPr>
        <w:t>nd in full compliance with fundamental rights</w:t>
      </w:r>
      <w:r>
        <w:rPr>
          <w:rFonts w:ascii="Times New Roman" w:hAnsi="Times New Roman" w:cs="Times New Roman"/>
          <w:noProof/>
          <w:sz w:val="24"/>
          <w:lang w:val="en-GB"/>
        </w:rPr>
        <w:t>"</w:t>
      </w:r>
      <w:r>
        <w:rPr>
          <w:rStyle w:val="FootnoteReference"/>
          <w:rFonts w:ascii="Times New Roman" w:hAnsi="Times New Roman" w:cs="Times New Roman"/>
          <w:noProof/>
          <w:sz w:val="24"/>
          <w:lang w:val="en-GB"/>
        </w:rPr>
        <w:footnoteReference w:id="21"/>
      </w:r>
      <w:r>
        <w:rPr>
          <w:rFonts w:ascii="Times New Roman" w:hAnsi="Times New Roman" w:cs="Times New Roman"/>
          <w:noProof/>
          <w:sz w:val="24"/>
          <w:lang w:val="en-GB"/>
        </w:rPr>
        <w:t xml:space="preserve">. </w:t>
      </w:r>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 xml:space="preserve">To achieve this general objective, the following three </w:t>
      </w:r>
      <w:r>
        <w:rPr>
          <w:rFonts w:ascii="Times New Roman" w:hAnsi="Times New Roman"/>
          <w:b/>
          <w:noProof/>
          <w:sz w:val="24"/>
          <w:lang w:val="en-GB"/>
        </w:rPr>
        <w:t>specific objectives</w:t>
      </w:r>
      <w:r>
        <w:rPr>
          <w:rStyle w:val="FootnoteReference"/>
          <w:rFonts w:ascii="Times New Roman" w:hAnsi="Times New Roman"/>
          <w:b/>
          <w:noProof/>
          <w:sz w:val="24"/>
          <w:lang w:val="en-GB"/>
        </w:rPr>
        <w:footnoteReference w:id="22"/>
      </w:r>
      <w:r>
        <w:rPr>
          <w:rFonts w:ascii="Times New Roman" w:hAnsi="Times New Roman"/>
          <w:noProof/>
          <w:sz w:val="24"/>
          <w:lang w:val="en-GB"/>
        </w:rPr>
        <w:t xml:space="preserve"> were identified in the legal basis of the RF:</w:t>
      </w:r>
    </w:p>
    <w:p w:rsidR="007013FD" w:rsidRDefault="005E3FDE">
      <w:pPr>
        <w:pStyle w:val="ListParagraph"/>
        <w:numPr>
          <w:ilvl w:val="0"/>
          <w:numId w:val="38"/>
        </w:numPr>
        <w:spacing w:line="240" w:lineRule="auto"/>
        <w:ind w:left="720"/>
        <w:jc w:val="both"/>
        <w:rPr>
          <w:rFonts w:ascii="Times New Roman" w:hAnsi="Times New Roman"/>
          <w:noProof/>
          <w:sz w:val="24"/>
        </w:rPr>
      </w:pPr>
      <w:r>
        <w:rPr>
          <w:rFonts w:ascii="Times New Roman" w:hAnsi="Times New Roman"/>
          <w:noProof/>
          <w:sz w:val="24"/>
        </w:rPr>
        <w:t>the introduction and improvement of integrated return management (</w:t>
      </w:r>
      <w:r>
        <w:rPr>
          <w:rFonts w:ascii="Times New Roman" w:hAnsi="Times New Roman"/>
          <w:b/>
          <w:noProof/>
          <w:sz w:val="24"/>
        </w:rPr>
        <w:t>Specific objective</w:t>
      </w:r>
      <w:r>
        <w:rPr>
          <w:rFonts w:ascii="Times New Roman" w:hAnsi="Times New Roman"/>
          <w:b/>
          <w:noProof/>
          <w:sz w:val="24"/>
        </w:rPr>
        <w:t xml:space="preserve"> a</w:t>
      </w:r>
      <w:r>
        <w:rPr>
          <w:rFonts w:ascii="Times New Roman" w:hAnsi="Times New Roman"/>
          <w:noProof/>
          <w:sz w:val="24"/>
        </w:rPr>
        <w:t xml:space="preserve">)). Under </w:t>
      </w:r>
      <w:r>
        <w:rPr>
          <w:rFonts w:ascii="Times New Roman" w:hAnsi="Times New Roman"/>
          <w:b/>
          <w:noProof/>
          <w:sz w:val="24"/>
        </w:rPr>
        <w:t>integrated return management</w:t>
      </w:r>
      <w:r>
        <w:rPr>
          <w:rFonts w:ascii="Times New Roman" w:hAnsi="Times New Roman"/>
          <w:noProof/>
          <w:sz w:val="24"/>
        </w:rPr>
        <w:t>, Member states should develop integrated return plans which covers all phases of the return process, from the pre-departure phase and the return as such to the reception and reintegration in the country of return an</w:t>
      </w:r>
      <w:r>
        <w:rPr>
          <w:rFonts w:ascii="Times New Roman" w:hAnsi="Times New Roman"/>
          <w:noProof/>
          <w:sz w:val="24"/>
        </w:rPr>
        <w:t>d should be tailored to take account of the specific situation in different countries. At the basis of an integrated return management plan should be an analysis of the situation in the Member State with respect to the targeted population, a realistic asse</w:t>
      </w:r>
      <w:r>
        <w:rPr>
          <w:rFonts w:ascii="Times New Roman" w:hAnsi="Times New Roman"/>
          <w:noProof/>
          <w:sz w:val="24"/>
        </w:rPr>
        <w:t>ssment of the potential for return and the cooperation with the countries of return, a planning and evaluation mechanism with respect to the return process of the targeted population and cooperation throughout the process with relevant stakeholders at nati</w:t>
      </w:r>
      <w:r>
        <w:rPr>
          <w:rFonts w:ascii="Times New Roman" w:hAnsi="Times New Roman"/>
          <w:noProof/>
          <w:sz w:val="24"/>
        </w:rPr>
        <w:t>onal, European and international level, such as UNHCR and the International Organisation for Migration (IOM). Priority should be given to cooperation between Member States to secure such an approach, given the cost-effectiveness and the synergies involved</w:t>
      </w:r>
      <w:r>
        <w:rPr>
          <w:rStyle w:val="FootnoteReference"/>
          <w:rFonts w:ascii="Times New Roman" w:hAnsi="Times New Roman"/>
          <w:noProof/>
          <w:sz w:val="24"/>
        </w:rPr>
        <w:footnoteReference w:id="23"/>
      </w:r>
      <w:r>
        <w:rPr>
          <w:rFonts w:ascii="Times New Roman" w:hAnsi="Times New Roman"/>
          <w:noProof/>
          <w:sz w:val="24"/>
        </w:rPr>
        <w:t xml:space="preserve">. Under integrated return management, Member States should give the preference to voluntary return over forced return. </w:t>
      </w:r>
    </w:p>
    <w:p w:rsidR="007013FD" w:rsidRDefault="007013FD">
      <w:pPr>
        <w:pStyle w:val="ListParagraph"/>
        <w:spacing w:line="240" w:lineRule="auto"/>
        <w:jc w:val="both"/>
        <w:rPr>
          <w:rFonts w:ascii="Times New Roman" w:hAnsi="Times New Roman"/>
          <w:noProof/>
          <w:sz w:val="24"/>
        </w:rPr>
      </w:pPr>
    </w:p>
    <w:p w:rsidR="007013FD" w:rsidRDefault="005E3FDE">
      <w:pPr>
        <w:pStyle w:val="ListParagraph"/>
        <w:numPr>
          <w:ilvl w:val="0"/>
          <w:numId w:val="36"/>
        </w:numPr>
        <w:spacing w:line="240" w:lineRule="auto"/>
        <w:jc w:val="both"/>
        <w:rPr>
          <w:rFonts w:ascii="Times New Roman" w:hAnsi="Times New Roman"/>
          <w:noProof/>
          <w:sz w:val="24"/>
        </w:rPr>
      </w:pPr>
      <w:r>
        <w:rPr>
          <w:rFonts w:ascii="Times New Roman" w:hAnsi="Times New Roman"/>
          <w:noProof/>
          <w:sz w:val="24"/>
        </w:rPr>
        <w:t>enhanced cooperation between Member States</w:t>
      </w:r>
      <w:r>
        <w:rPr>
          <w:noProof/>
        </w:rPr>
        <w:t xml:space="preserve"> </w:t>
      </w:r>
      <w:r>
        <w:rPr>
          <w:rFonts w:ascii="Times New Roman" w:hAnsi="Times New Roman"/>
          <w:noProof/>
          <w:sz w:val="24"/>
        </w:rPr>
        <w:t>within the framework of integrated return management (</w:t>
      </w:r>
      <w:r>
        <w:rPr>
          <w:rFonts w:ascii="Times New Roman" w:hAnsi="Times New Roman"/>
          <w:b/>
          <w:noProof/>
          <w:sz w:val="24"/>
        </w:rPr>
        <w:t>Specific objective b</w:t>
      </w:r>
      <w:r>
        <w:rPr>
          <w:rStyle w:val="FootnoteReference"/>
          <w:rFonts w:ascii="Times New Roman" w:hAnsi="Times New Roman"/>
          <w:b/>
          <w:noProof/>
          <w:sz w:val="24"/>
        </w:rPr>
        <w:footnoteReference w:id="24"/>
      </w:r>
      <w:r>
        <w:rPr>
          <w:rFonts w:ascii="Times New Roman" w:hAnsi="Times New Roman"/>
          <w:noProof/>
          <w:sz w:val="24"/>
        </w:rPr>
        <w:t xml:space="preserve">)), and </w:t>
      </w:r>
    </w:p>
    <w:p w:rsidR="007013FD" w:rsidRDefault="007013FD">
      <w:pPr>
        <w:pStyle w:val="ListParagraph"/>
        <w:spacing w:line="240" w:lineRule="auto"/>
        <w:jc w:val="both"/>
        <w:rPr>
          <w:rFonts w:ascii="Times New Roman" w:hAnsi="Times New Roman"/>
          <w:noProof/>
          <w:sz w:val="24"/>
        </w:rPr>
      </w:pPr>
    </w:p>
    <w:p w:rsidR="007013FD" w:rsidRDefault="005E3FDE">
      <w:pPr>
        <w:pStyle w:val="ListParagraph"/>
        <w:numPr>
          <w:ilvl w:val="0"/>
          <w:numId w:val="36"/>
        </w:numPr>
        <w:spacing w:line="240" w:lineRule="auto"/>
        <w:jc w:val="both"/>
        <w:rPr>
          <w:rFonts w:ascii="Times New Roman" w:hAnsi="Times New Roman"/>
          <w:noProof/>
          <w:sz w:val="24"/>
        </w:rPr>
      </w:pPr>
      <w:r>
        <w:rPr>
          <w:rFonts w:ascii="Times New Roman" w:hAnsi="Times New Roman"/>
          <w:noProof/>
          <w:sz w:val="24"/>
        </w:rPr>
        <w:t>the pro</w:t>
      </w:r>
      <w:r>
        <w:rPr>
          <w:rFonts w:ascii="Times New Roman" w:hAnsi="Times New Roman"/>
          <w:noProof/>
          <w:sz w:val="24"/>
        </w:rPr>
        <w:t>motion of an effective implementation of common standards on return (</w:t>
      </w:r>
      <w:r>
        <w:rPr>
          <w:rFonts w:ascii="Times New Roman" w:hAnsi="Times New Roman"/>
          <w:b/>
          <w:noProof/>
          <w:sz w:val="24"/>
        </w:rPr>
        <w:t>Specific objective c</w:t>
      </w:r>
      <w:r>
        <w:rPr>
          <w:rStyle w:val="FootnoteReference"/>
          <w:rFonts w:ascii="Times New Roman" w:hAnsi="Times New Roman"/>
          <w:b/>
          <w:noProof/>
          <w:sz w:val="24"/>
        </w:rPr>
        <w:footnoteReference w:id="25"/>
      </w:r>
      <w:r>
        <w:rPr>
          <w:rFonts w:ascii="Times New Roman" w:hAnsi="Times New Roman"/>
          <w:noProof/>
          <w:sz w:val="24"/>
        </w:rPr>
        <w:t xml:space="preserve">)). </w:t>
      </w:r>
    </w:p>
    <w:p w:rsidR="007013FD" w:rsidRDefault="007013FD">
      <w:pPr>
        <w:pStyle w:val="ListParagraph"/>
        <w:spacing w:line="240" w:lineRule="auto"/>
        <w:jc w:val="both"/>
        <w:rPr>
          <w:rFonts w:ascii="Times New Roman" w:hAnsi="Times New Roman"/>
          <w:noProof/>
          <w:sz w:val="24"/>
        </w:rPr>
      </w:pPr>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The specific objectives were further clarified by a list of examples of eligible actions per specific objective</w:t>
      </w:r>
      <w:r>
        <w:rPr>
          <w:rStyle w:val="FootnoteReference"/>
          <w:rFonts w:ascii="Times New Roman" w:hAnsi="Times New Roman"/>
          <w:noProof/>
          <w:sz w:val="24"/>
          <w:lang w:val="en-GB"/>
        </w:rPr>
        <w:footnoteReference w:id="26"/>
      </w:r>
      <w:r>
        <w:rPr>
          <w:rFonts w:ascii="Times New Roman" w:hAnsi="Times New Roman"/>
          <w:noProof/>
          <w:sz w:val="24"/>
          <w:lang w:val="en-GB"/>
        </w:rPr>
        <w: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noProof/>
          <w:sz w:val="24"/>
          <w:lang w:val="en-GB"/>
        </w:rPr>
        <w:t xml:space="preserve">In accordance with the Decision establishing </w:t>
      </w:r>
      <w:r>
        <w:rPr>
          <w:rFonts w:ascii="Times New Roman" w:hAnsi="Times New Roman"/>
          <w:noProof/>
          <w:sz w:val="24"/>
          <w:lang w:val="en-GB"/>
        </w:rPr>
        <w:t>the RF</w:t>
      </w:r>
      <w:r>
        <w:rPr>
          <w:rStyle w:val="FootnoteReference"/>
          <w:rFonts w:ascii="Times New Roman" w:hAnsi="Times New Roman"/>
          <w:noProof/>
          <w:sz w:val="24"/>
          <w:lang w:val="en-GB"/>
        </w:rPr>
        <w:footnoteReference w:id="27"/>
      </w:r>
      <w:r>
        <w:rPr>
          <w:rFonts w:ascii="Times New Roman" w:hAnsi="Times New Roman"/>
          <w:noProof/>
          <w:sz w:val="24"/>
          <w:lang w:val="en-GB"/>
        </w:rPr>
        <w:t>, the Commission adopted Strategic Guidelines</w:t>
      </w:r>
      <w:r>
        <w:rPr>
          <w:rStyle w:val="FootnoteReference"/>
          <w:rFonts w:ascii="Times New Roman" w:hAnsi="Times New Roman" w:cs="Times New Roman"/>
          <w:noProof/>
          <w:sz w:val="24"/>
          <w:szCs w:val="24"/>
          <w:lang w:val="en-GB"/>
        </w:rPr>
        <w:footnoteReference w:id="28"/>
      </w:r>
      <w:r>
        <w:rPr>
          <w:rFonts w:ascii="Times New Roman" w:hAnsi="Times New Roman"/>
          <w:noProof/>
          <w:sz w:val="24"/>
          <w:lang w:val="en-GB"/>
        </w:rPr>
        <w:t xml:space="preserve"> which identified four priorities and eight specific priorities (between 1 to 3 specific priorities per priorities). The specific priorities were defined to target particular actions for which the Member</w:t>
      </w:r>
      <w:r>
        <w:rPr>
          <w:rFonts w:ascii="Times New Roman" w:hAnsi="Times New Roman"/>
          <w:noProof/>
          <w:sz w:val="24"/>
          <w:lang w:val="en-GB"/>
        </w:rPr>
        <w:t xml:space="preserve"> States could request an EU co-financing rate of 75%</w:t>
      </w:r>
      <w:r>
        <w:rPr>
          <w:rStyle w:val="FootnoteReference"/>
          <w:rFonts w:ascii="Times New Roman" w:hAnsi="Times New Roman"/>
          <w:noProof/>
          <w:sz w:val="24"/>
          <w:lang w:val="en-GB"/>
        </w:rPr>
        <w:footnoteReference w:id="29"/>
      </w:r>
      <w:r>
        <w:rPr>
          <w:rFonts w:ascii="Times New Roman" w:hAnsi="Times New Roman"/>
          <w:noProof/>
          <w:sz w:val="24"/>
          <w:lang w:val="en-GB"/>
        </w:rPr>
        <w:t xml:space="preserve"> (See Section 6.1). Each action planned in the annual programme should be programmed under one of the priorities set in the Strategic Guidelines. As the Strategic Guidelines did not set any threshold per</w:t>
      </w:r>
      <w:r>
        <w:rPr>
          <w:rFonts w:ascii="Times New Roman" w:hAnsi="Times New Roman"/>
          <w:noProof/>
          <w:sz w:val="24"/>
          <w:lang w:val="en-GB"/>
        </w:rPr>
        <w:t xml:space="preserve"> priorities, Member States could distribute their annual allocation as they wished provided that the MSs target the available resources to three out of four priorities.</w:t>
      </w:r>
    </w:p>
    <w:tbl>
      <w:tblPr>
        <w:tblStyle w:val="TableGrid"/>
        <w:tblW w:w="0" w:type="auto"/>
        <w:tblInd w:w="-34" w:type="dxa"/>
        <w:tblLayout w:type="fixed"/>
        <w:tblLook w:val="04A0" w:firstRow="1" w:lastRow="0" w:firstColumn="1" w:lastColumn="0" w:noHBand="0" w:noVBand="1"/>
      </w:tblPr>
      <w:tblGrid>
        <w:gridCol w:w="3622"/>
        <w:gridCol w:w="5640"/>
      </w:tblGrid>
      <w:tr w:rsidR="007013FD">
        <w:trPr>
          <w:trHeight w:val="20"/>
        </w:trPr>
        <w:tc>
          <w:tcPr>
            <w:tcW w:w="3622" w:type="dxa"/>
            <w:vAlign w:val="center"/>
          </w:tcPr>
          <w:p w:rsidR="007013FD" w:rsidRDefault="005E3FDE">
            <w:pPr>
              <w:jc w:val="both"/>
              <w:rPr>
                <w:rFonts w:ascii="Times New Roman" w:hAnsi="Times New Roman" w:cs="Times New Roman"/>
                <w:b/>
                <w:noProof/>
                <w:sz w:val="20"/>
                <w:szCs w:val="20"/>
              </w:rPr>
            </w:pPr>
            <w:r>
              <w:rPr>
                <w:rFonts w:ascii="Times New Roman" w:hAnsi="Times New Roman" w:cs="Times New Roman"/>
                <w:b/>
                <w:noProof/>
                <w:sz w:val="20"/>
                <w:szCs w:val="20"/>
              </w:rPr>
              <w:t>Priorities</w:t>
            </w:r>
          </w:p>
        </w:tc>
        <w:tc>
          <w:tcPr>
            <w:tcW w:w="5640" w:type="dxa"/>
            <w:vAlign w:val="center"/>
          </w:tcPr>
          <w:p w:rsidR="007013FD" w:rsidRDefault="007013FD">
            <w:pPr>
              <w:jc w:val="both"/>
              <w:rPr>
                <w:rFonts w:ascii="Times New Roman" w:hAnsi="Times New Roman" w:cs="Times New Roman"/>
                <w:b/>
                <w:noProof/>
                <w:sz w:val="20"/>
                <w:szCs w:val="20"/>
              </w:rPr>
            </w:pPr>
          </w:p>
          <w:p w:rsidR="007013FD" w:rsidRDefault="005E3FDE">
            <w:pPr>
              <w:jc w:val="both"/>
              <w:rPr>
                <w:rFonts w:ascii="Times New Roman" w:hAnsi="Times New Roman" w:cs="Times New Roman"/>
                <w:b/>
                <w:noProof/>
                <w:sz w:val="20"/>
                <w:szCs w:val="20"/>
              </w:rPr>
            </w:pPr>
            <w:r>
              <w:rPr>
                <w:rFonts w:ascii="Times New Roman" w:hAnsi="Times New Roman" w:cs="Times New Roman"/>
                <w:b/>
                <w:noProof/>
                <w:sz w:val="20"/>
                <w:szCs w:val="20"/>
              </w:rPr>
              <w:t>Specific priorities (75% EU contribution)</w:t>
            </w:r>
          </w:p>
          <w:p w:rsidR="007013FD" w:rsidRDefault="007013FD">
            <w:pPr>
              <w:jc w:val="both"/>
              <w:rPr>
                <w:rFonts w:ascii="Times New Roman" w:hAnsi="Times New Roman" w:cs="Times New Roman"/>
                <w:b/>
                <w:noProof/>
                <w:sz w:val="20"/>
                <w:szCs w:val="20"/>
              </w:rPr>
            </w:pPr>
          </w:p>
        </w:tc>
      </w:tr>
      <w:tr w:rsidR="007013FD" w:rsidRPr="005E3FDE">
        <w:trPr>
          <w:trHeight w:val="20"/>
        </w:trPr>
        <w:tc>
          <w:tcPr>
            <w:tcW w:w="3622" w:type="dxa"/>
            <w:vAlign w:val="center"/>
          </w:tcPr>
          <w:p w:rsidR="007013FD" w:rsidRDefault="005E3FDE">
            <w:pPr>
              <w:spacing w:after="60"/>
              <w:rPr>
                <w:rFonts w:ascii="Times New Roman" w:hAnsi="Times New Roman" w:cs="Times New Roman"/>
                <w:noProof/>
                <w:sz w:val="20"/>
                <w:szCs w:val="20"/>
              </w:rPr>
            </w:pPr>
            <w:r>
              <w:rPr>
                <w:rFonts w:ascii="Times New Roman" w:eastAsia="Times New Roman" w:hAnsi="Times New Roman" w:cs="Times New Roman"/>
                <w:b/>
                <w:noProof/>
                <w:sz w:val="18"/>
                <w:szCs w:val="24"/>
                <w:lang w:eastAsia="da-DK"/>
              </w:rPr>
              <w:t>Priority 1:</w:t>
            </w:r>
            <w:r>
              <w:rPr>
                <w:rFonts w:ascii="Times New Roman" w:hAnsi="Times New Roman"/>
                <w:noProof/>
              </w:rPr>
              <w:t xml:space="preserve"> </w:t>
            </w:r>
            <w:r>
              <w:rPr>
                <w:rFonts w:ascii="Times New Roman" w:hAnsi="Times New Roman"/>
                <w:noProof/>
                <w:sz w:val="20"/>
                <w:szCs w:val="20"/>
              </w:rPr>
              <w:t xml:space="preserve">Support for the </w:t>
            </w:r>
            <w:r>
              <w:rPr>
                <w:rFonts w:ascii="Times New Roman" w:hAnsi="Times New Roman"/>
                <w:noProof/>
                <w:sz w:val="20"/>
                <w:szCs w:val="20"/>
              </w:rPr>
              <w:t>development of a strategic approach to return management by Member States.</w:t>
            </w:r>
          </w:p>
        </w:tc>
        <w:tc>
          <w:tcPr>
            <w:tcW w:w="5640" w:type="dxa"/>
          </w:tcPr>
          <w:p w:rsidR="007013FD" w:rsidRDefault="005E3FDE">
            <w:pPr>
              <w:pStyle w:val="Bullet1"/>
              <w:spacing w:after="0"/>
              <w:ind w:left="317" w:hanging="283"/>
              <w:rPr>
                <w:rFonts w:ascii="Times New Roman" w:hAnsi="Times New Roman"/>
                <w:noProof/>
                <w:szCs w:val="20"/>
                <w:lang w:val="en-GB"/>
              </w:rPr>
            </w:pPr>
            <w:r>
              <w:rPr>
                <w:rFonts w:ascii="Times New Roman" w:hAnsi="Times New Roman" w:cs="Times New Roman"/>
                <w:b/>
                <w:noProof/>
                <w:szCs w:val="20"/>
                <w:lang w:val="en-GB"/>
              </w:rPr>
              <w:t>Specific priority 1</w:t>
            </w:r>
            <w:r>
              <w:rPr>
                <w:rFonts w:ascii="Times New Roman" w:hAnsi="Times New Roman" w:cs="Times New Roman"/>
                <w:noProof/>
                <w:szCs w:val="20"/>
                <w:lang w:val="en-GB"/>
              </w:rPr>
              <w:t xml:space="preserve"> deals with assisted voluntary return programmes;</w:t>
            </w:r>
          </w:p>
          <w:p w:rsidR="007013FD" w:rsidRDefault="005E3FDE">
            <w:pPr>
              <w:pStyle w:val="Bullet1"/>
              <w:spacing w:after="0"/>
              <w:ind w:left="317" w:hanging="283"/>
              <w:rPr>
                <w:noProof/>
                <w:szCs w:val="20"/>
                <w:lang w:val="en-GB"/>
              </w:rPr>
            </w:pPr>
            <w:r>
              <w:rPr>
                <w:rFonts w:ascii="Times New Roman" w:hAnsi="Times New Roman" w:cs="Times New Roman"/>
                <w:b/>
                <w:noProof/>
                <w:szCs w:val="20"/>
                <w:lang w:val="en-GB"/>
              </w:rPr>
              <w:t>Specific priority 2</w:t>
            </w:r>
            <w:r>
              <w:rPr>
                <w:rFonts w:ascii="Times New Roman" w:hAnsi="Times New Roman" w:cs="Times New Roman"/>
                <w:noProof/>
                <w:szCs w:val="20"/>
                <w:lang w:val="en-GB"/>
              </w:rPr>
              <w:t xml:space="preserve"> supports cash incentives and measures to address the specific situation of vulnerable returnees;</w:t>
            </w:r>
          </w:p>
          <w:p w:rsidR="007013FD" w:rsidRDefault="005E3FDE">
            <w:pPr>
              <w:pStyle w:val="Bullet1"/>
              <w:spacing w:after="0"/>
              <w:ind w:left="317" w:hanging="283"/>
              <w:rPr>
                <w:noProof/>
                <w:szCs w:val="20"/>
                <w:lang w:val="en-GB"/>
              </w:rPr>
            </w:pPr>
            <w:r>
              <w:rPr>
                <w:rFonts w:ascii="Times New Roman" w:hAnsi="Times New Roman" w:cs="Times New Roman"/>
                <w:b/>
                <w:noProof/>
                <w:szCs w:val="20"/>
                <w:lang w:val="en-GB"/>
              </w:rPr>
              <w:t>Specific priority 3</w:t>
            </w:r>
            <w:r>
              <w:rPr>
                <w:rFonts w:ascii="Times New Roman" w:hAnsi="Times New Roman" w:cs="Times New Roman"/>
                <w:noProof/>
                <w:szCs w:val="20"/>
                <w:lang w:val="en-GB"/>
              </w:rPr>
              <w:t xml:space="preserve"> promotes integrated return plans supporting the return of persons not covered under Community readmission agreements or national bilateral</w:t>
            </w:r>
            <w:r>
              <w:rPr>
                <w:rFonts w:ascii="Times New Roman" w:hAnsi="Times New Roman" w:cs="Times New Roman"/>
                <w:noProof/>
                <w:szCs w:val="20"/>
                <w:lang w:val="en-GB"/>
              </w:rPr>
              <w:t xml:space="preserve"> readmission agreements to countries of origin, former residence or transit with which cooperation in the field of return is particularly difficult.</w:t>
            </w:r>
          </w:p>
        </w:tc>
      </w:tr>
      <w:tr w:rsidR="007013FD" w:rsidRPr="005E3FDE">
        <w:trPr>
          <w:trHeight w:val="71"/>
        </w:trPr>
        <w:tc>
          <w:tcPr>
            <w:tcW w:w="3622" w:type="dxa"/>
            <w:vAlign w:val="center"/>
          </w:tcPr>
          <w:p w:rsidR="007013FD" w:rsidRDefault="005E3FDE">
            <w:pPr>
              <w:spacing w:after="60"/>
              <w:rPr>
                <w:rFonts w:ascii="Times New Roman" w:hAnsi="Times New Roman"/>
                <w:noProof/>
                <w:sz w:val="20"/>
                <w:szCs w:val="20"/>
              </w:rPr>
            </w:pPr>
            <w:r>
              <w:rPr>
                <w:rFonts w:ascii="Times New Roman" w:hAnsi="Times New Roman"/>
                <w:b/>
                <w:noProof/>
                <w:sz w:val="20"/>
                <w:szCs w:val="20"/>
              </w:rPr>
              <w:t>Priority 2</w:t>
            </w:r>
            <w:r>
              <w:rPr>
                <w:rFonts w:ascii="Times New Roman" w:hAnsi="Times New Roman"/>
                <w:noProof/>
                <w:sz w:val="20"/>
                <w:szCs w:val="20"/>
              </w:rPr>
              <w:t xml:space="preserve">: Support for the cooperation between Member States in return management – </w:t>
            </w:r>
          </w:p>
          <w:p w:rsidR="007013FD" w:rsidRDefault="005E3FDE">
            <w:pPr>
              <w:spacing w:after="60"/>
              <w:rPr>
                <w:rFonts w:ascii="Times New Roman" w:hAnsi="Times New Roman"/>
                <w:noProof/>
                <w:sz w:val="20"/>
                <w:szCs w:val="20"/>
              </w:rPr>
            </w:pPr>
            <w:r>
              <w:rPr>
                <w:rFonts w:ascii="Times New Roman" w:hAnsi="Times New Roman"/>
                <w:noProof/>
                <w:sz w:val="20"/>
                <w:szCs w:val="20"/>
              </w:rPr>
              <w:t>This includes settin</w:t>
            </w:r>
            <w:r>
              <w:rPr>
                <w:rFonts w:ascii="Times New Roman" w:hAnsi="Times New Roman"/>
                <w:noProof/>
                <w:sz w:val="20"/>
                <w:szCs w:val="20"/>
              </w:rPr>
              <w:t>g up and implementing integrated return plans as well as cooperation in specific areas of integrated return management, such as the preparation, enforcement and follow-up of joint flights for removal and joint removals by land.</w:t>
            </w:r>
          </w:p>
        </w:tc>
        <w:tc>
          <w:tcPr>
            <w:tcW w:w="5640" w:type="dxa"/>
          </w:tcPr>
          <w:p w:rsidR="007013FD" w:rsidRDefault="005E3FDE">
            <w:pPr>
              <w:pStyle w:val="Bullet1"/>
              <w:spacing w:after="0"/>
              <w:rPr>
                <w:rFonts w:ascii="Times New Roman" w:hAnsi="Times New Roman" w:cs="Times New Roman"/>
                <w:b/>
                <w:noProof/>
                <w:szCs w:val="20"/>
                <w:lang w:val="en-GB"/>
              </w:rPr>
            </w:pPr>
            <w:r>
              <w:rPr>
                <w:rFonts w:ascii="Times New Roman" w:hAnsi="Times New Roman" w:cs="Times New Roman"/>
                <w:b/>
                <w:noProof/>
                <w:szCs w:val="20"/>
                <w:lang w:val="en-GB"/>
              </w:rPr>
              <w:t>Specific priority 1</w:t>
            </w:r>
            <w:r>
              <w:rPr>
                <w:rFonts w:ascii="Times New Roman" w:hAnsi="Times New Roman" w:cs="Times New Roman"/>
                <w:noProof/>
                <w:szCs w:val="20"/>
                <w:lang w:val="en-GB"/>
              </w:rPr>
              <w:t xml:space="preserve"> focuses </w:t>
            </w:r>
            <w:r>
              <w:rPr>
                <w:rFonts w:ascii="Times New Roman" w:hAnsi="Times New Roman" w:cs="Times New Roman"/>
                <w:noProof/>
                <w:szCs w:val="20"/>
                <w:lang w:val="en-GB"/>
              </w:rPr>
              <w:t>on integrated return plans designed and implemented in cooperation with other Member States, Frontex, NGOs and International Organisations.</w:t>
            </w:r>
          </w:p>
        </w:tc>
      </w:tr>
      <w:tr w:rsidR="007013FD" w:rsidRPr="005E3FDE">
        <w:trPr>
          <w:trHeight w:val="20"/>
        </w:trPr>
        <w:tc>
          <w:tcPr>
            <w:tcW w:w="3622" w:type="dxa"/>
            <w:vAlign w:val="center"/>
          </w:tcPr>
          <w:p w:rsidR="007013FD" w:rsidRDefault="005E3FDE">
            <w:pPr>
              <w:spacing w:after="60"/>
              <w:rPr>
                <w:rFonts w:ascii="Times New Roman" w:hAnsi="Times New Roman"/>
                <w:noProof/>
                <w:sz w:val="20"/>
                <w:szCs w:val="20"/>
              </w:rPr>
            </w:pPr>
            <w:r>
              <w:rPr>
                <w:rFonts w:ascii="Times New Roman" w:hAnsi="Times New Roman"/>
                <w:b/>
                <w:noProof/>
                <w:sz w:val="20"/>
                <w:szCs w:val="20"/>
              </w:rPr>
              <w:t xml:space="preserve">Priority 3: </w:t>
            </w:r>
            <w:r>
              <w:rPr>
                <w:rFonts w:ascii="Times New Roman" w:hAnsi="Times New Roman"/>
                <w:noProof/>
                <w:sz w:val="20"/>
                <w:szCs w:val="20"/>
              </w:rPr>
              <w:t>Support for specific innovative (inter)national tools for return management.</w:t>
            </w:r>
          </w:p>
          <w:p w:rsidR="007013FD" w:rsidRDefault="005E3FDE">
            <w:pPr>
              <w:spacing w:after="60"/>
              <w:rPr>
                <w:rFonts w:ascii="Times New Roman" w:hAnsi="Times New Roman"/>
                <w:noProof/>
                <w:sz w:val="20"/>
                <w:szCs w:val="20"/>
              </w:rPr>
            </w:pPr>
            <w:r>
              <w:rPr>
                <w:rFonts w:ascii="Times New Roman" w:hAnsi="Times New Roman"/>
                <w:noProof/>
                <w:sz w:val="20"/>
                <w:szCs w:val="20"/>
              </w:rPr>
              <w:t xml:space="preserve">This includes setting up </w:t>
            </w:r>
            <w:r>
              <w:rPr>
                <w:rFonts w:ascii="Times New Roman" w:hAnsi="Times New Roman"/>
                <w:noProof/>
                <w:sz w:val="20"/>
                <w:szCs w:val="20"/>
              </w:rPr>
              <w:t>or improving counselling and return information measures, reintegration measures for returnees in the country of return, modes of cooperation with consular and/or immigration services, including training, and measures to gain information on undocumented th</w:t>
            </w:r>
            <w:r>
              <w:rPr>
                <w:rFonts w:ascii="Times New Roman" w:hAnsi="Times New Roman"/>
                <w:noProof/>
                <w:sz w:val="20"/>
                <w:szCs w:val="20"/>
              </w:rPr>
              <w:t>ird-country nationals or stateless persons.</w:t>
            </w:r>
          </w:p>
          <w:p w:rsidR="007013FD" w:rsidRDefault="007013FD">
            <w:pPr>
              <w:spacing w:after="60"/>
              <w:rPr>
                <w:rFonts w:ascii="Times New Roman" w:hAnsi="Times New Roman"/>
                <w:noProof/>
                <w:sz w:val="20"/>
                <w:szCs w:val="20"/>
              </w:rPr>
            </w:pPr>
          </w:p>
        </w:tc>
        <w:tc>
          <w:tcPr>
            <w:tcW w:w="5640" w:type="dxa"/>
          </w:tcPr>
          <w:p w:rsidR="007013FD" w:rsidRDefault="005E3FDE">
            <w:pPr>
              <w:pStyle w:val="Bullet1"/>
              <w:spacing w:after="0"/>
              <w:ind w:left="317" w:hanging="283"/>
              <w:rPr>
                <w:rFonts w:ascii="Times New Roman" w:hAnsi="Times New Roman" w:cs="Times New Roman"/>
                <w:noProof/>
                <w:szCs w:val="20"/>
                <w:lang w:val="en-GB"/>
              </w:rPr>
            </w:pPr>
            <w:r>
              <w:rPr>
                <w:rFonts w:ascii="Times New Roman" w:hAnsi="Times New Roman" w:cs="Times New Roman"/>
                <w:b/>
                <w:noProof/>
                <w:szCs w:val="20"/>
                <w:lang w:val="en-GB"/>
              </w:rPr>
              <w:t xml:space="preserve">Specific priority 1 </w:t>
            </w:r>
            <w:r>
              <w:rPr>
                <w:rFonts w:ascii="Times New Roman" w:hAnsi="Times New Roman" w:cs="Times New Roman"/>
                <w:noProof/>
                <w:szCs w:val="20"/>
                <w:lang w:val="en-GB"/>
              </w:rPr>
              <w:t xml:space="preserve">supports projects proposing particularly innovative means of informing and counselling potential returnees and/or other innovative incentives for increasing the number of voluntary returnees </w:t>
            </w:r>
            <w:r>
              <w:rPr>
                <w:rFonts w:ascii="Times New Roman" w:hAnsi="Times New Roman" w:cs="Times New Roman"/>
                <w:noProof/>
                <w:szCs w:val="20"/>
                <w:lang w:val="en-GB"/>
              </w:rPr>
              <w:t>based on respect for the dignity of the individuals concerned.</w:t>
            </w:r>
          </w:p>
          <w:p w:rsidR="007013FD" w:rsidRDefault="007013FD">
            <w:pPr>
              <w:rPr>
                <w:noProof/>
              </w:rPr>
            </w:pPr>
          </w:p>
          <w:p w:rsidR="007013FD" w:rsidRDefault="005E3FDE">
            <w:pPr>
              <w:pStyle w:val="Bullet1"/>
              <w:spacing w:after="0"/>
              <w:ind w:left="317" w:hanging="283"/>
              <w:rPr>
                <w:rFonts w:ascii="Times New Roman" w:hAnsi="Times New Roman" w:cs="Times New Roman"/>
                <w:b/>
                <w:noProof/>
                <w:szCs w:val="20"/>
                <w:lang w:val="en-GB"/>
              </w:rPr>
            </w:pPr>
            <w:r>
              <w:rPr>
                <w:rFonts w:ascii="Times New Roman" w:hAnsi="Times New Roman" w:cs="Times New Roman"/>
                <w:b/>
                <w:noProof/>
                <w:szCs w:val="20"/>
                <w:lang w:val="en-GB"/>
              </w:rPr>
              <w:t xml:space="preserve">Specific priority 2 </w:t>
            </w:r>
            <w:r>
              <w:rPr>
                <w:rFonts w:ascii="Times New Roman" w:hAnsi="Times New Roman" w:cs="Times New Roman"/>
                <w:noProof/>
                <w:szCs w:val="20"/>
                <w:lang w:val="en-GB"/>
              </w:rPr>
              <w:t>supports projects which test new working methods to speed up the process of documenting returnees in cooperation with the consular authorities and immigration services of t</w:t>
            </w:r>
            <w:r>
              <w:rPr>
                <w:rFonts w:ascii="Times New Roman" w:hAnsi="Times New Roman" w:cs="Times New Roman"/>
                <w:noProof/>
                <w:szCs w:val="20"/>
                <w:lang w:val="en-GB"/>
              </w:rPr>
              <w:t>hird countries.</w:t>
            </w:r>
          </w:p>
        </w:tc>
      </w:tr>
      <w:tr w:rsidR="007013FD" w:rsidRPr="005E3FDE">
        <w:trPr>
          <w:trHeight w:val="20"/>
        </w:trPr>
        <w:tc>
          <w:tcPr>
            <w:tcW w:w="3622" w:type="dxa"/>
            <w:vAlign w:val="center"/>
          </w:tcPr>
          <w:p w:rsidR="007013FD" w:rsidRDefault="005E3FDE">
            <w:pPr>
              <w:spacing w:after="60"/>
              <w:rPr>
                <w:rFonts w:ascii="Times New Roman" w:hAnsi="Times New Roman"/>
                <w:noProof/>
                <w:sz w:val="20"/>
                <w:szCs w:val="20"/>
              </w:rPr>
            </w:pPr>
            <w:r>
              <w:rPr>
                <w:rFonts w:ascii="Times New Roman" w:hAnsi="Times New Roman"/>
                <w:b/>
                <w:noProof/>
                <w:sz w:val="20"/>
                <w:szCs w:val="20"/>
              </w:rPr>
              <w:t>Priority 4:</w:t>
            </w:r>
            <w:r>
              <w:rPr>
                <w:rFonts w:ascii="Times New Roman" w:hAnsi="Times New Roman"/>
                <w:noProof/>
                <w:sz w:val="20"/>
                <w:szCs w:val="20"/>
              </w:rPr>
              <w:t xml:space="preserve"> Support for Community standards and best practices on return management.</w:t>
            </w:r>
          </w:p>
        </w:tc>
        <w:tc>
          <w:tcPr>
            <w:tcW w:w="5640" w:type="dxa"/>
          </w:tcPr>
          <w:p w:rsidR="007013FD" w:rsidRDefault="005E3FDE">
            <w:pPr>
              <w:pStyle w:val="Bullet1"/>
              <w:spacing w:after="0"/>
              <w:ind w:left="317" w:hanging="283"/>
              <w:rPr>
                <w:rFonts w:ascii="Times New Roman" w:hAnsi="Times New Roman" w:cs="Times New Roman"/>
                <w:noProof/>
                <w:szCs w:val="20"/>
                <w:lang w:val="en-GB"/>
              </w:rPr>
            </w:pPr>
            <w:r>
              <w:rPr>
                <w:rFonts w:ascii="Times New Roman" w:hAnsi="Times New Roman" w:cs="Times New Roman"/>
                <w:b/>
                <w:noProof/>
                <w:szCs w:val="20"/>
                <w:lang w:val="en-GB"/>
              </w:rPr>
              <w:t>Specific priority 1</w:t>
            </w:r>
            <w:r>
              <w:rPr>
                <w:rFonts w:ascii="Times New Roman" w:hAnsi="Times New Roman" w:cs="Times New Roman"/>
                <w:noProof/>
                <w:szCs w:val="20"/>
                <w:lang w:val="en-GB"/>
              </w:rPr>
              <w:t xml:space="preserve"> concerns evaluations and missions to measure progress in return programmes, tools and processes;</w:t>
            </w:r>
          </w:p>
          <w:p w:rsidR="007013FD" w:rsidRDefault="005E3FDE">
            <w:pPr>
              <w:pStyle w:val="Bullet1"/>
              <w:rPr>
                <w:rFonts w:ascii="Times New Roman" w:hAnsi="Times New Roman" w:cs="Times New Roman"/>
                <w:noProof/>
              </w:rPr>
            </w:pPr>
            <w:r>
              <w:rPr>
                <w:rFonts w:ascii="Times New Roman" w:hAnsi="Times New Roman" w:cs="Times New Roman"/>
                <w:b/>
                <w:noProof/>
              </w:rPr>
              <w:t>Specific priority 2</w:t>
            </w:r>
            <w:r>
              <w:rPr>
                <w:rFonts w:ascii="Times New Roman" w:hAnsi="Times New Roman" w:cs="Times New Roman"/>
                <w:noProof/>
              </w:rPr>
              <w:t xml:space="preserve"> deals with measur</w:t>
            </w:r>
            <w:r>
              <w:rPr>
                <w:rFonts w:ascii="Times New Roman" w:hAnsi="Times New Roman" w:cs="Times New Roman"/>
                <w:noProof/>
              </w:rPr>
              <w:t>es taken at national level to ensure a fair and effective implementation of common standards on return, including the training of practitioners.</w:t>
            </w:r>
          </w:p>
        </w:tc>
      </w:tr>
    </w:tbl>
    <w:p w:rsidR="007013FD" w:rsidRDefault="007013FD">
      <w:pPr>
        <w:pStyle w:val="Body"/>
        <w:spacing w:after="120"/>
        <w:rPr>
          <w:rFonts w:ascii="Times New Roman" w:hAnsi="Times New Roman" w:cs="Times New Roman"/>
          <w:noProof/>
          <w:sz w:val="24"/>
          <w:szCs w:val="24"/>
          <w:lang w:val="en-GB"/>
        </w:rPr>
      </w:pPr>
    </w:p>
    <w:p w:rsidR="007013FD" w:rsidRDefault="005E3FDE">
      <w:pPr>
        <w:pStyle w:val="Body"/>
        <w:spacing w:after="12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Priority 1 </w:t>
      </w:r>
      <w:r>
        <w:rPr>
          <w:rFonts w:ascii="Times New Roman" w:hAnsi="Times New Roman" w:cs="Times New Roman"/>
          <w:noProof/>
          <w:sz w:val="24"/>
          <w:szCs w:val="24"/>
          <w:lang w:val="en-GB"/>
        </w:rPr>
        <w:t xml:space="preserve">'Support for the development of a strategic approach to return management by Member States' can be mainly linked to Specific Objective a).   </w:t>
      </w:r>
    </w:p>
    <w:p w:rsidR="007013FD" w:rsidRDefault="005E3FDE">
      <w:pPr>
        <w:pStyle w:val="Body"/>
        <w:spacing w:after="12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Priority 2 </w:t>
      </w:r>
      <w:r>
        <w:rPr>
          <w:rFonts w:ascii="Times New Roman" w:hAnsi="Times New Roman" w:cs="Times New Roman"/>
          <w:noProof/>
          <w:sz w:val="24"/>
          <w:szCs w:val="24"/>
          <w:lang w:val="en-GB"/>
        </w:rPr>
        <w:t>'Support for the cooperation between Member States in return management' can be mainly linked to specif</w:t>
      </w:r>
      <w:r>
        <w:rPr>
          <w:rFonts w:ascii="Times New Roman" w:hAnsi="Times New Roman" w:cs="Times New Roman"/>
          <w:noProof/>
          <w:sz w:val="24"/>
          <w:szCs w:val="24"/>
          <w:lang w:val="en-GB"/>
        </w:rPr>
        <w:t xml:space="preserve">ic objective b). </w:t>
      </w:r>
    </w:p>
    <w:p w:rsidR="007013FD" w:rsidRDefault="005E3FDE">
      <w:pPr>
        <w:pStyle w:val="Body"/>
        <w:spacing w:after="12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Priority 3 </w:t>
      </w:r>
      <w:r>
        <w:rPr>
          <w:rFonts w:ascii="Times New Roman" w:hAnsi="Times New Roman" w:cs="Times New Roman"/>
          <w:noProof/>
          <w:sz w:val="24"/>
          <w:szCs w:val="24"/>
          <w:lang w:val="en-GB"/>
        </w:rPr>
        <w:t xml:space="preserve">'Support for specific innovative (inter)national tools for return management' is cross-cutting.  This priority is not linked to any of the three specific objectives of the RF in particular. </w:t>
      </w:r>
    </w:p>
    <w:p w:rsidR="007013FD" w:rsidRDefault="005E3FDE">
      <w:pPr>
        <w:pStyle w:val="Body"/>
        <w:spacing w:after="12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Priority 4 </w:t>
      </w:r>
      <w:r>
        <w:rPr>
          <w:rFonts w:ascii="Times New Roman" w:hAnsi="Times New Roman" w:cs="Times New Roman"/>
          <w:noProof/>
          <w:sz w:val="24"/>
          <w:szCs w:val="24"/>
          <w:lang w:val="en-GB"/>
        </w:rPr>
        <w:t>'Support for Community st</w:t>
      </w:r>
      <w:r>
        <w:rPr>
          <w:rFonts w:ascii="Times New Roman" w:hAnsi="Times New Roman" w:cs="Times New Roman"/>
          <w:noProof/>
          <w:sz w:val="24"/>
          <w:szCs w:val="24"/>
          <w:lang w:val="en-GB"/>
        </w:rPr>
        <w:t>andards and best practices on return management'</w:t>
      </w:r>
      <w:r>
        <w:rPr>
          <w:noProof/>
          <w:lang w:val="en-GB"/>
        </w:rPr>
        <w:t xml:space="preserve"> </w:t>
      </w:r>
      <w:r>
        <w:rPr>
          <w:rFonts w:ascii="Times New Roman" w:hAnsi="Times New Roman" w:cs="Times New Roman"/>
          <w:noProof/>
          <w:sz w:val="24"/>
          <w:szCs w:val="24"/>
          <w:lang w:val="en-GB"/>
        </w:rPr>
        <w:t xml:space="preserve">can be mainly linked to Specific Objective c). </w:t>
      </w:r>
    </w:p>
    <w:p w:rsidR="007013FD" w:rsidRDefault="005E3FDE">
      <w:pPr>
        <w:pStyle w:val="Body"/>
        <w:spacing w:after="120"/>
        <w:rPr>
          <w:rFonts w:ascii="Times New Roman" w:hAnsi="Times New Roman" w:cs="Times New Roman"/>
          <w:noProof/>
          <w:sz w:val="24"/>
          <w:szCs w:val="24"/>
          <w:lang w:val="en-GB"/>
        </w:rPr>
      </w:pPr>
      <w:r>
        <w:rPr>
          <w:rFonts w:ascii="Times New Roman" w:hAnsi="Times New Roman" w:cs="Times New Roman"/>
          <w:noProof/>
          <w:sz w:val="24"/>
          <w:szCs w:val="24"/>
          <w:lang w:val="en-GB"/>
        </w:rPr>
        <w:t>While those priorities aimed to better target EU funding to policy objectives, it also resulted in a complex architecture, with the specific objectives and exa</w:t>
      </w:r>
      <w:r>
        <w:rPr>
          <w:rFonts w:ascii="Times New Roman" w:hAnsi="Times New Roman" w:cs="Times New Roman"/>
          <w:noProof/>
          <w:sz w:val="24"/>
          <w:szCs w:val="24"/>
          <w:lang w:val="en-GB"/>
        </w:rPr>
        <w:t>mple of eligible actions on the one hand and priorities and specific priorities on the other hand not always matching perfectly. As mentioned above, for example priority 3 does not correspond to any specific objective. Also, projects aimed at supporting th</w:t>
      </w:r>
      <w:r>
        <w:rPr>
          <w:rFonts w:ascii="Times New Roman" w:hAnsi="Times New Roman" w:cs="Times New Roman"/>
          <w:noProof/>
          <w:sz w:val="24"/>
          <w:szCs w:val="24"/>
          <w:lang w:val="en-GB"/>
        </w:rPr>
        <w:t>e cooperation with third countries fall either under Objective a)/Priority 1 (if one MS involved), Objective b)/Priority 2 (if several MSs pool their resources to cooperate with third countries) or Priority 3 (if the project aims at testing new working met</w:t>
      </w:r>
      <w:r>
        <w:rPr>
          <w:rFonts w:ascii="Times New Roman" w:hAnsi="Times New Roman" w:cs="Times New Roman"/>
          <w:noProof/>
          <w:sz w:val="24"/>
          <w:szCs w:val="24"/>
          <w:lang w:val="en-GB"/>
        </w:rPr>
        <w:t xml:space="preserve">hods to speed up the process of documenting returnees in cooperation with consular or immigration services of third countries).    </w:t>
      </w:r>
    </w:p>
    <w:p w:rsidR="007013FD" w:rsidRDefault="005E3FDE">
      <w:pPr>
        <w:pStyle w:val="Body"/>
        <w:spacing w:after="120"/>
        <w:rPr>
          <w:rFonts w:ascii="Times New Roman" w:hAnsi="Times New Roman" w:cs="Times New Roman"/>
          <w:noProof/>
          <w:sz w:val="24"/>
          <w:szCs w:val="24"/>
          <w:lang w:val="en-GB"/>
        </w:rPr>
      </w:pPr>
      <w:r>
        <w:rPr>
          <w:rFonts w:ascii="Times New Roman" w:hAnsi="Times New Roman" w:cs="Times New Roman"/>
          <w:noProof/>
          <w:sz w:val="24"/>
          <w:szCs w:val="24"/>
          <w:lang w:val="en-GB"/>
        </w:rPr>
        <w:t>As priorities, being more concrete and more operational, were used to guide implementation of the national programmes by MSs</w:t>
      </w:r>
      <w:r>
        <w:rPr>
          <w:rFonts w:ascii="Times New Roman" w:hAnsi="Times New Roman" w:cs="Times New Roman"/>
          <w:noProof/>
          <w:sz w:val="24"/>
          <w:szCs w:val="24"/>
          <w:lang w:val="en-GB"/>
        </w:rPr>
        <w:t>, the latter were requested to program their actions and report on their implementation per priority. However, the evaluation methodology, required analysing the extent to which the RF had achieved the objectives as set in the legal base. The complexity of</w:t>
      </w:r>
      <w:r>
        <w:rPr>
          <w:rFonts w:ascii="Times New Roman" w:hAnsi="Times New Roman" w:cs="Times New Roman"/>
          <w:noProof/>
          <w:sz w:val="24"/>
          <w:szCs w:val="24"/>
          <w:lang w:val="en-GB"/>
        </w:rPr>
        <w:t xml:space="preserve"> the global architecture of the Fund, combined with the limitations imposed by the reporting format, made the evaluation exercise difficult. Nevertheless, the objectives and priorities of RF are naturally strongly linked and reinforce each other. As a resu</w:t>
      </w:r>
      <w:r>
        <w:rPr>
          <w:rFonts w:ascii="Times New Roman" w:hAnsi="Times New Roman" w:cs="Times New Roman"/>
          <w:noProof/>
          <w:sz w:val="24"/>
          <w:szCs w:val="24"/>
          <w:lang w:val="en-GB"/>
        </w:rPr>
        <w:t>lt, the RF has been assessed through the priorities, which, given the interlinkage with specific objectives, enabled the Commission to draw valid conclusions about the overall performance of the RF.</w:t>
      </w:r>
    </w:p>
    <w:p w:rsidR="007013FD" w:rsidRDefault="005E3FDE">
      <w:pPr>
        <w:pStyle w:val="Body"/>
        <w:spacing w:after="12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weaknesses in the architecture of the Fund have been </w:t>
      </w:r>
      <w:r>
        <w:rPr>
          <w:rFonts w:ascii="Times New Roman" w:hAnsi="Times New Roman" w:cs="Times New Roman"/>
          <w:noProof/>
          <w:sz w:val="24"/>
          <w:szCs w:val="24"/>
          <w:lang w:val="en-GB"/>
        </w:rPr>
        <w:t xml:space="preserve">addressed when preparing the subsequent funding instrument: the AMIF includes three specific objectives (Asylum, Integration/legal migration and Return). The specific objective related to return is supported by three national objectives, and Member States </w:t>
      </w:r>
      <w:r>
        <w:rPr>
          <w:rFonts w:ascii="Times New Roman" w:hAnsi="Times New Roman" w:cs="Times New Roman"/>
          <w:noProof/>
          <w:sz w:val="24"/>
          <w:szCs w:val="24"/>
          <w:lang w:val="en-GB"/>
        </w:rPr>
        <w:t>are requested to report on the implementation of their national programmes in light of the objectives set out in the legal base.</w:t>
      </w:r>
    </w:p>
    <w:p w:rsidR="007013FD" w:rsidRDefault="007013FD">
      <w:pPr>
        <w:pStyle w:val="Body"/>
        <w:spacing w:after="120"/>
        <w:rPr>
          <w:rFonts w:ascii="Times New Roman" w:hAnsi="Times New Roman" w:cs="Times New Roman"/>
          <w:noProof/>
          <w:sz w:val="24"/>
          <w:szCs w:val="24"/>
          <w:lang w:val="en-GB"/>
        </w:rPr>
      </w:pPr>
    </w:p>
    <w:p w:rsidR="007013FD" w:rsidRDefault="005E3FDE">
      <w:pPr>
        <w:pStyle w:val="Heading1"/>
        <w:rPr>
          <w:noProof/>
        </w:rPr>
      </w:pPr>
      <w:bookmarkStart w:id="15" w:name="_Toc496630446"/>
      <w:bookmarkStart w:id="16" w:name="_Toc496711931"/>
      <w:bookmarkStart w:id="17" w:name="_Toc515379346"/>
      <w:r>
        <w:rPr>
          <w:noProof/>
        </w:rPr>
        <w:t>Evaluation questions</w:t>
      </w:r>
      <w:bookmarkEnd w:id="15"/>
      <w:bookmarkEnd w:id="16"/>
      <w:bookmarkEnd w:id="17"/>
    </w:p>
    <w:p w:rsidR="007013FD" w:rsidRDefault="005E3FDE">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evaluation assessed the RF against five mandatory evaluation criteria laid down in the Commission Bet</w:t>
      </w:r>
      <w:r>
        <w:rPr>
          <w:rFonts w:ascii="Times New Roman" w:hAnsi="Times New Roman" w:cs="Times New Roman"/>
          <w:bCs/>
          <w:iCs/>
          <w:noProof/>
          <w:sz w:val="24"/>
          <w:szCs w:val="24"/>
          <w:lang w:val="en-GB"/>
        </w:rPr>
        <w:t>ter Regulation Guidelines (effectiveness, efficiency, relevance coherence and EU added value). In addition, the co-financed actions were also assessed for their sustainability and complementarity. To assess these seven criteria, thirteen evaluation questio</w:t>
      </w:r>
      <w:r>
        <w:rPr>
          <w:rFonts w:ascii="Times New Roman" w:hAnsi="Times New Roman" w:cs="Times New Roman"/>
          <w:bCs/>
          <w:iCs/>
          <w:noProof/>
          <w:sz w:val="24"/>
          <w:szCs w:val="24"/>
          <w:lang w:val="en-GB"/>
        </w:rPr>
        <w:t>ns were defined (see Annex 5).</w:t>
      </w:r>
    </w:p>
    <w:p w:rsidR="007013FD" w:rsidRDefault="007013FD">
      <w:pPr>
        <w:pStyle w:val="NormalIndent"/>
        <w:spacing w:after="0"/>
        <w:ind w:left="0"/>
        <w:rPr>
          <w:rFonts w:ascii="Times New Roman" w:hAnsi="Times New Roman" w:cs="Times New Roman"/>
          <w:bCs/>
          <w:iCs/>
          <w:noProof/>
          <w:sz w:val="24"/>
          <w:szCs w:val="24"/>
          <w:lang w:val="en-GB"/>
        </w:rPr>
      </w:pPr>
    </w:p>
    <w:p w:rsidR="007013FD" w:rsidRDefault="005E3FDE">
      <w:pPr>
        <w:pStyle w:val="Heading1"/>
        <w:rPr>
          <w:noProof/>
        </w:rPr>
      </w:pPr>
      <w:bookmarkStart w:id="18" w:name="_Toc473272934"/>
      <w:bookmarkStart w:id="19" w:name="_Toc473274546"/>
      <w:bookmarkStart w:id="20" w:name="_Toc473274569"/>
      <w:bookmarkStart w:id="21" w:name="_Toc496630447"/>
      <w:bookmarkStart w:id="22" w:name="_Toc496711932"/>
      <w:bookmarkStart w:id="23" w:name="_Toc515379347"/>
      <w:bookmarkEnd w:id="18"/>
      <w:bookmarkEnd w:id="19"/>
      <w:bookmarkEnd w:id="20"/>
      <w:r>
        <w:rPr>
          <w:noProof/>
        </w:rPr>
        <w:t>Method</w:t>
      </w:r>
      <w:bookmarkEnd w:id="21"/>
      <w:bookmarkEnd w:id="22"/>
      <w:bookmarkEnd w:id="23"/>
    </w:p>
    <w:p w:rsidR="007013FD" w:rsidRDefault="005E3FDE">
      <w:pPr>
        <w:pStyle w:val="NormalIndent"/>
        <w:ind w:left="0"/>
        <w:rPr>
          <w:rFonts w:ascii="Times New Roman" w:hAnsi="Times New Roman" w:cs="Times New Roman"/>
          <w:bCs/>
          <w:iCs/>
          <w:noProof/>
          <w:sz w:val="24"/>
          <w:szCs w:val="24"/>
          <w:lang w:val="en-GB"/>
        </w:rPr>
      </w:pPr>
      <w:r>
        <w:rPr>
          <w:rFonts w:ascii="Times New Roman" w:hAnsi="Times New Roman" w:cs="Times New Roman"/>
          <w:noProof/>
          <w:sz w:val="24"/>
          <w:szCs w:val="24"/>
          <w:lang w:val="en-GB"/>
        </w:rPr>
        <w:t>This evaluation relies on a supporting study carried out between April 2016 and March 2017 by a consulting firm specialising in evaluation. The methodology combined desk research, on-site visits, and qualitative and q</w:t>
      </w:r>
      <w:r>
        <w:rPr>
          <w:rFonts w:ascii="Times New Roman" w:hAnsi="Times New Roman" w:cs="Times New Roman"/>
          <w:noProof/>
          <w:sz w:val="24"/>
          <w:szCs w:val="24"/>
          <w:lang w:val="en-GB"/>
        </w:rPr>
        <w:t xml:space="preserve">uantitative analysis. It required a systemic summary of the evidence regarding the implementation of the Fund. Most of the information was taken mainly from the Member States’ national evaluation reports (NERs) and annual programmes (APs). The APs set out </w:t>
      </w:r>
      <w:r>
        <w:rPr>
          <w:rFonts w:ascii="Times New Roman" w:hAnsi="Times New Roman" w:cs="Times New Roman"/>
          <w:noProof/>
          <w:sz w:val="24"/>
          <w:szCs w:val="24"/>
          <w:lang w:val="en-GB"/>
        </w:rPr>
        <w:t>the operational objectives through actions for each year while the NERs provided information on outputs, results and impacts of the actions.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Targeted consultations took place with a broad range of stakeholders, including 22 Responsible Authorities (RAs), 2</w:t>
      </w:r>
      <w:r>
        <w:rPr>
          <w:rFonts w:ascii="Times New Roman" w:hAnsi="Times New Roman" w:cs="Times New Roman"/>
          <w:noProof/>
          <w:sz w:val="24"/>
          <w:szCs w:val="24"/>
          <w:lang w:val="en-GB"/>
        </w:rPr>
        <w:t>4 beneficiaries, 7 EU officials and case-study respondents. The methodology combined interviews and case studies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lang w:val="en-GB"/>
        </w:rPr>
        <w:t xml:space="preserve"> (each involving a site visit). The case studies illustrate practical examples of projects carried out by MSs with RF support. The results of t</w:t>
      </w:r>
      <w:r>
        <w:rPr>
          <w:rFonts w:ascii="Times New Roman" w:hAnsi="Times New Roman" w:cs="Times New Roman"/>
          <w:noProof/>
          <w:sz w:val="24"/>
          <w:szCs w:val="24"/>
          <w:lang w:val="en-GB"/>
        </w:rPr>
        <w:t>he case studies were integrated in the replies to the evaluation criteria. An Internet-based open public consultation was also carried out. A detailed analysis of the outcome of consultation activities may be found in Annex 2.</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Information was triangulated </w:t>
      </w:r>
      <w:r>
        <w:rPr>
          <w:rFonts w:ascii="Times New Roman" w:hAnsi="Times New Roman" w:cs="Times New Roman"/>
          <w:noProof/>
          <w:sz w:val="24"/>
          <w:szCs w:val="24"/>
          <w:lang w:val="en-GB"/>
        </w:rPr>
        <w:t>to the extent possible in order to ensure validity and robustness. The financial data extracted from SFC</w:t>
      </w:r>
      <w:r>
        <w:rPr>
          <w:rFonts w:ascii="Times New Roman" w:hAnsi="Times New Roman" w:cs="Times New Roman"/>
          <w:noProof/>
          <w:sz w:val="24"/>
          <w:szCs w:val="24"/>
          <w:vertAlign w:val="superscript"/>
          <w:lang w:val="en-GB"/>
        </w:rPr>
        <w:footnoteReference w:id="31"/>
      </w:r>
      <w:r>
        <w:rPr>
          <w:rFonts w:ascii="Times New Roman" w:hAnsi="Times New Roman" w:cs="Times New Roman"/>
          <w:noProof/>
          <w:sz w:val="24"/>
          <w:szCs w:val="24"/>
          <w:lang w:val="en-GB"/>
        </w:rPr>
        <w:t xml:space="preserve"> and ABAC</w:t>
      </w:r>
      <w:r>
        <w:rPr>
          <w:rFonts w:ascii="Times New Roman" w:hAnsi="Times New Roman" w:cs="Times New Roman"/>
          <w:noProof/>
          <w:sz w:val="24"/>
          <w:szCs w:val="24"/>
          <w:vertAlign w:val="superscript"/>
          <w:lang w:val="en-GB"/>
        </w:rPr>
        <w:footnoteReference w:id="32"/>
      </w:r>
      <w:r>
        <w:rPr>
          <w:rFonts w:ascii="Times New Roman" w:hAnsi="Times New Roman" w:cs="Times New Roman"/>
          <w:noProof/>
          <w:sz w:val="24"/>
          <w:szCs w:val="24"/>
          <w:lang w:val="en-GB"/>
        </w:rPr>
        <w:t xml:space="preserve"> presented in the document was updated in January 2017.</w:t>
      </w:r>
    </w:p>
    <w:p w:rsidR="007013FD" w:rsidRDefault="005E3FDE">
      <w:pPr>
        <w:pStyle w:val="Heading2"/>
        <w:rPr>
          <w:rFonts w:ascii="Times New Roman" w:hAnsi="Times New Roman" w:cs="Times New Roman"/>
          <w:noProof/>
          <w:sz w:val="24"/>
          <w:szCs w:val="24"/>
        </w:rPr>
      </w:pPr>
      <w:bookmarkStart w:id="24" w:name="_Toc496630448"/>
      <w:bookmarkStart w:id="25" w:name="_Toc496711933"/>
      <w:bookmarkStart w:id="26" w:name="_Toc515379348"/>
      <w:r>
        <w:rPr>
          <w:rFonts w:ascii="Times New Roman" w:hAnsi="Times New Roman" w:cs="Times New Roman"/>
          <w:noProof/>
          <w:sz w:val="24"/>
          <w:szCs w:val="24"/>
        </w:rPr>
        <w:t>Limitations</w:t>
      </w:r>
      <w:bookmarkEnd w:id="24"/>
      <w:bookmarkEnd w:id="25"/>
      <w:bookmarkEnd w:id="26"/>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process has encountered some difficulties that induced </w:t>
      </w:r>
      <w:r>
        <w:rPr>
          <w:rFonts w:ascii="Times New Roman" w:hAnsi="Times New Roman" w:cs="Times New Roman"/>
          <w:noProof/>
          <w:sz w:val="24"/>
          <w:szCs w:val="24"/>
          <w:lang w:val="en-GB"/>
        </w:rPr>
        <w:t>methodological limitations (see Annex 3 for more details).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particular, the assessment of effectiveness and efficiency was hindered, to a certain extent, by the absence of comparable quantitative data. For annual programmes, it is due to the fact that th</w:t>
      </w:r>
      <w:r>
        <w:rPr>
          <w:rFonts w:ascii="Times New Roman" w:hAnsi="Times New Roman" w:cs="Times New Roman"/>
          <w:noProof/>
          <w:sz w:val="24"/>
          <w:szCs w:val="24"/>
          <w:lang w:val="en-GB"/>
        </w:rPr>
        <w:t>e reporting requirements in the Fund's legal base did not stipulate that RAs should collect the data that would be required to conduct an assessment of effectiveness and efficiency</w:t>
      </w:r>
      <w:r>
        <w:rPr>
          <w:rFonts w:ascii="Times New Roman" w:hAnsi="Times New Roman" w:cs="Times New Roman"/>
          <w:noProof/>
          <w:sz w:val="24"/>
          <w:szCs w:val="24"/>
          <w:vertAlign w:val="superscript"/>
          <w:lang w:val="en-GB"/>
        </w:rPr>
        <w:footnoteReference w:id="33"/>
      </w:r>
      <w:r>
        <w:rPr>
          <w:rFonts w:ascii="Times New Roman" w:hAnsi="Times New Roman" w:cs="Times New Roman"/>
          <w:noProof/>
          <w:sz w:val="24"/>
          <w:szCs w:val="24"/>
          <w:lang w:val="en-GB"/>
        </w:rPr>
        <w:t>. To mitigate this, the assessment of these criteria had to rely on the qua</w:t>
      </w:r>
      <w:r>
        <w:rPr>
          <w:rFonts w:ascii="Times New Roman" w:hAnsi="Times New Roman" w:cs="Times New Roman"/>
          <w:noProof/>
          <w:sz w:val="24"/>
          <w:szCs w:val="24"/>
          <w:lang w:val="en-GB"/>
        </w:rPr>
        <w:t>litative data collected through the stakeholder consultations and the NERs. This, combined with the absence of a baseline, proved to be a limitation in terms of methodology. Also, it should be underlined that some annual programmes were not yet closed when</w:t>
      </w:r>
      <w:r>
        <w:rPr>
          <w:rFonts w:ascii="Times New Roman" w:hAnsi="Times New Roman" w:cs="Times New Roman"/>
          <w:noProof/>
          <w:sz w:val="24"/>
          <w:szCs w:val="24"/>
          <w:lang w:val="en-GB"/>
        </w:rPr>
        <w:t xml:space="preserve"> the evaluation was carried out: one 2011 annual programme, three 2012 annual programmes and fifteen 2013 annual programmes were still open</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Due to these limitations, it has not been possible to establish causal links between the RF's intervention and obser</w:t>
      </w:r>
      <w:r>
        <w:rPr>
          <w:rFonts w:ascii="Times New Roman" w:hAnsi="Times New Roman" w:cs="Times New Roman"/>
          <w:noProof/>
          <w:sz w:val="24"/>
          <w:szCs w:val="24"/>
          <w:lang w:val="en-GB"/>
        </w:rPr>
        <w:t>ved impacts or results; therefore, effectiveness has been evaluated in terms of outputs – which could be measured and compared across MSs – rather than impacts or results. Furthermore, it has been difficult to measure efficiency (the relationship between t</w:t>
      </w:r>
      <w:r>
        <w:rPr>
          <w:rFonts w:ascii="Times New Roman" w:hAnsi="Times New Roman" w:cs="Times New Roman"/>
          <w:noProof/>
          <w:sz w:val="24"/>
          <w:szCs w:val="24"/>
          <w:lang w:val="en-GB"/>
        </w:rPr>
        <w:t xml:space="preserve">he inputs utilised such as time, human and financial resources and the results achieved) because, as the evaluation concluded, it was not possible to compare different types of projects. Hence, no clear trends could be established. Significant differences </w:t>
      </w:r>
      <w:r>
        <w:rPr>
          <w:rFonts w:ascii="Times New Roman" w:hAnsi="Times New Roman" w:cs="Times New Roman"/>
          <w:noProof/>
          <w:sz w:val="24"/>
          <w:szCs w:val="24"/>
          <w:lang w:val="en-GB"/>
        </w:rPr>
        <w:t>between Member States were sometimes not directly linked to the efficiency of the return action but to the policy and practice on return management at Member State level</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xml:space="preserve">. In addition, results could not be measured due to the lack of ex ante targets. </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w:t>
      </w:r>
      <w:r>
        <w:rPr>
          <w:rFonts w:ascii="Times New Roman" w:hAnsi="Times New Roman" w:cs="Times New Roman"/>
          <w:noProof/>
          <w:sz w:val="24"/>
          <w:szCs w:val="24"/>
          <w:lang w:val="en-GB"/>
        </w:rPr>
        <w:t>over, indicators and quantitative targets were set by Member States through their Annual Programmes when selecting the actions supported by the programme for each year. For each action proposed, Member States defined independently the expected quantified r</w:t>
      </w:r>
      <w:r>
        <w:rPr>
          <w:rFonts w:ascii="Times New Roman" w:hAnsi="Times New Roman" w:cs="Times New Roman"/>
          <w:noProof/>
          <w:sz w:val="24"/>
          <w:szCs w:val="24"/>
          <w:lang w:val="en-GB"/>
        </w:rPr>
        <w:t>esults. As a result, there was a multitude of indicators across Member States with no harmonisation and a limited assessment on the side of the Commission.</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absence of convened definitions for benchmarks or units stems from different unders</w:t>
      </w:r>
      <w:r>
        <w:rPr>
          <w:rFonts w:ascii="Times New Roman" w:hAnsi="Times New Roman" w:cs="Times New Roman"/>
          <w:noProof/>
          <w:sz w:val="24"/>
          <w:szCs w:val="24"/>
          <w:lang w:val="en-GB"/>
        </w:rPr>
        <w:t>tandings among Member States of what to record in the NERs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lang w:val="en-GB"/>
        </w:rPr>
        <w:t>. Despite the fact that guidance on the interpretation of the indicators was provided to RAs on an ad hoc basis, upon their request, and answers were made accessible to all RAs, the information rec</w:t>
      </w:r>
      <w:r>
        <w:rPr>
          <w:rFonts w:ascii="Times New Roman" w:hAnsi="Times New Roman" w:cs="Times New Roman"/>
          <w:noProof/>
          <w:sz w:val="24"/>
          <w:szCs w:val="24"/>
          <w:lang w:val="en-GB"/>
        </w:rPr>
        <w:t xml:space="preserve">orded in the NERs still proved to be diverse and hardly comparable. </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mitigate to the extent possible the limitations mentioned, different mitigation strategies were taken by the evaluator. For effectiveness and efficiency, the analysis was based primari</w:t>
      </w:r>
      <w:r>
        <w:rPr>
          <w:rFonts w:ascii="Times New Roman" w:hAnsi="Times New Roman" w:cs="Times New Roman"/>
          <w:noProof/>
          <w:sz w:val="24"/>
          <w:szCs w:val="24"/>
          <w:lang w:val="en-GB"/>
        </w:rPr>
        <w:t>ly on stakeholders’ assessments, gathered through interviews with beneficiaries and RAs. In addition, the potentially positive stakeholder bias was corrected by looking at past achievements of predecessor programmes and the judgment of the evaluators. Over</w:t>
      </w:r>
      <w:r>
        <w:rPr>
          <w:rFonts w:ascii="Times New Roman" w:hAnsi="Times New Roman" w:cs="Times New Roman"/>
          <w:noProof/>
          <w:sz w:val="24"/>
          <w:szCs w:val="24"/>
          <w:lang w:val="en-GB"/>
        </w:rPr>
        <w:t>all, the availability, robustness and reliability of the data were sufficient to generate findings.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successor fund, AMIF, in order to improve transparency and accountability, the Commission has developed a specific common monitoring and evaluatio</w:t>
      </w:r>
      <w:r>
        <w:rPr>
          <w:rFonts w:ascii="Times New Roman" w:hAnsi="Times New Roman" w:cs="Times New Roman"/>
          <w:noProof/>
          <w:sz w:val="24"/>
          <w:szCs w:val="24"/>
          <w:lang w:val="en-GB"/>
        </w:rPr>
        <w:t>n framework</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 xml:space="preserve"> and prepared a document to guide RAs in their evaluation exercises to be carried out all along the life cycle of the Fund.</w:t>
      </w:r>
      <w:r>
        <w:rPr>
          <w:rStyle w:val="FootnoteReference"/>
          <w:rFonts w:ascii="Times New Roman" w:hAnsi="Times New Roman" w:cs="Times New Roman"/>
          <w:noProof/>
          <w:sz w:val="24"/>
          <w:szCs w:val="24"/>
          <w:lang w:val="en-GB"/>
        </w:rPr>
        <w:footnoteReference w:id="37"/>
      </w:r>
    </w:p>
    <w:p w:rsidR="007013FD" w:rsidRDefault="005E3FDE">
      <w:pPr>
        <w:pStyle w:val="Heading1"/>
        <w:rPr>
          <w:noProof/>
        </w:rPr>
      </w:pPr>
      <w:bookmarkStart w:id="27" w:name="_Toc496630449"/>
      <w:bookmarkStart w:id="28" w:name="_Toc496711934"/>
      <w:bookmarkStart w:id="29" w:name="_Toc515379349"/>
      <w:r>
        <w:rPr>
          <w:noProof/>
        </w:rPr>
        <w:t>Management modes of the RF</w:t>
      </w:r>
      <w:bookmarkEnd w:id="27"/>
      <w:bookmarkEnd w:id="28"/>
      <w:bookmarkEnd w:id="29"/>
      <w:r>
        <w:rPr>
          <w:noProof/>
        </w:rPr>
        <w:t xml:space="preserve"> </w:t>
      </w:r>
    </w:p>
    <w:p w:rsidR="007013FD" w:rsidRDefault="005E3FDE">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actions co-financed under the RF were implemented through two different management </w:t>
      </w:r>
      <w:r>
        <w:rPr>
          <w:rFonts w:ascii="Times New Roman" w:hAnsi="Times New Roman" w:cs="Times New Roman"/>
          <w:noProof/>
          <w:sz w:val="24"/>
          <w:szCs w:val="24"/>
          <w:lang w:val="en-GB"/>
        </w:rPr>
        <w:t>modes:</w:t>
      </w:r>
    </w:p>
    <w:p w:rsidR="007013FD" w:rsidRDefault="007013FD">
      <w:pPr>
        <w:spacing w:after="0" w:line="240" w:lineRule="auto"/>
        <w:rPr>
          <w:rFonts w:ascii="Times New Roman" w:hAnsi="Times New Roman" w:cs="Times New Roman"/>
          <w:noProof/>
          <w:sz w:val="24"/>
          <w:szCs w:val="24"/>
          <w:lang w:val="en-GB"/>
        </w:rPr>
      </w:pPr>
    </w:p>
    <w:p w:rsidR="007013FD" w:rsidRDefault="005E3FDE">
      <w:pPr>
        <w:pStyle w:val="Heading2"/>
        <w:rPr>
          <w:rFonts w:ascii="Times New Roman" w:hAnsi="Times New Roman" w:cs="Times New Roman"/>
          <w:noProof/>
          <w:sz w:val="24"/>
          <w:szCs w:val="24"/>
          <w:lang w:val="en-GB"/>
        </w:rPr>
      </w:pPr>
      <w:bookmarkStart w:id="30" w:name="_Toc496630450"/>
      <w:bookmarkStart w:id="31" w:name="_Toc496711935"/>
      <w:bookmarkStart w:id="32" w:name="_Toc515379350"/>
      <w:r>
        <w:rPr>
          <w:rFonts w:ascii="Times New Roman" w:hAnsi="Times New Roman" w:cs="Times New Roman"/>
          <w:noProof/>
          <w:sz w:val="24"/>
          <w:szCs w:val="24"/>
          <w:lang w:val="en-GB" w:eastAsia="de-DE"/>
        </w:rPr>
        <w:t>Shared management: Multiannual and Annual Programmes of the Member States</w:t>
      </w:r>
      <w:bookmarkEnd w:id="30"/>
      <w:bookmarkEnd w:id="31"/>
      <w:bookmarkEnd w:id="32"/>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Programming</w:t>
      </w:r>
      <w:r>
        <w:rPr>
          <w:rFonts w:ascii="Times New Roman" w:eastAsia="Times New Roman" w:hAnsi="Times New Roman" w:cs="Times New Roman"/>
          <w:noProof/>
          <w:sz w:val="24"/>
          <w:szCs w:val="24"/>
          <w:lang w:val="en-GB" w:eastAsia="de-DE"/>
        </w:rPr>
        <w:t xml:space="preserve">: Under the shared management mode, MSs hold the primary responsibility for the implementation and management and control of the interventions of the Fund. Under this management mode, the Fund is implemented on the basis of strategic </w:t>
      </w:r>
      <w:r>
        <w:rPr>
          <w:rFonts w:ascii="Times New Roman" w:eastAsia="Times New Roman" w:hAnsi="Times New Roman" w:cs="Times New Roman"/>
          <w:b/>
          <w:noProof/>
          <w:sz w:val="24"/>
          <w:szCs w:val="24"/>
          <w:lang w:val="en-GB" w:eastAsia="de-DE"/>
        </w:rPr>
        <w:t>multiannual programmes</w:t>
      </w:r>
      <w:r>
        <w:rPr>
          <w:rFonts w:ascii="Times New Roman" w:eastAsia="Times New Roman" w:hAnsi="Times New Roman" w:cs="Times New Roman"/>
          <w:noProof/>
          <w:sz w:val="24"/>
          <w:szCs w:val="24"/>
          <w:lang w:val="en-GB" w:eastAsia="de-DE"/>
        </w:rPr>
        <w:t xml:space="preserve"> adopted for each Member State covering the 2008-2013 programming period. In addition </w:t>
      </w:r>
      <w:r>
        <w:rPr>
          <w:rFonts w:ascii="Times New Roman" w:eastAsia="Times New Roman" w:hAnsi="Times New Roman" w:cs="Times New Roman"/>
          <w:b/>
          <w:noProof/>
          <w:sz w:val="24"/>
          <w:szCs w:val="24"/>
          <w:lang w:val="en-GB" w:eastAsia="de-DE"/>
        </w:rPr>
        <w:t xml:space="preserve">annual programmes </w:t>
      </w:r>
      <w:r>
        <w:rPr>
          <w:rFonts w:ascii="Times New Roman" w:eastAsia="Times New Roman" w:hAnsi="Times New Roman" w:cs="Times New Roman"/>
          <w:noProof/>
          <w:sz w:val="24"/>
          <w:szCs w:val="24"/>
          <w:lang w:val="en-GB" w:eastAsia="de-DE"/>
        </w:rPr>
        <w:t>were negotiated each year with each Member State within the framework set by the multiannual programme to implement the annual financial allocation gran</w:t>
      </w:r>
      <w:r>
        <w:rPr>
          <w:rFonts w:ascii="Times New Roman" w:eastAsia="Times New Roman" w:hAnsi="Times New Roman" w:cs="Times New Roman"/>
          <w:noProof/>
          <w:sz w:val="24"/>
          <w:szCs w:val="24"/>
          <w:lang w:val="en-GB" w:eastAsia="de-DE"/>
        </w:rPr>
        <w:t xml:space="preserve">ted to each of them. </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Calculation of the annual financial allocation</w:t>
      </w:r>
      <w:r>
        <w:rPr>
          <w:rStyle w:val="FootnoteReference"/>
          <w:rFonts w:ascii="Times New Roman" w:eastAsia="Times New Roman" w:hAnsi="Times New Roman" w:cs="Times New Roman"/>
          <w:noProof/>
          <w:sz w:val="24"/>
          <w:szCs w:val="24"/>
          <w:lang w:val="en-GB" w:eastAsia="de-DE"/>
        </w:rPr>
        <w:footnoteReference w:id="38"/>
      </w:r>
      <w:r>
        <w:rPr>
          <w:rFonts w:ascii="Times New Roman" w:eastAsia="Times New Roman" w:hAnsi="Times New Roman" w:cs="Times New Roman"/>
          <w:b/>
          <w:noProof/>
          <w:sz w:val="24"/>
          <w:szCs w:val="24"/>
          <w:lang w:val="en-GB" w:eastAsia="de-DE"/>
        </w:rPr>
        <w:t xml:space="preserve"> </w:t>
      </w:r>
      <w:r>
        <w:rPr>
          <w:rFonts w:ascii="Times New Roman" w:eastAsia="Times New Roman" w:hAnsi="Times New Roman" w:cs="Times New Roman"/>
          <w:noProof/>
          <w:sz w:val="24"/>
          <w:szCs w:val="24"/>
          <w:lang w:val="en-GB" w:eastAsia="de-DE"/>
        </w:rPr>
        <w:t>for each Member State: to express solidarity with the Member States who bear, for the benefit of the EU, a heavier financial burden, the Fund basic act lays down the two objective criter</w:t>
      </w:r>
      <w:r>
        <w:rPr>
          <w:rFonts w:ascii="Times New Roman" w:eastAsia="Times New Roman" w:hAnsi="Times New Roman" w:cs="Times New Roman"/>
          <w:noProof/>
          <w:sz w:val="24"/>
          <w:szCs w:val="24"/>
          <w:lang w:val="en-GB" w:eastAsia="de-DE"/>
        </w:rPr>
        <w:t xml:space="preserve">ia to be taken into consideration for the calculation of the annual allocation, i.e. </w:t>
      </w:r>
      <w:r>
        <w:rPr>
          <w:rFonts w:ascii="Times New Roman" w:eastAsia="Times New Roman" w:hAnsi="Times New Roman" w:cs="Times New Roman"/>
          <w:b/>
          <w:noProof/>
          <w:sz w:val="24"/>
          <w:szCs w:val="24"/>
          <w:lang w:val="en-GB" w:eastAsia="de-DE"/>
        </w:rPr>
        <w:t>the number of removal decisions affecting third-country nationals over the previous three years</w:t>
      </w:r>
      <w:r>
        <w:rPr>
          <w:rStyle w:val="FootnoteReference"/>
          <w:rFonts w:ascii="Times New Roman" w:eastAsia="Times New Roman" w:hAnsi="Times New Roman" w:cs="Times New Roman"/>
          <w:noProof/>
          <w:sz w:val="24"/>
          <w:szCs w:val="24"/>
          <w:lang w:val="en-GB" w:eastAsia="de-DE"/>
        </w:rPr>
        <w:footnoteReference w:id="39"/>
      </w:r>
      <w:r>
        <w:rPr>
          <w:rFonts w:ascii="Times New Roman" w:eastAsia="Times New Roman" w:hAnsi="Times New Roman" w:cs="Times New Roman"/>
          <w:noProof/>
          <w:sz w:val="24"/>
          <w:szCs w:val="24"/>
          <w:lang w:val="en-GB" w:eastAsia="de-DE"/>
        </w:rPr>
        <w:t xml:space="preserve"> and</w:t>
      </w:r>
      <w:r>
        <w:rPr>
          <w:rFonts w:ascii="Times New Roman" w:eastAsia="Times New Roman" w:hAnsi="Times New Roman" w:cs="Times New Roman"/>
          <w:b/>
          <w:noProof/>
          <w:sz w:val="24"/>
          <w:szCs w:val="24"/>
          <w:lang w:val="en-GB" w:eastAsia="de-DE"/>
        </w:rPr>
        <w:t xml:space="preserve"> the number of returns to third countries</w:t>
      </w:r>
      <w:r>
        <w:rPr>
          <w:rFonts w:ascii="Verdana" w:eastAsia="Times New Roman" w:hAnsi="Verdana" w:cs="Times New Roman"/>
          <w:b/>
          <w:noProof/>
          <w:sz w:val="20"/>
          <w:szCs w:val="20"/>
          <w:lang w:val="en-GB" w:eastAsia="de-DE"/>
        </w:rPr>
        <w:t xml:space="preserve"> </w:t>
      </w:r>
      <w:r>
        <w:rPr>
          <w:rFonts w:ascii="Times New Roman" w:eastAsia="Times New Roman" w:hAnsi="Times New Roman" w:cs="Times New Roman"/>
          <w:b/>
          <w:noProof/>
          <w:sz w:val="24"/>
          <w:szCs w:val="24"/>
          <w:lang w:val="en-GB" w:eastAsia="de-DE"/>
        </w:rPr>
        <w:t>over the previous three years</w:t>
      </w:r>
      <w:r>
        <w:rPr>
          <w:rStyle w:val="FootnoteReference"/>
          <w:rFonts w:ascii="Times New Roman" w:eastAsia="Times New Roman" w:hAnsi="Times New Roman" w:cs="Times New Roman"/>
          <w:noProof/>
          <w:sz w:val="24"/>
          <w:szCs w:val="24"/>
          <w:lang w:val="en-GB" w:eastAsia="de-DE"/>
        </w:rPr>
        <w:footnoteReference w:id="40"/>
      </w:r>
      <w:r>
        <w:rPr>
          <w:rFonts w:ascii="Times New Roman" w:eastAsia="Times New Roman" w:hAnsi="Times New Roman" w:cs="Times New Roman"/>
          <w:noProof/>
          <w:sz w:val="24"/>
          <w:szCs w:val="24"/>
          <w:lang w:val="en-GB" w:eastAsia="de-DE"/>
        </w:rPr>
        <w:t>.</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The provisional allocations were communicated to the Member States the year before (by 1st July each year</w:t>
      </w:r>
      <w:r>
        <w:rPr>
          <w:rStyle w:val="FootnoteReference"/>
          <w:rFonts w:ascii="Times New Roman" w:eastAsia="Times New Roman" w:hAnsi="Times New Roman" w:cs="Times New Roman"/>
          <w:noProof/>
          <w:sz w:val="24"/>
          <w:szCs w:val="24"/>
          <w:lang w:val="en-GB" w:eastAsia="de-DE"/>
        </w:rPr>
        <w:footnoteReference w:id="41"/>
      </w:r>
      <w:r>
        <w:rPr>
          <w:rFonts w:ascii="Times New Roman" w:eastAsia="Times New Roman" w:hAnsi="Times New Roman" w:cs="Times New Roman"/>
          <w:noProof/>
          <w:sz w:val="24"/>
          <w:szCs w:val="24"/>
          <w:lang w:val="en-GB" w:eastAsia="de-DE"/>
        </w:rPr>
        <w:t>) the adoption of the annual programme in question and were based on average figures over the previous three years (e.g. allocation for the 2013 AP</w:t>
      </w:r>
      <w:r>
        <w:rPr>
          <w:rFonts w:ascii="Times New Roman" w:eastAsia="Times New Roman" w:hAnsi="Times New Roman" w:cs="Times New Roman"/>
          <w:noProof/>
          <w:sz w:val="24"/>
          <w:szCs w:val="24"/>
          <w:lang w:val="en-GB" w:eastAsia="de-DE"/>
        </w:rPr>
        <w:t xml:space="preserve"> were communicated in 2012 and were based on data of 2009, 2010 and 2011). In 2011, an assessment on the annual distribution of resources in the Member States for the SOLID Funds was carried out. The report concluded that despite some minor difficulties in</w:t>
      </w:r>
      <w:r>
        <w:rPr>
          <w:rFonts w:ascii="Times New Roman" w:eastAsia="Times New Roman" w:hAnsi="Times New Roman" w:cs="Times New Roman"/>
          <w:noProof/>
          <w:sz w:val="24"/>
          <w:szCs w:val="24"/>
          <w:lang w:val="en-GB" w:eastAsia="de-DE"/>
        </w:rPr>
        <w:t xml:space="preserve"> ensuring uniform application of the definitions imposed by the RF basic act, it proved possible to collect the necessary data to apply the criteria in accordance with the RF basic act and to deliver the calculation of the provisional allocations to Member</w:t>
      </w:r>
      <w:r>
        <w:rPr>
          <w:rFonts w:ascii="Times New Roman" w:eastAsia="Times New Roman" w:hAnsi="Times New Roman" w:cs="Times New Roman"/>
          <w:noProof/>
          <w:sz w:val="24"/>
          <w:szCs w:val="24"/>
          <w:lang w:val="en-GB" w:eastAsia="de-DE"/>
        </w:rPr>
        <w:t xml:space="preserve"> States in time for them to be able to use them for the preparation of their annual programmes. As the application of the criteria have converged the bulk of the EU  available resources around those Member States most affected by migratory pressure, the re</w:t>
      </w:r>
      <w:r>
        <w:rPr>
          <w:rFonts w:ascii="Times New Roman" w:eastAsia="Times New Roman" w:hAnsi="Times New Roman" w:cs="Times New Roman"/>
          <w:noProof/>
          <w:sz w:val="24"/>
          <w:szCs w:val="24"/>
          <w:lang w:val="en-GB" w:eastAsia="de-DE"/>
        </w:rPr>
        <w:t>port also concluded that this confirms the purpose of the Fund as an instrument of financial solidarity for return management in the EU</w:t>
      </w:r>
      <w:r>
        <w:rPr>
          <w:rStyle w:val="FootnoteReference"/>
          <w:rFonts w:ascii="Times New Roman" w:eastAsia="Times New Roman" w:hAnsi="Times New Roman" w:cs="Times New Roman"/>
          <w:noProof/>
          <w:sz w:val="24"/>
          <w:szCs w:val="24"/>
          <w:lang w:val="en-GB" w:eastAsia="de-DE"/>
        </w:rPr>
        <w:footnoteReference w:id="42"/>
      </w:r>
      <w:r>
        <w:rPr>
          <w:rFonts w:ascii="Times New Roman" w:eastAsia="Times New Roman" w:hAnsi="Times New Roman" w:cs="Times New Roman"/>
          <w:noProof/>
          <w:sz w:val="24"/>
          <w:szCs w:val="24"/>
          <w:lang w:val="en-GB" w:eastAsia="de-DE"/>
        </w:rPr>
        <w:t>.</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Content of the Annual Programme</w:t>
      </w:r>
      <w:r>
        <w:rPr>
          <w:rFonts w:ascii="Times New Roman" w:eastAsia="Times New Roman" w:hAnsi="Times New Roman" w:cs="Times New Roman"/>
          <w:noProof/>
          <w:sz w:val="24"/>
          <w:szCs w:val="24"/>
          <w:lang w:val="en-GB" w:eastAsia="de-DE"/>
        </w:rPr>
        <w:t xml:space="preserve">: The annual programme sets out the </w:t>
      </w:r>
      <w:r>
        <w:rPr>
          <w:rFonts w:ascii="Times New Roman" w:eastAsia="Times New Roman" w:hAnsi="Times New Roman" w:cs="Times New Roman"/>
          <w:b/>
          <w:noProof/>
          <w:sz w:val="24"/>
          <w:szCs w:val="24"/>
          <w:lang w:val="en-GB" w:eastAsia="de-DE"/>
        </w:rPr>
        <w:t>actions</w:t>
      </w:r>
      <w:r>
        <w:rPr>
          <w:rFonts w:ascii="Times New Roman" w:eastAsia="Times New Roman" w:hAnsi="Times New Roman" w:cs="Times New Roman"/>
          <w:noProof/>
          <w:sz w:val="24"/>
          <w:szCs w:val="24"/>
          <w:lang w:val="en-GB" w:eastAsia="de-DE"/>
        </w:rPr>
        <w:t xml:space="preserve"> to be implemented in the Member State and i</w:t>
      </w:r>
      <w:r>
        <w:rPr>
          <w:rFonts w:ascii="Times New Roman" w:eastAsia="Times New Roman" w:hAnsi="Times New Roman" w:cs="Times New Roman"/>
          <w:noProof/>
          <w:sz w:val="24"/>
          <w:szCs w:val="24"/>
          <w:lang w:val="en-GB" w:eastAsia="de-DE"/>
        </w:rPr>
        <w:t xml:space="preserve">ndicates their purpose, scope, beneficiaries (public authorities in charge of return, NGO's, international organisations etc), expected results and financial allocation (EU and national co-financing). Each action is then implemented by one or more </w:t>
      </w:r>
      <w:r>
        <w:rPr>
          <w:rFonts w:ascii="Times New Roman" w:eastAsia="Times New Roman" w:hAnsi="Times New Roman" w:cs="Times New Roman"/>
          <w:b/>
          <w:noProof/>
          <w:sz w:val="24"/>
          <w:szCs w:val="24"/>
          <w:lang w:val="en-GB" w:eastAsia="de-DE"/>
        </w:rPr>
        <w:t>project(</w:t>
      </w:r>
      <w:r>
        <w:rPr>
          <w:rFonts w:ascii="Times New Roman" w:eastAsia="Times New Roman" w:hAnsi="Times New Roman" w:cs="Times New Roman"/>
          <w:b/>
          <w:noProof/>
          <w:sz w:val="24"/>
          <w:szCs w:val="24"/>
          <w:lang w:val="en-GB" w:eastAsia="de-DE"/>
        </w:rPr>
        <w:t>s)</w:t>
      </w:r>
      <w:r>
        <w:rPr>
          <w:rFonts w:ascii="Times New Roman" w:eastAsia="Times New Roman" w:hAnsi="Times New Roman" w:cs="Times New Roman"/>
          <w:noProof/>
          <w:sz w:val="24"/>
          <w:szCs w:val="24"/>
          <w:lang w:val="en-GB" w:eastAsia="de-DE"/>
        </w:rPr>
        <w:t xml:space="preserve"> on the ground. In the shared management context, the projects are selected by the competent national authority (i.e. the Responsible Authority (RA)). Member States are therefore independent and only ex post assessment is carried out by the Commission at</w:t>
      </w:r>
      <w:r>
        <w:rPr>
          <w:rFonts w:ascii="Times New Roman" w:eastAsia="Times New Roman" w:hAnsi="Times New Roman" w:cs="Times New Roman"/>
          <w:noProof/>
          <w:sz w:val="24"/>
          <w:szCs w:val="24"/>
          <w:lang w:val="en-GB" w:eastAsia="de-DE"/>
        </w:rPr>
        <w:t xml:space="preserve"> the time of submission of the closure report of the AP in question. Under the 2011 – 2013 annual programmes, 912 projects were implemented by Member States. The target group for the Fund comprises all third-county nationals who do not or no longer fulfil </w:t>
      </w:r>
      <w:r>
        <w:rPr>
          <w:rFonts w:ascii="Times New Roman" w:eastAsia="Times New Roman" w:hAnsi="Times New Roman" w:cs="Times New Roman"/>
          <w:noProof/>
          <w:sz w:val="24"/>
          <w:szCs w:val="24"/>
          <w:lang w:val="en-GB" w:eastAsia="de-DE"/>
        </w:rPr>
        <w:t>the conditions for entry and/or stay in a Member State, those who have not yet received a final negative decision in relation to their request for international protection in a Member State and who choose to make use of voluntary return and all third-count</w:t>
      </w:r>
      <w:r>
        <w:rPr>
          <w:rFonts w:ascii="Times New Roman" w:eastAsia="Times New Roman" w:hAnsi="Times New Roman" w:cs="Times New Roman"/>
          <w:noProof/>
          <w:sz w:val="24"/>
          <w:szCs w:val="24"/>
          <w:lang w:val="en-GB" w:eastAsia="de-DE"/>
        </w:rPr>
        <w:t>ry nationals enjoying a form of international protection and who choose to make use of voluntary return</w:t>
      </w:r>
      <w:r>
        <w:rPr>
          <w:rFonts w:ascii="Times New Roman" w:eastAsia="Times New Roman" w:hAnsi="Times New Roman" w:cs="Times New Roman"/>
          <w:noProof/>
          <w:sz w:val="24"/>
          <w:szCs w:val="24"/>
          <w:vertAlign w:val="superscript"/>
          <w:lang w:eastAsia="de-DE"/>
        </w:rPr>
        <w:footnoteReference w:id="43"/>
      </w:r>
      <w:r>
        <w:rPr>
          <w:rFonts w:ascii="Times New Roman" w:eastAsia="Times New Roman" w:hAnsi="Times New Roman" w:cs="Times New Roman"/>
          <w:noProof/>
          <w:sz w:val="24"/>
          <w:szCs w:val="24"/>
          <w:lang w:val="en-GB" w:eastAsia="de-DE"/>
        </w:rPr>
        <w:t>.</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 xml:space="preserve">During the eligibility period of each annual programme, Member States were entitled to request a </w:t>
      </w:r>
      <w:r>
        <w:rPr>
          <w:rFonts w:ascii="Times New Roman" w:eastAsia="Times New Roman" w:hAnsi="Times New Roman" w:cs="Times New Roman"/>
          <w:b/>
          <w:noProof/>
          <w:sz w:val="24"/>
          <w:szCs w:val="24"/>
          <w:lang w:val="en-GB" w:eastAsia="de-DE"/>
        </w:rPr>
        <w:t>revision of their annual programme</w:t>
      </w:r>
      <w:r>
        <w:rPr>
          <w:rFonts w:ascii="Times New Roman" w:eastAsia="Times New Roman" w:hAnsi="Times New Roman" w:cs="Times New Roman"/>
          <w:noProof/>
          <w:sz w:val="24"/>
          <w:szCs w:val="24"/>
          <w:lang w:val="en-GB" w:eastAsia="de-DE"/>
        </w:rPr>
        <w:t xml:space="preserve"> to adjust the acti</w:t>
      </w:r>
      <w:r>
        <w:rPr>
          <w:rFonts w:ascii="Times New Roman" w:eastAsia="Times New Roman" w:hAnsi="Times New Roman" w:cs="Times New Roman"/>
          <w:noProof/>
          <w:sz w:val="24"/>
          <w:szCs w:val="24"/>
          <w:lang w:val="en-GB" w:eastAsia="de-DE"/>
        </w:rPr>
        <w:t xml:space="preserve">ons to the changing migration flows and/or emergency situations. However Member States were not  entitled to request additional funding for the implementation of a specific AP. </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 xml:space="preserve">The </w:t>
      </w:r>
      <w:r>
        <w:rPr>
          <w:rFonts w:ascii="Times New Roman" w:eastAsia="Times New Roman" w:hAnsi="Times New Roman" w:cs="Times New Roman"/>
          <w:b/>
          <w:noProof/>
          <w:sz w:val="24"/>
          <w:szCs w:val="24"/>
          <w:lang w:val="en-GB" w:eastAsia="de-DE"/>
        </w:rPr>
        <w:t>EU co-financing rate</w:t>
      </w:r>
      <w:r>
        <w:rPr>
          <w:rFonts w:ascii="Times New Roman" w:eastAsia="Times New Roman" w:hAnsi="Times New Roman" w:cs="Times New Roman"/>
          <w:noProof/>
          <w:sz w:val="24"/>
          <w:szCs w:val="24"/>
          <w:lang w:val="en-GB" w:eastAsia="de-DE"/>
        </w:rPr>
        <w:t xml:space="preserve"> is set at 50%. This rate may be increased to 75 % for</w:t>
      </w:r>
      <w:r>
        <w:rPr>
          <w:rFonts w:ascii="Times New Roman" w:eastAsia="Times New Roman" w:hAnsi="Times New Roman" w:cs="Times New Roman"/>
          <w:noProof/>
          <w:sz w:val="24"/>
          <w:szCs w:val="24"/>
          <w:lang w:val="en-GB" w:eastAsia="de-DE"/>
        </w:rPr>
        <w:t xml:space="preserve"> projects addressing specific priorities identified in the Strategic Guidelines as well as for projects implemented by the Member States covered by the Cohesion Fund</w:t>
      </w:r>
      <w:r>
        <w:rPr>
          <w:rFonts w:ascii="Times New Roman" w:eastAsia="Times New Roman" w:hAnsi="Times New Roman" w:cs="Times New Roman"/>
          <w:noProof/>
          <w:sz w:val="24"/>
          <w:szCs w:val="24"/>
          <w:vertAlign w:val="superscript"/>
          <w:lang w:eastAsia="de-DE"/>
        </w:rPr>
        <w:footnoteReference w:id="44"/>
      </w:r>
      <w:r>
        <w:rPr>
          <w:rFonts w:ascii="Times New Roman" w:eastAsia="Times New Roman" w:hAnsi="Times New Roman" w:cs="Times New Roman"/>
          <w:noProof/>
          <w:sz w:val="24"/>
          <w:szCs w:val="24"/>
          <w:lang w:val="en-GB" w:eastAsia="de-DE"/>
        </w:rPr>
        <w:t xml:space="preserve">. </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Technical assistance</w:t>
      </w:r>
      <w:r>
        <w:rPr>
          <w:rFonts w:ascii="Times New Roman" w:eastAsia="Times New Roman" w:hAnsi="Times New Roman" w:cs="Times New Roman"/>
          <w:noProof/>
          <w:sz w:val="24"/>
          <w:szCs w:val="24"/>
          <w:lang w:val="en-GB" w:eastAsia="de-DE"/>
        </w:rPr>
        <w:t xml:space="preserve">: Member States were entitled to use the funds allocated to the AP </w:t>
      </w:r>
      <w:r>
        <w:rPr>
          <w:rFonts w:ascii="Times New Roman" w:eastAsia="Times New Roman" w:hAnsi="Times New Roman" w:cs="Times New Roman"/>
          <w:noProof/>
          <w:sz w:val="24"/>
          <w:szCs w:val="24"/>
          <w:lang w:val="en-GB" w:eastAsia="de-DE"/>
        </w:rPr>
        <w:t>to finance "</w:t>
      </w:r>
      <w:r>
        <w:rPr>
          <w:rFonts w:ascii="Times New Roman" w:eastAsia="Times New Roman" w:hAnsi="Times New Roman" w:cs="Times New Roman"/>
          <w:i/>
          <w:noProof/>
          <w:sz w:val="24"/>
          <w:szCs w:val="24"/>
          <w:lang w:val="en-GB" w:eastAsia="de-DE"/>
        </w:rPr>
        <w:t>preparatory measures, management, monitoring, evaluation, information and control measures as well measures for the reinforcement of the administrative capacity for the implementation of the Fund</w:t>
      </w:r>
      <w:r>
        <w:rPr>
          <w:rFonts w:ascii="Times New Roman" w:eastAsia="Times New Roman" w:hAnsi="Times New Roman" w:cs="Times New Roman"/>
          <w:noProof/>
          <w:sz w:val="24"/>
          <w:szCs w:val="24"/>
          <w:lang w:val="en-GB" w:eastAsia="de-DE"/>
        </w:rPr>
        <w:t>"</w:t>
      </w:r>
      <w:r>
        <w:rPr>
          <w:rStyle w:val="FootnoteReference"/>
          <w:rFonts w:ascii="Times New Roman" w:eastAsia="Times New Roman" w:hAnsi="Times New Roman" w:cs="Times New Roman"/>
          <w:noProof/>
          <w:sz w:val="24"/>
          <w:szCs w:val="24"/>
          <w:lang w:val="en-GB" w:eastAsia="de-DE"/>
        </w:rPr>
        <w:footnoteReference w:id="45"/>
      </w:r>
      <w:r>
        <w:rPr>
          <w:rFonts w:ascii="Times New Roman" w:eastAsia="Times New Roman" w:hAnsi="Times New Roman" w:cs="Times New Roman"/>
          <w:noProof/>
          <w:sz w:val="24"/>
          <w:szCs w:val="24"/>
          <w:lang w:val="en-GB" w:eastAsia="de-DE"/>
        </w:rPr>
        <w:t xml:space="preserve">. For the AP 2011 to 2013, the technical </w:t>
      </w:r>
      <w:r>
        <w:rPr>
          <w:rFonts w:ascii="Times New Roman" w:eastAsia="Times New Roman" w:hAnsi="Times New Roman" w:cs="Times New Roman"/>
          <w:noProof/>
          <w:sz w:val="24"/>
          <w:szCs w:val="24"/>
          <w:lang w:val="en-GB" w:eastAsia="de-DE"/>
        </w:rPr>
        <w:t>assistance was set at 4% of the total annual amount of funding allocated plus EUR 30,000.</w:t>
      </w:r>
    </w:p>
    <w:p w:rsidR="007013FD" w:rsidRDefault="005E3FDE">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Closure of the Annual Programme</w:t>
      </w:r>
      <w:r>
        <w:rPr>
          <w:rFonts w:ascii="Times New Roman" w:eastAsia="Times New Roman" w:hAnsi="Times New Roman" w:cs="Times New Roman"/>
          <w:noProof/>
          <w:sz w:val="24"/>
          <w:szCs w:val="24"/>
          <w:lang w:val="en-GB" w:eastAsia="de-DE"/>
        </w:rPr>
        <w:t>: The eligibility period of each annual programme was set at two years and a half (e.g. 2013 annual programme ran from 1 January 2013 u</w:t>
      </w:r>
      <w:r>
        <w:rPr>
          <w:rFonts w:ascii="Times New Roman" w:eastAsia="Times New Roman" w:hAnsi="Times New Roman" w:cs="Times New Roman"/>
          <w:noProof/>
          <w:sz w:val="24"/>
          <w:szCs w:val="24"/>
          <w:lang w:val="en-GB" w:eastAsia="de-DE"/>
        </w:rPr>
        <w:t>ntil 30 June 2015). After the end of eligibility period, the Member States submitted a final report, which included an audit report. The part of the annual allocation not spent – if any – after the end of the eligibility period was lost for the Member Stat</w:t>
      </w:r>
      <w:r>
        <w:rPr>
          <w:rFonts w:ascii="Times New Roman" w:eastAsia="Times New Roman" w:hAnsi="Times New Roman" w:cs="Times New Roman"/>
          <w:noProof/>
          <w:sz w:val="24"/>
          <w:szCs w:val="24"/>
          <w:lang w:val="en-GB" w:eastAsia="de-DE"/>
        </w:rPr>
        <w:t>es and for the Commission.</w:t>
      </w:r>
    </w:p>
    <w:p w:rsidR="007013FD" w:rsidRDefault="005E3FDE">
      <w:pPr>
        <w:pStyle w:val="Heading2"/>
        <w:rPr>
          <w:rFonts w:ascii="Times New Roman" w:hAnsi="Times New Roman" w:cs="Times New Roman"/>
          <w:noProof/>
          <w:sz w:val="24"/>
          <w:szCs w:val="24"/>
          <w:lang w:val="en-GB"/>
        </w:rPr>
      </w:pPr>
      <w:bookmarkStart w:id="33" w:name="_Toc515379351"/>
      <w:r>
        <w:rPr>
          <w:rFonts w:ascii="Times New Roman" w:hAnsi="Times New Roman" w:cs="Times New Roman"/>
          <w:noProof/>
          <w:sz w:val="24"/>
          <w:szCs w:val="24"/>
          <w:lang w:val="en-GB"/>
        </w:rPr>
        <w:t>Direct management: Annual Work Programmes of the Commission</w:t>
      </w:r>
      <w:bookmarkEnd w:id="33"/>
    </w:p>
    <w:p w:rsidR="007013FD" w:rsidRDefault="005E3FDE">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Under this management mode, up to 7% of the RF's available resources could be used to finance transnational actions or actions of interest to the EU as a whole, which we</w:t>
      </w:r>
      <w:r>
        <w:rPr>
          <w:rFonts w:ascii="Times New Roman" w:hAnsi="Times New Roman"/>
          <w:noProof/>
          <w:sz w:val="24"/>
          <w:szCs w:val="24"/>
          <w:lang w:val="en-GB"/>
        </w:rPr>
        <w:t>re managed by the Commission (</w:t>
      </w:r>
      <w:r>
        <w:rPr>
          <w:rFonts w:ascii="Times New Roman" w:hAnsi="Times New Roman"/>
          <w:b/>
          <w:noProof/>
          <w:sz w:val="24"/>
          <w:szCs w:val="24"/>
          <w:lang w:val="en-GB"/>
        </w:rPr>
        <w:t>Community actions</w:t>
      </w:r>
      <w:r>
        <w:rPr>
          <w:rFonts w:ascii="Times New Roman" w:hAnsi="Times New Roman"/>
          <w:noProof/>
          <w:sz w:val="24"/>
          <w:szCs w:val="24"/>
          <w:lang w:val="en-GB"/>
        </w:rPr>
        <w:t>).</w:t>
      </w:r>
    </w:p>
    <w:p w:rsidR="007013FD" w:rsidRDefault="005E3FDE">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Each year the Commission adopted an </w:t>
      </w:r>
      <w:r>
        <w:rPr>
          <w:rFonts w:ascii="Times New Roman" w:hAnsi="Times New Roman"/>
          <w:b/>
          <w:noProof/>
          <w:sz w:val="24"/>
          <w:szCs w:val="24"/>
          <w:lang w:val="en-GB"/>
        </w:rPr>
        <w:t>annual work programme</w:t>
      </w:r>
      <w:r>
        <w:rPr>
          <w:rFonts w:ascii="Times New Roman" w:hAnsi="Times New Roman"/>
          <w:noProof/>
          <w:sz w:val="24"/>
          <w:szCs w:val="24"/>
          <w:lang w:val="en-GB"/>
        </w:rPr>
        <w:t xml:space="preserve"> (AWP) specifying how the objectives of the RF were to be pursued for the implementation period, taking into account the policy context. The AWPs wer</w:t>
      </w:r>
      <w:r>
        <w:rPr>
          <w:rFonts w:ascii="Times New Roman" w:hAnsi="Times New Roman"/>
          <w:noProof/>
          <w:sz w:val="24"/>
          <w:szCs w:val="24"/>
          <w:lang w:val="en-GB"/>
        </w:rPr>
        <w:t>e mainly implemented via grants, for which the Commission then launched calls for proposals defining the eligible actions. Calls for proposals were addressed to public authorities from the Member States participating in the Fund, International Organisation</w:t>
      </w:r>
      <w:r>
        <w:rPr>
          <w:rFonts w:ascii="Times New Roman" w:hAnsi="Times New Roman"/>
          <w:noProof/>
          <w:sz w:val="24"/>
          <w:szCs w:val="24"/>
          <w:lang w:val="en-GB"/>
        </w:rPr>
        <w:t xml:space="preserve">s and NGOs registered in one of the Member States. </w:t>
      </w:r>
      <w:r>
        <w:rPr>
          <w:rFonts w:ascii="Times New Roman" w:hAnsi="Times New Roman"/>
          <w:noProof/>
          <w:sz w:val="24"/>
          <w:lang w:val="en-GB"/>
        </w:rPr>
        <w:t>The RF Community Actions were co-financing (up to 90% of the total eligible costs of the action) transnational projects predominantly in the Assisted Voluntary Return (AVR) field</w:t>
      </w:r>
      <w:r>
        <w:rPr>
          <w:rStyle w:val="FootnoteReference"/>
          <w:rFonts w:ascii="Times New Roman" w:hAnsi="Times New Roman"/>
          <w:noProof/>
          <w:sz w:val="24"/>
          <w:lang w:val="en-GB"/>
        </w:rPr>
        <w:footnoteReference w:id="46"/>
      </w:r>
      <w:r>
        <w:rPr>
          <w:rFonts w:ascii="Times New Roman" w:hAnsi="Times New Roman"/>
          <w:noProof/>
          <w:sz w:val="24"/>
          <w:lang w:val="en-GB"/>
        </w:rPr>
        <w:t xml:space="preserve">. The projects </w:t>
      </w:r>
      <w:r>
        <w:rPr>
          <w:rFonts w:ascii="Times New Roman" w:hAnsi="Times New Roman"/>
          <w:noProof/>
          <w:sz w:val="24"/>
          <w:lang w:val="en-GB"/>
        </w:rPr>
        <w:t>complemented the national programmes and encouraged EU-wide cooperation and experience sharing in different aspects of the AVR process.</w:t>
      </w:r>
      <w:r>
        <w:rPr>
          <w:rFonts w:ascii="Times New Roman" w:hAnsi="Times New Roman"/>
          <w:noProof/>
          <w:sz w:val="24"/>
          <w:szCs w:val="24"/>
          <w:lang w:val="en-GB"/>
        </w:rPr>
        <w:t xml:space="preserve"> </w:t>
      </w:r>
    </w:p>
    <w:p w:rsidR="007013FD" w:rsidRDefault="005E3FDE">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In addition, to top up the allocation provided to their annual programmes, the 2011 to 2013 AWPs made it possible for t</w:t>
      </w:r>
      <w:r>
        <w:rPr>
          <w:rFonts w:ascii="Times New Roman" w:hAnsi="Times New Roman"/>
          <w:noProof/>
          <w:sz w:val="24"/>
          <w:szCs w:val="24"/>
          <w:lang w:val="en-GB"/>
        </w:rPr>
        <w:t xml:space="preserve">he Commission to grant </w:t>
      </w:r>
      <w:r>
        <w:rPr>
          <w:rFonts w:ascii="Times New Roman" w:hAnsi="Times New Roman"/>
          <w:b/>
          <w:noProof/>
          <w:sz w:val="24"/>
          <w:szCs w:val="24"/>
          <w:lang w:val="en-GB"/>
        </w:rPr>
        <w:t>emergency assistance</w:t>
      </w:r>
      <w:r>
        <w:rPr>
          <w:rFonts w:ascii="Times New Roman" w:hAnsi="Times New Roman"/>
          <w:noProof/>
          <w:sz w:val="24"/>
          <w:szCs w:val="24"/>
          <w:lang w:val="en-GB"/>
        </w:rPr>
        <w:t xml:space="preserve"> – without a call for proposal - to Member States in duly substantiated emergency situations requiring urgent action. Over the period, the Commission awarded 6 emergency assistance grants.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noProof/>
          <w:sz w:val="24"/>
          <w:szCs w:val="24"/>
          <w:lang w:val="en-GB"/>
        </w:rPr>
        <w:t>Finally, the 2013 AWP p</w:t>
      </w:r>
      <w:r>
        <w:rPr>
          <w:rFonts w:ascii="Times New Roman" w:hAnsi="Times New Roman"/>
          <w:noProof/>
          <w:sz w:val="24"/>
          <w:szCs w:val="24"/>
          <w:lang w:val="en-GB"/>
        </w:rPr>
        <w:t xml:space="preserve">rovided for the signature of two </w:t>
      </w:r>
      <w:r>
        <w:rPr>
          <w:rFonts w:ascii="Times New Roman" w:hAnsi="Times New Roman"/>
          <w:b/>
          <w:noProof/>
          <w:sz w:val="24"/>
          <w:szCs w:val="24"/>
          <w:lang w:val="en-GB"/>
        </w:rPr>
        <w:t>joint management action grants</w:t>
      </w:r>
      <w:r>
        <w:rPr>
          <w:rFonts w:ascii="Times New Roman" w:hAnsi="Times New Roman"/>
          <w:noProof/>
          <w:sz w:val="24"/>
          <w:szCs w:val="24"/>
          <w:lang w:val="en-GB"/>
        </w:rPr>
        <w:t xml:space="preserve"> with the International Organisation for Migration (IOM) without a call for proposals</w:t>
      </w:r>
      <w:r>
        <w:rPr>
          <w:rFonts w:ascii="Times New Roman" w:eastAsia="Times New Roman" w:hAnsi="Times New Roman" w:cs="Times New Roman"/>
          <w:noProof/>
          <w:sz w:val="24"/>
          <w:szCs w:val="24"/>
          <w:lang w:val="en-GB" w:eastAsia="de-DE"/>
        </w:rPr>
        <w:t>.</w:t>
      </w:r>
      <w:r>
        <w:rPr>
          <w:rFonts w:ascii="Times New Roman" w:hAnsi="Times New Roman" w:cs="Times New Roman"/>
          <w:noProof/>
          <w:sz w:val="24"/>
          <w:szCs w:val="24"/>
          <w:lang w:val="en-GB"/>
        </w:rPr>
        <w:t xml:space="preserve"> The objective of the cooperation with IOM under joint management was to establish continuous, effective su</w:t>
      </w:r>
      <w:r>
        <w:rPr>
          <w:rFonts w:ascii="Times New Roman" w:hAnsi="Times New Roman" w:cs="Times New Roman"/>
          <w:noProof/>
          <w:sz w:val="24"/>
          <w:szCs w:val="24"/>
          <w:lang w:val="en-GB"/>
        </w:rPr>
        <w:t xml:space="preserve">pport to the Member States in setting up and further development of coordinated, effective assisted voluntary return (AVR) management system. </w:t>
      </w:r>
    </w:p>
    <w:p w:rsidR="007013FD" w:rsidRDefault="005E3FDE">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Overall, an amount of </w:t>
      </w:r>
      <w:r>
        <w:rPr>
          <w:rFonts w:ascii="Times New Roman" w:hAnsi="Times New Roman"/>
          <w:b/>
          <w:noProof/>
          <w:sz w:val="24"/>
          <w:szCs w:val="24"/>
          <w:lang w:val="en-GB"/>
        </w:rPr>
        <w:t>EUR 32 million</w:t>
      </w:r>
      <w:r>
        <w:rPr>
          <w:rFonts w:ascii="Times New Roman" w:hAnsi="Times New Roman"/>
          <w:noProof/>
          <w:sz w:val="24"/>
          <w:szCs w:val="24"/>
          <w:lang w:val="en-GB"/>
        </w:rPr>
        <w:t xml:space="preserve"> was made available for direct management under the 2010 to 2013 AWPs and thi</w:t>
      </w:r>
      <w:r>
        <w:rPr>
          <w:rFonts w:ascii="Times New Roman" w:hAnsi="Times New Roman"/>
          <w:noProof/>
          <w:sz w:val="24"/>
          <w:szCs w:val="24"/>
          <w:lang w:val="en-GB"/>
        </w:rPr>
        <w:t>rty-six direct management projects were financed via grants: six in 2010, eleven in 2011 (including two emergency action grants), ten in 2012 (including two emergency action grants) and nine in 2013 (including two Joint Management action grants and two eme</w:t>
      </w:r>
      <w:r>
        <w:rPr>
          <w:rFonts w:ascii="Times New Roman" w:hAnsi="Times New Roman"/>
          <w:noProof/>
          <w:sz w:val="24"/>
          <w:szCs w:val="24"/>
          <w:lang w:val="en-GB"/>
        </w:rPr>
        <w:t xml:space="preserve">rgency action grants). </w:t>
      </w:r>
    </w:p>
    <w:p w:rsidR="007013FD" w:rsidRDefault="007013FD">
      <w:pPr>
        <w:spacing w:after="0" w:line="240" w:lineRule="auto"/>
        <w:jc w:val="both"/>
        <w:rPr>
          <w:rFonts w:ascii="Times New Roman" w:hAnsi="Times New Roman" w:cs="Times New Roman"/>
          <w:noProof/>
          <w:sz w:val="24"/>
          <w:szCs w:val="24"/>
          <w:lang w:val="en-GB"/>
        </w:rPr>
      </w:pPr>
    </w:p>
    <w:p w:rsidR="007013FD" w:rsidRDefault="005E3FDE">
      <w:pPr>
        <w:pStyle w:val="Heading1"/>
        <w:rPr>
          <w:noProof/>
        </w:rPr>
      </w:pPr>
      <w:bookmarkStart w:id="34" w:name="_Toc496630451"/>
      <w:bookmarkStart w:id="35" w:name="_Toc496711936"/>
      <w:bookmarkStart w:id="36" w:name="_Toc515379352"/>
      <w:r>
        <w:rPr>
          <w:noProof/>
        </w:rPr>
        <w:t>Implementation status of the two management modes</w:t>
      </w:r>
      <w:bookmarkEnd w:id="34"/>
      <w:bookmarkEnd w:id="35"/>
      <w:bookmarkEnd w:id="36"/>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RF was launched in 2008 with a total financial allocation of EUR 676 million (2008-2013). For 2011-2013 period, EUR 435 million was allocated to shared management (AP). An amoun</w:t>
      </w:r>
      <w:r>
        <w:rPr>
          <w:rFonts w:ascii="Times New Roman" w:hAnsi="Times New Roman" w:cs="Times New Roman"/>
          <w:noProof/>
          <w:sz w:val="24"/>
          <w:szCs w:val="24"/>
          <w:lang w:val="en-GB"/>
        </w:rPr>
        <w:t>t of EUR 32 million was allocated to Community actions under direct management. Table 1 below shows the EU distribution of financing under the different management modes during the period under assessment</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w:t>
      </w:r>
    </w:p>
    <w:p w:rsidR="007013FD" w:rsidRDefault="005E3FDE">
      <w:pPr>
        <w:pStyle w:val="bullet"/>
        <w:keepNext/>
        <w:numPr>
          <w:ilvl w:val="0"/>
          <w:numId w:val="0"/>
        </w:numPr>
        <w:spacing w:after="120"/>
        <w:ind w:left="1134" w:hanging="1134"/>
        <w:rPr>
          <w:rFonts w:ascii="Times New Roman" w:hAnsi="Times New Roman"/>
          <w:noProof/>
          <w:lang w:eastAsia="en-US"/>
        </w:rPr>
      </w:pPr>
      <w:r>
        <w:rPr>
          <w:rFonts w:ascii="Times New Roman" w:hAnsi="Times New Roman"/>
          <w:noProof/>
          <w:lang w:eastAsia="en-US"/>
        </w:rPr>
        <w:t xml:space="preserve">Table 1: </w:t>
      </w:r>
      <w:r>
        <w:rPr>
          <w:rFonts w:ascii="Times New Roman" w:hAnsi="Times New Roman"/>
          <w:noProof/>
          <w:lang w:eastAsia="en-US"/>
        </w:rPr>
        <w:tab/>
        <w:t>Total programmed EU contribution for RF</w:t>
      </w:r>
      <w:r>
        <w:rPr>
          <w:rFonts w:ascii="Times New Roman" w:hAnsi="Times New Roman"/>
          <w:noProof/>
          <w:lang w:eastAsia="en-US"/>
        </w:rPr>
        <w:t>, 2011-2013 (EUR)</w:t>
      </w:r>
    </w:p>
    <w:tbl>
      <w:tblPr>
        <w:tblStyle w:val="TableGrid"/>
        <w:tblW w:w="0" w:type="auto"/>
        <w:tblLayout w:type="fixed"/>
        <w:tblLook w:val="04A0" w:firstRow="1" w:lastRow="0" w:firstColumn="1" w:lastColumn="0" w:noHBand="0" w:noVBand="1"/>
      </w:tblPr>
      <w:tblGrid>
        <w:gridCol w:w="2988"/>
        <w:gridCol w:w="1680"/>
        <w:gridCol w:w="1680"/>
        <w:gridCol w:w="1560"/>
        <w:gridCol w:w="1380"/>
      </w:tblGrid>
      <w:tr w:rsidR="007013FD">
        <w:tc>
          <w:tcPr>
            <w:tcW w:w="2988" w:type="dxa"/>
          </w:tcPr>
          <w:p w:rsidR="007013FD" w:rsidRDefault="007013FD">
            <w:pPr>
              <w:pStyle w:val="Body"/>
              <w:keepNext/>
              <w:spacing w:before="60" w:after="60"/>
              <w:rPr>
                <w:rFonts w:ascii="Times New Roman" w:hAnsi="Times New Roman" w:cs="Times New Roman"/>
                <w:b/>
                <w:noProof/>
                <w:lang w:val="en-GB"/>
              </w:rPr>
            </w:pPr>
          </w:p>
        </w:tc>
        <w:tc>
          <w:tcPr>
            <w:tcW w:w="1680" w:type="dxa"/>
          </w:tcPr>
          <w:p w:rsidR="007013FD" w:rsidRDefault="005E3FDE">
            <w:pPr>
              <w:pStyle w:val="Body"/>
              <w:keepNext/>
              <w:spacing w:before="60" w:after="60"/>
              <w:jc w:val="center"/>
              <w:rPr>
                <w:rFonts w:ascii="Times New Roman" w:hAnsi="Times New Roman" w:cs="Times New Roman"/>
                <w:b/>
                <w:noProof/>
                <w:lang w:val="en-GB"/>
              </w:rPr>
            </w:pPr>
            <w:r>
              <w:rPr>
                <w:rFonts w:ascii="Times New Roman" w:hAnsi="Times New Roman" w:cs="Times New Roman"/>
                <w:b/>
                <w:noProof/>
                <w:lang w:val="en-GB"/>
              </w:rPr>
              <w:t>2011</w:t>
            </w:r>
          </w:p>
        </w:tc>
        <w:tc>
          <w:tcPr>
            <w:tcW w:w="1680" w:type="dxa"/>
          </w:tcPr>
          <w:p w:rsidR="007013FD" w:rsidRDefault="005E3FDE">
            <w:pPr>
              <w:pStyle w:val="Body"/>
              <w:keepNext/>
              <w:spacing w:before="60" w:after="60"/>
              <w:jc w:val="center"/>
              <w:rPr>
                <w:rFonts w:ascii="Times New Roman" w:hAnsi="Times New Roman" w:cs="Times New Roman"/>
                <w:b/>
                <w:noProof/>
                <w:lang w:val="en-GB"/>
              </w:rPr>
            </w:pPr>
            <w:r>
              <w:rPr>
                <w:rFonts w:ascii="Times New Roman" w:hAnsi="Times New Roman" w:cs="Times New Roman"/>
                <w:b/>
                <w:noProof/>
                <w:lang w:val="en-GB"/>
              </w:rPr>
              <w:t>2012</w:t>
            </w:r>
          </w:p>
        </w:tc>
        <w:tc>
          <w:tcPr>
            <w:tcW w:w="1560" w:type="dxa"/>
          </w:tcPr>
          <w:p w:rsidR="007013FD" w:rsidRDefault="005E3FDE">
            <w:pPr>
              <w:pStyle w:val="Body"/>
              <w:keepNext/>
              <w:spacing w:before="60" w:after="60"/>
              <w:jc w:val="center"/>
              <w:rPr>
                <w:rFonts w:ascii="Times New Roman" w:hAnsi="Times New Roman" w:cs="Times New Roman"/>
                <w:b/>
                <w:noProof/>
                <w:lang w:val="en-GB"/>
              </w:rPr>
            </w:pPr>
            <w:r>
              <w:rPr>
                <w:rFonts w:ascii="Times New Roman" w:hAnsi="Times New Roman" w:cs="Times New Roman"/>
                <w:b/>
                <w:noProof/>
                <w:lang w:val="en-GB"/>
              </w:rPr>
              <w:t>2013</w:t>
            </w:r>
          </w:p>
        </w:tc>
        <w:tc>
          <w:tcPr>
            <w:tcW w:w="1380" w:type="dxa"/>
          </w:tcPr>
          <w:p w:rsidR="007013FD" w:rsidRDefault="005E3FDE">
            <w:pPr>
              <w:pStyle w:val="Body"/>
              <w:keepNext/>
              <w:spacing w:before="60" w:after="60"/>
              <w:jc w:val="center"/>
              <w:rPr>
                <w:rFonts w:ascii="Times New Roman" w:hAnsi="Times New Roman" w:cs="Times New Roman"/>
                <w:b/>
                <w:noProof/>
                <w:lang w:val="en-GB"/>
              </w:rPr>
            </w:pPr>
            <w:r>
              <w:rPr>
                <w:rFonts w:ascii="Times New Roman" w:hAnsi="Times New Roman" w:cs="Times New Roman"/>
                <w:b/>
                <w:noProof/>
                <w:lang w:val="en-GB"/>
              </w:rPr>
              <w:t>Total</w:t>
            </w:r>
          </w:p>
        </w:tc>
      </w:tr>
      <w:tr w:rsidR="007013FD">
        <w:tc>
          <w:tcPr>
            <w:tcW w:w="2988" w:type="dxa"/>
          </w:tcPr>
          <w:p w:rsidR="007013FD" w:rsidRDefault="005E3FDE">
            <w:pPr>
              <w:pStyle w:val="Body"/>
              <w:keepNext/>
              <w:spacing w:before="60" w:after="60"/>
              <w:rPr>
                <w:rFonts w:ascii="Times New Roman" w:hAnsi="Times New Roman" w:cs="Times New Roman"/>
                <w:b/>
                <w:noProof/>
                <w:lang w:val="fr-BE"/>
              </w:rPr>
            </w:pPr>
            <w:r>
              <w:rPr>
                <w:rFonts w:ascii="Times New Roman" w:hAnsi="Times New Roman" w:cs="Times New Roman"/>
                <w:b/>
                <w:noProof/>
                <w:lang w:val="fr-BE"/>
              </w:rPr>
              <w:t>Shared management (via national programmes)</w:t>
            </w:r>
          </w:p>
        </w:tc>
        <w:tc>
          <w:tcPr>
            <w:tcW w:w="1680" w:type="dxa"/>
          </w:tcPr>
          <w:p w:rsidR="007013FD" w:rsidRDefault="005E3FDE">
            <w:pPr>
              <w:pStyle w:val="Body"/>
              <w:keepNext/>
              <w:spacing w:before="60" w:after="60"/>
              <w:jc w:val="center"/>
              <w:rPr>
                <w:rFonts w:ascii="Times New Roman" w:hAnsi="Times New Roman" w:cs="Times New Roman"/>
                <w:noProof/>
                <w:lang w:val="fr-BE"/>
              </w:rPr>
            </w:pPr>
            <w:r>
              <w:rPr>
                <w:rFonts w:ascii="Times New Roman" w:hAnsi="Times New Roman" w:cs="Times New Roman"/>
                <w:noProof/>
                <w:lang w:val="fr-BE"/>
              </w:rPr>
              <w:t>109,000,000</w:t>
            </w:r>
          </w:p>
        </w:tc>
        <w:tc>
          <w:tcPr>
            <w:tcW w:w="1680" w:type="dxa"/>
          </w:tcPr>
          <w:p w:rsidR="007013FD" w:rsidRDefault="005E3FDE">
            <w:pPr>
              <w:pStyle w:val="Body"/>
              <w:keepNext/>
              <w:spacing w:before="60" w:after="60"/>
              <w:jc w:val="center"/>
              <w:rPr>
                <w:rFonts w:ascii="Times New Roman" w:hAnsi="Times New Roman" w:cs="Times New Roman"/>
                <w:noProof/>
                <w:lang w:val="fr-BE"/>
              </w:rPr>
            </w:pPr>
            <w:r>
              <w:rPr>
                <w:rFonts w:ascii="Times New Roman" w:hAnsi="Times New Roman" w:cs="Times New Roman"/>
                <w:noProof/>
                <w:lang w:val="fr-BE"/>
              </w:rPr>
              <w:t>151,124,999</w:t>
            </w:r>
          </w:p>
        </w:tc>
        <w:tc>
          <w:tcPr>
            <w:tcW w:w="1560" w:type="dxa"/>
          </w:tcPr>
          <w:p w:rsidR="007013FD" w:rsidRDefault="005E3FDE">
            <w:pPr>
              <w:pStyle w:val="Body"/>
              <w:keepNext/>
              <w:spacing w:before="60" w:after="60"/>
              <w:jc w:val="center"/>
              <w:rPr>
                <w:rFonts w:ascii="Times New Roman" w:hAnsi="Times New Roman" w:cs="Times New Roman"/>
                <w:noProof/>
                <w:lang w:val="fr-BE"/>
              </w:rPr>
            </w:pPr>
            <w:r>
              <w:rPr>
                <w:rFonts w:ascii="Times New Roman" w:hAnsi="Times New Roman" w:cs="Times New Roman"/>
                <w:noProof/>
                <w:lang w:val="fr-BE"/>
              </w:rPr>
              <w:t>175,341,241</w:t>
            </w:r>
          </w:p>
        </w:tc>
        <w:tc>
          <w:tcPr>
            <w:tcW w:w="1380" w:type="dxa"/>
          </w:tcPr>
          <w:p w:rsidR="007013FD" w:rsidRDefault="005E3FDE">
            <w:pPr>
              <w:pStyle w:val="Body"/>
              <w:keepNext/>
              <w:spacing w:before="60" w:after="60"/>
              <w:jc w:val="center"/>
              <w:rPr>
                <w:rFonts w:ascii="Times New Roman" w:hAnsi="Times New Roman" w:cs="Times New Roman"/>
                <w:noProof/>
                <w:lang w:val="fr-BE"/>
              </w:rPr>
            </w:pPr>
            <w:r>
              <w:rPr>
                <w:rFonts w:ascii="Times New Roman" w:hAnsi="Times New Roman" w:cs="Times New Roman"/>
                <w:noProof/>
                <w:lang w:val="fr-BE"/>
              </w:rPr>
              <w:t>435,466,240</w:t>
            </w:r>
          </w:p>
        </w:tc>
      </w:tr>
      <w:tr w:rsidR="007013FD">
        <w:tc>
          <w:tcPr>
            <w:tcW w:w="2988" w:type="dxa"/>
          </w:tcPr>
          <w:p w:rsidR="007013FD" w:rsidRDefault="005E3FDE">
            <w:pPr>
              <w:pStyle w:val="Body"/>
              <w:keepNext/>
              <w:spacing w:before="60" w:after="60"/>
              <w:rPr>
                <w:rFonts w:ascii="Times New Roman" w:hAnsi="Times New Roman" w:cs="Times New Roman"/>
                <w:b/>
                <w:noProof/>
                <w:lang w:val="en-GB"/>
              </w:rPr>
            </w:pPr>
            <w:r>
              <w:rPr>
                <w:rFonts w:ascii="Times New Roman" w:hAnsi="Times New Roman" w:cs="Times New Roman"/>
                <w:b/>
                <w:noProof/>
                <w:lang w:val="en-GB"/>
              </w:rPr>
              <w:t>Direct management (via Community actions, including emergency actions and joint management actions)</w:t>
            </w:r>
          </w:p>
        </w:tc>
        <w:tc>
          <w:tcPr>
            <w:tcW w:w="1680" w:type="dxa"/>
          </w:tcPr>
          <w:p w:rsidR="007013FD" w:rsidRDefault="005E3FDE">
            <w:pPr>
              <w:pStyle w:val="Body"/>
              <w:keepNext/>
              <w:spacing w:before="60" w:after="60"/>
              <w:jc w:val="center"/>
              <w:rPr>
                <w:rFonts w:ascii="Times New Roman" w:hAnsi="Times New Roman" w:cs="Times New Roman"/>
                <w:noProof/>
                <w:lang w:val="en-GB"/>
              </w:rPr>
            </w:pPr>
            <w:r>
              <w:rPr>
                <w:rFonts w:ascii="Times New Roman" w:hAnsi="Times New Roman" w:cs="Times New Roman"/>
                <w:noProof/>
                <w:lang w:val="en-GB"/>
              </w:rPr>
              <w:t>8,068,942</w:t>
            </w:r>
          </w:p>
        </w:tc>
        <w:tc>
          <w:tcPr>
            <w:tcW w:w="1680" w:type="dxa"/>
          </w:tcPr>
          <w:p w:rsidR="007013FD" w:rsidRDefault="005E3FDE">
            <w:pPr>
              <w:pStyle w:val="Body"/>
              <w:keepNext/>
              <w:spacing w:before="60" w:after="60"/>
              <w:jc w:val="center"/>
              <w:rPr>
                <w:rFonts w:ascii="Times New Roman" w:hAnsi="Times New Roman" w:cs="Times New Roman"/>
                <w:noProof/>
                <w:lang w:val="en-GB"/>
              </w:rPr>
            </w:pPr>
            <w:r>
              <w:rPr>
                <w:rFonts w:ascii="Times New Roman" w:hAnsi="Times New Roman" w:cs="Times New Roman"/>
                <w:noProof/>
                <w:lang w:val="en-GB"/>
              </w:rPr>
              <w:t>12,010,860</w:t>
            </w:r>
            <w:r>
              <w:rPr>
                <w:rStyle w:val="FootnoteReference"/>
                <w:rFonts w:ascii="Times New Roman" w:hAnsi="Times New Roman" w:cs="Times New Roman"/>
                <w:noProof/>
                <w:lang w:val="en-GB"/>
              </w:rPr>
              <w:footnoteReference w:id="48"/>
            </w:r>
            <w:r>
              <w:rPr>
                <w:rFonts w:ascii="Times New Roman" w:hAnsi="Times New Roman" w:cs="Times New Roman"/>
                <w:noProof/>
                <w:lang w:val="en-GB"/>
              </w:rPr>
              <w:t xml:space="preserve"> </w:t>
            </w:r>
          </w:p>
        </w:tc>
        <w:tc>
          <w:tcPr>
            <w:tcW w:w="1560" w:type="dxa"/>
          </w:tcPr>
          <w:p w:rsidR="007013FD" w:rsidRDefault="005E3FDE">
            <w:pPr>
              <w:pStyle w:val="Body"/>
              <w:keepNext/>
              <w:spacing w:before="60" w:after="60"/>
              <w:jc w:val="center"/>
              <w:rPr>
                <w:rFonts w:ascii="Times New Roman" w:hAnsi="Times New Roman" w:cs="Times New Roman"/>
                <w:noProof/>
                <w:lang w:val="en-GB"/>
              </w:rPr>
            </w:pPr>
            <w:r>
              <w:rPr>
                <w:rFonts w:ascii="Times New Roman" w:hAnsi="Times New Roman" w:cs="Times New Roman"/>
                <w:noProof/>
                <w:lang w:val="en-GB"/>
              </w:rPr>
              <w:t>11,861,176</w:t>
            </w:r>
          </w:p>
        </w:tc>
        <w:tc>
          <w:tcPr>
            <w:tcW w:w="1380" w:type="dxa"/>
          </w:tcPr>
          <w:p w:rsidR="007013FD" w:rsidRDefault="005E3FDE">
            <w:pPr>
              <w:pStyle w:val="Body"/>
              <w:keepNext/>
              <w:spacing w:before="60" w:after="60"/>
              <w:jc w:val="center"/>
              <w:rPr>
                <w:rFonts w:ascii="Times New Roman" w:hAnsi="Times New Roman" w:cs="Times New Roman"/>
                <w:noProof/>
                <w:lang w:val="en-GB"/>
              </w:rPr>
            </w:pPr>
            <w:r>
              <w:rPr>
                <w:rFonts w:ascii="Times New Roman" w:hAnsi="Times New Roman" w:cs="Times New Roman"/>
                <w:noProof/>
                <w:lang w:val="en-GB"/>
              </w:rPr>
              <w:t>31,940,978</w:t>
            </w:r>
          </w:p>
        </w:tc>
      </w:tr>
      <w:tr w:rsidR="007013FD">
        <w:tc>
          <w:tcPr>
            <w:tcW w:w="2988" w:type="dxa"/>
          </w:tcPr>
          <w:p w:rsidR="007013FD" w:rsidRDefault="005E3FDE">
            <w:pPr>
              <w:pStyle w:val="Body"/>
              <w:spacing w:before="60" w:after="60"/>
              <w:rPr>
                <w:rFonts w:ascii="Times New Roman" w:hAnsi="Times New Roman" w:cs="Times New Roman"/>
                <w:b/>
                <w:noProof/>
                <w:lang w:val="fr-BE"/>
              </w:rPr>
            </w:pPr>
            <w:r>
              <w:rPr>
                <w:rFonts w:ascii="Times New Roman" w:hAnsi="Times New Roman" w:cs="Times New Roman"/>
                <w:b/>
                <w:noProof/>
                <w:lang w:val="fr-BE"/>
              </w:rPr>
              <w:t>Total programmed RF EU contribution</w:t>
            </w:r>
            <w:r>
              <w:rPr>
                <w:rStyle w:val="FootnoteReference"/>
                <w:rFonts w:ascii="Times New Roman" w:hAnsi="Times New Roman" w:cs="Times New Roman"/>
                <w:b/>
                <w:noProof/>
                <w:lang w:val="fr-BE"/>
              </w:rPr>
              <w:footnoteReference w:id="49"/>
            </w:r>
          </w:p>
        </w:tc>
        <w:tc>
          <w:tcPr>
            <w:tcW w:w="1680" w:type="dxa"/>
          </w:tcPr>
          <w:p w:rsidR="007013FD" w:rsidRDefault="005E3FDE">
            <w:pPr>
              <w:pStyle w:val="Body"/>
              <w:spacing w:before="60" w:after="60"/>
              <w:jc w:val="center"/>
              <w:rPr>
                <w:rFonts w:ascii="Times New Roman" w:hAnsi="Times New Roman" w:cs="Times New Roman"/>
                <w:noProof/>
                <w:lang w:val="fr-BE"/>
              </w:rPr>
            </w:pPr>
            <w:r>
              <w:rPr>
                <w:rFonts w:ascii="Times New Roman" w:hAnsi="Times New Roman" w:cs="Times New Roman"/>
                <w:noProof/>
                <w:lang w:val="fr-BE"/>
              </w:rPr>
              <w:t>117,068,942</w:t>
            </w:r>
          </w:p>
        </w:tc>
        <w:tc>
          <w:tcPr>
            <w:tcW w:w="1680" w:type="dxa"/>
          </w:tcPr>
          <w:p w:rsidR="007013FD" w:rsidRDefault="005E3FDE">
            <w:pPr>
              <w:pStyle w:val="Body"/>
              <w:spacing w:before="60" w:after="60"/>
              <w:jc w:val="center"/>
              <w:rPr>
                <w:rFonts w:ascii="Times New Roman" w:hAnsi="Times New Roman" w:cs="Times New Roman"/>
                <w:noProof/>
                <w:lang w:val="fr-BE"/>
              </w:rPr>
            </w:pPr>
            <w:r>
              <w:rPr>
                <w:rFonts w:ascii="Times New Roman" w:hAnsi="Times New Roman" w:cs="Times New Roman"/>
                <w:noProof/>
                <w:lang w:val="fr-BE"/>
              </w:rPr>
              <w:t>163,135,859</w:t>
            </w:r>
          </w:p>
        </w:tc>
        <w:tc>
          <w:tcPr>
            <w:tcW w:w="1560" w:type="dxa"/>
          </w:tcPr>
          <w:p w:rsidR="007013FD" w:rsidRDefault="005E3FDE">
            <w:pPr>
              <w:pStyle w:val="Body"/>
              <w:spacing w:before="60" w:after="60"/>
              <w:jc w:val="center"/>
              <w:rPr>
                <w:rFonts w:ascii="Times New Roman" w:hAnsi="Times New Roman" w:cs="Times New Roman"/>
                <w:noProof/>
                <w:lang w:val="fr-BE"/>
              </w:rPr>
            </w:pPr>
            <w:r>
              <w:rPr>
                <w:rFonts w:ascii="Times New Roman" w:hAnsi="Times New Roman" w:cs="Times New Roman"/>
                <w:noProof/>
                <w:lang w:val="fr-BE"/>
              </w:rPr>
              <w:t>187,202,417</w:t>
            </w:r>
          </w:p>
        </w:tc>
        <w:tc>
          <w:tcPr>
            <w:tcW w:w="1380" w:type="dxa"/>
          </w:tcPr>
          <w:p w:rsidR="007013FD" w:rsidRDefault="005E3FDE">
            <w:pPr>
              <w:pStyle w:val="Body"/>
              <w:spacing w:before="60" w:after="60"/>
              <w:jc w:val="center"/>
              <w:rPr>
                <w:rFonts w:ascii="Times New Roman" w:hAnsi="Times New Roman" w:cs="Times New Roman"/>
                <w:noProof/>
                <w:lang w:val="fr-BE"/>
              </w:rPr>
            </w:pPr>
            <w:r>
              <w:rPr>
                <w:rFonts w:ascii="Times New Roman" w:hAnsi="Times New Roman" w:cs="Times New Roman"/>
                <w:noProof/>
                <w:lang w:val="fr-BE"/>
              </w:rPr>
              <w:t>467,407,218</w:t>
            </w:r>
          </w:p>
        </w:tc>
      </w:tr>
    </w:tbl>
    <w:p w:rsidR="007013FD" w:rsidRDefault="007013FD">
      <w:pPr>
        <w:rPr>
          <w:noProof/>
          <w:lang w:val="en-GB"/>
        </w:rPr>
      </w:pPr>
    </w:p>
    <w:p w:rsidR="007013FD" w:rsidRDefault="005E3FDE">
      <w:pPr>
        <w:pStyle w:val="Heading2"/>
        <w:rPr>
          <w:rFonts w:ascii="Times New Roman" w:hAnsi="Times New Roman" w:cs="Times New Roman"/>
          <w:noProof/>
          <w:sz w:val="24"/>
          <w:szCs w:val="24"/>
          <w:lang w:val="en-GB"/>
        </w:rPr>
      </w:pPr>
      <w:bookmarkStart w:id="37" w:name="_Toc496630452"/>
      <w:bookmarkStart w:id="38" w:name="_Toc496711937"/>
      <w:bookmarkStart w:id="39" w:name="_Toc515379353"/>
      <w:r>
        <w:rPr>
          <w:rFonts w:ascii="Times New Roman" w:hAnsi="Times New Roman" w:cs="Times New Roman"/>
          <w:noProof/>
          <w:sz w:val="24"/>
          <w:szCs w:val="24"/>
          <w:lang w:val="en-GB"/>
        </w:rPr>
        <w:t>Implementation through shared management (annual programmes)</w:t>
      </w:r>
      <w:bookmarkEnd w:id="37"/>
      <w:bookmarkEnd w:id="38"/>
      <w:bookmarkEnd w:id="39"/>
    </w:p>
    <w:p w:rsidR="007013FD" w:rsidRDefault="005E3FDE">
      <w:pPr>
        <w:spacing w:after="240"/>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Finding 1: Absorption rates are good and remain stable at 81%</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Actions under national</w:t>
      </w:r>
      <w:r>
        <w:rPr>
          <w:rFonts w:ascii="Times New Roman" w:hAnsi="Times New Roman" w:cs="Times New Roman"/>
          <w:noProof/>
          <w:sz w:val="24"/>
          <w:szCs w:val="24"/>
          <w:lang w:val="en-GB"/>
        </w:rPr>
        <w:t xml:space="preserve"> programmes were implemented from 1 January 2011 to 30 June 2015. It should be underlined that some annual programmes were not yet closed when the evaluation was carried out: one 2011 annual programme, three 2012 annual programmes and fifteen 2013 annual p</w:t>
      </w:r>
      <w:r>
        <w:rPr>
          <w:rFonts w:ascii="Times New Roman" w:hAnsi="Times New Roman" w:cs="Times New Roman"/>
          <w:noProof/>
          <w:sz w:val="24"/>
          <w:szCs w:val="24"/>
          <w:lang w:val="en-GB"/>
        </w:rPr>
        <w:t>rogrammes were still open. The final total EU contribution for 2011-2013 closed annual programmes amounts to EUR 200 000 705 and for the open programmes the forecast final total EU contribution amounts to EUR 153218 758, hence the final total EU contributi</w:t>
      </w:r>
      <w:r>
        <w:rPr>
          <w:rFonts w:ascii="Times New Roman" w:hAnsi="Times New Roman" w:cs="Times New Roman"/>
          <w:noProof/>
          <w:sz w:val="24"/>
          <w:szCs w:val="24"/>
          <w:lang w:val="en-GB"/>
        </w:rPr>
        <w:t>on for both open and closed programmes for 2011-2013 amounts to EUR 353 219 463. The analysis of implementation has thus considered both "closed" and "open" programmes, which means that the final implementation rate might be slightly different from the fig</w:t>
      </w:r>
      <w:r>
        <w:rPr>
          <w:rFonts w:ascii="Times New Roman" w:hAnsi="Times New Roman" w:cs="Times New Roman"/>
          <w:noProof/>
          <w:sz w:val="24"/>
          <w:szCs w:val="24"/>
          <w:lang w:val="en-GB"/>
        </w:rPr>
        <w:t>ures presented below.</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illustrated by Figure 1, the programmed EU contribution under shared management rose gradually by 61% from EUR 109 000 000 in 2011 to EUR 175 341 241 in 2013.</w:t>
      </w:r>
    </w:p>
    <w:p w:rsidR="007013FD" w:rsidRDefault="005E3FDE">
      <w:pPr>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Figure 1: Programmed and final EU contributions and absorption rates by </w:t>
      </w:r>
      <w:r>
        <w:rPr>
          <w:rFonts w:ascii="Times New Roman" w:hAnsi="Times New Roman" w:cs="Times New Roman"/>
          <w:noProof/>
          <w:sz w:val="20"/>
          <w:szCs w:val="20"/>
          <w:lang w:val="en-GB"/>
        </w:rPr>
        <w:t>year for RF shared management (2008-2013)</w:t>
      </w:r>
    </w:p>
    <w:p w:rsidR="007013FD" w:rsidRDefault="005E3FDE">
      <w:pPr>
        <w:spacing w:after="240" w:line="240" w:lineRule="auto"/>
        <w:jc w:val="both"/>
        <w:rPr>
          <w:rFonts w:ascii="Times New Roman" w:hAnsi="Times New Roman" w:cs="Times New Roman"/>
          <w:noProof/>
          <w:color w:val="FF0000"/>
          <w:sz w:val="24"/>
          <w:szCs w:val="24"/>
          <w:highlight w:val="yellow"/>
          <w:lang w:val="en-GB"/>
        </w:rPr>
      </w:pPr>
      <w:r>
        <w:rPr>
          <w:noProof/>
          <w:lang w:val="en-GB" w:eastAsia="en-GB"/>
        </w:rPr>
        <w:drawing>
          <wp:inline distT="0" distB="0" distL="0" distR="0" wp14:anchorId="51D24889" wp14:editId="0B35A243">
            <wp:extent cx="5760720" cy="2224278"/>
            <wp:effectExtent l="0" t="0" r="11430" b="24130"/>
            <wp:docPr id="1" name="Chart 1" title="Absorption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13FD" w:rsidRDefault="005E3FDE">
      <w:pPr>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Source: European Commission data as of 31.01.2017 (SFC2007)</w:t>
      </w:r>
      <w:r>
        <w:rPr>
          <w:rStyle w:val="FootnoteReference"/>
          <w:rFonts w:ascii="Times New Roman" w:hAnsi="Times New Roman" w:cs="Times New Roman"/>
          <w:noProof/>
          <w:sz w:val="20"/>
          <w:szCs w:val="20"/>
          <w:lang w:val="en-GB"/>
        </w:rPr>
        <w:footnoteReference w:id="50"/>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RF absorption rate ranged from 58% in 2008 to 85.5% in 2012. The average absorption rate was higher in 2011-2013 (81%) than in 2008-2010 (70%), </w:t>
      </w:r>
      <w:r>
        <w:rPr>
          <w:rFonts w:ascii="Times New Roman" w:hAnsi="Times New Roman" w:cs="Times New Roman"/>
          <w:noProof/>
          <w:sz w:val="24"/>
          <w:szCs w:val="24"/>
          <w:lang w:val="en-GB"/>
        </w:rPr>
        <w:t>which suggests that stakeholders developed greater expertise over the course of the period studied. The absorption rate remained stable during 2011-2013</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 strong correlation could be identified between Member State implementation rates and the number of p</w:t>
      </w:r>
      <w:r>
        <w:rPr>
          <w:rFonts w:ascii="Times New Roman" w:hAnsi="Times New Roman" w:cs="Times New Roman"/>
          <w:noProof/>
          <w:sz w:val="24"/>
          <w:szCs w:val="24"/>
          <w:lang w:val="en-GB"/>
        </w:rPr>
        <w:t>rojects or the size of the projects implemented. For example, Finland, Ireland and the United Kingdom had a low number of projects and higher than average implementation rates, which could suggest that they were better able to target fund usage; however, G</w:t>
      </w:r>
      <w:r>
        <w:rPr>
          <w:rFonts w:ascii="Times New Roman" w:hAnsi="Times New Roman" w:cs="Times New Roman"/>
          <w:noProof/>
          <w:sz w:val="24"/>
          <w:szCs w:val="24"/>
          <w:lang w:val="en-GB"/>
        </w:rPr>
        <w:t>ermany, Poland and Hungary had a higher number of projects and also had higher than average implementation rates, which shows that the number of projects does not necessarily have an effect on the implementation rate. Regarding project size, Finland had th</w:t>
      </w:r>
      <w:r>
        <w:rPr>
          <w:rFonts w:ascii="Times New Roman" w:hAnsi="Times New Roman" w:cs="Times New Roman"/>
          <w:noProof/>
          <w:sz w:val="24"/>
          <w:szCs w:val="24"/>
          <w:lang w:val="en-GB"/>
        </w:rPr>
        <w:t>e smallest project size and it had a high implementation rate (91%), while France had very large projects (an average of EUR 3 million) and had the highest implementation rate; this again shows that there is no strong link between these factors.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the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of the RF (2008-2010) found for that period that Member States with a high implementation rate were often those which received high financial allocations, the same pattern could not be established for the implementation of the RF in 2011</w:t>
      </w:r>
      <w:r>
        <w:rPr>
          <w:rFonts w:ascii="Times New Roman" w:hAnsi="Times New Roman" w:cs="Times New Roman"/>
          <w:noProof/>
          <w:sz w:val="24"/>
          <w:szCs w:val="24"/>
          <w:lang w:val="en-GB"/>
        </w:rPr>
        <w:t>-2013.</w:t>
      </w:r>
    </w:p>
    <w:p w:rsidR="007013FD" w:rsidRDefault="005E3FDE">
      <w:pPr>
        <w:spacing w:after="240" w:line="240" w:lineRule="auto"/>
        <w:jc w:val="both"/>
        <w:rPr>
          <w:rFonts w:ascii="Times New Roman" w:hAnsi="Times New Roman"/>
          <w:noProof/>
          <w:sz w:val="24"/>
          <w:lang w:val="en-GB"/>
        </w:rPr>
      </w:pPr>
      <w:r>
        <w:rPr>
          <w:rFonts w:ascii="Times New Roman" w:hAnsi="Times New Roman" w:cs="Times New Roman"/>
          <w:noProof/>
          <w:sz w:val="24"/>
          <w:szCs w:val="24"/>
          <w:lang w:val="en-GB"/>
        </w:rPr>
        <w:t xml:space="preserve">As can be seen in Figure 2, there are large differences between Member State implementation rates, which for 2011-2013 range from 17% for Croatia to 99.6% for France. A positive trend can be seen in the fact that most Member State implementation </w:t>
      </w:r>
      <w:r>
        <w:rPr>
          <w:rFonts w:ascii="Times New Roman" w:hAnsi="Times New Roman" w:cs="Times New Roman"/>
          <w:noProof/>
          <w:sz w:val="24"/>
          <w:szCs w:val="24"/>
          <w:lang w:val="en-GB"/>
        </w:rPr>
        <w:t>rates over 2011-2013 were higher than for 2008-2010. The exceptions to this trend were Malta (-21%), Romania (-10%), Portugal (-4%), Slovakia (-7%), Spain (-5%) and Slovenia (-2%)</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One of the main factors influencing implementation rates was the reduction</w:t>
      </w:r>
      <w:r>
        <w:rPr>
          <w:rFonts w:ascii="Times New Roman" w:hAnsi="Times New Roman" w:cs="Times New Roman"/>
          <w:noProof/>
          <w:sz w:val="24"/>
          <w:szCs w:val="24"/>
          <w:lang w:val="en-GB"/>
        </w:rPr>
        <w:t xml:space="preserve"> of migration flows to some Member States, which meant that a lower number of persons were returned than initially planned for, and this in turn resulted in an adjusted lower need for funding for such projects.</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xml:space="preserve"> </w:t>
      </w:r>
    </w:p>
    <w:p w:rsidR="007013FD" w:rsidRDefault="005E3FDE">
      <w:pPr>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Figure 2: Programmed and Final EU contribut</w:t>
      </w:r>
      <w:r>
        <w:rPr>
          <w:rFonts w:ascii="Times New Roman" w:hAnsi="Times New Roman" w:cs="Times New Roman"/>
          <w:noProof/>
          <w:sz w:val="20"/>
          <w:szCs w:val="20"/>
          <w:lang w:val="en-GB"/>
        </w:rPr>
        <w:t>ions and absorption rates by Member State for RF shared management (2011-2013)</w:t>
      </w:r>
    </w:p>
    <w:p w:rsidR="007013FD" w:rsidRDefault="005E3FDE">
      <w:pPr>
        <w:spacing w:after="240" w:line="240" w:lineRule="auto"/>
        <w:jc w:val="both"/>
        <w:rPr>
          <w:rFonts w:ascii="Times New Roman" w:hAnsi="Times New Roman" w:cs="Times New Roman"/>
          <w:noProof/>
          <w:sz w:val="24"/>
          <w:szCs w:val="24"/>
          <w:lang w:val="en-GB"/>
        </w:rPr>
      </w:pPr>
      <w:r>
        <w:rPr>
          <w:noProof/>
          <w:lang w:val="en-GB" w:eastAsia="en-GB"/>
        </w:rPr>
        <w:drawing>
          <wp:inline distT="0" distB="0" distL="0" distR="0" wp14:anchorId="239EACCC" wp14:editId="1957DA64">
            <wp:extent cx="6523630" cy="2572603"/>
            <wp:effectExtent l="0" t="0" r="1079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0"/>
          <w:szCs w:val="20"/>
          <w:lang w:val="en-GB"/>
        </w:rPr>
        <w:t>Source: European Commission data as of 31.01.2017 (SCF2007)</w:t>
      </w:r>
      <w:r>
        <w:rPr>
          <w:rStyle w:val="FootnoteReference"/>
          <w:rFonts w:ascii="Times New Roman" w:hAnsi="Times New Roman" w:cs="Times New Roman"/>
          <w:noProof/>
          <w:sz w:val="20"/>
          <w:szCs w:val="20"/>
          <w:lang w:val="en-GB"/>
        </w:rPr>
        <w:footnoteReference w:id="53"/>
      </w:r>
    </w:p>
    <w:p w:rsidR="007013FD" w:rsidRDefault="005E3FDE">
      <w:pPr>
        <w:jc w:val="both"/>
        <w:rPr>
          <w:rFonts w:ascii="Times New Roman" w:hAnsi="Times New Roman"/>
          <w:i/>
          <w:noProof/>
          <w:sz w:val="24"/>
          <w:szCs w:val="24"/>
          <w:u w:val="single"/>
          <w:lang w:val="en-GB"/>
        </w:rPr>
      </w:pPr>
      <w:r>
        <w:rPr>
          <w:rFonts w:ascii="Times New Roman" w:hAnsi="Times New Roman" w:cs="Times New Roman"/>
          <w:i/>
          <w:noProof/>
          <w:sz w:val="24"/>
          <w:szCs w:val="24"/>
          <w:u w:val="single"/>
          <w:lang w:val="en-GB"/>
        </w:rPr>
        <w:t>Finding 2: 'Sharing the burden' – the distribution of RF funding follows partially the trends in arrivals and retu</w:t>
      </w:r>
      <w:r>
        <w:rPr>
          <w:rFonts w:ascii="Times New Roman" w:hAnsi="Times New Roman" w:cs="Times New Roman"/>
          <w:i/>
          <w:noProof/>
          <w:sz w:val="24"/>
          <w:szCs w:val="24"/>
          <w:u w:val="single"/>
          <w:lang w:val="en-GB"/>
        </w:rPr>
        <w:t>rn of irregular migrants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total RF contribution varied significantly across Member States. Four Member States</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xml:space="preserve"> account for almost 62% of the total programmed and the total final EU contributions. Funds were allocated on the basis of the methodology set out in the legal basis of the Fund (See Section 6.1). The largest allocations were granted to the Member States w</w:t>
      </w:r>
      <w:r>
        <w:rPr>
          <w:rFonts w:ascii="Times New Roman" w:hAnsi="Times New Roman" w:cs="Times New Roman"/>
          <w:noProof/>
          <w:sz w:val="24"/>
          <w:szCs w:val="24"/>
          <w:lang w:val="en-GB"/>
        </w:rPr>
        <w:t>ith the highest influxes of irregular migrants and the highest number of returnees: Greece, the United Kingdom, Spain and France.</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allocated budget for the Member States shows a delay of three years compared to the trend in return decisions and</w:t>
      </w:r>
      <w:r>
        <w:rPr>
          <w:rFonts w:ascii="Times New Roman" w:hAnsi="Times New Roman" w:cs="Times New Roman"/>
          <w:noProof/>
          <w:sz w:val="24"/>
          <w:szCs w:val="24"/>
          <w:lang w:val="en-GB"/>
        </w:rPr>
        <w:t xml:space="preserve"> effected returns. This weakness was mitigated to some extent by the allocation of emergency assistance actions to support Member States in case of situations requiring urgent action (see Section 8.2.4). Some flexibility was also provided under shared mana</w:t>
      </w:r>
      <w:r>
        <w:rPr>
          <w:rFonts w:ascii="Times New Roman" w:hAnsi="Times New Roman" w:cs="Times New Roman"/>
          <w:noProof/>
          <w:sz w:val="24"/>
          <w:szCs w:val="24"/>
          <w:lang w:val="en-GB"/>
        </w:rPr>
        <w:t>gement by the fact that Member States could revise their annual programmes and shift funding from areas where there would have been an underspend to areas faced with a potential overspend, thereby taking into account new or changing needs and unforeseen ev</w:t>
      </w:r>
      <w:r>
        <w:rPr>
          <w:rFonts w:ascii="Times New Roman" w:hAnsi="Times New Roman" w:cs="Times New Roman"/>
          <w:noProof/>
          <w:sz w:val="24"/>
          <w:szCs w:val="24"/>
          <w:lang w:val="en-GB"/>
        </w:rPr>
        <w:t>ents.</w:t>
      </w:r>
      <w:r>
        <w:rPr>
          <w:rStyle w:val="FootnoteReference"/>
          <w:rFonts w:ascii="Times New Roman" w:hAnsi="Times New Roman" w:cs="Times New Roman"/>
          <w:noProof/>
          <w:sz w:val="24"/>
          <w:szCs w:val="24"/>
          <w:lang w:val="en-GB"/>
        </w:rPr>
        <w:footnoteReference w:id="55"/>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i/>
          <w:noProof/>
          <w:color w:val="000000"/>
          <w:sz w:val="24"/>
          <w:szCs w:val="24"/>
          <w:u w:val="single"/>
          <w:lang w:val="en-GB"/>
        </w:rPr>
        <w:t>Finding 3: Due to the absence of a threshold, EU funding was concentrated on Priority 1</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2011-2013 APs, funds were allocated to four funding priorities unequally</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Over 81% of funding was allocated to priority 1; 3% under priority 2; 13% un</w:t>
      </w:r>
      <w:r>
        <w:rPr>
          <w:rFonts w:ascii="Times New Roman" w:hAnsi="Times New Roman" w:cs="Times New Roman"/>
          <w:noProof/>
          <w:sz w:val="24"/>
          <w:szCs w:val="24"/>
          <w:lang w:val="en-GB"/>
        </w:rPr>
        <w:t>der priority 3; and 3% under priority 4. Member States thus tended to prioritise the development of a strategic approach to return management (priority 1) over all other priorities.</w:t>
      </w:r>
    </w:p>
    <w:p w:rsidR="007013FD" w:rsidRDefault="005E3FDE">
      <w:pPr>
        <w:spacing w:after="24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Figure 3: Programmed and final EU contribution by priority, 2011-2013</w:t>
      </w:r>
    </w:p>
    <w:p w:rsidR="007013FD" w:rsidRDefault="005E3FDE">
      <w:pPr>
        <w:spacing w:after="240" w:line="240" w:lineRule="auto"/>
        <w:jc w:val="both"/>
        <w:rPr>
          <w:rFonts w:ascii="Times New Roman" w:hAnsi="Times New Roman" w:cs="Times New Roman"/>
          <w:noProof/>
          <w:sz w:val="24"/>
          <w:szCs w:val="24"/>
          <w:lang w:val="en-GB"/>
        </w:rPr>
      </w:pPr>
      <w:r>
        <w:rPr>
          <w:noProof/>
          <w:lang w:val="en-GB" w:eastAsia="en-GB"/>
        </w:rPr>
        <w:drawing>
          <wp:inline distT="0" distB="0" distL="0" distR="0" wp14:anchorId="5A61DE5B" wp14:editId="779C3374">
            <wp:extent cx="4640239" cy="1651379"/>
            <wp:effectExtent l="0" t="0" r="27305"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13FD" w:rsidRDefault="005E3FDE">
      <w:pPr>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So</w:t>
      </w:r>
      <w:r>
        <w:rPr>
          <w:rFonts w:ascii="Times New Roman" w:hAnsi="Times New Roman" w:cs="Times New Roman"/>
          <w:noProof/>
          <w:sz w:val="20"/>
          <w:szCs w:val="20"/>
          <w:lang w:val="en-GB"/>
        </w:rPr>
        <w:t>urce: European Commission data as of 21.03.2017 (SCF2007)</w:t>
      </w:r>
      <w:r>
        <w:rPr>
          <w:rStyle w:val="FootnoteReference"/>
          <w:rFonts w:ascii="Times New Roman" w:hAnsi="Times New Roman" w:cs="Times New Roman"/>
          <w:noProof/>
          <w:sz w:val="20"/>
          <w:szCs w:val="20"/>
          <w:lang w:val="en-GB"/>
        </w:rPr>
        <w:footnoteReference w:id="57"/>
      </w:r>
    </w:p>
    <w:p w:rsidR="007013FD" w:rsidRDefault="005E3FDE">
      <w:pPr>
        <w:pStyle w:val="Heading2"/>
        <w:rPr>
          <w:rFonts w:ascii="Times New Roman" w:hAnsi="Times New Roman"/>
          <w:noProof/>
          <w:sz w:val="24"/>
        </w:rPr>
      </w:pPr>
      <w:bookmarkStart w:id="40" w:name="_Toc496630453"/>
      <w:bookmarkStart w:id="41" w:name="_Toc496711938"/>
      <w:bookmarkStart w:id="42" w:name="_Toc515379354"/>
      <w:r>
        <w:rPr>
          <w:rFonts w:ascii="Times New Roman" w:hAnsi="Times New Roman"/>
          <w:noProof/>
          <w:sz w:val="24"/>
        </w:rPr>
        <w:t>Implementation through direct management</w:t>
      </w:r>
      <w:bookmarkEnd w:id="40"/>
      <w:bookmarkEnd w:id="41"/>
      <w:bookmarkEnd w:id="42"/>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2010 to 2013 AWPs, </w:t>
      </w:r>
      <w:bookmarkStart w:id="43" w:name="_Ref463289762"/>
      <w:r>
        <w:rPr>
          <w:rFonts w:ascii="Times New Roman" w:hAnsi="Times New Roman" w:cs="Times New Roman"/>
          <w:noProof/>
          <w:sz w:val="24"/>
          <w:szCs w:val="24"/>
          <w:lang w:val="en-GB"/>
        </w:rPr>
        <w:t>28 Community actions (with the exclusion of joint management actions and emergency assistance) were implemented for a total amo</w:t>
      </w:r>
      <w:r>
        <w:rPr>
          <w:rFonts w:ascii="Times New Roman" w:hAnsi="Times New Roman" w:cs="Times New Roman"/>
          <w:noProof/>
          <w:sz w:val="24"/>
          <w:szCs w:val="24"/>
          <w:lang w:val="en-GB"/>
        </w:rPr>
        <w:t>unt of more than EUR 16.5 million (commitment), and with an implementation rate of 78% for 2010-2012.</w:t>
      </w:r>
      <w:bookmarkEnd w:id="43"/>
      <w:r>
        <w:rPr>
          <w:rFonts w:ascii="Times New Roman" w:hAnsi="Times New Roman" w:cs="Times New Roman"/>
          <w:noProof/>
          <w:sz w:val="24"/>
          <w:szCs w:val="24"/>
          <w:lang w:val="en-GB"/>
        </w:rPr>
        <w:t xml:space="preserve"> For the 2013 AWPs, at the time of the evaluation, data was not available on the final EU contribution for four out of five Community actions, so the imple</w:t>
      </w:r>
      <w:r>
        <w:rPr>
          <w:rFonts w:ascii="Times New Roman" w:hAnsi="Times New Roman" w:cs="Times New Roman"/>
          <w:noProof/>
          <w:sz w:val="24"/>
          <w:szCs w:val="24"/>
          <w:lang w:val="en-GB"/>
        </w:rPr>
        <w:t xml:space="preserve">mentation rate has only been calculated up to 2012. The total final EU contribution for Community Actions under the 2010 to 2012 AWPs was of EUR 6,377,248. </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2 Joint Management actions were implemented under the 2013 AWP with a granted EU contr</w:t>
      </w:r>
      <w:r>
        <w:rPr>
          <w:rFonts w:ascii="Times New Roman" w:hAnsi="Times New Roman" w:cs="Times New Roman"/>
          <w:noProof/>
          <w:sz w:val="24"/>
          <w:szCs w:val="24"/>
          <w:lang w:val="en-GB"/>
        </w:rPr>
        <w:t>ibution of EUR 2 million.</w:t>
      </w:r>
      <w:r>
        <w:rPr>
          <w:rStyle w:val="FootnoteReference"/>
          <w:rFonts w:ascii="Times New Roman" w:hAnsi="Times New Roman" w:cs="Times New Roman"/>
          <w:noProof/>
          <w:sz w:val="24"/>
          <w:szCs w:val="24"/>
          <w:lang w:val="en-GB"/>
        </w:rPr>
        <w:footnoteReference w:id="58"/>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six emergency assistance projects were financed with a granted EU contribution of EUR 13,436,067.44 million. The applications submitted by Member States for these projects were not subject to calls for proposals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in ord</w:t>
      </w:r>
      <w:r>
        <w:rPr>
          <w:rFonts w:ascii="Times New Roman" w:hAnsi="Times New Roman" w:cs="Times New Roman"/>
          <w:noProof/>
          <w:sz w:val="24"/>
          <w:szCs w:val="24"/>
          <w:lang w:val="en-GB"/>
        </w:rPr>
        <w:t>er to increase the speed at which these projects could be implemented. The absorption rate of these projects was very high, ranging from 93% to 100%, with the exception of one project which had a 48% absorption rate</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The high absorption rates suggest that</w:t>
      </w:r>
      <w:r>
        <w:rPr>
          <w:rFonts w:ascii="Times New Roman" w:hAnsi="Times New Roman" w:cs="Times New Roman"/>
          <w:noProof/>
          <w:sz w:val="24"/>
          <w:szCs w:val="24"/>
          <w:lang w:val="en-GB"/>
        </w:rPr>
        <w:t xml:space="preserve"> the EU funding provided was very necessary and that the project beneficiaries had the capacity to implement it. </w:t>
      </w:r>
      <w:bookmarkStart w:id="44" w:name="_Toc477439746"/>
      <w:bookmarkStart w:id="45" w:name="_Toc477439749"/>
      <w:bookmarkStart w:id="46" w:name="_Toc474918648"/>
      <w:bookmarkEnd w:id="44"/>
      <w:bookmarkEnd w:id="45"/>
      <w:bookmarkEnd w:id="46"/>
    </w:p>
    <w:p w:rsidR="007013FD" w:rsidRDefault="005E3FDE">
      <w:pPr>
        <w:pStyle w:val="Heading1"/>
        <w:rPr>
          <w:noProof/>
        </w:rPr>
      </w:pPr>
      <w:bookmarkStart w:id="47" w:name="_Toc496630454"/>
      <w:bookmarkStart w:id="48" w:name="_Toc496711939"/>
      <w:bookmarkStart w:id="49" w:name="_Toc515379355"/>
      <w:r>
        <w:rPr>
          <w:noProof/>
        </w:rPr>
        <w:t>Answers to the evaluation questions</w:t>
      </w:r>
      <w:bookmarkEnd w:id="47"/>
      <w:bookmarkEnd w:id="48"/>
      <w:bookmarkEnd w:id="49"/>
    </w:p>
    <w:p w:rsidR="007013FD" w:rsidRDefault="005E3FDE">
      <w:pPr>
        <w:pStyle w:val="Heading2"/>
        <w:rPr>
          <w:noProof/>
        </w:rPr>
      </w:pPr>
      <w:bookmarkStart w:id="50" w:name="_Toc496630455"/>
      <w:bookmarkStart w:id="51" w:name="_Toc496711940"/>
      <w:bookmarkStart w:id="52" w:name="_Toc515379356"/>
      <w:r>
        <w:rPr>
          <w:rFonts w:ascii="Times New Roman" w:hAnsi="Times New Roman" w:cs="Times New Roman"/>
          <w:bCs w:val="0"/>
          <w:noProof/>
          <w:sz w:val="24"/>
          <w:szCs w:val="24"/>
        </w:rPr>
        <w:t>Relevance</w:t>
      </w:r>
      <w:bookmarkEnd w:id="50"/>
      <w:bookmarkEnd w:id="51"/>
      <w:bookmarkEnd w:id="52"/>
    </w:p>
    <w:tbl>
      <w:tblPr>
        <w:tblStyle w:val="TableGrid"/>
        <w:tblW w:w="0" w:type="auto"/>
        <w:tblLook w:val="04A0" w:firstRow="1" w:lastRow="0" w:firstColumn="1" w:lastColumn="0" w:noHBand="0" w:noVBand="1"/>
      </w:tblPr>
      <w:tblGrid>
        <w:gridCol w:w="9288"/>
      </w:tblGrid>
      <w:tr w:rsidR="007013FD" w:rsidRPr="005E3FDE">
        <w:tc>
          <w:tcPr>
            <w:tcW w:w="9288" w:type="dxa"/>
          </w:tcPr>
          <w:p w:rsidR="007013FD" w:rsidRDefault="005E3FDE">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EQ10: To what extent did the RF objectives correspond to needs in the field of return </w:t>
            </w:r>
            <w:r>
              <w:rPr>
                <w:rFonts w:ascii="Times New Roman" w:hAnsi="Times New Roman" w:cs="Times New Roman"/>
                <w:i/>
                <w:noProof/>
                <w:sz w:val="24"/>
                <w:szCs w:val="24"/>
              </w:rPr>
              <w:t>management?</w:t>
            </w:r>
          </w:p>
          <w:p w:rsidR="007013FD" w:rsidRDefault="005E3FDE">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EQ11: To what extent did the objectives of the actions under the RF 2011-2013 correspond to the needs in the field of return management?</w:t>
            </w:r>
          </w:p>
          <w:p w:rsidR="007013FD" w:rsidRDefault="005E3FDE">
            <w:pPr>
              <w:spacing w:after="120"/>
              <w:jc w:val="both"/>
              <w:rPr>
                <w:rFonts w:ascii="Times New Roman" w:hAnsi="Times New Roman" w:cs="Times New Roman"/>
                <w:noProof/>
                <w:sz w:val="24"/>
                <w:szCs w:val="24"/>
              </w:rPr>
            </w:pPr>
            <w:r>
              <w:rPr>
                <w:rFonts w:ascii="Times New Roman" w:hAnsi="Times New Roman" w:cs="Times New Roman"/>
                <w:b/>
                <w:noProof/>
                <w:sz w:val="24"/>
                <w:szCs w:val="24"/>
              </w:rPr>
              <w:t>Main conclusions</w:t>
            </w:r>
            <w:r>
              <w:rPr>
                <w:rFonts w:ascii="Times New Roman" w:hAnsi="Times New Roman" w:cs="Times New Roman"/>
                <w:noProof/>
                <w:sz w:val="24"/>
                <w:szCs w:val="24"/>
              </w:rPr>
              <w:t xml:space="preserve">: Overall, the majority of Member States and all respondents to a survey found that the RF </w:t>
            </w:r>
            <w:r>
              <w:rPr>
                <w:rFonts w:ascii="Times New Roman" w:hAnsi="Times New Roman" w:cs="Times New Roman"/>
                <w:noProof/>
                <w:sz w:val="24"/>
                <w:szCs w:val="24"/>
              </w:rPr>
              <w:t>objectives corresponded to their needs in the field of return management. The development of a strategic approach to return management (Integrated return management) (Specific Objective a)/Priority 1) was highlighted as the most relevant specific objective</w:t>
            </w:r>
            <w:r>
              <w:rPr>
                <w:rFonts w:ascii="Times New Roman" w:hAnsi="Times New Roman" w:cs="Times New Roman"/>
                <w:noProof/>
                <w:sz w:val="24"/>
                <w:szCs w:val="24"/>
              </w:rPr>
              <w:t xml:space="preserve">/Priority of the RF. </w:t>
            </w:r>
          </w:p>
          <w:p w:rsidR="007013FD" w:rsidRDefault="005E3FDE">
            <w:pPr>
              <w:spacing w:after="120"/>
              <w:jc w:val="both"/>
              <w:rPr>
                <w:rFonts w:ascii="Times New Roman" w:hAnsi="Times New Roman" w:cs="Times New Roman"/>
                <w:noProof/>
                <w:sz w:val="24"/>
                <w:szCs w:val="24"/>
              </w:rPr>
            </w:pPr>
            <w:r>
              <w:rPr>
                <w:rFonts w:ascii="Times New Roman" w:hAnsi="Times New Roman" w:cs="Times New Roman"/>
                <w:noProof/>
                <w:sz w:val="24"/>
                <w:szCs w:val="24"/>
              </w:rPr>
              <w:t>As reflected by the very low amount allocated by MSs to the second specific objective (b)/Priority 2 'Cooperation between Member States in return management', the latter was considered less relevant to most Member States' needs. The s</w:t>
            </w:r>
            <w:r>
              <w:rPr>
                <w:rFonts w:ascii="Times New Roman" w:hAnsi="Times New Roman" w:cs="Times New Roman"/>
                <w:noProof/>
                <w:sz w:val="24"/>
                <w:szCs w:val="24"/>
              </w:rPr>
              <w:t xml:space="preserve">ame conclusion can be drawn for Specific Objective c)/Priority 4 on support for Community standards and best practices. </w:t>
            </w:r>
          </w:p>
          <w:p w:rsidR="007013FD" w:rsidRDefault="005E3FDE">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for the evolution of the needs, the continued relevance of the RF was ensured by the fact that MSs were entitled to revise their AP </w:t>
            </w:r>
            <w:r>
              <w:rPr>
                <w:rFonts w:ascii="Times New Roman" w:hAnsi="Times New Roman" w:cs="Times New Roman"/>
                <w:noProof/>
                <w:sz w:val="24"/>
                <w:szCs w:val="24"/>
              </w:rPr>
              <w:t xml:space="preserve">to adjust actions according to their changing needs. </w:t>
            </w:r>
          </w:p>
          <w:p w:rsidR="007013FD" w:rsidRDefault="005E3FDE">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Some shortcomings were identified as to the eligibility rules, which were all addressed in AMIF. </w:t>
            </w:r>
          </w:p>
        </w:tc>
      </w:tr>
    </w:tbl>
    <w:p w:rsidR="007013FD" w:rsidRDefault="007013FD">
      <w:pPr>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Member States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lang w:val="en-GB"/>
        </w:rPr>
        <w:t xml:space="preserve"> and all respondents to a survey</w:t>
      </w:r>
      <w:r>
        <w:rPr>
          <w:rStyle w:val="FootnoteReference"/>
          <w:rFonts w:ascii="Times New Roman" w:hAnsi="Times New Roman" w:cs="Times New Roman"/>
          <w:noProof/>
          <w:sz w:val="24"/>
          <w:szCs w:val="24"/>
          <w:lang w:val="en-GB"/>
        </w:rPr>
        <w:footnoteReference w:id="62"/>
      </w:r>
      <w:r>
        <w:rPr>
          <w:rFonts w:ascii="Times New Roman" w:hAnsi="Times New Roman" w:cs="Times New Roman"/>
          <w:noProof/>
          <w:sz w:val="24"/>
          <w:szCs w:val="24"/>
          <w:lang w:val="en-GB"/>
        </w:rPr>
        <w:t xml:space="preserve"> found that the RF objectives corresponded to their needs in the field of return management</w:t>
      </w:r>
      <w:r>
        <w:rPr>
          <w:rStyle w:val="FootnoteReference"/>
          <w:rFonts w:ascii="Times New Roman" w:hAnsi="Times New Roman" w:cs="Times New Roman"/>
          <w:noProof/>
          <w:sz w:val="24"/>
          <w:szCs w:val="24"/>
          <w:lang w:val="en-GB"/>
        </w:rPr>
        <w:footnoteReference w:id="63"/>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development of a strategic approach to return management (Integrated return management) (Specific Objective a)/(Priority 1) was highlighted as the most relev</w:t>
      </w:r>
      <w:r>
        <w:rPr>
          <w:rFonts w:ascii="Times New Roman" w:hAnsi="Times New Roman" w:cs="Times New Roman"/>
          <w:noProof/>
          <w:sz w:val="24"/>
          <w:szCs w:val="24"/>
          <w:lang w:val="en-GB"/>
        </w:rPr>
        <w:t>ant specific objective/Priority of the RF</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lang w:val="en-GB"/>
        </w:rPr>
        <w:t>. A number of Member States indicated that they lacked experience prior to their accession to the EU, and thus considered particularly relevant Priority 1 as it addressed their need to develop their return manageme</w:t>
      </w:r>
      <w:r>
        <w:rPr>
          <w:rFonts w:ascii="Times New Roman" w:hAnsi="Times New Roman" w:cs="Times New Roman"/>
          <w:noProof/>
          <w:sz w:val="24"/>
          <w:szCs w:val="24"/>
          <w:lang w:val="en-GB"/>
        </w:rPr>
        <w:t>nt system, including in relation to assisted voluntary return and reintegration (AVR(R))</w:t>
      </w:r>
      <w:r>
        <w:rPr>
          <w:rStyle w:val="FootnoteReference"/>
          <w:rFonts w:ascii="Times New Roman" w:hAnsi="Times New Roman" w:cs="Times New Roman"/>
          <w:noProof/>
          <w:sz w:val="24"/>
          <w:szCs w:val="24"/>
          <w:lang w:val="en-GB"/>
        </w:rPr>
        <w:footnoteReference w:id="65"/>
      </w:r>
      <w:r>
        <w:rPr>
          <w:rFonts w:ascii="Times New Roman" w:hAnsi="Times New Roman" w:cs="Times New Roman"/>
          <w:noProof/>
          <w:sz w:val="24"/>
          <w:szCs w:val="24"/>
          <w:lang w:val="en-GB"/>
        </w:rPr>
        <w:t>. In addition, in this area, several Member States</w:t>
      </w:r>
      <w:r>
        <w:rPr>
          <w:rStyle w:val="FootnoteReference"/>
          <w:noProof/>
          <w:szCs w:val="24"/>
        </w:rPr>
        <w:footnoteReference w:id="66"/>
      </w:r>
      <w:r>
        <w:rPr>
          <w:rFonts w:ascii="Times New Roman" w:hAnsi="Times New Roman" w:cs="Times New Roman"/>
          <w:noProof/>
          <w:sz w:val="24"/>
          <w:szCs w:val="24"/>
          <w:lang w:val="en-GB"/>
        </w:rPr>
        <w:t xml:space="preserve"> and the majority of respondents to a survey</w:t>
      </w:r>
      <w:r>
        <w:rPr>
          <w:rStyle w:val="FootnoteReference"/>
          <w:rFonts w:ascii="Times New Roman" w:hAnsi="Times New Roman" w:cs="Times New Roman"/>
          <w:noProof/>
          <w:sz w:val="24"/>
          <w:szCs w:val="24"/>
          <w:lang w:val="en-GB"/>
        </w:rPr>
        <w:footnoteReference w:id="67"/>
      </w:r>
      <w:r>
        <w:rPr>
          <w:rFonts w:ascii="Times New Roman" w:hAnsi="Times New Roman" w:cs="Times New Roman"/>
          <w:noProof/>
          <w:sz w:val="24"/>
          <w:szCs w:val="24"/>
          <w:lang w:val="en-GB"/>
        </w:rPr>
        <w:t xml:space="preserve"> defined the support of assisted voluntary return (AVR(R)) programmes and reintegration measures (specific priority 1 of Priority 1) as their key need.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in the context of specific objective a)/Priority 1, the funding by the EU of activities a</w:t>
      </w:r>
      <w:r>
        <w:rPr>
          <w:rFonts w:ascii="Times New Roman" w:hAnsi="Times New Roman" w:cs="Times New Roman"/>
          <w:noProof/>
          <w:sz w:val="24"/>
          <w:szCs w:val="24"/>
          <w:lang w:val="en-GB"/>
        </w:rPr>
        <w:t>iming to develop and enhance cooperation between a Member State and countries of origin (Priority 1 - specific priority 3) to facilitate the organisation of returns and their effectiveness and sustainability was deemed particularly relevant by a significan</w:t>
      </w:r>
      <w:r>
        <w:rPr>
          <w:rFonts w:ascii="Times New Roman" w:hAnsi="Times New Roman" w:cs="Times New Roman"/>
          <w:noProof/>
          <w:sz w:val="24"/>
          <w:szCs w:val="24"/>
          <w:lang w:val="en-GB"/>
        </w:rPr>
        <w:t>t number of Member States</w:t>
      </w:r>
      <w:r>
        <w:rPr>
          <w:rStyle w:val="FootnoteReference"/>
          <w:rFonts w:ascii="Times New Roman" w:hAnsi="Times New Roman" w:cs="Times New Roman"/>
          <w:noProof/>
          <w:sz w:val="24"/>
          <w:szCs w:val="24"/>
          <w:lang w:val="en-GB"/>
        </w:rPr>
        <w:footnoteReference w:id="68"/>
      </w:r>
      <w:r>
        <w:rPr>
          <w:rFonts w:ascii="Times New Roman" w:hAnsi="Times New Roman" w:cs="Times New Roman"/>
          <w:noProof/>
          <w:sz w:val="24"/>
          <w:szCs w:val="24"/>
          <w:lang w:val="en-GB"/>
        </w:rPr>
        <w:t>. However, the evaluation showed that bilateral cooperation with third countries could be less relevant than a multilateral approach which provided EU Member States with a stronger influence</w:t>
      </w:r>
      <w:r>
        <w:rPr>
          <w:rStyle w:val="FootnoteReference"/>
          <w:rFonts w:ascii="Times New Roman" w:hAnsi="Times New Roman" w:cs="Times New Roman"/>
          <w:noProof/>
          <w:sz w:val="24"/>
          <w:szCs w:val="24"/>
          <w:lang w:val="en-GB"/>
        </w:rPr>
        <w:footnoteReference w:id="69"/>
      </w:r>
      <w:r>
        <w:rPr>
          <w:rFonts w:ascii="Times New Roman" w:hAnsi="Times New Roman" w:cs="Times New Roman"/>
          <w:noProof/>
          <w:sz w:val="24"/>
          <w:szCs w:val="24"/>
          <w:lang w:val="en-GB"/>
        </w:rPr>
        <w:t>.The second specific objective (b)) (an</w:t>
      </w:r>
      <w:r>
        <w:rPr>
          <w:rFonts w:ascii="Times New Roman" w:hAnsi="Times New Roman" w:cs="Times New Roman"/>
          <w:noProof/>
          <w:sz w:val="24"/>
          <w:szCs w:val="24"/>
          <w:lang w:val="en-GB"/>
        </w:rPr>
        <w:t>d Priority 2) 'Cooperation between Member States in return management' was considered less relevant to most Member States' needs. This is reflected by the fact that only 5% of the number of projects funded under the 2011-2013 annual programmes were impleme</w:t>
      </w:r>
      <w:r>
        <w:rPr>
          <w:rFonts w:ascii="Times New Roman" w:hAnsi="Times New Roman" w:cs="Times New Roman"/>
          <w:noProof/>
          <w:sz w:val="24"/>
          <w:szCs w:val="24"/>
          <w:lang w:val="en-GB"/>
        </w:rPr>
        <w:t>nted under Specific Objective b)/Priority 2 and that the final eligible costs of these projects represented only 1%. Some Member States indicated that they preferred to improve return policies at the national level before engaging with others</w:t>
      </w:r>
      <w:r>
        <w:rPr>
          <w:rStyle w:val="FootnoteReference"/>
          <w:rFonts w:ascii="Times New Roman" w:hAnsi="Times New Roman" w:cs="Times New Roman"/>
          <w:noProof/>
          <w:sz w:val="24"/>
          <w:szCs w:val="24"/>
          <w:lang w:val="en-GB"/>
        </w:rPr>
        <w:footnoteReference w:id="70"/>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Specific O</w:t>
      </w:r>
      <w:r>
        <w:rPr>
          <w:rFonts w:ascii="Times New Roman" w:hAnsi="Times New Roman" w:cs="Times New Roman"/>
          <w:noProof/>
          <w:sz w:val="24"/>
          <w:szCs w:val="24"/>
          <w:lang w:val="en-GB"/>
        </w:rPr>
        <w:t>bjective c)/Priority 4 on support for Community standards and best practices in the field of return management were declared very relevant by only three Member States</w:t>
      </w:r>
      <w:r>
        <w:rPr>
          <w:rStyle w:val="FootnoteReference"/>
          <w:rFonts w:ascii="Times New Roman" w:hAnsi="Times New Roman" w:cs="Times New Roman"/>
          <w:noProof/>
          <w:sz w:val="24"/>
          <w:szCs w:val="24"/>
          <w:lang w:val="en-GB"/>
        </w:rPr>
        <w:footnoteReference w:id="71"/>
      </w:r>
      <w:r>
        <w:rPr>
          <w:rFonts w:ascii="Times New Roman" w:hAnsi="Times New Roman" w:cs="Times New Roman"/>
          <w:noProof/>
          <w:sz w:val="24"/>
          <w:szCs w:val="24"/>
          <w:lang w:val="en-GB"/>
        </w:rPr>
        <w:t>. This is reflected by the fact that the projects implemented under Priority 4 represente</w:t>
      </w:r>
      <w:r>
        <w:rPr>
          <w:rFonts w:ascii="Times New Roman" w:hAnsi="Times New Roman" w:cs="Times New Roman"/>
          <w:noProof/>
          <w:sz w:val="24"/>
          <w:szCs w:val="24"/>
          <w:lang w:val="en-GB"/>
        </w:rPr>
        <w:t xml:space="preserve">d 14% of the total number of projects funded by the RF under the 2011-2013 annual programmes and represented just 2% of the total final eligible costs.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for the evolution of the needs, the continued relevance of the RF was ensured by its flexibility: th</w:t>
      </w:r>
      <w:r>
        <w:rPr>
          <w:rFonts w:ascii="Times New Roman" w:hAnsi="Times New Roman" w:cs="Times New Roman"/>
          <w:noProof/>
          <w:sz w:val="24"/>
          <w:szCs w:val="24"/>
          <w:lang w:val="en-GB"/>
        </w:rPr>
        <w:t>e possibility of adjusting actions during the eligibility period of each AP enabled the provision of a response to the changing migration flows and emergency situations observed during that period. For instance, Italy indicated that they revised their AP i</w:t>
      </w:r>
      <w:r>
        <w:rPr>
          <w:rFonts w:ascii="Times New Roman" w:hAnsi="Times New Roman" w:cs="Times New Roman"/>
          <w:noProof/>
          <w:sz w:val="24"/>
          <w:szCs w:val="24"/>
          <w:lang w:val="en-GB"/>
        </w:rPr>
        <w:t xml:space="preserve">n order to reallocate funds from the organisation of a communication campaign to forced return actions, in response to the emergency situation arising from instability in Northern Africa during the evaluation period.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among the shortcoming raised b</w:t>
      </w:r>
      <w:r>
        <w:rPr>
          <w:rFonts w:ascii="Times New Roman" w:hAnsi="Times New Roman" w:cs="Times New Roman"/>
          <w:noProof/>
          <w:sz w:val="24"/>
          <w:szCs w:val="24"/>
          <w:lang w:val="en-GB"/>
        </w:rPr>
        <w:t>y beneficiaries, including by beneficiaries of Community action grants, regarding the relevance of Specific Objective a)/Priority 1 was that the RF's target audience was not sufficiently broad as it did not include some categories of migrants, such as thos</w:t>
      </w:r>
      <w:r>
        <w:rPr>
          <w:rFonts w:ascii="Times New Roman" w:hAnsi="Times New Roman" w:cs="Times New Roman"/>
          <w:noProof/>
          <w:sz w:val="24"/>
          <w:szCs w:val="24"/>
          <w:lang w:val="en-GB"/>
        </w:rPr>
        <w:t>e residing legally on the territory of Member States but wishing to return to their country of origin. This has been addressed in the subsequent funding instrument, AMIF, as the target group has been expanded to include third-country nationals enjoying the</w:t>
      </w:r>
      <w:r>
        <w:rPr>
          <w:rFonts w:ascii="Times New Roman" w:hAnsi="Times New Roman" w:cs="Times New Roman"/>
          <w:noProof/>
          <w:sz w:val="24"/>
          <w:szCs w:val="24"/>
          <w:lang w:val="en-GB"/>
        </w:rPr>
        <w:t xml:space="preserve"> right to stay, legal residence and/or international protection or temporary protection who wish to voluntary return to their country of origin.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some Member States provided examples of needs that were not addressed by the Fund. Estonia and Spa</w:t>
      </w:r>
      <w:r>
        <w:rPr>
          <w:rFonts w:ascii="Times New Roman" w:hAnsi="Times New Roman" w:cs="Times New Roman"/>
          <w:noProof/>
          <w:sz w:val="24"/>
          <w:szCs w:val="24"/>
          <w:lang w:val="en-GB"/>
        </w:rPr>
        <w:t>in provided examples of needs which could not be addressed through RF funding, such as the upgrading of IT systems (EE), increasing the accommodation capacity of detention centres (EE), and the initial reconstruction of detention centres (ES)</w:t>
      </w:r>
      <w:r>
        <w:rPr>
          <w:rStyle w:val="FootnoteReference"/>
          <w:rFonts w:ascii="Times New Roman" w:hAnsi="Times New Roman" w:cs="Times New Roman"/>
          <w:noProof/>
          <w:sz w:val="24"/>
          <w:szCs w:val="24"/>
          <w:lang w:val="en-GB"/>
        </w:rPr>
        <w:footnoteReference w:id="72"/>
      </w:r>
      <w:r>
        <w:rPr>
          <w:rFonts w:ascii="Times New Roman" w:hAnsi="Times New Roman" w:cs="Times New Roman"/>
          <w:noProof/>
          <w:sz w:val="24"/>
          <w:szCs w:val="24"/>
          <w:lang w:val="en-GB"/>
        </w:rPr>
        <w:t>. This has be</w:t>
      </w:r>
      <w:r>
        <w:rPr>
          <w:rFonts w:ascii="Times New Roman" w:hAnsi="Times New Roman" w:cs="Times New Roman"/>
          <w:noProof/>
          <w:sz w:val="24"/>
          <w:szCs w:val="24"/>
          <w:lang w:val="en-GB"/>
        </w:rPr>
        <w:t>en addressed in the AMIF which covers 'the establishment, maintenance and improvement of accommodation, reception or detention infrastructure, services and conditions'</w:t>
      </w:r>
      <w:r>
        <w:rPr>
          <w:rStyle w:val="FootnoteReference"/>
          <w:rFonts w:ascii="Times New Roman" w:hAnsi="Times New Roman" w:cs="Times New Roman"/>
          <w:noProof/>
          <w:sz w:val="24"/>
          <w:szCs w:val="24"/>
          <w:lang w:val="en-GB"/>
        </w:rPr>
        <w:footnoteReference w:id="73"/>
      </w:r>
      <w:r>
        <w:rPr>
          <w:rFonts w:ascii="Times New Roman" w:hAnsi="Times New Roman" w:cs="Times New Roman"/>
          <w:noProof/>
          <w:sz w:val="24"/>
          <w:szCs w:val="24"/>
          <w:lang w:val="en-GB"/>
        </w:rPr>
        <w:t xml:space="preserve"> and 'the setting up of administrative structure and systems, including IT tools'</w:t>
      </w:r>
      <w:r>
        <w:rPr>
          <w:rStyle w:val="FootnoteReference"/>
          <w:rFonts w:ascii="Times New Roman" w:hAnsi="Times New Roman" w:cs="Times New Roman"/>
          <w:noProof/>
          <w:sz w:val="24"/>
          <w:szCs w:val="24"/>
          <w:lang w:val="en-GB"/>
        </w:rPr>
        <w:footnoteReference w:id="74"/>
      </w:r>
      <w:r>
        <w:rPr>
          <w:rFonts w:ascii="Times New Roman" w:hAnsi="Times New Roman" w:cs="Times New Roman"/>
          <w:noProof/>
          <w:sz w:val="24"/>
          <w:szCs w:val="24"/>
          <w:lang w:val="en-GB"/>
        </w:rPr>
        <w:t>.</w:t>
      </w:r>
      <w:bookmarkStart w:id="53" w:name="_Toc496630456"/>
      <w:bookmarkStart w:id="54" w:name="_Toc496711941"/>
    </w:p>
    <w:p w:rsidR="007013FD" w:rsidRDefault="005E3FDE">
      <w:pPr>
        <w:pStyle w:val="Heading2"/>
        <w:rPr>
          <w:rFonts w:ascii="Times New Roman" w:hAnsi="Times New Roman" w:cs="Times New Roman"/>
          <w:noProof/>
          <w:sz w:val="24"/>
          <w:szCs w:val="24"/>
          <w:lang w:val="en-GB"/>
        </w:rPr>
      </w:pPr>
      <w:bookmarkStart w:id="55" w:name="_Toc515379357"/>
      <w:r>
        <w:rPr>
          <w:rFonts w:ascii="Times New Roman" w:hAnsi="Times New Roman" w:cs="Times New Roman"/>
          <w:noProof/>
          <w:sz w:val="24"/>
          <w:szCs w:val="24"/>
          <w:lang w:val="en-GB"/>
        </w:rPr>
        <w:t>Effe</w:t>
      </w:r>
      <w:r>
        <w:rPr>
          <w:rFonts w:ascii="Times New Roman" w:hAnsi="Times New Roman" w:cs="Times New Roman"/>
          <w:noProof/>
          <w:sz w:val="24"/>
          <w:szCs w:val="24"/>
          <w:lang w:val="en-GB"/>
        </w:rPr>
        <w:t>ctiveness</w:t>
      </w:r>
      <w:bookmarkEnd w:id="53"/>
      <w:bookmarkEnd w:id="54"/>
      <w:bookmarkEnd w:id="55"/>
    </w:p>
    <w:tbl>
      <w:tblPr>
        <w:tblStyle w:val="TableGrid"/>
        <w:tblW w:w="0" w:type="auto"/>
        <w:tblLook w:val="04A0" w:firstRow="1" w:lastRow="0" w:firstColumn="1" w:lastColumn="0" w:noHBand="0" w:noVBand="1"/>
      </w:tblPr>
      <w:tblGrid>
        <w:gridCol w:w="9288"/>
      </w:tblGrid>
      <w:tr w:rsidR="007013FD" w:rsidRPr="005E3FDE">
        <w:tc>
          <w:tcPr>
            <w:tcW w:w="9288" w:type="dxa"/>
          </w:tcPr>
          <w:p w:rsidR="007013FD" w:rsidRDefault="007013FD">
            <w:pPr>
              <w:jc w:val="both"/>
              <w:rPr>
                <w:rFonts w:ascii="Times New Roman" w:hAnsi="Times New Roman" w:cs="Times New Roman"/>
                <w:i/>
                <w:noProof/>
                <w:sz w:val="24"/>
                <w:szCs w:val="24"/>
              </w:rPr>
            </w:pPr>
          </w:p>
          <w:p w:rsidR="007013FD" w:rsidRDefault="005E3FDE">
            <w:pPr>
              <w:jc w:val="both"/>
              <w:rPr>
                <w:rFonts w:ascii="Times New Roman" w:hAnsi="Times New Roman" w:cs="Times New Roman"/>
                <w:i/>
                <w:noProof/>
                <w:sz w:val="24"/>
                <w:szCs w:val="24"/>
              </w:rPr>
            </w:pPr>
            <w:r>
              <w:rPr>
                <w:rFonts w:ascii="Times New Roman" w:hAnsi="Times New Roman" w:cs="Times New Roman"/>
                <w:i/>
                <w:noProof/>
                <w:sz w:val="24"/>
                <w:szCs w:val="24"/>
              </w:rPr>
              <w:t>EQ1: To what extent did the RF 2011-2013 actions contribute to the achievement of the objectives defined in the Articles 2 and 3 of Decision No 2007/575/EC and to the priorities defined by the strategic guidelines (Decision No 2007/837/EC?</w:t>
            </w:r>
          </w:p>
          <w:p w:rsidR="007013FD" w:rsidRDefault="007013FD">
            <w:pPr>
              <w:jc w:val="both"/>
              <w:rPr>
                <w:rFonts w:ascii="Times New Roman" w:hAnsi="Times New Roman" w:cs="Times New Roman"/>
                <w:i/>
                <w:noProof/>
                <w:sz w:val="24"/>
                <w:szCs w:val="24"/>
              </w:rPr>
            </w:pPr>
          </w:p>
          <w:p w:rsidR="007013FD" w:rsidRDefault="005E3FDE">
            <w:pPr>
              <w:jc w:val="both"/>
              <w:rPr>
                <w:rFonts w:ascii="Times New Roman" w:hAnsi="Times New Roman" w:cs="Times New Roman"/>
                <w:noProof/>
                <w:sz w:val="24"/>
                <w:szCs w:val="24"/>
              </w:rPr>
            </w:pPr>
            <w:r>
              <w:rPr>
                <w:rFonts w:ascii="Times New Roman" w:hAnsi="Times New Roman" w:cs="Times New Roman"/>
                <w:b/>
                <w:noProof/>
                <w:sz w:val="24"/>
                <w:szCs w:val="24"/>
              </w:rPr>
              <w:t>Main</w:t>
            </w:r>
            <w:r>
              <w:rPr>
                <w:rFonts w:ascii="Times New Roman" w:hAnsi="Times New Roman" w:cs="Times New Roman"/>
                <w:b/>
                <w:noProof/>
                <w:sz w:val="24"/>
                <w:szCs w:val="24"/>
              </w:rPr>
              <w:t xml:space="preserve"> Conclusion:</w:t>
            </w:r>
            <w:r>
              <w:rPr>
                <w:rFonts w:ascii="Times New Roman" w:hAnsi="Times New Roman" w:cs="Times New Roman"/>
                <w:noProof/>
                <w:sz w:val="24"/>
                <w:szCs w:val="24"/>
              </w:rPr>
              <w:t xml:space="preserve"> Globally, the evaluation found that the RF was mainly effective in reaching the objectives laid down in the legal basis, although the degree of effectiveness varied greatly across the different types of priorities and actions and some problems</w:t>
            </w:r>
            <w:r>
              <w:rPr>
                <w:rFonts w:ascii="Times New Roman" w:hAnsi="Times New Roman" w:cs="Times New Roman"/>
                <w:noProof/>
                <w:sz w:val="24"/>
                <w:szCs w:val="24"/>
              </w:rPr>
              <w:t xml:space="preserve"> were encountered by Member States, RAs or beneficiaries.</w:t>
            </w:r>
          </w:p>
          <w:p w:rsidR="007013FD" w:rsidRDefault="005E3FDE">
            <w:pPr>
              <w:jc w:val="both"/>
              <w:rPr>
                <w:rFonts w:ascii="Times New Roman" w:hAnsi="Times New Roman" w:cs="Times New Roman"/>
                <w:noProof/>
                <w:sz w:val="24"/>
                <w:szCs w:val="24"/>
              </w:rPr>
            </w:pPr>
            <w:r>
              <w:rPr>
                <w:rFonts w:ascii="Times New Roman" w:hAnsi="Times New Roman" w:cs="Times New Roman"/>
                <w:noProof/>
                <w:sz w:val="24"/>
                <w:szCs w:val="24"/>
              </w:rPr>
              <w:t>Several sources suggest that the overall contribution of the RF to the achievement of the Fund's objectives was positive. The global results and achievements of the RF were assessed as positive by 2</w:t>
            </w:r>
            <w:r>
              <w:rPr>
                <w:rFonts w:ascii="Times New Roman" w:hAnsi="Times New Roman" w:cs="Times New Roman"/>
                <w:noProof/>
                <w:sz w:val="24"/>
                <w:szCs w:val="24"/>
              </w:rPr>
              <w:t>3 Member States</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and this is confirmed by the results of a survey of beneficiaries under Member States' Annual Programmes (APs).</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The large majority (93%) of projects carried out by respondents to the survey were implemented as planned, and 80% of these did not encounter major implementation obstacles. Over 90% of respondents considered that reaching planned results and objectives w</w:t>
            </w:r>
            <w:r>
              <w:rPr>
                <w:rFonts w:ascii="Times New Roman" w:hAnsi="Times New Roman" w:cs="Times New Roman"/>
                <w:noProof/>
                <w:sz w:val="24"/>
                <w:szCs w:val="24"/>
              </w:rPr>
              <w:t>as highly effective</w:t>
            </w:r>
            <w:r>
              <w:rPr>
                <w:rFonts w:ascii="Times New Roman" w:hAnsi="Times New Roman" w:cs="Times New Roman"/>
                <w:b/>
                <w:noProof/>
                <w:sz w:val="24"/>
                <w:szCs w:val="24"/>
              </w:rPr>
              <w:t>. Areas in which the RF made a significant contribution were</w:t>
            </w:r>
            <w:r>
              <w:rPr>
                <w:rFonts w:ascii="Times New Roman" w:hAnsi="Times New Roman" w:cs="Times New Roman"/>
                <w:noProof/>
                <w:sz w:val="24"/>
                <w:szCs w:val="24"/>
              </w:rPr>
              <w:t xml:space="preserve"> ensuring a better balance between voluntary and forced returns; the development of an integrated management approach and system; providing support to Member States dealing with</w:t>
            </w:r>
            <w:r>
              <w:rPr>
                <w:rFonts w:ascii="Times New Roman" w:hAnsi="Times New Roman" w:cs="Times New Roman"/>
                <w:noProof/>
                <w:sz w:val="24"/>
                <w:szCs w:val="24"/>
              </w:rPr>
              <w:t xml:space="preserve"> situations of particular pressure; and the enhancement of Member State return capacity. The RF also made a positive contribution to the provision of support to Member States in emergency situations requiring urgent action, in particular given the limitati</w:t>
            </w:r>
            <w:r>
              <w:rPr>
                <w:rFonts w:ascii="Times New Roman" w:hAnsi="Times New Roman" w:cs="Times New Roman"/>
                <w:noProof/>
                <w:sz w:val="24"/>
                <w:szCs w:val="24"/>
              </w:rPr>
              <w:t>ons of the distribution key to cope with changing migratory pressure.</w:t>
            </w:r>
          </w:p>
          <w:p w:rsidR="007013FD" w:rsidRDefault="005E3FDE">
            <w:pPr>
              <w:jc w:val="both"/>
              <w:rPr>
                <w:rFonts w:ascii="Times New Roman" w:hAnsi="Times New Roman" w:cs="Times New Roman"/>
                <w:noProof/>
                <w:sz w:val="24"/>
                <w:szCs w:val="24"/>
              </w:rPr>
            </w:pPr>
            <w:r>
              <w:rPr>
                <w:rFonts w:ascii="Times New Roman" w:hAnsi="Times New Roman" w:cs="Times New Roman"/>
                <w:noProof/>
                <w:sz w:val="24"/>
                <w:szCs w:val="24"/>
              </w:rPr>
              <w:t xml:space="preserve">At a project-specific and action-specific level, some problems or limitations regarding effectiveness were found. </w:t>
            </w:r>
            <w:r>
              <w:rPr>
                <w:rFonts w:ascii="Times New Roman" w:hAnsi="Times New Roman" w:cs="Times New Roman"/>
                <w:b/>
                <w:noProof/>
                <w:sz w:val="24"/>
                <w:szCs w:val="24"/>
              </w:rPr>
              <w:t>The RF had a moderate impact on</w:t>
            </w:r>
            <w:r>
              <w:rPr>
                <w:rFonts w:ascii="Times New Roman" w:hAnsi="Times New Roman" w:cs="Times New Roman"/>
                <w:noProof/>
                <w:sz w:val="24"/>
                <w:szCs w:val="24"/>
              </w:rPr>
              <w:t xml:space="preserve"> the enhancement of Member State cooperat</w:t>
            </w:r>
            <w:r>
              <w:rPr>
                <w:rFonts w:ascii="Times New Roman" w:hAnsi="Times New Roman" w:cs="Times New Roman"/>
                <w:noProof/>
                <w:sz w:val="24"/>
                <w:szCs w:val="24"/>
              </w:rPr>
              <w:t xml:space="preserve">ion, the implementation of EU standards and best practices, the development of innovative (inter)national tools for return management, and the improvement of cooperation with third countries. </w:t>
            </w:r>
            <w:r>
              <w:rPr>
                <w:rFonts w:ascii="Times New Roman" w:hAnsi="Times New Roman" w:cs="Times New Roman"/>
                <w:b/>
                <w:noProof/>
                <w:sz w:val="24"/>
                <w:szCs w:val="24"/>
              </w:rPr>
              <w:t>The RF had a limited impact on</w:t>
            </w:r>
            <w:r>
              <w:rPr>
                <w:rFonts w:ascii="Times New Roman" w:hAnsi="Times New Roman" w:cs="Times New Roman"/>
                <w:noProof/>
                <w:sz w:val="24"/>
                <w:szCs w:val="24"/>
              </w:rPr>
              <w:t xml:space="preserve"> the improvement of cooperation be</w:t>
            </w:r>
            <w:r>
              <w:rPr>
                <w:rFonts w:ascii="Times New Roman" w:hAnsi="Times New Roman" w:cs="Times New Roman"/>
                <w:noProof/>
                <w:sz w:val="24"/>
                <w:szCs w:val="24"/>
              </w:rPr>
              <w:t>tween different governance levels at the national level. The effectiveness of the RF in these different areas is discussed in more detail below in response to the relevant specific evaluation questions.</w:t>
            </w:r>
          </w:p>
          <w:p w:rsidR="007013FD" w:rsidRDefault="007013FD">
            <w:pPr>
              <w:jc w:val="both"/>
              <w:rPr>
                <w:rFonts w:ascii="Times New Roman" w:hAnsi="Times New Roman" w:cs="Times New Roman"/>
                <w:i/>
                <w:noProof/>
                <w:sz w:val="24"/>
                <w:szCs w:val="24"/>
              </w:rPr>
            </w:pPr>
          </w:p>
        </w:tc>
      </w:tr>
    </w:tbl>
    <w:p w:rsidR="007013FD" w:rsidRDefault="007013FD">
      <w:pPr>
        <w:jc w:val="both"/>
        <w:rPr>
          <w:rFonts w:ascii="Times New Roman" w:hAnsi="Times New Roman" w:cs="Times New Roman"/>
          <w:i/>
          <w:noProof/>
          <w:sz w:val="24"/>
          <w:szCs w:val="24"/>
          <w:lang w:val="en-GB"/>
        </w:rPr>
      </w:pPr>
    </w:p>
    <w:p w:rsidR="007013FD" w:rsidRDefault="005E3FDE">
      <w:pPr>
        <w:pStyle w:val="Heading3"/>
        <w:rPr>
          <w:rFonts w:ascii="Times New Roman" w:hAnsi="Times New Roman" w:cs="Times New Roman"/>
          <w:noProof/>
          <w:sz w:val="24"/>
          <w:szCs w:val="24"/>
        </w:rPr>
      </w:pPr>
      <w:bookmarkStart w:id="56" w:name="_Toc496630457"/>
      <w:bookmarkStart w:id="57" w:name="_Toc496711942"/>
      <w:bookmarkStart w:id="58" w:name="_Toc515379358"/>
      <w:r>
        <w:rPr>
          <w:rFonts w:ascii="Times New Roman" w:eastAsiaTheme="minorHAnsi" w:hAnsi="Times New Roman" w:cs="Times New Roman"/>
          <w:noProof/>
          <w:sz w:val="24"/>
          <w:szCs w:val="24"/>
        </w:rPr>
        <w:t xml:space="preserve">Specific Objective a): </w:t>
      </w:r>
      <w:r>
        <w:rPr>
          <w:rFonts w:ascii="Times New Roman" w:hAnsi="Times New Roman" w:cs="Times New Roman"/>
          <w:noProof/>
          <w:sz w:val="24"/>
          <w:szCs w:val="24"/>
        </w:rPr>
        <w:t>The contribution of the Fun</w:t>
      </w:r>
      <w:r>
        <w:rPr>
          <w:rFonts w:ascii="Times New Roman" w:hAnsi="Times New Roman" w:cs="Times New Roman"/>
          <w:noProof/>
          <w:sz w:val="24"/>
          <w:szCs w:val="24"/>
        </w:rPr>
        <w:t>d to the introduction and improvement of i</w:t>
      </w:r>
      <w:r>
        <w:rPr>
          <w:rFonts w:ascii="Times New Roman" w:eastAsiaTheme="minorHAnsi" w:hAnsi="Times New Roman" w:cs="Times New Roman"/>
          <w:noProof/>
          <w:sz w:val="24"/>
          <w:szCs w:val="24"/>
        </w:rPr>
        <w:t>ntegrated return management</w:t>
      </w:r>
      <w:bookmarkEnd w:id="56"/>
      <w:bookmarkEnd w:id="57"/>
      <w:bookmarkEnd w:id="58"/>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noProof/>
          <w:sz w:val="24"/>
          <w:szCs w:val="24"/>
          <w:lang w:val="en-GB"/>
        </w:rPr>
      </w:pPr>
      <w:r>
        <w:rPr>
          <w:rFonts w:ascii="Times New Roman" w:hAnsi="Times New Roman" w:cs="Times New Roman"/>
          <w:b/>
          <w:noProof/>
          <w:sz w:val="24"/>
          <w:szCs w:val="24"/>
          <w:lang w:val="en-GB"/>
        </w:rPr>
        <w:t>EQ2:</w:t>
      </w:r>
      <w:r>
        <w:rPr>
          <w:rFonts w:ascii="Times New Roman" w:hAnsi="Times New Roman" w:cs="Times New Roman"/>
          <w:i/>
          <w:noProof/>
          <w:sz w:val="24"/>
          <w:szCs w:val="24"/>
          <w:lang w:val="en-GB"/>
        </w:rPr>
        <w:t xml:space="preserve"> To what extent did the actions under the RF 2011-2013 contribute to the development of integrated return management and in particular to the balance between forced and voluntary returns and to the setting up of a return procedure based on the situation of</w:t>
      </w:r>
      <w:r>
        <w:rPr>
          <w:rFonts w:ascii="Times New Roman" w:hAnsi="Times New Roman" w:cs="Times New Roman"/>
          <w:i/>
          <w:noProof/>
          <w:sz w:val="24"/>
          <w:szCs w:val="24"/>
          <w:lang w:val="en-GB"/>
        </w:rPr>
        <w:t xml:space="preserve"> the potential returnees?</w:t>
      </w:r>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noProof/>
        </w:rPr>
      </w:pPr>
      <w:r>
        <w:rPr>
          <w:b/>
          <w:noProof/>
        </w:rPr>
        <w:t>Main conclusion:</w:t>
      </w:r>
      <w:r>
        <w:rPr>
          <w:noProof/>
        </w:rPr>
        <w:t xml:space="preserve"> The RF has contributed to the development of an integrated return management system (under specific objective (a) of the RF Decision and Priority 1 of the Strategic Guidelines) to a large extent, although the plan</w:t>
      </w:r>
      <w:r>
        <w:rPr>
          <w:noProof/>
        </w:rPr>
        <w:t>ned numbers of returns were not always achieved. This was mostly due to changing migratory pressures, to difficulties in planning a realistic number of returns that could be attained, as well as to scheduling constraints and limited cooperation with partne</w:t>
      </w:r>
      <w:r>
        <w:rPr>
          <w:noProof/>
        </w:rPr>
        <w:t>rs countries and potential returnees. The fund was moderately effective in the implementation of forced returns and assistance to vulnerable groups, in particular unaccompanied minors.  However, it contributed to raising the standards of the return managem</w:t>
      </w:r>
      <w:r>
        <w:rPr>
          <w:noProof/>
        </w:rPr>
        <w:t xml:space="preserve">ent system as a whole. The RF has particularly contributed to the achievement of a better balance between voluntary and forced return, with a considerable increase in voluntary returns in 2011-2013.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RF </w:t>
      </w:r>
      <w:r>
        <w:rPr>
          <w:rFonts w:ascii="Times New Roman" w:hAnsi="Times New Roman" w:cs="Times New Roman"/>
          <w:b/>
          <w:noProof/>
          <w:sz w:val="24"/>
          <w:szCs w:val="24"/>
          <w:lang w:val="en-GB"/>
        </w:rPr>
        <w:t xml:space="preserve">has been effective in supporting the development </w:t>
      </w:r>
      <w:r>
        <w:rPr>
          <w:rFonts w:ascii="Times New Roman" w:hAnsi="Times New Roman" w:cs="Times New Roman"/>
          <w:b/>
          <w:noProof/>
          <w:sz w:val="24"/>
          <w:szCs w:val="24"/>
          <w:lang w:val="en-GB"/>
        </w:rPr>
        <w:t>of an integrated return management system</w:t>
      </w:r>
      <w:r>
        <w:rPr>
          <w:rFonts w:ascii="Times New Roman" w:hAnsi="Times New Roman" w:cs="Times New Roman"/>
          <w:noProof/>
          <w:sz w:val="24"/>
          <w:szCs w:val="24"/>
          <w:lang w:val="en-GB"/>
        </w:rPr>
        <w:t xml:space="preserve"> (Specific Objective a)/ Priority 1) at both the national and EU levels.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At the national level</w:t>
      </w:r>
      <w:r>
        <w:rPr>
          <w:rFonts w:ascii="Times New Roman" w:hAnsi="Times New Roman" w:cs="Times New Roman"/>
          <w:noProof/>
          <w:sz w:val="24"/>
          <w:szCs w:val="24"/>
          <w:lang w:val="en-GB"/>
        </w:rPr>
        <w:t>, most Member States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lang w:val="en-GB"/>
        </w:rPr>
        <w:t xml:space="preserve"> stressed the important contribution that the RF made by introducing and enhancing the implementatio</w:t>
      </w:r>
      <w:r>
        <w:rPr>
          <w:rFonts w:ascii="Times New Roman" w:hAnsi="Times New Roman" w:cs="Times New Roman"/>
          <w:noProof/>
          <w:sz w:val="24"/>
          <w:szCs w:val="24"/>
          <w:lang w:val="en-GB"/>
        </w:rPr>
        <w:t>n of integrated return management. Member States highlighted the positive impact of the RF in terms of contributing to the planning and strategy of an integrated return management system (BE and HU</w:t>
      </w:r>
      <w:r>
        <w:rPr>
          <w:rStyle w:val="FootnoteReference"/>
          <w:rFonts w:ascii="Times New Roman" w:hAnsi="Times New Roman" w:cs="Times New Roman"/>
          <w:noProof/>
          <w:sz w:val="24"/>
          <w:szCs w:val="24"/>
          <w:lang w:val="en-GB"/>
        </w:rPr>
        <w:footnoteReference w:id="78"/>
      </w:r>
      <w:r>
        <w:rPr>
          <w:rFonts w:ascii="Times New Roman" w:hAnsi="Times New Roman" w:cs="Times New Roman"/>
          <w:noProof/>
          <w:sz w:val="24"/>
          <w:szCs w:val="24"/>
          <w:lang w:val="en-GB"/>
        </w:rPr>
        <w:t>); the comprehensiveness and coherence of national activit</w:t>
      </w:r>
      <w:r>
        <w:rPr>
          <w:rFonts w:ascii="Times New Roman" w:hAnsi="Times New Roman" w:cs="Times New Roman"/>
          <w:noProof/>
          <w:sz w:val="24"/>
          <w:szCs w:val="24"/>
          <w:lang w:val="en-GB"/>
        </w:rPr>
        <w:t>ies in the area of return (EE and ES); the governance of return activities and the possibility to manage them in an integrated manner (IT). Some Member States highlighted specific challenges in relation to the development of an integrated return management</w:t>
      </w:r>
      <w:r>
        <w:rPr>
          <w:rFonts w:ascii="Times New Roman" w:hAnsi="Times New Roman" w:cs="Times New Roman"/>
          <w:noProof/>
          <w:sz w:val="24"/>
          <w:szCs w:val="24"/>
          <w:lang w:val="en-GB"/>
        </w:rPr>
        <w:t xml:space="preserve"> system</w:t>
      </w:r>
      <w:r>
        <w:rPr>
          <w:rStyle w:val="FootnoteReference"/>
          <w:rFonts w:ascii="Times New Roman" w:hAnsi="Times New Roman" w:cs="Times New Roman"/>
          <w:noProof/>
          <w:sz w:val="24"/>
          <w:szCs w:val="24"/>
          <w:lang w:val="en-GB"/>
        </w:rPr>
        <w:footnoteReference w:id="79"/>
      </w:r>
      <w:r>
        <w:rPr>
          <w:rFonts w:ascii="Times New Roman" w:hAnsi="Times New Roman" w:cs="Times New Roman"/>
          <w:noProof/>
          <w:sz w:val="24"/>
          <w:szCs w:val="24"/>
          <w:lang w:val="en-GB"/>
        </w:rPr>
        <w:t xml:space="preserve">. Bulgaria for instance saw the development of integrated return management as a long-term process which could not be completed in the period 2011-2013.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nine Member States</w:t>
      </w:r>
      <w:r>
        <w:rPr>
          <w:rStyle w:val="FootnoteReference"/>
          <w:rFonts w:ascii="Times New Roman" w:hAnsi="Times New Roman" w:cs="Times New Roman"/>
          <w:noProof/>
          <w:sz w:val="24"/>
          <w:szCs w:val="24"/>
          <w:lang w:val="en-GB"/>
        </w:rPr>
        <w:footnoteReference w:id="80"/>
      </w:r>
      <w:r>
        <w:rPr>
          <w:rFonts w:ascii="Times New Roman" w:hAnsi="Times New Roman" w:cs="Times New Roman"/>
          <w:noProof/>
          <w:sz w:val="24"/>
          <w:szCs w:val="24"/>
          <w:lang w:val="en-GB"/>
        </w:rPr>
        <w:t xml:space="preserve"> specifically mentioned the importance of the RF contribution </w:t>
      </w:r>
      <w:r>
        <w:rPr>
          <w:rFonts w:ascii="Times New Roman" w:hAnsi="Times New Roman" w:cs="Times New Roman"/>
          <w:noProof/>
          <w:sz w:val="24"/>
          <w:szCs w:val="24"/>
          <w:lang w:val="en-GB"/>
        </w:rPr>
        <w:t xml:space="preserve">to reintegration support as a complement to their </w:t>
      </w:r>
      <w:r>
        <w:rPr>
          <w:rFonts w:ascii="Times New Roman" w:hAnsi="Times New Roman"/>
          <w:noProof/>
          <w:sz w:val="24"/>
          <w:lang w:val="en-GB"/>
        </w:rPr>
        <w:t xml:space="preserve">Assisted Voluntary Return </w:t>
      </w:r>
      <w:r>
        <w:rPr>
          <w:rFonts w:ascii="Times New Roman" w:hAnsi="Times New Roman" w:cs="Times New Roman"/>
          <w:noProof/>
          <w:sz w:val="24"/>
          <w:szCs w:val="24"/>
          <w:lang w:val="en-GB"/>
        </w:rPr>
        <w:t>programmes. Reintegration services provided with the support of the Fund included, for example: complementary financial support (AT, HU, IT, PL); pre-departure trainings to improve</w:t>
      </w:r>
      <w:r>
        <w:rPr>
          <w:rFonts w:ascii="Times New Roman" w:hAnsi="Times New Roman" w:cs="Times New Roman"/>
          <w:noProof/>
          <w:sz w:val="24"/>
          <w:szCs w:val="24"/>
          <w:lang w:val="en-GB"/>
        </w:rPr>
        <w:t xml:space="preserve"> the skill set of returned (DE, HU, IT); assistance in identifying and seizing potential (self-) employment opportunities (DE, IT, PL); assistance in obtaining travel documents and transit to target locations (PL).</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At EU level</w:t>
      </w: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Community actions 2010-2</w:t>
      </w:r>
      <w:r>
        <w:rPr>
          <w:rFonts w:ascii="Times New Roman" w:hAnsi="Times New Roman" w:cs="Times New Roman"/>
          <w:b/>
          <w:noProof/>
          <w:sz w:val="24"/>
          <w:szCs w:val="24"/>
          <w:lang w:val="en-GB"/>
        </w:rPr>
        <w:t>013</w:t>
      </w:r>
      <w:r>
        <w:rPr>
          <w:rFonts w:ascii="Times New Roman" w:hAnsi="Times New Roman" w:cs="Times New Roman"/>
          <w:noProof/>
          <w:sz w:val="24"/>
          <w:szCs w:val="24"/>
          <w:lang w:val="en-GB"/>
        </w:rPr>
        <w:t xml:space="preserve"> funded several return and reintegration programmes, such as  </w:t>
      </w:r>
      <w:r>
        <w:rPr>
          <w:rFonts w:ascii="Times New Roman" w:hAnsi="Times New Roman" w:cs="Times New Roman"/>
          <w:noProof/>
          <w:sz w:val="24"/>
          <w:szCs w:val="24"/>
          <w:lang w:val="en-IE"/>
        </w:rPr>
        <w:t xml:space="preserve">the European Integrated Approach on Return towards Third Countries – (EURINT), the European Reintegration Instrument (ERI), and the European Reintegration Network – ERIN) </w:t>
      </w:r>
      <w:r>
        <w:rPr>
          <w:rFonts w:ascii="Times New Roman" w:hAnsi="Times New Roman" w:cs="Times New Roman"/>
          <w:noProof/>
          <w:sz w:val="24"/>
          <w:szCs w:val="24"/>
          <w:lang w:val="en-GB"/>
        </w:rPr>
        <w:t>which helped to fill</w:t>
      </w:r>
      <w:r>
        <w:rPr>
          <w:rFonts w:ascii="Times New Roman" w:hAnsi="Times New Roman" w:cs="Times New Roman"/>
          <w:noProof/>
          <w:sz w:val="24"/>
          <w:szCs w:val="24"/>
          <w:lang w:val="en-GB"/>
        </w:rPr>
        <w:t xml:space="preserve"> gaps in national return policies by enabling practical cooperation among Member States and between Member States and third countries.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Fund has proven to be effective in contributing to the different components of integrated return management.</w:t>
      </w:r>
      <w:r>
        <w:rPr>
          <w:rStyle w:val="FootnoteReference"/>
          <w:rFonts w:ascii="Times New Roman" w:hAnsi="Times New Roman" w:cs="Times New Roman"/>
          <w:noProof/>
          <w:sz w:val="24"/>
          <w:szCs w:val="24"/>
          <w:lang w:val="en-GB"/>
        </w:rPr>
        <w:footnoteReference w:id="81"/>
      </w:r>
      <w:r>
        <w:rPr>
          <w:rFonts w:ascii="Times New Roman" w:hAnsi="Times New Roman" w:cs="Times New Roman"/>
          <w:noProof/>
          <w:sz w:val="24"/>
          <w:szCs w:val="24"/>
          <w:lang w:val="en-GB"/>
        </w:rPr>
        <w:t xml:space="preserve"> Below, </w:t>
      </w:r>
      <w:r>
        <w:rPr>
          <w:rFonts w:ascii="Times New Roman" w:hAnsi="Times New Roman" w:cs="Times New Roman"/>
          <w:noProof/>
          <w:sz w:val="24"/>
          <w:szCs w:val="24"/>
          <w:lang w:val="en-GB"/>
        </w:rPr>
        <w:t>the RF's contribution to each component is assessed.</w:t>
      </w:r>
    </w:p>
    <w:p w:rsidR="007013FD" w:rsidRDefault="005E3FDE">
      <w:pPr>
        <w:pStyle w:val="ListParagraph"/>
        <w:numPr>
          <w:ilvl w:val="0"/>
          <w:numId w:val="47"/>
        </w:numPr>
        <w:spacing w:line="240" w:lineRule="auto"/>
        <w:jc w:val="both"/>
        <w:rPr>
          <w:rFonts w:ascii="Times New Roman" w:hAnsi="Times New Roman"/>
          <w:noProof/>
          <w:sz w:val="24"/>
        </w:rPr>
      </w:pPr>
      <w:r>
        <w:rPr>
          <w:rFonts w:ascii="Times New Roman" w:hAnsi="Times New Roman"/>
          <w:b/>
          <w:noProof/>
          <w:sz w:val="24"/>
        </w:rPr>
        <w:t>The promotion of voluntary return over forced return</w:t>
      </w:r>
    </w:p>
    <w:p w:rsidR="007013FD" w:rsidRDefault="007013FD">
      <w:pPr>
        <w:pStyle w:val="ListParagraph"/>
        <w:spacing w:line="240" w:lineRule="auto"/>
        <w:ind w:left="1428"/>
        <w:jc w:val="both"/>
        <w:rPr>
          <w:rFonts w:ascii="Times New Roman" w:hAnsi="Times New Roman"/>
          <w:noProof/>
          <w:sz w:val="24"/>
        </w:rPr>
      </w:pPr>
    </w:p>
    <w:p w:rsidR="007013FD" w:rsidRDefault="005E3FDE">
      <w:pPr>
        <w:autoSpaceDE w:val="0"/>
        <w:autoSpaceDN w:val="0"/>
        <w:adjustRightInd w:val="0"/>
        <w:spacing w:after="0" w:line="240" w:lineRule="auto"/>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The share of voluntary returns out of the total number of returns has gradually increased in the EU over the past years. In 2013, it is estimated tha</w:t>
      </w:r>
      <w:r>
        <w:rPr>
          <w:rFonts w:ascii="Times New Roman" w:hAnsi="Times New Roman" w:cs="Times New Roman"/>
          <w:bCs/>
          <w:noProof/>
          <w:sz w:val="24"/>
          <w:szCs w:val="24"/>
          <w:lang w:val="en-GB"/>
        </w:rPr>
        <w:t>t around 40% of returns were voluntary departures, from just 14% in 2009</w:t>
      </w:r>
      <w:r>
        <w:rPr>
          <w:rStyle w:val="FootnoteReference"/>
          <w:rFonts w:ascii="Times New Roman" w:hAnsi="Times New Roman" w:cs="Times New Roman"/>
          <w:bCs/>
          <w:noProof/>
          <w:sz w:val="24"/>
          <w:szCs w:val="24"/>
          <w:lang w:val="en-GB"/>
        </w:rPr>
        <w:footnoteReference w:id="82"/>
      </w:r>
      <w:r>
        <w:rPr>
          <w:rFonts w:ascii="Times New Roman" w:hAnsi="Times New Roman" w:cs="Times New Roman"/>
          <w:bCs/>
          <w:noProof/>
          <w:sz w:val="24"/>
          <w:szCs w:val="24"/>
          <w:lang w:val="en-GB"/>
        </w:rPr>
        <w:t>.</w:t>
      </w:r>
      <w:r>
        <w:rPr>
          <w:noProof/>
          <w:lang w:val="en-GB"/>
        </w:rPr>
        <w:t xml:space="preserve"> </w:t>
      </w:r>
      <w:r>
        <w:rPr>
          <w:rFonts w:ascii="Times New Roman" w:hAnsi="Times New Roman" w:cs="Times New Roman"/>
          <w:bCs/>
          <w:noProof/>
          <w:sz w:val="24"/>
          <w:szCs w:val="24"/>
          <w:lang w:val="en-GB"/>
        </w:rPr>
        <w:t>To promote the voluntary return of persons, in particular persons who are under no obligation to leave the territory, provision should be made for incentives for such returnees, such as preferential treatment by providing enhanced return assistance. This k</w:t>
      </w:r>
      <w:r>
        <w:rPr>
          <w:rFonts w:ascii="Times New Roman" w:hAnsi="Times New Roman" w:cs="Times New Roman"/>
          <w:bCs/>
          <w:noProof/>
          <w:sz w:val="24"/>
          <w:szCs w:val="24"/>
          <w:lang w:val="en-GB"/>
        </w:rPr>
        <w:t xml:space="preserve">ind of voluntary return is both in the interests of a dignified return of returnees, as well as of the authorities in terms of cost-effectiveness. </w:t>
      </w:r>
    </w:p>
    <w:p w:rsidR="007013FD" w:rsidRDefault="007013FD">
      <w:pPr>
        <w:autoSpaceDE w:val="0"/>
        <w:autoSpaceDN w:val="0"/>
        <w:adjustRightInd w:val="0"/>
        <w:spacing w:after="0" w:line="240" w:lineRule="auto"/>
        <w:jc w:val="both"/>
        <w:rPr>
          <w:rFonts w:ascii="Times New Roman" w:hAnsi="Times New Roman" w:cs="Times New Roman"/>
          <w:bCs/>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RF was particularly effective in contributing to a better balance between forced and voluntary returns.</w:t>
      </w:r>
      <w:r>
        <w:rPr>
          <w:rFonts w:ascii="Times New Roman" w:hAnsi="Times New Roman" w:cs="Times New Roman"/>
          <w:noProof/>
          <w:sz w:val="24"/>
          <w:szCs w:val="24"/>
          <w:lang w:val="en-GB"/>
        </w:rPr>
        <w:t xml:space="preserve"> While Member States had a propensity to finance forced return over voluntary return operations</w:t>
      </w:r>
      <w:r>
        <w:rPr>
          <w:rStyle w:val="FootnoteReference"/>
          <w:rFonts w:ascii="Times New Roman" w:hAnsi="Times New Roman" w:cs="Times New Roman"/>
          <w:noProof/>
          <w:sz w:val="24"/>
          <w:szCs w:val="24"/>
          <w:lang w:val="en-GB"/>
        </w:rPr>
        <w:footnoteReference w:id="83"/>
      </w:r>
      <w:r>
        <w:rPr>
          <w:rFonts w:ascii="Times New Roman" w:hAnsi="Times New Roman" w:cs="Times New Roman"/>
          <w:noProof/>
          <w:sz w:val="24"/>
          <w:szCs w:val="24"/>
          <w:lang w:val="en-GB"/>
        </w:rPr>
        <w:t>, the financial contribution of the RF sought to bring a balance between these through the provision of a slightly higher allocation to voluntary returns</w:t>
      </w:r>
      <w:r>
        <w:rPr>
          <w:rStyle w:val="FootnoteReference"/>
          <w:rFonts w:ascii="Times New Roman" w:hAnsi="Times New Roman" w:cs="Times New Roman"/>
          <w:noProof/>
          <w:sz w:val="24"/>
          <w:szCs w:val="24"/>
          <w:lang w:val="en-GB"/>
        </w:rPr>
        <w:footnoteReference w:id="84"/>
      </w:r>
      <w:r>
        <w:rPr>
          <w:rFonts w:ascii="Times New Roman" w:hAnsi="Times New Roman" w:cs="Times New Roman"/>
          <w:noProof/>
          <w:sz w:val="24"/>
          <w:szCs w:val="24"/>
          <w:lang w:val="en-GB"/>
        </w:rPr>
        <w:t>. This</w:t>
      </w:r>
      <w:r>
        <w:rPr>
          <w:rFonts w:ascii="Times New Roman" w:hAnsi="Times New Roman" w:cs="Times New Roman"/>
          <w:noProof/>
          <w:sz w:val="24"/>
          <w:szCs w:val="24"/>
          <w:lang w:val="en-GB"/>
        </w:rPr>
        <w:t xml:space="preserve"> was not necessarily followed by a general shift in approach or policy at Member State level….However, in terms of outcomes, the number of persons returned voluntarily under the RF was significantly higher than the number of unilateral forced returns in 20</w:t>
      </w:r>
      <w:r>
        <w:rPr>
          <w:rFonts w:ascii="Times New Roman" w:hAnsi="Times New Roman" w:cs="Times New Roman"/>
          <w:noProof/>
          <w:sz w:val="24"/>
          <w:szCs w:val="24"/>
          <w:lang w:val="en-GB"/>
        </w:rPr>
        <w:t>11 (73% higher) and 2013 (157% higher)</w:t>
      </w:r>
      <w:r>
        <w:rPr>
          <w:rStyle w:val="FootnoteReference"/>
          <w:rFonts w:ascii="Times New Roman" w:hAnsi="Times New Roman" w:cs="Times New Roman"/>
          <w:noProof/>
          <w:sz w:val="24"/>
          <w:szCs w:val="24"/>
          <w:lang w:val="en-GB"/>
        </w:rPr>
        <w:footnoteReference w:id="85"/>
      </w:r>
      <w:r>
        <w:rPr>
          <w:rFonts w:ascii="Times New Roman" w:hAnsi="Times New Roman" w:cs="Times New Roman"/>
          <w:noProof/>
          <w:sz w:val="24"/>
          <w:szCs w:val="24"/>
          <w:lang w:val="en-GB"/>
        </w:rPr>
        <w:t>. Currently, all the Member States that made use of the RF over 2011-2013 have at least one Assisted Voluntary Return (and Reintegration) programme (AVRR) in place.</w:t>
      </w:r>
      <w:r>
        <w:rPr>
          <w:rStyle w:val="FootnoteReference"/>
          <w:rFonts w:ascii="Times New Roman" w:hAnsi="Times New Roman" w:cs="Times New Roman"/>
          <w:noProof/>
          <w:sz w:val="24"/>
          <w:szCs w:val="24"/>
          <w:lang w:val="en-GB"/>
        </w:rPr>
        <w:footnoteReference w:id="86"/>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these positive outcomes, a few Member Stat</w:t>
      </w:r>
      <w:r>
        <w:rPr>
          <w:rFonts w:ascii="Times New Roman" w:hAnsi="Times New Roman" w:cs="Times New Roman"/>
          <w:noProof/>
          <w:sz w:val="24"/>
          <w:szCs w:val="24"/>
          <w:lang w:val="en-GB"/>
        </w:rPr>
        <w:t>es</w:t>
      </w:r>
      <w:r>
        <w:rPr>
          <w:rStyle w:val="FootnoteReference"/>
          <w:rFonts w:ascii="Times New Roman" w:hAnsi="Times New Roman" w:cs="Times New Roman"/>
          <w:noProof/>
          <w:sz w:val="24"/>
          <w:szCs w:val="24"/>
          <w:lang w:val="en-GB"/>
        </w:rPr>
        <w:footnoteReference w:id="87"/>
      </w:r>
      <w:r>
        <w:rPr>
          <w:rFonts w:ascii="Times New Roman" w:hAnsi="Times New Roman" w:cs="Times New Roman"/>
          <w:noProof/>
          <w:sz w:val="24"/>
          <w:szCs w:val="24"/>
          <w:lang w:val="en-GB"/>
        </w:rPr>
        <w:t xml:space="preserve"> reported that their RF-funded projects on AVR(R) had not reached the planned number of persons returned. Underperformance was attributed to difficulties in estimating the number of voluntary returns accurately at the moment of drafting the annual progr</w:t>
      </w:r>
      <w:r>
        <w:rPr>
          <w:rFonts w:ascii="Times New Roman" w:hAnsi="Times New Roman" w:cs="Times New Roman"/>
          <w:noProof/>
          <w:sz w:val="24"/>
          <w:szCs w:val="24"/>
          <w:lang w:val="en-GB"/>
        </w:rPr>
        <w:t>ammes (EE, ES); insufficient cooperation with the International Organisation for Migration (IOM); or the time taken to develop an outreach programme and to build trust with potential returnees (UK).</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RF </w:t>
      </w:r>
      <w:r>
        <w:rPr>
          <w:rFonts w:ascii="Times New Roman" w:hAnsi="Times New Roman" w:cs="Times New Roman"/>
          <w:b/>
          <w:noProof/>
          <w:sz w:val="24"/>
          <w:szCs w:val="24"/>
          <w:lang w:val="en-GB"/>
        </w:rPr>
        <w:t>was moderately effective in supporting the impleme</w:t>
      </w:r>
      <w:r>
        <w:rPr>
          <w:rFonts w:ascii="Times New Roman" w:hAnsi="Times New Roman" w:cs="Times New Roman"/>
          <w:b/>
          <w:noProof/>
          <w:sz w:val="24"/>
          <w:szCs w:val="24"/>
          <w:lang w:val="en-GB"/>
        </w:rPr>
        <w:t>ntation of forced returns</w:t>
      </w:r>
      <w:r>
        <w:rPr>
          <w:rFonts w:ascii="Times New Roman" w:hAnsi="Times New Roman" w:cs="Times New Roman"/>
          <w:noProof/>
          <w:sz w:val="24"/>
          <w:szCs w:val="24"/>
          <w:lang w:val="en-GB"/>
        </w:rPr>
        <w:t>. Over 68 000 forced returns were implemented with RF support in 2011-2013 out of an estimated 195 117 conducted by Member States through unilateral forced return operations.</w:t>
      </w:r>
      <w:r>
        <w:rPr>
          <w:rStyle w:val="FootnoteReference"/>
          <w:rFonts w:ascii="Times New Roman" w:hAnsi="Times New Roman" w:cs="Times New Roman"/>
          <w:noProof/>
          <w:sz w:val="24"/>
          <w:szCs w:val="24"/>
          <w:lang w:val="en-GB"/>
        </w:rPr>
        <w:footnoteReference w:id="88"/>
      </w:r>
      <w:r>
        <w:rPr>
          <w:rFonts w:ascii="Times New Roman" w:hAnsi="Times New Roman" w:cs="Times New Roman"/>
          <w:noProof/>
          <w:sz w:val="24"/>
          <w:szCs w:val="24"/>
          <w:lang w:val="en-GB"/>
        </w:rPr>
        <w:t xml:space="preserve"> In six Member States</w:t>
      </w:r>
      <w:r>
        <w:rPr>
          <w:rStyle w:val="FootnoteReference"/>
          <w:rFonts w:ascii="Times New Roman" w:hAnsi="Times New Roman" w:cs="Times New Roman"/>
          <w:noProof/>
          <w:sz w:val="24"/>
          <w:szCs w:val="24"/>
          <w:lang w:val="en-GB"/>
        </w:rPr>
        <w:footnoteReference w:id="89"/>
      </w:r>
      <w:r>
        <w:rPr>
          <w:rFonts w:ascii="Times New Roman" w:hAnsi="Times New Roman" w:cs="Times New Roman"/>
          <w:noProof/>
          <w:sz w:val="24"/>
          <w:szCs w:val="24"/>
          <w:lang w:val="en-GB"/>
        </w:rPr>
        <w:t xml:space="preserve"> the outputs achieved with forced </w:t>
      </w:r>
      <w:r>
        <w:rPr>
          <w:rFonts w:ascii="Times New Roman" w:hAnsi="Times New Roman" w:cs="Times New Roman"/>
          <w:noProof/>
          <w:sz w:val="24"/>
          <w:szCs w:val="24"/>
          <w:lang w:val="en-GB"/>
        </w:rPr>
        <w:t>returns were lower than planned. Reasons mentioned for this were the impact of changing migration pressures which made it difficult to predict the number of implemented returns (EL, PL, ES); a lower number of returns eligible under the RF (CY); problems in</w:t>
      </w:r>
      <w:r>
        <w:rPr>
          <w:rFonts w:ascii="Times New Roman" w:hAnsi="Times New Roman" w:cs="Times New Roman"/>
          <w:noProof/>
          <w:sz w:val="24"/>
          <w:szCs w:val="24"/>
          <w:lang w:val="en-GB"/>
        </w:rPr>
        <w:t xml:space="preserve"> identifying returnees held in detention centres due to the high numbers involved and to delays in the procurement process which hindered the organisation of charter flights (EL); and a lack of cooperation from countries of origin (FI, EL, UK). Nevertheles</w:t>
      </w:r>
      <w:r>
        <w:rPr>
          <w:rFonts w:ascii="Times New Roman" w:hAnsi="Times New Roman" w:cs="Times New Roman"/>
          <w:noProof/>
          <w:sz w:val="24"/>
          <w:szCs w:val="24"/>
          <w:lang w:val="en-GB"/>
        </w:rPr>
        <w:t xml:space="preserve">s, overall, while the actions supported by the Fundmay not have directly contributed to increase the number of third-country nationals returned, they were found to have raised the standards of the forced return management system as a whole. </w:t>
      </w:r>
      <w:r>
        <w:rPr>
          <w:rFonts w:ascii="Times New Roman" w:hAnsi="Times New Roman" w:cs="Times New Roman"/>
          <w:noProof/>
          <w:sz w:val="24"/>
          <w:szCs w:val="24"/>
          <w:lang w:val="en-IE"/>
        </w:rPr>
        <w:t>For example, au</w:t>
      </w:r>
      <w:r>
        <w:rPr>
          <w:rFonts w:ascii="Times New Roman" w:hAnsi="Times New Roman" w:cs="Times New Roman"/>
          <w:noProof/>
          <w:sz w:val="24"/>
          <w:szCs w:val="24"/>
          <w:lang w:val="en-IE"/>
        </w:rPr>
        <w:t>thorities in Hungary emphasised the importance of providing professional escort services    (including medical escorts) whilst authorities in Poland expressed the view that capacity-building measures in the areas of forced return and detention had led to i</w:t>
      </w:r>
      <w:r>
        <w:rPr>
          <w:rFonts w:ascii="Times New Roman" w:hAnsi="Times New Roman" w:cs="Times New Roman"/>
          <w:noProof/>
          <w:sz w:val="24"/>
          <w:szCs w:val="24"/>
          <w:lang w:val="en-IE"/>
        </w:rPr>
        <w:t>mprovements in the quality of the return management system.</w:t>
      </w:r>
      <w:r>
        <w:rPr>
          <w:rFonts w:ascii="Times New Roman" w:hAnsi="Times New Roman" w:cs="Times New Roman"/>
          <w:noProof/>
          <w:lang w:val="en-IE"/>
        </w:rPr>
        <w:t xml:space="preserve"> </w:t>
      </w:r>
      <w:r>
        <w:rPr>
          <w:rFonts w:ascii="Times New Roman" w:hAnsi="Times New Roman" w:cs="Times New Roman"/>
          <w:noProof/>
          <w:sz w:val="24"/>
          <w:szCs w:val="24"/>
          <w:lang w:val="en-GB"/>
        </w:rPr>
        <w:t>For the next programme of funding, Article 12 of the AMIF Regulation now seeks to foster a continued improvement of EU standards in this area</w:t>
      </w:r>
      <w:r>
        <w:rPr>
          <w:rStyle w:val="FootnoteReference"/>
          <w:rFonts w:ascii="Times New Roman" w:hAnsi="Times New Roman" w:cs="Times New Roman"/>
          <w:noProof/>
          <w:sz w:val="24"/>
          <w:szCs w:val="24"/>
          <w:lang w:val="en-GB"/>
        </w:rPr>
        <w:footnoteReference w:id="90"/>
      </w:r>
      <w:r>
        <w:rPr>
          <w:rFonts w:ascii="Times New Roman" w:hAnsi="Times New Roman" w:cs="Times New Roman"/>
          <w:noProof/>
          <w:sz w:val="24"/>
          <w:szCs w:val="24"/>
          <w:lang w:val="en-GB"/>
        </w:rPr>
        <w:t>.</w:t>
      </w:r>
    </w:p>
    <w:p w:rsidR="007013FD" w:rsidRDefault="005E3FDE">
      <w:pPr>
        <w:pStyle w:val="ListParagraph"/>
        <w:numPr>
          <w:ilvl w:val="0"/>
          <w:numId w:val="47"/>
        </w:numPr>
        <w:jc w:val="both"/>
        <w:rPr>
          <w:rFonts w:ascii="Times New Roman" w:hAnsi="Times New Roman"/>
          <w:noProof/>
          <w:sz w:val="24"/>
        </w:rPr>
      </w:pPr>
      <w:r>
        <w:rPr>
          <w:rFonts w:ascii="Times New Roman" w:hAnsi="Times New Roman"/>
          <w:b/>
          <w:noProof/>
          <w:sz w:val="24"/>
        </w:rPr>
        <w:t xml:space="preserve">A return procedure based on the situation of the </w:t>
      </w:r>
      <w:r>
        <w:rPr>
          <w:rFonts w:ascii="Times New Roman" w:hAnsi="Times New Roman"/>
          <w:b/>
          <w:noProof/>
          <w:sz w:val="24"/>
        </w:rPr>
        <w:t>potential returnees (assistance to vulnerable persons in particular)</w:t>
      </w:r>
    </w:p>
    <w:p w:rsidR="007013FD" w:rsidRDefault="007013FD">
      <w:pPr>
        <w:pStyle w:val="ListParagraph"/>
        <w:ind w:left="1428"/>
        <w:jc w:val="both"/>
        <w:rPr>
          <w:rFonts w:ascii="Times New Roman" w:hAnsi="Times New Roman"/>
          <w:noProof/>
          <w:sz w:val="24"/>
        </w:rPr>
      </w:pPr>
    </w:p>
    <w:p w:rsidR="007013FD" w:rsidRDefault="005E3FDE">
      <w:pPr>
        <w:pStyle w:val="FootnoteText"/>
        <w:ind w:left="0" w:firstLine="0"/>
        <w:rPr>
          <w:rFonts w:ascii="Times New Roman" w:hAnsi="Times New Roman" w:cs="Times New Roman"/>
          <w:noProof/>
          <w:sz w:val="24"/>
          <w:szCs w:val="24"/>
        </w:rPr>
      </w:pPr>
      <w:r>
        <w:rPr>
          <w:rFonts w:ascii="Times New Roman" w:hAnsi="Times New Roman" w:cs="Times New Roman"/>
          <w:noProof/>
          <w:sz w:val="24"/>
          <w:szCs w:val="24"/>
        </w:rPr>
        <w:t xml:space="preserve">The effectiveness of RF actions in the set-up of a return procedure based on the situation of the potential returnees </w:t>
      </w:r>
      <w:r>
        <w:rPr>
          <w:rFonts w:ascii="Times New Roman" w:hAnsi="Times New Roman" w:cs="Times New Roman"/>
          <w:b/>
          <w:noProof/>
          <w:sz w:val="24"/>
          <w:szCs w:val="24"/>
        </w:rPr>
        <w:t>varied across Member States on a case-by-case basis</w:t>
      </w:r>
      <w:r>
        <w:rPr>
          <w:rFonts w:ascii="Times New Roman" w:hAnsi="Times New Roman" w:cs="Times New Roman"/>
          <w:noProof/>
          <w:sz w:val="24"/>
          <w:szCs w:val="24"/>
        </w:rPr>
        <w:t>. With regards to</w:t>
      </w:r>
      <w:r>
        <w:rPr>
          <w:rFonts w:ascii="Times New Roman" w:hAnsi="Times New Roman" w:cs="Times New Roman"/>
          <w:noProof/>
          <w:sz w:val="24"/>
          <w:szCs w:val="24"/>
        </w:rPr>
        <w:t xml:space="preserve"> the provision of assistance to meet the potential needs of vulnerable persons in the framework of return procedures, on average 4 000 vulnerable persons were assisted during their voluntary return each year with a short spike in 2013 when this</w:t>
      </w:r>
      <w:r>
        <w:rPr>
          <w:rFonts w:cs="Times New Roman"/>
          <w:noProof/>
          <w:sz w:val="24"/>
          <w:szCs w:val="24"/>
        </w:rPr>
        <w:t xml:space="preserve"> number reac</w:t>
      </w:r>
      <w:r>
        <w:rPr>
          <w:rFonts w:cs="Times New Roman"/>
          <w:noProof/>
          <w:sz w:val="24"/>
          <w:szCs w:val="24"/>
        </w:rPr>
        <w:t xml:space="preserve">hed 5 </w:t>
      </w:r>
      <w:r>
        <w:rPr>
          <w:rFonts w:ascii="Times New Roman" w:hAnsi="Times New Roman" w:cs="Times New Roman"/>
          <w:noProof/>
          <w:sz w:val="24"/>
          <w:szCs w:val="24"/>
        </w:rPr>
        <w:t>610.</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Belgium, Hungary and Sweden had particular success stories in this area for specific projects, meeting or even exceeding set targets.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Other projects were less successful, such as in Belgium</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and Estonia</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A shortcoming of the RF regulatory fra</w:t>
      </w:r>
      <w:r>
        <w:rPr>
          <w:rFonts w:ascii="Times New Roman" w:hAnsi="Times New Roman" w:cs="Times New Roman"/>
          <w:noProof/>
          <w:sz w:val="24"/>
          <w:szCs w:val="24"/>
        </w:rPr>
        <w:t>mework in this area was the lack of coverage of the costs related to the reception of unaccompanied minors (UAMs)</w:t>
      </w:r>
      <w:r>
        <w:rPr>
          <w:rFonts w:ascii="Times New Roman" w:hAnsi="Times New Roman" w:cs="Times New Roman"/>
          <w:b/>
          <w:noProof/>
          <w:sz w:val="24"/>
          <w:szCs w:val="24"/>
        </w:rPr>
        <w:t xml:space="preserve">. </w:t>
      </w:r>
      <w:r>
        <w:rPr>
          <w:rFonts w:ascii="Times New Roman" w:hAnsi="Times New Roman" w:cs="Times New Roman"/>
          <w:noProof/>
          <w:sz w:val="24"/>
          <w:szCs w:val="24"/>
        </w:rPr>
        <w:t>This</w:t>
      </w:r>
      <w:r>
        <w:rPr>
          <w:rFonts w:ascii="Times New Roman" w:hAnsi="Times New Roman" w:cs="Times New Roman"/>
          <w:b/>
          <w:noProof/>
          <w:sz w:val="24"/>
          <w:szCs w:val="24"/>
        </w:rPr>
        <w:t xml:space="preserve"> </w:t>
      </w:r>
      <w:r>
        <w:rPr>
          <w:rFonts w:ascii="Times New Roman" w:hAnsi="Times New Roman" w:cs="Times New Roman"/>
          <w:noProof/>
          <w:sz w:val="24"/>
          <w:szCs w:val="24"/>
        </w:rPr>
        <w:t>was</w:t>
      </w:r>
      <w:r>
        <w:rPr>
          <w:rFonts w:ascii="Times New Roman" w:hAnsi="Times New Roman" w:cs="Times New Roman"/>
          <w:b/>
          <w:noProof/>
          <w:sz w:val="24"/>
          <w:szCs w:val="24"/>
        </w:rPr>
        <w:t xml:space="preserve"> </w:t>
      </w:r>
      <w:r>
        <w:rPr>
          <w:rFonts w:ascii="Times New Roman" w:hAnsi="Times New Roman" w:cs="Times New Roman"/>
          <w:noProof/>
          <w:sz w:val="24"/>
          <w:szCs w:val="24"/>
        </w:rPr>
        <w:t>seen by authorities in France as a particular weakness since this group could not be returned.</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Under AMIF, according to Regulation </w:t>
      </w:r>
      <w:r>
        <w:rPr>
          <w:rFonts w:ascii="Times New Roman" w:hAnsi="Times New Roman" w:cs="Times New Roman"/>
          <w:noProof/>
          <w:sz w:val="24"/>
          <w:szCs w:val="24"/>
        </w:rPr>
        <w:t xml:space="preserve">(EU) No 516/2014 Article 15(1)(b), EUR 360 million, may be allocated to Member States wanting to implement actions in the area of return which entail intra-EU cooperation. One type of Specific Action which may be implemented is 'Joint initiatives aimed at </w:t>
      </w:r>
      <w:r>
        <w:rPr>
          <w:rFonts w:ascii="Times New Roman" w:hAnsi="Times New Roman" w:cs="Times New Roman"/>
          <w:noProof/>
          <w:sz w:val="24"/>
          <w:szCs w:val="24"/>
        </w:rPr>
        <w:t>restoring family unity and reintegration of unaccompanied minors in their countries of origin'.</w:t>
      </w:r>
      <w:r>
        <w:rPr>
          <w:rStyle w:val="FootnoteReference"/>
          <w:rFonts w:ascii="Times New Roman" w:hAnsi="Times New Roman" w:cs="Times New Roman"/>
          <w:noProof/>
          <w:sz w:val="24"/>
          <w:szCs w:val="24"/>
        </w:rPr>
        <w:footnoteReference w:id="96"/>
      </w:r>
    </w:p>
    <w:p w:rsidR="007013FD" w:rsidRDefault="005E3FDE">
      <w:pPr>
        <w:spacing w:line="240" w:lineRule="auto"/>
        <w:jc w:val="both"/>
        <w:rPr>
          <w:rFonts w:ascii="Times New Roman" w:hAnsi="Times New Roman"/>
          <w:noProof/>
          <w:sz w:val="24"/>
          <w:lang w:val="en-GB"/>
        </w:rPr>
      </w:pPr>
      <w:r>
        <w:rPr>
          <w:rFonts w:ascii="Times New Roman" w:hAnsi="Times New Roman" w:cs="Times New Roman"/>
          <w:noProof/>
          <w:sz w:val="24"/>
          <w:szCs w:val="24"/>
          <w:lang w:val="en-GB"/>
        </w:rPr>
        <w:t xml:space="preserve">Complementing national initiatives, </w:t>
      </w:r>
      <w:r>
        <w:rPr>
          <w:rFonts w:ascii="Times New Roman" w:hAnsi="Times New Roman" w:cs="Times New Roman"/>
          <w:b/>
          <w:noProof/>
          <w:sz w:val="24"/>
          <w:szCs w:val="24"/>
          <w:lang w:val="en-GB"/>
        </w:rPr>
        <w:t>ten Community actions and one Emergency action</w:t>
      </w:r>
      <w:r>
        <w:rPr>
          <w:rFonts w:ascii="Times New Roman" w:hAnsi="Times New Roman" w:cs="Times New Roman"/>
          <w:noProof/>
          <w:sz w:val="24"/>
          <w:szCs w:val="24"/>
          <w:lang w:val="en-GB"/>
        </w:rPr>
        <w:t xml:space="preserve"> concerned the provision of assistance to vulnerable persons. The Emergency a</w:t>
      </w:r>
      <w:r>
        <w:rPr>
          <w:rFonts w:ascii="Times New Roman" w:hAnsi="Times New Roman" w:cs="Times New Roman"/>
          <w:noProof/>
          <w:sz w:val="24"/>
          <w:szCs w:val="24"/>
          <w:lang w:val="en-GB"/>
        </w:rPr>
        <w:t>ction aimed to address the needs of unaccompanied minors in Greece</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lang w:val="en-GB"/>
        </w:rPr>
        <w:t>, while Community actions included projects monitoring the return of minors to Kosovo and Albania,</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lang w:val="en-GB"/>
        </w:rPr>
        <w:t xml:space="preserve"> enhancing the capacities of EU Member States and third countries to promote durable solut</w:t>
      </w:r>
      <w:r>
        <w:rPr>
          <w:rFonts w:ascii="Times New Roman" w:hAnsi="Times New Roman" w:cs="Times New Roman"/>
          <w:noProof/>
          <w:sz w:val="24"/>
          <w:szCs w:val="24"/>
          <w:lang w:val="en-GB"/>
        </w:rPr>
        <w:t>ions for UAMs,</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lang w:val="en-GB"/>
        </w:rPr>
        <w:t xml:space="preserve"> enhancing the AVR(R) of migrants with a chronic medical condition,</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lang w:val="en-GB"/>
        </w:rPr>
        <w:t xml:space="preserve"> or coordinating approaches for the reintegration of victims of trafficking (CARE).</w:t>
      </w:r>
      <w:r>
        <w:rPr>
          <w:rStyle w:val="FootnoteReference"/>
          <w:rFonts w:ascii="Times New Roman" w:hAnsi="Times New Roman" w:cs="Times New Roman"/>
          <w:noProof/>
          <w:sz w:val="24"/>
          <w:szCs w:val="24"/>
        </w:rPr>
        <w:footnoteReference w:id="101"/>
      </w:r>
    </w:p>
    <w:p w:rsidR="007013FD" w:rsidRDefault="005E3FDE">
      <w:pPr>
        <w:pStyle w:val="ListParagraph"/>
        <w:numPr>
          <w:ilvl w:val="0"/>
          <w:numId w:val="47"/>
        </w:numPr>
        <w:spacing w:line="240" w:lineRule="auto"/>
        <w:jc w:val="both"/>
        <w:rPr>
          <w:rFonts w:ascii="Times New Roman" w:hAnsi="Times New Roman"/>
          <w:b/>
          <w:noProof/>
          <w:sz w:val="24"/>
        </w:rPr>
      </w:pPr>
      <w:r>
        <w:rPr>
          <w:rFonts w:ascii="Times New Roman" w:hAnsi="Times New Roman"/>
          <w:b/>
          <w:noProof/>
          <w:sz w:val="24"/>
        </w:rPr>
        <w:t>The Contribution of the RF to Cooperation between Member States and Third Countries</w:t>
      </w:r>
    </w:p>
    <w:p w:rsidR="007013FD" w:rsidRDefault="007013FD">
      <w:pPr>
        <w:pStyle w:val="ListParagraph"/>
        <w:spacing w:line="240" w:lineRule="auto"/>
        <w:ind w:left="1428"/>
        <w:jc w:val="both"/>
        <w:rPr>
          <w:rFonts w:ascii="Times New Roman" w:hAnsi="Times New Roman"/>
          <w:b/>
          <w:i/>
          <w:noProof/>
          <w:sz w:val="24"/>
        </w:rPr>
      </w:pPr>
    </w:p>
    <w:p w:rsidR="007013FD" w:rsidRDefault="005E3FDE">
      <w:pPr>
        <w:jc w:val="both"/>
        <w:rPr>
          <w:rFonts w:ascii="Times New Roman" w:hAnsi="Times New Roman" w:cs="Times New Roman"/>
          <w:noProof/>
          <w:sz w:val="24"/>
          <w:szCs w:val="24"/>
          <w:lang w:val="en-GB"/>
        </w:rPr>
      </w:pPr>
      <w:r>
        <w:rPr>
          <w:rFonts w:ascii="Times New Roman" w:hAnsi="Times New Roman" w:cs="Times New Roman"/>
          <w:i/>
          <w:noProof/>
          <w:sz w:val="24"/>
          <w:szCs w:val="24"/>
          <w:lang w:val="en-GB"/>
        </w:rPr>
        <w:t>EQ4: To what extent did the actions under the RF 2011-2013 contribute to the cooperation between Member States and third countries in return management?</w:t>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RF had a </w:t>
      </w:r>
      <w:r>
        <w:rPr>
          <w:rFonts w:ascii="Times New Roman" w:hAnsi="Times New Roman" w:cs="Times New Roman"/>
          <w:b/>
          <w:noProof/>
          <w:sz w:val="24"/>
          <w:szCs w:val="24"/>
          <w:lang w:val="en-GB"/>
        </w:rPr>
        <w:t>moderate impact in this area</w:t>
      </w:r>
      <w:r>
        <w:rPr>
          <w:rFonts w:ascii="Times New Roman" w:hAnsi="Times New Roman" w:cs="Times New Roman"/>
          <w:noProof/>
          <w:sz w:val="24"/>
          <w:szCs w:val="24"/>
          <w:lang w:val="en-GB"/>
        </w:rPr>
        <w:t>, partly due to a lower share of projects in this area: eleve</w:t>
      </w:r>
      <w:r>
        <w:rPr>
          <w:rFonts w:ascii="Times New Roman" w:hAnsi="Times New Roman" w:cs="Times New Roman"/>
          <w:noProof/>
          <w:sz w:val="24"/>
          <w:szCs w:val="24"/>
          <w:lang w:val="en-GB"/>
        </w:rPr>
        <w:t>n Member States reported not having carried out any returns in cooperation with third countries.</w:t>
      </w:r>
      <w:r>
        <w:rPr>
          <w:rStyle w:val="FootnoteReference"/>
          <w:rFonts w:ascii="Times New Roman" w:hAnsi="Times New Roman" w:cs="Times New Roman"/>
          <w:noProof/>
          <w:sz w:val="24"/>
          <w:szCs w:val="24"/>
          <w:lang w:val="en-GB"/>
        </w:rPr>
        <w:footnoteReference w:id="102"/>
      </w:r>
      <w:r>
        <w:rPr>
          <w:rFonts w:ascii="Times New Roman" w:hAnsi="Times New Roman" w:cs="Times New Roman"/>
          <w:noProof/>
          <w:sz w:val="24"/>
          <w:szCs w:val="24"/>
          <w:lang w:val="en-GB"/>
        </w:rPr>
        <w:t xml:space="preserve"> Despite this, available data from six Member States which did implement projects in this area shows that the number of persons returned forcefully further to </w:t>
      </w:r>
      <w:r>
        <w:rPr>
          <w:rFonts w:ascii="Times New Roman" w:hAnsi="Times New Roman" w:cs="Times New Roman"/>
          <w:noProof/>
          <w:sz w:val="24"/>
          <w:szCs w:val="24"/>
          <w:lang w:val="en-GB"/>
        </w:rPr>
        <w:t>cooperation with third countries increased from 8 665 in 2011 to 11 709 in 2012, and 11 715 in 2013.</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lang w:val="en-GB"/>
        </w:rPr>
        <w:t xml:space="preserve"> This is supported by the reports of 12 Member States highlighting that the RF helped to improve their relationship with third countries, speeding up ident</w:t>
      </w:r>
      <w:r>
        <w:rPr>
          <w:rFonts w:ascii="Times New Roman" w:hAnsi="Times New Roman" w:cs="Times New Roman"/>
          <w:noProof/>
          <w:sz w:val="24"/>
          <w:szCs w:val="24"/>
          <w:lang w:val="en-GB"/>
        </w:rPr>
        <w:t>ification procedures, and increasing the number of both voluntary and forced and voluntary returns</w:t>
      </w:r>
      <w:r>
        <w:rPr>
          <w:rStyle w:val="FootnoteReference"/>
          <w:rFonts w:ascii="Times New Roman" w:hAnsi="Times New Roman" w:cs="Times New Roman"/>
          <w:noProof/>
          <w:sz w:val="24"/>
          <w:szCs w:val="24"/>
          <w:lang w:val="en-GB"/>
        </w:rPr>
        <w:footnoteReference w:id="104"/>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reported some factors which undermined the effectiveness of the actions implemented in this area, such as the reluctance of some authorities</w:t>
      </w:r>
      <w:r>
        <w:rPr>
          <w:rFonts w:ascii="Times New Roman" w:hAnsi="Times New Roman" w:cs="Times New Roman"/>
          <w:noProof/>
          <w:sz w:val="24"/>
          <w:szCs w:val="24"/>
          <w:lang w:val="en-GB"/>
        </w:rPr>
        <w:t xml:space="preserve"> in partner countries to cooperate in the field of return and reintegration, the short timeframe, and unrealistic expectations sometimes set for the projects, given that the establishment of contacts and the agreement of mutual goals with third countries t</w:t>
      </w:r>
      <w:r>
        <w:rPr>
          <w:rFonts w:ascii="Times New Roman" w:hAnsi="Times New Roman" w:cs="Times New Roman"/>
          <w:noProof/>
          <w:sz w:val="24"/>
          <w:szCs w:val="24"/>
          <w:lang w:val="en-GB"/>
        </w:rPr>
        <w:t>ook a significant amount of time.</w:t>
      </w:r>
    </w:p>
    <w:p w:rsidR="007013FD" w:rsidRDefault="005E3FDE">
      <w:pPr>
        <w:spacing w:line="240" w:lineRule="auto"/>
        <w:jc w:val="both"/>
        <w:rPr>
          <w:rFonts w:ascii="Times New Roman" w:hAnsi="Times New Roman"/>
          <w:noProof/>
          <w:sz w:val="24"/>
          <w:lang w:val="en-GB"/>
        </w:rPr>
      </w:pPr>
      <w:r>
        <w:rPr>
          <w:rFonts w:ascii="Times New Roman" w:hAnsi="Times New Roman" w:cs="Times New Roman"/>
          <w:noProof/>
          <w:sz w:val="24"/>
          <w:szCs w:val="24"/>
          <w:lang w:val="en-GB"/>
        </w:rPr>
        <w:t xml:space="preserve">For these reasons, some Member States preferred to participate in Community actions such as the European Initiative on an Integrated Return Management Network </w:t>
      </w:r>
      <w:r>
        <w:rPr>
          <w:noProof/>
          <w:lang w:val="en-GB"/>
        </w:rPr>
        <w:t>(</w:t>
      </w:r>
      <w:r>
        <w:rPr>
          <w:rFonts w:ascii="Times New Roman" w:hAnsi="Times New Roman" w:cs="Times New Roman"/>
          <w:noProof/>
          <w:sz w:val="24"/>
          <w:szCs w:val="24"/>
          <w:lang w:val="en-GB"/>
        </w:rPr>
        <w:t>EURINT)</w:t>
      </w:r>
      <w:r>
        <w:rPr>
          <w:rStyle w:val="FootnoteReference"/>
          <w:rFonts w:ascii="Times New Roman" w:hAnsi="Times New Roman" w:cs="Times New Roman"/>
          <w:noProof/>
          <w:sz w:val="24"/>
          <w:szCs w:val="24"/>
          <w:lang w:val="en-GB"/>
        </w:rPr>
        <w:footnoteReference w:id="105"/>
      </w:r>
      <w:r>
        <w:rPr>
          <w:rFonts w:ascii="Times New Roman" w:hAnsi="Times New Roman" w:cs="Times New Roman"/>
          <w:noProof/>
          <w:sz w:val="24"/>
          <w:szCs w:val="24"/>
          <w:lang w:val="en-GB"/>
        </w:rPr>
        <w:t xml:space="preserve"> and European Return Liaison Officers (EURLO) Networks</w:t>
      </w:r>
      <w:r>
        <w:rPr>
          <w:rStyle w:val="FootnoteReference"/>
          <w:rFonts w:ascii="Times New Roman" w:hAnsi="Times New Roman" w:cs="Times New Roman"/>
          <w:noProof/>
          <w:sz w:val="24"/>
          <w:szCs w:val="24"/>
          <w:lang w:val="en-GB"/>
        </w:rPr>
        <w:footnoteReference w:id="106"/>
      </w:r>
      <w:r>
        <w:rPr>
          <w:rFonts w:ascii="Times New Roman" w:hAnsi="Times New Roman" w:cs="Times New Roman"/>
          <w:noProof/>
          <w:sz w:val="24"/>
          <w:szCs w:val="24"/>
          <w:lang w:val="en-GB"/>
        </w:rPr>
        <w:t>,</w:t>
      </w:r>
      <w:r>
        <w:rPr>
          <w:noProof/>
          <w:lang w:val="en-GB"/>
        </w:rPr>
        <w:t xml:space="preserve"> </w:t>
      </w:r>
      <w:r>
        <w:rPr>
          <w:rFonts w:ascii="Times New Roman" w:hAnsi="Times New Roman" w:cs="Times New Roman"/>
          <w:noProof/>
          <w:sz w:val="24"/>
          <w:szCs w:val="24"/>
          <w:lang w:val="en-GB"/>
        </w:rPr>
        <w:t>which facilitated a multilateral approach to return and were more attractive to third countries, focusing on improving operational cooperation rather than on concluding cooperation agreements per se. Some Member States</w:t>
      </w:r>
      <w:r>
        <w:rPr>
          <w:rStyle w:val="FootnoteReference"/>
          <w:rFonts w:ascii="Times New Roman" w:hAnsi="Times New Roman" w:cs="Times New Roman"/>
          <w:noProof/>
          <w:sz w:val="24"/>
          <w:szCs w:val="24"/>
          <w:lang w:val="en-GB"/>
        </w:rPr>
        <w:footnoteReference w:id="107"/>
      </w:r>
      <w:r>
        <w:rPr>
          <w:rFonts w:ascii="Times New Roman" w:hAnsi="Times New Roman" w:cs="Times New Roman"/>
          <w:noProof/>
          <w:sz w:val="24"/>
          <w:szCs w:val="24"/>
          <w:lang w:val="en-GB"/>
        </w:rPr>
        <w:t xml:space="preserve"> implemented cooperation activitie</w:t>
      </w:r>
      <w:r>
        <w:rPr>
          <w:rFonts w:ascii="Times New Roman" w:hAnsi="Times New Roman" w:cs="Times New Roman"/>
          <w:noProof/>
          <w:sz w:val="24"/>
          <w:szCs w:val="24"/>
          <w:lang w:val="en-GB"/>
        </w:rPr>
        <w:t>s within the framework of AVR(R) programmes and involved not only the authorities of third countries, but also international organisations and other local partners. The subsequent fund gives importance to Community actions in this area.</w:t>
      </w:r>
      <w:r>
        <w:rPr>
          <w:rStyle w:val="FootnoteReference"/>
          <w:rFonts w:ascii="Times New Roman" w:hAnsi="Times New Roman" w:cs="Times New Roman"/>
          <w:noProof/>
          <w:sz w:val="24"/>
          <w:szCs w:val="24"/>
          <w:lang w:val="en-GB"/>
        </w:rPr>
        <w:footnoteReference w:id="108"/>
      </w:r>
    </w:p>
    <w:p w:rsidR="007013FD" w:rsidRDefault="007013FD">
      <w:pPr>
        <w:spacing w:line="240" w:lineRule="auto"/>
        <w:jc w:val="both"/>
        <w:rPr>
          <w:rFonts w:ascii="Times New Roman" w:hAnsi="Times New Roman" w:cs="Times New Roman"/>
          <w:b/>
          <w:i/>
          <w:noProof/>
          <w:sz w:val="24"/>
          <w:szCs w:val="24"/>
          <w:lang w:val="en-GB"/>
        </w:rPr>
      </w:pPr>
    </w:p>
    <w:p w:rsidR="007013FD" w:rsidRDefault="005E3FDE">
      <w:pPr>
        <w:pStyle w:val="ListParagraph"/>
        <w:numPr>
          <w:ilvl w:val="0"/>
          <w:numId w:val="47"/>
        </w:numPr>
        <w:spacing w:line="240" w:lineRule="auto"/>
        <w:jc w:val="both"/>
        <w:rPr>
          <w:rFonts w:ascii="Times New Roman" w:hAnsi="Times New Roman"/>
          <w:b/>
          <w:noProof/>
          <w:sz w:val="24"/>
        </w:rPr>
      </w:pPr>
      <w:r>
        <w:rPr>
          <w:rFonts w:ascii="Times New Roman" w:hAnsi="Times New Roman"/>
          <w:b/>
          <w:noProof/>
          <w:sz w:val="24"/>
        </w:rPr>
        <w:t xml:space="preserve">Cooperation </w:t>
      </w:r>
      <w:r>
        <w:rPr>
          <w:rFonts w:ascii="Times New Roman" w:hAnsi="Times New Roman"/>
          <w:b/>
          <w:noProof/>
          <w:sz w:val="24"/>
        </w:rPr>
        <w:t>between all stakeholders at different levels of each Member State</w:t>
      </w:r>
    </w:p>
    <w:p w:rsidR="007013FD" w:rsidRDefault="007013FD">
      <w:pPr>
        <w:pStyle w:val="ListParagraph"/>
        <w:spacing w:line="240" w:lineRule="auto"/>
        <w:ind w:left="1428"/>
        <w:jc w:val="both"/>
        <w:rPr>
          <w:rFonts w:ascii="Times New Roman" w:hAnsi="Times New Roman"/>
          <w:b/>
          <w:noProof/>
          <w:sz w:val="24"/>
        </w:rPr>
      </w:pPr>
    </w:p>
    <w:p w:rsidR="007013FD" w:rsidRDefault="005E3FDE">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EQ7. To what extent did the actions under the RF 2011-2013 contribute to the cooperation between different levels (national, regional, local and urban)?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projects implemented under the 2</w:t>
      </w:r>
      <w:r>
        <w:rPr>
          <w:rFonts w:ascii="Times New Roman" w:hAnsi="Times New Roman" w:cs="Times New Roman"/>
          <w:noProof/>
          <w:sz w:val="24"/>
          <w:szCs w:val="24"/>
          <w:lang w:val="en-GB"/>
        </w:rPr>
        <w:t>011-2013 APs focused on developing modes of cooperation between different levels of public authorities in this field and fell under objective a)/Priority 1</w:t>
      </w:r>
      <w:r>
        <w:rPr>
          <w:rStyle w:val="FootnoteReference"/>
          <w:rFonts w:ascii="Times New Roman" w:hAnsi="Times New Roman" w:cs="Times New Roman"/>
          <w:noProof/>
          <w:sz w:val="24"/>
          <w:szCs w:val="24"/>
          <w:lang w:val="en-GB"/>
        </w:rPr>
        <w:footnoteReference w:id="109"/>
      </w:r>
      <w:r>
        <w:rPr>
          <w:rFonts w:ascii="Times New Roman" w:hAnsi="Times New Roman" w:cs="Times New Roman"/>
          <w:noProof/>
          <w:sz w:val="24"/>
          <w:szCs w:val="24"/>
          <w:lang w:val="en-GB"/>
        </w:rPr>
        <w:t>. These projects aimed to enable officials to swiftly gain information on return experiences and pra</w:t>
      </w:r>
      <w:r>
        <w:rPr>
          <w:rFonts w:ascii="Times New Roman" w:hAnsi="Times New Roman" w:cs="Times New Roman"/>
          <w:noProof/>
          <w:sz w:val="24"/>
          <w:szCs w:val="24"/>
          <w:lang w:val="en-GB"/>
        </w:rPr>
        <w:t xml:space="preserve">ctices elsewhere and, when possible, to pool resources. These projects </w:t>
      </w:r>
      <w:r>
        <w:rPr>
          <w:rFonts w:ascii="Times New Roman" w:hAnsi="Times New Roman" w:cs="Times New Roman"/>
          <w:b/>
          <w:noProof/>
          <w:sz w:val="24"/>
          <w:szCs w:val="24"/>
          <w:lang w:val="en-GB"/>
        </w:rPr>
        <w:t>made a limited contribution to cooperation between different levels of authority in the Member States because it was only seen as relevant or desirable by a small number of Member State</w:t>
      </w:r>
      <w:r>
        <w:rPr>
          <w:rFonts w:ascii="Times New Roman" w:hAnsi="Times New Roman" w:cs="Times New Roman"/>
          <w:b/>
          <w:noProof/>
          <w:sz w:val="24"/>
          <w:szCs w:val="24"/>
          <w:lang w:val="en-GB"/>
        </w:rPr>
        <w:t>s</w:t>
      </w:r>
      <w:r>
        <w:rPr>
          <w:rFonts w:ascii="Times New Roman" w:hAnsi="Times New Roman" w:cs="Times New Roman"/>
          <w:noProof/>
          <w:sz w:val="24"/>
          <w:szCs w:val="24"/>
          <w:lang w:val="en-GB"/>
        </w:rPr>
        <w:t>. This finding is supported by the responses to a survey of the beneficiaries conducted by external evaluators: while 26% of respondents found that projects implemented under the RF had contributed to this goal "Fully" or "Fairly", 33% replied they had "S</w:t>
      </w:r>
      <w:r>
        <w:rPr>
          <w:rFonts w:ascii="Times New Roman" w:hAnsi="Times New Roman" w:cs="Times New Roman"/>
          <w:noProof/>
          <w:sz w:val="24"/>
          <w:szCs w:val="24"/>
          <w:lang w:val="en-GB"/>
        </w:rPr>
        <w:t>omewhat" contributed, 20% replied "Not at all" while 20% found this goal less relevant to their projects.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lang w:val="en-GB"/>
        </w:rPr>
        <w:t xml:space="preserve"> This is due to the fact that in the vast majority of Member States it is a national-level authority who has ultimate control over return policy and i</w:t>
      </w:r>
      <w:r>
        <w:rPr>
          <w:rFonts w:ascii="Times New Roman" w:hAnsi="Times New Roman" w:cs="Times New Roman"/>
          <w:noProof/>
          <w:sz w:val="24"/>
          <w:szCs w:val="24"/>
          <w:lang w:val="en-GB"/>
        </w:rPr>
        <w:t>mplementation, so that cooperation with other levels of authority is seen as less necessary (according to NERs). Given such low perceived relevance, projects under this action were only implemented in Belgium, Germany, Italy and Sweden.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this limita</w:t>
      </w:r>
      <w:r>
        <w:rPr>
          <w:rFonts w:ascii="Times New Roman" w:hAnsi="Times New Roman" w:cs="Times New Roman"/>
          <w:noProof/>
          <w:sz w:val="24"/>
          <w:szCs w:val="24"/>
          <w:lang w:val="en-GB"/>
        </w:rPr>
        <w:t>tion, the projects implemented in the four Member States led to increased collaboration. In the cases of Germany and Italy, these cooperation projects facilitated the pooling of resources for return.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RF funding allocated under other priorities</w:t>
      </w:r>
      <w:r>
        <w:rPr>
          <w:rFonts w:ascii="Times New Roman" w:hAnsi="Times New Roman" w:cs="Times New Roman"/>
          <w:noProof/>
          <w:sz w:val="24"/>
          <w:szCs w:val="24"/>
          <w:lang w:val="en-GB"/>
        </w:rPr>
        <w:t xml:space="preserve"> provided the opportunity to fund actions of local stakeholders, such as NGOs and authorities, which led to improvements in the capacity of stakeholders at a local level, and thus ultimately to an increase in the resources available at the national level (</w:t>
      </w:r>
      <w:r>
        <w:rPr>
          <w:rFonts w:ascii="Times New Roman" w:hAnsi="Times New Roman" w:cs="Times New Roman"/>
          <w:noProof/>
          <w:sz w:val="24"/>
          <w:szCs w:val="24"/>
          <w:lang w:val="en-GB"/>
        </w:rPr>
        <w:t>e.g. NL). In several Member States (BE, CZ, EL, FR, LT, PO, RO, UK) funding was used to increase the capacity of local NGOs and civil society stakeholders implementing or contributing to AVR(R), or of judiciary and law enforcement stakeholders, many of the</w:t>
      </w:r>
      <w:r>
        <w:rPr>
          <w:rFonts w:ascii="Times New Roman" w:hAnsi="Times New Roman" w:cs="Times New Roman"/>
          <w:noProof/>
          <w:sz w:val="24"/>
          <w:szCs w:val="24"/>
          <w:lang w:val="en-GB"/>
        </w:rPr>
        <w:t>m operating at regional or local levels.</w:t>
      </w:r>
    </w:p>
    <w:p w:rsidR="007013FD" w:rsidRDefault="005E3FDE">
      <w:pPr>
        <w:pStyle w:val="Heading3"/>
        <w:rPr>
          <w:rFonts w:ascii="Times New Roman" w:hAnsi="Times New Roman" w:cs="Times New Roman"/>
          <w:noProof/>
          <w:sz w:val="24"/>
          <w:szCs w:val="24"/>
        </w:rPr>
      </w:pPr>
      <w:r>
        <w:rPr>
          <w:rFonts w:ascii="Times New Roman" w:eastAsiaTheme="minorHAnsi" w:hAnsi="Times New Roman" w:cs="Times New Roman"/>
          <w:noProof/>
          <w:sz w:val="24"/>
          <w:szCs w:val="24"/>
        </w:rPr>
        <w:t xml:space="preserve"> </w:t>
      </w:r>
      <w:bookmarkStart w:id="59" w:name="_Toc515379359"/>
      <w:r>
        <w:rPr>
          <w:rFonts w:ascii="Times New Roman" w:eastAsiaTheme="minorHAnsi" w:hAnsi="Times New Roman" w:cs="Times New Roman"/>
          <w:noProof/>
          <w:sz w:val="24"/>
          <w:szCs w:val="24"/>
        </w:rPr>
        <w:t>Specific Objective b) Contribution of the RF to Cooperation between Member States in Return Management</w:t>
      </w:r>
      <w:bookmarkEnd w:id="59"/>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i/>
          <w:noProof/>
        </w:rPr>
      </w:pPr>
      <w:r>
        <w:rPr>
          <w:i/>
          <w:noProof/>
        </w:rPr>
        <w:t xml:space="preserve">EQ3: To what extent did the actions under the RF 2011-2013 contribute to the cooperation between Member States </w:t>
      </w:r>
      <w:r>
        <w:rPr>
          <w:i/>
          <w:noProof/>
        </w:rPr>
        <w:t>in return management?</w:t>
      </w:r>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noProof/>
        </w:rPr>
      </w:pPr>
      <w:r>
        <w:rPr>
          <w:b/>
          <w:noProof/>
        </w:rPr>
        <w:t>Main conclusion:</w:t>
      </w:r>
      <w:r>
        <w:rPr>
          <w:noProof/>
        </w:rPr>
        <w:t xml:space="preserve"> The RF has been moderately effective in supporting cooperation between Member States, as demonstrated by a low share of projects implemented under Specific Objective b). A positive impact of the RF in this area can be</w:t>
      </w:r>
      <w:r>
        <w:rPr>
          <w:noProof/>
        </w:rPr>
        <w:t xml:space="preserve"> seen in the increase in joint return operations and cooperation partnerships agreed. In addition, Community actions, particularly the European Re-integration Instrument (ERI), the European Reintegration Network (ERIN) and the European Integrated Approach </w:t>
      </w:r>
      <w:r>
        <w:rPr>
          <w:noProof/>
        </w:rPr>
        <w:t>on Return towards Third Countries (EURINT) also contributed to enhancing cooperation. Room for improvement was identified in enhancing joint return mechanisms, which has been addressed under the successor fund, AMIF.</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RF has been moderately effective in</w:t>
      </w:r>
      <w:r>
        <w:rPr>
          <w:rFonts w:ascii="Times New Roman" w:hAnsi="Times New Roman" w:cs="Times New Roman"/>
          <w:noProof/>
          <w:sz w:val="24"/>
          <w:szCs w:val="24"/>
          <w:lang w:val="en-GB"/>
        </w:rPr>
        <w:t xml:space="preserve"> supporting cooperation between the Member States in return management (</w:t>
      </w:r>
      <w:r>
        <w:rPr>
          <w:rFonts w:ascii="Times New Roman" w:hAnsi="Times New Roman" w:cs="Times New Roman"/>
          <w:b/>
          <w:noProof/>
          <w:sz w:val="24"/>
          <w:szCs w:val="24"/>
          <w:lang w:val="en-GB"/>
        </w:rPr>
        <w:t>Specific Objective b) / Priority</w:t>
      </w:r>
      <w:r>
        <w:rPr>
          <w:rFonts w:ascii="Times New Roman" w:hAnsi="Times New Roman" w:cs="Times New Roman"/>
          <w:noProof/>
          <w:sz w:val="24"/>
          <w:szCs w:val="24"/>
          <w:lang w:val="en-GB"/>
        </w:rPr>
        <w:t xml:space="preserve"> 2). This is demonstrated by the fact that the lowest share of projects was implemented under this specific objective, representing 5% of the number of </w:t>
      </w:r>
      <w:r>
        <w:rPr>
          <w:rFonts w:ascii="Times New Roman" w:hAnsi="Times New Roman" w:cs="Times New Roman"/>
          <w:noProof/>
          <w:sz w:val="24"/>
          <w:szCs w:val="24"/>
          <w:lang w:val="en-GB"/>
        </w:rPr>
        <w:t>projects implemented under shared management and 1% of the final RF contribution. Nine Member States did not implement any projects under this Specific Objective under the 2011-2013 annual programmes.</w:t>
      </w:r>
      <w:r>
        <w:rPr>
          <w:rStyle w:val="FootnoteReference"/>
          <w:rFonts w:ascii="Times New Roman" w:hAnsi="Times New Roman" w:cs="Times New Roman"/>
          <w:noProof/>
          <w:sz w:val="24"/>
          <w:szCs w:val="24"/>
          <w:lang w:val="en-GB"/>
        </w:rPr>
        <w:footnoteReference w:id="111"/>
      </w:r>
      <w:r>
        <w:rPr>
          <w:rFonts w:ascii="Times New Roman" w:hAnsi="Times New Roman" w:cs="Times New Roman"/>
          <w:noProof/>
          <w:sz w:val="24"/>
          <w:szCs w:val="24"/>
          <w:lang w:val="en-GB"/>
        </w:rPr>
        <w:t xml:space="preserve"> However nine Member States</w:t>
      </w:r>
      <w:r>
        <w:rPr>
          <w:rStyle w:val="FootnoteReference"/>
          <w:rFonts w:ascii="Times New Roman" w:hAnsi="Times New Roman" w:cs="Times New Roman"/>
          <w:noProof/>
          <w:sz w:val="24"/>
          <w:szCs w:val="24"/>
          <w:lang w:val="en-GB"/>
        </w:rPr>
        <w:footnoteReference w:id="112"/>
      </w:r>
      <w:r>
        <w:rPr>
          <w:rFonts w:ascii="Times New Roman" w:hAnsi="Times New Roman" w:cs="Times New Roman"/>
          <w:noProof/>
          <w:sz w:val="24"/>
          <w:szCs w:val="24"/>
          <w:lang w:val="en-GB"/>
        </w:rPr>
        <w:t xml:space="preserve"> found that their actions u</w:t>
      </w:r>
      <w:r>
        <w:rPr>
          <w:rFonts w:ascii="Times New Roman" w:hAnsi="Times New Roman" w:cs="Times New Roman"/>
          <w:noProof/>
          <w:sz w:val="24"/>
          <w:szCs w:val="24"/>
          <w:lang w:val="en-GB"/>
        </w:rPr>
        <w:t>nder this priority had enhanced their cooperation with other Member States.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results of the improvement of the cooperation between Member States were as follows:</w:t>
      </w:r>
    </w:p>
    <w:p w:rsidR="007013FD" w:rsidRDefault="005E3FDE">
      <w:pPr>
        <w:pStyle w:val="ListParagraph"/>
        <w:numPr>
          <w:ilvl w:val="0"/>
          <w:numId w:val="39"/>
        </w:numPr>
        <w:spacing w:line="240" w:lineRule="auto"/>
        <w:jc w:val="both"/>
        <w:rPr>
          <w:rFonts w:ascii="Times New Roman" w:hAnsi="Times New Roman"/>
          <w:noProof/>
          <w:sz w:val="24"/>
        </w:rPr>
      </w:pPr>
      <w:r>
        <w:rPr>
          <w:rFonts w:ascii="Times New Roman" w:hAnsi="Times New Roman"/>
          <w:noProof/>
          <w:sz w:val="24"/>
        </w:rPr>
        <w:t>increase in the number of RF-funded joint return operations carried out (from 17 in 20</w:t>
      </w:r>
      <w:r>
        <w:rPr>
          <w:rFonts w:ascii="Times New Roman" w:hAnsi="Times New Roman"/>
          <w:noProof/>
          <w:sz w:val="24"/>
        </w:rPr>
        <w:t>11 to 22 in 2013, with a total of 57 carried out over the evaluation period).</w:t>
      </w:r>
    </w:p>
    <w:p w:rsidR="007013FD" w:rsidRDefault="005E3FDE">
      <w:pPr>
        <w:pStyle w:val="ListParagraph"/>
        <w:numPr>
          <w:ilvl w:val="0"/>
          <w:numId w:val="39"/>
        </w:numPr>
        <w:spacing w:line="240" w:lineRule="auto"/>
        <w:jc w:val="both"/>
        <w:rPr>
          <w:rFonts w:ascii="Times New Roman" w:hAnsi="Times New Roman"/>
          <w:noProof/>
          <w:sz w:val="24"/>
        </w:rPr>
      </w:pPr>
      <w:r>
        <w:rPr>
          <w:rFonts w:ascii="Times New Roman" w:hAnsi="Times New Roman"/>
          <w:noProof/>
          <w:sz w:val="24"/>
        </w:rPr>
        <w:t xml:space="preserve">increase in the number of persons returned via joint return operations (from 86 in 2011 to 284 in 2013, with a total of 539 persons returned through joint return operations over </w:t>
      </w:r>
      <w:r>
        <w:rPr>
          <w:rFonts w:ascii="Times New Roman" w:hAnsi="Times New Roman"/>
          <w:noProof/>
          <w:sz w:val="24"/>
        </w:rPr>
        <w:t>the evaluation period).</w:t>
      </w:r>
      <w:r>
        <w:rPr>
          <w:rStyle w:val="FootnoteReference"/>
          <w:rFonts w:ascii="Times New Roman" w:hAnsi="Times New Roman"/>
          <w:noProof/>
          <w:sz w:val="24"/>
        </w:rPr>
        <w:footnoteReference w:id="113"/>
      </w:r>
      <w:r>
        <w:rPr>
          <w:rFonts w:ascii="Times New Roman" w:hAnsi="Times New Roman"/>
          <w:noProof/>
          <w:sz w:val="24"/>
        </w:rPr>
        <w:t xml:space="preserve"> </w:t>
      </w:r>
    </w:p>
    <w:p w:rsidR="007013FD" w:rsidRDefault="005E3FDE">
      <w:pPr>
        <w:pStyle w:val="ListParagraph"/>
        <w:numPr>
          <w:ilvl w:val="0"/>
          <w:numId w:val="39"/>
        </w:numPr>
        <w:spacing w:line="240" w:lineRule="auto"/>
        <w:jc w:val="both"/>
        <w:rPr>
          <w:rFonts w:ascii="Times New Roman" w:hAnsi="Times New Roman"/>
          <w:noProof/>
          <w:sz w:val="24"/>
        </w:rPr>
      </w:pPr>
      <w:r>
        <w:rPr>
          <w:rFonts w:ascii="Times New Roman" w:hAnsi="Times New Roman"/>
          <w:noProof/>
          <w:sz w:val="24"/>
        </w:rPr>
        <w:t>Increase in the number of new cooperation partnerships agreed with third countries in the field of return management (from 23 in 2010 to 34 and 43 in 2012 and 2013 respectively, with a total of 124 over the evaluation period).</w:t>
      </w:r>
      <w:r>
        <w:rPr>
          <w:rStyle w:val="FootnoteReference"/>
          <w:rFonts w:ascii="Times New Roman" w:hAnsi="Times New Roman"/>
          <w:noProof/>
          <w:sz w:val="24"/>
        </w:rPr>
        <w:footnoteReference w:id="114"/>
      </w:r>
      <w:r>
        <w:rPr>
          <w:rFonts w:ascii="Times New Roman" w:hAnsi="Times New Roman"/>
          <w:noProof/>
          <w:sz w:val="24"/>
        </w:rPr>
        <w:t xml:space="preserve"> </w:t>
      </w:r>
    </w:p>
    <w:p w:rsidR="007013FD" w:rsidRDefault="007013FD">
      <w:pPr>
        <w:pStyle w:val="ListParagraph"/>
        <w:spacing w:line="240" w:lineRule="auto"/>
        <w:jc w:val="both"/>
        <w:rPr>
          <w:rFonts w:ascii="Times New Roman" w:hAnsi="Times New Roman"/>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mentioned above, the effectiveness of the RF was inhibited by the limited number of projects implemented in this area; on several cases, this was a result of cancellations of projects which had been initially planned.</w:t>
      </w:r>
      <w:r>
        <w:rPr>
          <w:rStyle w:val="FootnoteReference"/>
          <w:rFonts w:ascii="Times New Roman" w:hAnsi="Times New Roman" w:cs="Times New Roman"/>
          <w:noProof/>
          <w:sz w:val="24"/>
          <w:szCs w:val="24"/>
          <w:lang w:val="en-GB"/>
        </w:rPr>
        <w:footnoteReference w:id="115"/>
      </w:r>
      <w:r>
        <w:rPr>
          <w:rFonts w:ascii="Times New Roman" w:hAnsi="Times New Roman" w:cs="Times New Roman"/>
          <w:noProof/>
          <w:sz w:val="24"/>
          <w:szCs w:val="24"/>
          <w:lang w:val="en-GB"/>
        </w:rPr>
        <w:t xml:space="preserve"> Member States reported that they h</w:t>
      </w:r>
      <w:r>
        <w:rPr>
          <w:rFonts w:ascii="Times New Roman" w:hAnsi="Times New Roman" w:cs="Times New Roman"/>
          <w:noProof/>
          <w:sz w:val="24"/>
          <w:szCs w:val="24"/>
          <w:lang w:val="en-GB"/>
        </w:rPr>
        <w:t>ad given more importance to other priorities because of a lack of capacity to implement actions in this area (HR, LT); or because similar actions were funded through other sources (e.g. Frontex or national sources) (ES, HU).</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Nevertheless, the impact of the</w:t>
      </w:r>
      <w:r>
        <w:rPr>
          <w:rFonts w:ascii="Times New Roman" w:hAnsi="Times New Roman" w:cs="Times New Roman"/>
          <w:noProof/>
          <w:sz w:val="24"/>
          <w:szCs w:val="24"/>
          <w:lang w:val="en-GB"/>
        </w:rPr>
        <w:t xml:space="preserve"> RF on intra-EU cooperation goes beyond the effects of the actions funded under specific objective b). Some Member States that gave less importance to actions under this specific objective nonetheless expressed the view that the RF overall had greatly cont</w:t>
      </w:r>
      <w:r>
        <w:rPr>
          <w:rFonts w:ascii="Times New Roman" w:hAnsi="Times New Roman" w:cs="Times New Roman"/>
          <w:noProof/>
          <w:sz w:val="24"/>
          <w:szCs w:val="24"/>
          <w:lang w:val="en-GB"/>
        </w:rPr>
        <w:t>ributed to improving their cooperation with counterparts by enhancing the exchange of experience.</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lang w:val="en-GB"/>
        </w:rPr>
        <w:t xml:space="preserve"> Community actions such as ERI/ERINT and EURINT</w:t>
      </w:r>
      <w:r>
        <w:rPr>
          <w:rStyle w:val="FootnoteReference"/>
          <w:rFonts w:ascii="Times New Roman" w:hAnsi="Times New Roman" w:cs="Times New Roman"/>
          <w:noProof/>
          <w:sz w:val="24"/>
          <w:szCs w:val="24"/>
          <w:lang w:val="en-GB"/>
        </w:rPr>
        <w:footnoteReference w:id="117"/>
      </w:r>
      <w:r>
        <w:rPr>
          <w:rFonts w:ascii="Times New Roman" w:hAnsi="Times New Roman" w:cs="Times New Roman"/>
          <w:noProof/>
          <w:sz w:val="24"/>
          <w:szCs w:val="24"/>
          <w:lang w:val="en-GB"/>
        </w:rPr>
        <w:t xml:space="preserve"> contributed to enhancing cooperation. The success of these initiatives is evidenced in the increase in the number of partners taking part in the relevant networks: from five Member States participating in ERI, to seven participating in ERIN, and over twen</w:t>
      </w:r>
      <w:r>
        <w:rPr>
          <w:rFonts w:ascii="Times New Roman" w:hAnsi="Times New Roman" w:cs="Times New Roman"/>
          <w:noProof/>
          <w:sz w:val="24"/>
          <w:szCs w:val="24"/>
          <w:lang w:val="en-GB"/>
        </w:rPr>
        <w:t>ty cooperating in EURINT.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 intra-EU cooperation could be fostered by enhancing joint return mechanisms to increase the number and scale of Joint Return Operations. An increase in the involvement of FRONTEX in return operations would also foster Memb</w:t>
      </w:r>
      <w:r>
        <w:rPr>
          <w:rFonts w:ascii="Times New Roman" w:hAnsi="Times New Roman" w:cs="Times New Roman"/>
          <w:noProof/>
          <w:sz w:val="24"/>
          <w:szCs w:val="24"/>
          <w:lang w:val="en-GB"/>
        </w:rPr>
        <w:t>er State cooperation, which would particularly benefit those Member States with limited diplomatic and consular networks. Under AMIF, a separate budget has been earmarked for the implementation of specific actions focusing on the cooperation between Member</w:t>
      </w:r>
      <w:r>
        <w:rPr>
          <w:rFonts w:ascii="Times New Roman" w:hAnsi="Times New Roman" w:cs="Times New Roman"/>
          <w:noProof/>
          <w:sz w:val="24"/>
          <w:szCs w:val="24"/>
          <w:lang w:val="en-GB"/>
        </w:rPr>
        <w:t xml:space="preserve"> States, such as 'Joint return operations', 'Joint reintegration projects in the countries of origin with a view to sustainable return, as well as 'joint actions to strengthen third countries' capacities to implement Union readmission agreements', and 'Joi</w:t>
      </w:r>
      <w:r>
        <w:rPr>
          <w:rFonts w:ascii="Times New Roman" w:hAnsi="Times New Roman" w:cs="Times New Roman"/>
          <w:noProof/>
          <w:sz w:val="24"/>
          <w:szCs w:val="24"/>
          <w:lang w:val="en-GB"/>
        </w:rPr>
        <w:t>nt initiatives aimed at restoring family unity and reintegration of unaccompanied minors in their countries of origin'</w:t>
      </w:r>
      <w:r>
        <w:rPr>
          <w:rStyle w:val="FootnoteReference"/>
          <w:rFonts w:ascii="Times New Roman" w:hAnsi="Times New Roman" w:cs="Times New Roman"/>
          <w:noProof/>
          <w:sz w:val="24"/>
          <w:szCs w:val="24"/>
          <w:lang w:val="en-GB"/>
        </w:rPr>
        <w:footnoteReference w:id="118"/>
      </w:r>
      <w:r>
        <w:rPr>
          <w:rFonts w:ascii="Times New Roman" w:hAnsi="Times New Roman" w:cs="Times New Roman"/>
          <w:noProof/>
          <w:sz w:val="24"/>
          <w:szCs w:val="24"/>
          <w:lang w:val="en-GB"/>
        </w:rPr>
        <w:t>.</w:t>
      </w:r>
    </w:p>
    <w:p w:rsidR="007013FD" w:rsidRDefault="005E3FDE">
      <w:pPr>
        <w:pStyle w:val="Heading3"/>
        <w:rPr>
          <w:rFonts w:ascii="Times New Roman" w:hAnsi="Times New Roman" w:cs="Times New Roman"/>
          <w:i w:val="0"/>
          <w:noProof/>
          <w:sz w:val="24"/>
          <w:szCs w:val="24"/>
        </w:rPr>
      </w:pPr>
      <w:bookmarkStart w:id="60" w:name="_Toc496630458"/>
      <w:bookmarkStart w:id="61" w:name="_Toc496711943"/>
      <w:bookmarkStart w:id="62" w:name="_Toc515379360"/>
      <w:r>
        <w:rPr>
          <w:rFonts w:ascii="Times New Roman" w:hAnsi="Times New Roman" w:cs="Times New Roman"/>
          <w:noProof/>
          <w:sz w:val="24"/>
          <w:szCs w:val="24"/>
        </w:rPr>
        <w:t>Specific objective c): The Contribution of the RF to the Implementation of EU Standards and Best Practices in Return Management</w:t>
      </w:r>
      <w:bookmarkEnd w:id="60"/>
      <w:bookmarkEnd w:id="61"/>
      <w:bookmarkEnd w:id="62"/>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i/>
          <w:noProof/>
        </w:rPr>
      </w:pPr>
      <w:r>
        <w:rPr>
          <w:i/>
          <w:noProof/>
        </w:rPr>
        <w:t>EQ6: To</w:t>
      </w:r>
      <w:r>
        <w:rPr>
          <w:i/>
          <w:noProof/>
        </w:rPr>
        <w:t xml:space="preserve"> what extent did the actions under the RF 2011-2013 contribute to the implementation of EU standards and best practices in return management? </w:t>
      </w:r>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noProof/>
        </w:rPr>
      </w:pPr>
      <w:r>
        <w:rPr>
          <w:b/>
          <w:noProof/>
        </w:rPr>
        <w:t>Main conclusion:</w:t>
      </w:r>
      <w:r>
        <w:rPr>
          <w:noProof/>
        </w:rPr>
        <w:t xml:space="preserve"> The RF had a moderate impact on the implementation of EU standards and best practices given the </w:t>
      </w:r>
      <w:r>
        <w:rPr>
          <w:noProof/>
        </w:rPr>
        <w:t>relatively low amount of funding and low number of actions carried out under this specific objective compared to actions under other specific objectives. Particularly effective actions in this area concerned the improvement of detention conditions, the mon</w:t>
      </w:r>
      <w:r>
        <w:rPr>
          <w:noProof/>
        </w:rPr>
        <w:t>itoring of returns, and the training on and exchange of best practices. Under AMIF, several provisions seek to ensure the continued and enhanced compliance of return practices with EU standards and best practices.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RF had a moderate impact on the implem</w:t>
      </w:r>
      <w:r>
        <w:rPr>
          <w:rFonts w:ascii="Times New Roman" w:hAnsi="Times New Roman" w:cs="Times New Roman"/>
          <w:noProof/>
          <w:sz w:val="24"/>
          <w:szCs w:val="24"/>
          <w:lang w:val="en-GB"/>
        </w:rPr>
        <w:t>entation of EU standards and best practices given the relatively low amount of funding and low number of projects carried out in this area under specific objective c)/priority 4 compared to projects under other specific objectives/priorities. Actions imple</w:t>
      </w:r>
      <w:r>
        <w:rPr>
          <w:rFonts w:ascii="Times New Roman" w:hAnsi="Times New Roman" w:cs="Times New Roman"/>
          <w:noProof/>
          <w:sz w:val="24"/>
          <w:szCs w:val="24"/>
          <w:lang w:val="en-GB"/>
        </w:rPr>
        <w:t>mented under Priority 4 received 2% of RF programmed funding and financed 14% of the total number of RF actions under the 2011 to 2013 APs. Six Member States</w:t>
      </w:r>
      <w:r>
        <w:rPr>
          <w:rStyle w:val="FootnoteReference"/>
          <w:rFonts w:ascii="Times New Roman" w:hAnsi="Times New Roman" w:cs="Times New Roman"/>
          <w:noProof/>
          <w:sz w:val="24"/>
          <w:szCs w:val="24"/>
          <w:lang w:val="en-GB"/>
        </w:rPr>
        <w:footnoteReference w:id="119"/>
      </w:r>
      <w:r>
        <w:rPr>
          <w:rFonts w:ascii="Times New Roman" w:hAnsi="Times New Roman" w:cs="Times New Roman"/>
          <w:noProof/>
          <w:sz w:val="24"/>
          <w:szCs w:val="24"/>
          <w:lang w:val="en-GB"/>
        </w:rPr>
        <w:t xml:space="preserve"> did not implement at all actions in support of the implementation of EU standards and best practi</w:t>
      </w:r>
      <w:r>
        <w:rPr>
          <w:rFonts w:ascii="Times New Roman" w:hAnsi="Times New Roman" w:cs="Times New Roman"/>
          <w:noProof/>
          <w:sz w:val="24"/>
          <w:szCs w:val="24"/>
          <w:lang w:val="en-GB"/>
        </w:rPr>
        <w:t>ces on return management during the evaluation period. This was either due to cuts in national funding which meant that the focus was shifted to other priorities, or because this type of project was already directly or indirectly financed by other EU or na</w:t>
      </w:r>
      <w:r>
        <w:rPr>
          <w:rFonts w:ascii="Times New Roman" w:hAnsi="Times New Roman" w:cs="Times New Roman"/>
          <w:noProof/>
          <w:sz w:val="24"/>
          <w:szCs w:val="24"/>
          <w:lang w:val="en-GB"/>
        </w:rPr>
        <w:t>tional funds.</w:t>
      </w:r>
    </w:p>
    <w:p w:rsidR="007013FD" w:rsidRDefault="005E3FDE">
      <w:pPr>
        <w:spacing w:line="240" w:lineRule="auto"/>
        <w:jc w:val="both"/>
        <w:rPr>
          <w:rFonts w:ascii="Times New Roman" w:hAnsi="Times New Roman"/>
          <w:noProof/>
          <w:sz w:val="24"/>
          <w:lang w:val="en-GB"/>
        </w:rPr>
      </w:pPr>
      <w:r>
        <w:rPr>
          <w:rFonts w:ascii="Times New Roman" w:hAnsi="Times New Roman"/>
          <w:noProof/>
          <w:sz w:val="24"/>
          <w:lang w:val="en-GB"/>
        </w:rPr>
        <w:t>Even if a low amount of funding was allocated to this Priority, the majority of Member States expressed positive views on the contribution made to their efforts in the implementation of EU common standards and best practices on return</w:t>
      </w:r>
      <w:r>
        <w:rPr>
          <w:rStyle w:val="FootnoteReference"/>
          <w:rFonts w:ascii="Times New Roman" w:hAnsi="Times New Roman" w:cs="Times New Roman"/>
          <w:noProof/>
          <w:sz w:val="24"/>
          <w:szCs w:val="24"/>
          <w:lang w:val="en-GB"/>
        </w:rPr>
        <w:footnoteReference w:id="120"/>
      </w:r>
      <w:r>
        <w:rPr>
          <w:rFonts w:ascii="Times New Roman" w:hAnsi="Times New Roman"/>
          <w:noProof/>
          <w:sz w:val="24"/>
          <w:lang w:val="en-GB"/>
        </w:rPr>
        <w:t>. Furth</w:t>
      </w:r>
      <w:r>
        <w:rPr>
          <w:rFonts w:ascii="Times New Roman" w:hAnsi="Times New Roman"/>
          <w:noProof/>
          <w:sz w:val="24"/>
          <w:lang w:val="en-GB"/>
        </w:rPr>
        <w:t>ermore, 60% of respondents to an online survey</w:t>
      </w:r>
      <w:r>
        <w:rPr>
          <w:rStyle w:val="FootnoteReference"/>
          <w:rFonts w:ascii="Times New Roman" w:hAnsi="Times New Roman" w:cs="Times New Roman"/>
          <w:noProof/>
          <w:sz w:val="24"/>
          <w:szCs w:val="24"/>
        </w:rPr>
        <w:footnoteReference w:id="121"/>
      </w:r>
      <w:r>
        <w:rPr>
          <w:rFonts w:ascii="Times New Roman" w:hAnsi="Times New Roman"/>
          <w:noProof/>
          <w:sz w:val="24"/>
          <w:lang w:val="en-GB"/>
        </w:rPr>
        <w:t xml:space="preserve"> considered that their project had "Fully" or "Fairly" contributed to the development of research and best practices in the field of return.</w:t>
      </w:r>
      <w:r>
        <w:rPr>
          <w:rStyle w:val="FootnoteReference"/>
          <w:rFonts w:ascii="Times New Roman" w:hAnsi="Times New Roman" w:cs="Times New Roman"/>
          <w:noProof/>
          <w:sz w:val="24"/>
          <w:szCs w:val="24"/>
        </w:rPr>
        <w:footnoteReference w:id="122"/>
      </w:r>
      <w:r>
        <w:rPr>
          <w:noProof/>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results achieved under this specific objective were as fo</w:t>
      </w:r>
      <w:r>
        <w:rPr>
          <w:rFonts w:ascii="Times New Roman" w:hAnsi="Times New Roman" w:cs="Times New Roman"/>
          <w:noProof/>
          <w:sz w:val="24"/>
          <w:szCs w:val="24"/>
          <w:lang w:val="en-GB"/>
        </w:rPr>
        <w:t>llows:</w:t>
      </w:r>
    </w:p>
    <w:p w:rsidR="007013FD" w:rsidRDefault="005E3FDE">
      <w:pPr>
        <w:pStyle w:val="ListParagraph"/>
        <w:numPr>
          <w:ilvl w:val="0"/>
          <w:numId w:val="40"/>
        </w:numPr>
        <w:spacing w:line="240" w:lineRule="auto"/>
        <w:jc w:val="both"/>
        <w:rPr>
          <w:rFonts w:ascii="Times New Roman" w:hAnsi="Times New Roman"/>
          <w:noProof/>
          <w:sz w:val="24"/>
        </w:rPr>
      </w:pPr>
      <w:r>
        <w:rPr>
          <w:rFonts w:ascii="Times New Roman" w:hAnsi="Times New Roman"/>
          <w:noProof/>
          <w:sz w:val="24"/>
        </w:rPr>
        <w:t>improvement of detention conditions as well as the provision of legal assistance and other services such as psychological and social support and access to education for detained children</w:t>
      </w:r>
      <w:r>
        <w:rPr>
          <w:rStyle w:val="FootnoteReference"/>
          <w:rFonts w:ascii="Times New Roman" w:hAnsi="Times New Roman"/>
          <w:noProof/>
          <w:sz w:val="24"/>
        </w:rPr>
        <w:footnoteReference w:id="123"/>
      </w:r>
      <w:r>
        <w:rPr>
          <w:rFonts w:ascii="Times New Roman" w:hAnsi="Times New Roman"/>
          <w:noProof/>
          <w:sz w:val="24"/>
        </w:rPr>
        <w:t xml:space="preserve">, </w:t>
      </w:r>
    </w:p>
    <w:p w:rsidR="007013FD" w:rsidRDefault="005E3FDE">
      <w:pPr>
        <w:pStyle w:val="ListParagraph"/>
        <w:numPr>
          <w:ilvl w:val="0"/>
          <w:numId w:val="40"/>
        </w:numPr>
        <w:spacing w:line="240" w:lineRule="auto"/>
        <w:jc w:val="both"/>
        <w:rPr>
          <w:rFonts w:ascii="Times New Roman" w:hAnsi="Times New Roman"/>
          <w:noProof/>
          <w:sz w:val="24"/>
        </w:rPr>
      </w:pPr>
      <w:r>
        <w:rPr>
          <w:rFonts w:ascii="Times New Roman" w:hAnsi="Times New Roman"/>
          <w:noProof/>
          <w:sz w:val="24"/>
        </w:rPr>
        <w:t xml:space="preserve">Investments in alternatives to detention for families by </w:t>
      </w:r>
      <w:r>
        <w:rPr>
          <w:rFonts w:ascii="Times New Roman" w:hAnsi="Times New Roman"/>
          <w:noProof/>
          <w:sz w:val="24"/>
        </w:rPr>
        <w:t>providing special housing facilities</w:t>
      </w:r>
      <w:r>
        <w:rPr>
          <w:rStyle w:val="FootnoteReference"/>
          <w:rFonts w:ascii="Times New Roman" w:hAnsi="Times New Roman"/>
          <w:noProof/>
          <w:sz w:val="24"/>
        </w:rPr>
        <w:footnoteReference w:id="124"/>
      </w:r>
      <w:r>
        <w:rPr>
          <w:rFonts w:ascii="Times New Roman" w:hAnsi="Times New Roman"/>
          <w:noProof/>
          <w:sz w:val="24"/>
        </w:rPr>
        <w:t xml:space="preserve">,  </w:t>
      </w:r>
    </w:p>
    <w:p w:rsidR="007013FD" w:rsidRDefault="005E3FDE">
      <w:pPr>
        <w:pStyle w:val="ListParagraph"/>
        <w:numPr>
          <w:ilvl w:val="0"/>
          <w:numId w:val="40"/>
        </w:numPr>
        <w:spacing w:line="240" w:lineRule="auto"/>
        <w:jc w:val="both"/>
        <w:rPr>
          <w:rFonts w:ascii="Times New Roman" w:hAnsi="Times New Roman"/>
          <w:noProof/>
          <w:sz w:val="24"/>
        </w:rPr>
      </w:pPr>
      <w:r>
        <w:rPr>
          <w:rFonts w:ascii="Times New Roman" w:hAnsi="Times New Roman"/>
          <w:noProof/>
          <w:sz w:val="24"/>
        </w:rPr>
        <w:t>Improvement of the monitoring of forced returns to ensure compliance with Article 8(6) of the Return Directive</w:t>
      </w:r>
      <w:r>
        <w:rPr>
          <w:rStyle w:val="FootnoteReference"/>
          <w:rFonts w:ascii="Times New Roman" w:hAnsi="Times New Roman"/>
          <w:noProof/>
          <w:sz w:val="24"/>
        </w:rPr>
        <w:footnoteReference w:id="125"/>
      </w:r>
      <w:r>
        <w:rPr>
          <w:rFonts w:ascii="Times New Roman" w:hAnsi="Times New Roman"/>
          <w:noProof/>
          <w:sz w:val="24"/>
        </w:rPr>
        <w:t xml:space="preserve">, </w:t>
      </w:r>
    </w:p>
    <w:p w:rsidR="007013FD" w:rsidRDefault="005E3FDE">
      <w:pPr>
        <w:pStyle w:val="ListParagraph"/>
        <w:numPr>
          <w:ilvl w:val="0"/>
          <w:numId w:val="40"/>
        </w:numPr>
        <w:spacing w:line="240" w:lineRule="auto"/>
        <w:jc w:val="both"/>
        <w:rPr>
          <w:rFonts w:ascii="Times New Roman" w:hAnsi="Times New Roman"/>
          <w:noProof/>
          <w:sz w:val="24"/>
        </w:rPr>
      </w:pPr>
      <w:r>
        <w:rPr>
          <w:rFonts w:ascii="Times New Roman" w:hAnsi="Times New Roman"/>
          <w:noProof/>
          <w:sz w:val="24"/>
        </w:rPr>
        <w:t>measures related to research, training and the exchange of best practices</w:t>
      </w:r>
      <w:r>
        <w:rPr>
          <w:rStyle w:val="FootnoteReference"/>
          <w:rFonts w:ascii="Times New Roman" w:hAnsi="Times New Roman"/>
          <w:noProof/>
          <w:sz w:val="24"/>
        </w:rPr>
        <w:footnoteReference w:id="126"/>
      </w:r>
      <w:r>
        <w:rPr>
          <w:rFonts w:ascii="Times New Roman" w:hAnsi="Times New Roman"/>
          <w:noProof/>
          <w:sz w:val="24"/>
        </w:rPr>
        <w:t xml:space="preserve">, such as the provision of training to officials working in detention centres (e.g. EE, HU), to escorts participating in forced return operations (e.g. IT, LV), to judges and prosecutors (e.g. HU) and to legal aid providers (e.g. LV). </w:t>
      </w:r>
    </w:p>
    <w:p w:rsidR="007013FD" w:rsidRDefault="007013FD">
      <w:pPr>
        <w:pStyle w:val="ListParagraph"/>
        <w:spacing w:line="240" w:lineRule="auto"/>
        <w:jc w:val="both"/>
        <w:rPr>
          <w:rFonts w:ascii="Times New Roman" w:hAnsi="Times New Roman"/>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w:t>
      </w:r>
      <w:r>
        <w:rPr>
          <w:rFonts w:ascii="Times New Roman" w:hAnsi="Times New Roman" w:cs="Times New Roman"/>
          <w:b/>
          <w:noProof/>
          <w:sz w:val="24"/>
          <w:szCs w:val="24"/>
          <w:lang w:val="en-GB"/>
        </w:rPr>
        <w:t>Community act</w:t>
      </w:r>
      <w:r>
        <w:rPr>
          <w:rFonts w:ascii="Times New Roman" w:hAnsi="Times New Roman" w:cs="Times New Roman"/>
          <w:b/>
          <w:noProof/>
          <w:sz w:val="24"/>
          <w:szCs w:val="24"/>
          <w:lang w:val="en-GB"/>
        </w:rPr>
        <w:t>ions</w:t>
      </w:r>
      <w:r>
        <w:rPr>
          <w:rFonts w:ascii="Times New Roman" w:hAnsi="Times New Roman" w:cs="Times New Roman"/>
          <w:noProof/>
          <w:sz w:val="24"/>
          <w:szCs w:val="24"/>
          <w:lang w:val="en-GB"/>
        </w:rPr>
        <w:t>, the Forced Return Monitoring project (FReM), implemented in 2012, set the foundation for the establishment of a pool of independent return monitors, trained to help ensure that the rights of returnees are respected in forced return operations. It con</w:t>
      </w:r>
      <w:r>
        <w:rPr>
          <w:rFonts w:ascii="Times New Roman" w:hAnsi="Times New Roman" w:cs="Times New Roman"/>
          <w:noProof/>
          <w:sz w:val="24"/>
          <w:szCs w:val="24"/>
          <w:lang w:val="en-GB"/>
        </w:rPr>
        <w:t>tributed to an increased coordination of stakeholders involved in return and encouraged Member States to update their policies on forced returns in accordance with the Return Directive.</w:t>
      </w:r>
      <w:r>
        <w:rPr>
          <w:rStyle w:val="FootnoteReference"/>
          <w:rFonts w:ascii="Times New Roman" w:hAnsi="Times New Roman" w:cs="Times New Roman"/>
          <w:noProof/>
          <w:sz w:val="24"/>
          <w:szCs w:val="24"/>
          <w:lang w:val="en-GB"/>
        </w:rPr>
        <w:footnoteReference w:id="127"/>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further ensure an enhanced implementation of EU standards</w:t>
      </w:r>
      <w:r>
        <w:rPr>
          <w:rFonts w:ascii="Times New Roman" w:hAnsi="Times New Roman" w:cs="Times New Roman"/>
          <w:noProof/>
          <w:sz w:val="24"/>
          <w:szCs w:val="24"/>
          <w:lang w:val="en-GB"/>
        </w:rPr>
        <w:t xml:space="preserve"> and best practices in the field of return management, it is provided in the legal base of AMIF that this Fund should support measures accompanying return procedures, including the funding of alternatives to detention, the provision of assistance and legal</w:t>
      </w:r>
      <w:r>
        <w:rPr>
          <w:rFonts w:ascii="Times New Roman" w:hAnsi="Times New Roman" w:cs="Times New Roman"/>
          <w:noProof/>
          <w:sz w:val="24"/>
          <w:szCs w:val="24"/>
          <w:lang w:val="en-GB"/>
        </w:rPr>
        <w:t xml:space="preserve"> aid, specific assistance for vulnerable people, and the establishment, maintenance and improvement of accommodation, reception, or detention facilities.</w:t>
      </w:r>
      <w:r>
        <w:rPr>
          <w:rStyle w:val="FootnoteReference"/>
          <w:rFonts w:ascii="Times New Roman" w:hAnsi="Times New Roman" w:cs="Times New Roman"/>
          <w:noProof/>
          <w:sz w:val="24"/>
          <w:szCs w:val="24"/>
          <w:lang w:val="en-GB"/>
        </w:rPr>
        <w:footnoteReference w:id="128"/>
      </w:r>
      <w:r>
        <w:rPr>
          <w:rFonts w:ascii="Times New Roman" w:hAnsi="Times New Roman" w:cs="Times New Roman"/>
          <w:noProof/>
          <w:sz w:val="24"/>
          <w:szCs w:val="24"/>
          <w:lang w:val="en-GB"/>
        </w:rPr>
        <w:t xml:space="preserve"> It is also provided that actions relating to assisted voluntary returns and to removal operations in </w:t>
      </w:r>
      <w:r>
        <w:rPr>
          <w:rFonts w:ascii="Times New Roman" w:hAnsi="Times New Roman" w:cs="Times New Roman"/>
          <w:noProof/>
          <w:sz w:val="24"/>
          <w:szCs w:val="24"/>
          <w:lang w:val="en-GB"/>
        </w:rPr>
        <w:t>general should be particularly supported with an emphasis on the standards laid down in EU law</w:t>
      </w:r>
      <w:r>
        <w:rPr>
          <w:rStyle w:val="FootnoteReference"/>
          <w:rFonts w:ascii="Times New Roman" w:hAnsi="Times New Roman" w:cs="Times New Roman"/>
          <w:noProof/>
          <w:sz w:val="24"/>
          <w:szCs w:val="24"/>
          <w:lang w:val="en-GB"/>
        </w:rPr>
        <w:footnoteReference w:id="129"/>
      </w:r>
      <w:r>
        <w:rPr>
          <w:rFonts w:ascii="Times New Roman" w:hAnsi="Times New Roman" w:cs="Times New Roman"/>
          <w:noProof/>
          <w:sz w:val="24"/>
          <w:szCs w:val="24"/>
          <w:lang w:val="en-GB"/>
        </w:rPr>
        <w:t>.</w:t>
      </w:r>
    </w:p>
    <w:p w:rsidR="007013FD" w:rsidRDefault="005E3FDE">
      <w:pPr>
        <w:pStyle w:val="Heading3"/>
        <w:rPr>
          <w:rFonts w:ascii="Times New Roman" w:hAnsi="Times New Roman" w:cs="Times New Roman"/>
          <w:noProof/>
          <w:sz w:val="24"/>
          <w:szCs w:val="24"/>
        </w:rPr>
      </w:pPr>
      <w:bookmarkStart w:id="63" w:name="_Toc496630459"/>
      <w:bookmarkStart w:id="64" w:name="_Toc496711944"/>
      <w:bookmarkStart w:id="65" w:name="_Toc515379361"/>
      <w:r>
        <w:rPr>
          <w:rFonts w:ascii="Times New Roman" w:hAnsi="Times New Roman" w:cs="Times New Roman"/>
          <w:noProof/>
          <w:sz w:val="24"/>
          <w:szCs w:val="24"/>
        </w:rPr>
        <w:t>Effectiveness of the principle of solidarity: The Contribution of the RF to the Support Services Provided to Member States in Emergency Situations</w:t>
      </w:r>
      <w:bookmarkEnd w:id="63"/>
      <w:bookmarkEnd w:id="64"/>
      <w:bookmarkEnd w:id="65"/>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i/>
          <w:noProof/>
        </w:rPr>
      </w:pPr>
      <w:r>
        <w:rPr>
          <w:i/>
          <w:noProof/>
        </w:rPr>
        <w:t>EQ7a: To wha</w:t>
      </w:r>
      <w:r>
        <w:rPr>
          <w:i/>
          <w:noProof/>
        </w:rPr>
        <w:t xml:space="preserve">t extent were the RF 2011-2013 actions, and in particular the RF Community actions, effective in providing support services to Member States in duly substantiated emergency situations requiring urgent action in the field of return management? </w:t>
      </w:r>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noProof/>
        </w:rPr>
      </w:pPr>
      <w:r>
        <w:rPr>
          <w:b/>
          <w:noProof/>
        </w:rPr>
        <w:t>Main conclus</w:t>
      </w:r>
      <w:r>
        <w:rPr>
          <w:b/>
          <w:noProof/>
        </w:rPr>
        <w:t>ion:</w:t>
      </w:r>
      <w:r>
        <w:rPr>
          <w:noProof/>
        </w:rPr>
        <w:t xml:space="preserve"> A generally high absorption rate and the positive perceptions of Member States suggest that RF actions made a positive and often crucial contribution to supporting Member States in emergency situations in the field of return management in particular i</w:t>
      </w:r>
      <w:r>
        <w:rPr>
          <w:noProof/>
        </w:rPr>
        <w:t>n a framework in which the distribution key based on historical data showed its limitations to cope with changing migratory pressures.</w:t>
      </w:r>
    </w:p>
    <w:p w:rsidR="007013FD" w:rsidRDefault="005E3FDE">
      <w:pPr>
        <w:spacing w:line="240" w:lineRule="auto"/>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As shown in Section 6.1, the distribution key of the annual allocation of funds to APs was designed in such a way that it</w:t>
      </w:r>
      <w:r>
        <w:rPr>
          <w:rFonts w:ascii="Times New Roman" w:hAnsi="Times New Roman" w:cs="Times New Roman"/>
          <w:noProof/>
          <w:sz w:val="24"/>
          <w:szCs w:val="24"/>
          <w:lang w:val="en-GB"/>
        </w:rPr>
        <w:t xml:space="preserve"> helped support Member States most affected by migratory pressure and bearing the heaviest burden in the area of return of irregular migrants. In 2011, an assessment on the annual distribution of resources in the Member States for the SOLID Funds concluded</w:t>
      </w:r>
      <w:r>
        <w:rPr>
          <w:rFonts w:ascii="Times New Roman" w:hAnsi="Times New Roman" w:cs="Times New Roman"/>
          <w:noProof/>
          <w:sz w:val="24"/>
          <w:szCs w:val="24"/>
          <w:lang w:val="en-GB"/>
        </w:rPr>
        <w:t xml:space="preserve"> that the key helped confirm "</w:t>
      </w:r>
      <w:r>
        <w:rPr>
          <w:rFonts w:ascii="Times New Roman" w:hAnsi="Times New Roman" w:cs="Times New Roman"/>
          <w:i/>
          <w:noProof/>
          <w:sz w:val="24"/>
          <w:szCs w:val="24"/>
          <w:lang w:val="en-GB"/>
        </w:rPr>
        <w:t>the purpose of the Fund as an instrument of financial solidarity for return management in the EU"</w:t>
      </w:r>
      <w:r>
        <w:rPr>
          <w:rStyle w:val="FootnoteReference"/>
          <w:rFonts w:ascii="Times New Roman" w:hAnsi="Times New Roman" w:cs="Times New Roman"/>
          <w:i/>
          <w:noProof/>
          <w:sz w:val="24"/>
          <w:szCs w:val="24"/>
          <w:lang w:val="en-GB"/>
        </w:rPr>
        <w:footnoteReference w:id="130"/>
      </w:r>
      <w:r>
        <w:rPr>
          <w:rFonts w:ascii="Times New Roman" w:hAnsi="Times New Roman" w:cs="Times New Roman"/>
          <w:i/>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distribution key, and in particular the reference period of the data on which it was based, showed its limitation</w:t>
      </w:r>
      <w:r>
        <w:rPr>
          <w:rFonts w:ascii="Times New Roman" w:hAnsi="Times New Roman" w:cs="Times New Roman"/>
          <w:noProof/>
          <w:sz w:val="24"/>
          <w:szCs w:val="24"/>
          <w:lang w:val="en-GB"/>
        </w:rPr>
        <w:t>s in the context of the crisis and the following unforeseen circumstances. The yearly revision of the allocation of EU funds to the annual national programmes has been key to ensure that the funds available have targeted the most affected Member States. Ho</w:t>
      </w:r>
      <w:r>
        <w:rPr>
          <w:rFonts w:ascii="Times New Roman" w:hAnsi="Times New Roman" w:cs="Times New Roman"/>
          <w:noProof/>
          <w:sz w:val="24"/>
          <w:szCs w:val="24"/>
          <w:lang w:val="en-GB"/>
        </w:rPr>
        <w:t>wever, given the fact that the allocations provided in a given year to the Member States were calculated on the basis of data from previous years (See Section 6.1), the funding could not – for obvious practical reasons – take into account sudden and unfore</w:t>
      </w:r>
      <w:r>
        <w:rPr>
          <w:rFonts w:ascii="Times New Roman" w:hAnsi="Times New Roman" w:cs="Times New Roman"/>
          <w:noProof/>
          <w:sz w:val="24"/>
          <w:szCs w:val="24"/>
          <w:lang w:val="en-GB"/>
        </w:rPr>
        <w:t>seen circumstances. Consequently, the use of emergency measures proved to be crucial for those Member States which were subject to acute and urgent migration pressure. Hence, Emergency measures partially counter-balanced the limitations of the distribution</w:t>
      </w:r>
      <w:r>
        <w:rPr>
          <w:rFonts w:ascii="Times New Roman" w:hAnsi="Times New Roman" w:cs="Times New Roman"/>
          <w:noProof/>
          <w:sz w:val="24"/>
          <w:szCs w:val="24"/>
          <w:lang w:val="en-GB"/>
        </w:rPr>
        <w:t xml:space="preserve"> key.</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example, in late 2013, when Bulgaria was faced with increased migration flow mainly due to the crisis in Syria, the AP2013 was being implemented. The financial allocation to the 2013 AP of Bulgaria was based on the number of return decisions issu</w:t>
      </w:r>
      <w:r>
        <w:rPr>
          <w:rFonts w:ascii="Times New Roman" w:hAnsi="Times New Roman" w:cs="Times New Roman"/>
          <w:noProof/>
          <w:sz w:val="24"/>
          <w:szCs w:val="24"/>
          <w:lang w:val="en-GB"/>
        </w:rPr>
        <w:t>ed during the years 2009 to 2011 (1 465 (2009), 1 705 (2010), 1 355 (2011)). Bulgaria's allocation for the 2013 APs was among the smallest. However, the number of third country nationals ordered to leave increased to 5 260 in 2013 and to 12 870 in 2014. Th</w:t>
      </w:r>
      <w:r>
        <w:rPr>
          <w:rFonts w:ascii="Times New Roman" w:hAnsi="Times New Roman" w:cs="Times New Roman"/>
          <w:noProof/>
          <w:sz w:val="24"/>
          <w:szCs w:val="24"/>
          <w:lang w:val="en-GB"/>
        </w:rPr>
        <w:t>e emergency allocation of around half a million</w:t>
      </w:r>
      <w:r>
        <w:rPr>
          <w:rStyle w:val="FootnoteReference"/>
          <w:rFonts w:ascii="Times New Roman" w:hAnsi="Times New Roman" w:cs="Times New Roman"/>
          <w:noProof/>
          <w:sz w:val="24"/>
          <w:szCs w:val="24"/>
          <w:lang w:val="en-GB"/>
        </w:rPr>
        <w:footnoteReference w:id="131"/>
      </w:r>
      <w:r>
        <w:rPr>
          <w:rFonts w:ascii="Times New Roman" w:hAnsi="Times New Roman" w:cs="Times New Roman"/>
          <w:noProof/>
          <w:sz w:val="24"/>
          <w:szCs w:val="24"/>
          <w:lang w:val="en-GB"/>
        </w:rPr>
        <w:t xml:space="preserve"> implemented in 2014</w:t>
      </w:r>
      <w:r>
        <w:rPr>
          <w:rStyle w:val="FootnoteReference"/>
          <w:rFonts w:ascii="Times New Roman" w:hAnsi="Times New Roman" w:cs="Times New Roman"/>
          <w:noProof/>
          <w:sz w:val="24"/>
          <w:szCs w:val="24"/>
          <w:lang w:val="en-GB"/>
        </w:rPr>
        <w:footnoteReference w:id="132"/>
      </w:r>
      <w:r>
        <w:rPr>
          <w:rFonts w:ascii="Times New Roman" w:hAnsi="Times New Roman" w:cs="Times New Roman"/>
          <w:noProof/>
          <w:sz w:val="24"/>
          <w:szCs w:val="24"/>
          <w:lang w:val="en-GB"/>
        </w:rPr>
        <w:t xml:space="preserve"> helped support Bulgaria in time of emergency situation as the annual allocation could not take into consideration these unforeseen circumstances.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total six Emergency Assistance proje</w:t>
      </w:r>
      <w:r>
        <w:rPr>
          <w:rFonts w:ascii="Times New Roman" w:hAnsi="Times New Roman" w:cs="Times New Roman"/>
          <w:noProof/>
          <w:sz w:val="24"/>
          <w:szCs w:val="24"/>
          <w:lang w:val="en-GB"/>
        </w:rPr>
        <w:t>cts were financed under the 2010 to 2013 Community Action Annual Work Programmes, with the aim of providing support services in cases of duly substantiated emergency situations</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lang w:val="en-GB"/>
        </w:rPr>
        <w:t>. Overall, the absorption rate of these projects was very high, ranging from 93</w:t>
      </w:r>
      <w:r>
        <w:rPr>
          <w:rFonts w:ascii="Times New Roman" w:hAnsi="Times New Roman" w:cs="Times New Roman"/>
          <w:noProof/>
          <w:sz w:val="24"/>
          <w:szCs w:val="24"/>
          <w:lang w:val="en-GB"/>
        </w:rPr>
        <w:t>% for the AVR project implemented for Bulgaria (above), to 100% for a project aimed at returning irregular migrants implemented in Italy and a project on identification capabilities in Ceuta and Melilla for Spain. A project on AVR(R) of UAMs in Greece is t</w:t>
      </w:r>
      <w:r>
        <w:rPr>
          <w:rFonts w:ascii="Times New Roman" w:hAnsi="Times New Roman" w:cs="Times New Roman"/>
          <w:noProof/>
          <w:sz w:val="24"/>
          <w:szCs w:val="24"/>
          <w:lang w:val="en-GB"/>
        </w:rPr>
        <w:t>he exception, where only 56% of the granted EU contribution was implemented</w:t>
      </w:r>
      <w:r>
        <w:rPr>
          <w:rStyle w:val="FootnoteReference"/>
          <w:rFonts w:ascii="Times New Roman" w:hAnsi="Times New Roman" w:cs="Times New Roman"/>
          <w:noProof/>
          <w:sz w:val="24"/>
          <w:szCs w:val="24"/>
          <w:lang w:val="en-GB"/>
        </w:rPr>
        <w:footnoteReference w:id="134"/>
      </w:r>
      <w:r>
        <w:rPr>
          <w:rFonts w:ascii="Times New Roman" w:hAnsi="Times New Roman" w:cs="Times New Roman"/>
          <w:noProof/>
          <w:sz w:val="24"/>
          <w:szCs w:val="24"/>
          <w:lang w:val="en-GB"/>
        </w:rPr>
        <w:t>. The high absorption rates suggest that the EU funding provided was really needed and that the project beneficiaries had the capacity to implement it. The Italian project can be c</w:t>
      </w:r>
      <w:r>
        <w:rPr>
          <w:rFonts w:ascii="Times New Roman" w:hAnsi="Times New Roman" w:cs="Times New Roman"/>
          <w:noProof/>
          <w:sz w:val="24"/>
          <w:szCs w:val="24"/>
          <w:lang w:val="en-GB"/>
        </w:rPr>
        <w:t>onsidered a success story, as the objectives of its two emergency actions were exceeded, and 1 636 irregular migrants were returned to their countries of origin.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Responses from RAs suggest that Emergency Assistance grants was seen as an essential means of </w:t>
      </w:r>
      <w:r>
        <w:rPr>
          <w:rFonts w:ascii="Times New Roman" w:hAnsi="Times New Roman" w:cs="Times New Roman"/>
          <w:noProof/>
          <w:sz w:val="24"/>
          <w:szCs w:val="24"/>
          <w:lang w:val="en-GB"/>
        </w:rPr>
        <w:t>providing support to Member States in emergency situations. The RA of Spain indicated, for example, that the funding received as Emergency Assistance had been essential to cope with the migratory crisis in Ceuta and Melilla.</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lang w:val="en-GB"/>
        </w:rPr>
        <w:t xml:space="preserve"> RAs also highlighted that the </w:t>
      </w:r>
      <w:r>
        <w:rPr>
          <w:rFonts w:ascii="Times New Roman" w:hAnsi="Times New Roman" w:cs="Times New Roman"/>
          <w:noProof/>
          <w:sz w:val="24"/>
          <w:szCs w:val="24"/>
          <w:lang w:val="en-GB"/>
        </w:rPr>
        <w:t>design of the funding mechanisms for this kind of project was particularly appropriate for emergency situations, as it offered high flexibility to national authorities thanks to the provision of advance funding and the dispensation from programming require</w:t>
      </w:r>
      <w:r>
        <w:rPr>
          <w:rFonts w:ascii="Times New Roman" w:hAnsi="Times New Roman" w:cs="Times New Roman"/>
          <w:noProof/>
          <w:sz w:val="24"/>
          <w:szCs w:val="24"/>
          <w:lang w:val="en-GB"/>
        </w:rPr>
        <w:t>ments.</w:t>
      </w:r>
    </w:p>
    <w:p w:rsidR="007013FD" w:rsidRDefault="005E3FDE">
      <w:pPr>
        <w:pStyle w:val="Heading3"/>
        <w:rPr>
          <w:rFonts w:ascii="Times New Roman" w:hAnsi="Times New Roman"/>
          <w:noProof/>
          <w:sz w:val="24"/>
        </w:rPr>
      </w:pPr>
      <w:bookmarkStart w:id="66" w:name="_Toc515379362"/>
      <w:r>
        <w:rPr>
          <w:rFonts w:ascii="Times New Roman" w:hAnsi="Times New Roman" w:cs="Times New Roman"/>
          <w:noProof/>
          <w:sz w:val="24"/>
          <w:szCs w:val="24"/>
        </w:rPr>
        <w:t>Specific objective d): The contribution of the RF to Specific Innovative Tools for Return Management</w:t>
      </w:r>
      <w:bookmarkEnd w:id="66"/>
    </w:p>
    <w:p w:rsidR="007013FD" w:rsidRDefault="005E3FDE">
      <w:pPr>
        <w:pStyle w:val="NormalWeb"/>
        <w:pBdr>
          <w:top w:val="single" w:sz="4" w:space="1" w:color="auto"/>
          <w:left w:val="single" w:sz="4" w:space="4" w:color="auto"/>
          <w:bottom w:val="single" w:sz="4" w:space="1" w:color="auto"/>
          <w:right w:val="single" w:sz="4" w:space="4" w:color="auto"/>
        </w:pBdr>
        <w:spacing w:after="0"/>
        <w:jc w:val="both"/>
        <w:rPr>
          <w:i/>
          <w:noProof/>
        </w:rPr>
      </w:pPr>
      <w:r>
        <w:rPr>
          <w:i/>
          <w:noProof/>
        </w:rPr>
        <w:t xml:space="preserve">EQ5: To what extent did the actions under the RF 2011-2013 contribute to specific innovative (inter)national tools for return management? </w:t>
      </w:r>
    </w:p>
    <w:p w:rsidR="007013FD" w:rsidRDefault="005E3FDE">
      <w:pPr>
        <w:pStyle w:val="NormalWeb"/>
        <w:pBdr>
          <w:top w:val="single" w:sz="4" w:space="1" w:color="auto"/>
          <w:left w:val="single" w:sz="4" w:space="4" w:color="auto"/>
          <w:bottom w:val="single" w:sz="4" w:space="1" w:color="auto"/>
          <w:right w:val="single" w:sz="4" w:space="4" w:color="auto"/>
        </w:pBdr>
        <w:jc w:val="both"/>
        <w:rPr>
          <w:noProof/>
        </w:rPr>
      </w:pPr>
      <w:r>
        <w:rPr>
          <w:b/>
          <w:noProof/>
        </w:rPr>
        <w:t>Main conc</w:t>
      </w:r>
      <w:r>
        <w:rPr>
          <w:b/>
          <w:noProof/>
        </w:rPr>
        <w:t>lusion:</w:t>
      </w:r>
      <w:r>
        <w:rPr>
          <w:noProof/>
        </w:rPr>
        <w:t xml:space="preserve"> Overall, the RF made a moderate contribution in this area, leading to the development of several innovative tools at both national and EU levels. The number of return cases addressed or affected by the use of new return management tools or initiatives in </w:t>
      </w:r>
      <w:r>
        <w:rPr>
          <w:noProof/>
        </w:rPr>
        <w:t>2011-2013 increased from 2 543 in 2011, to 21 181 in 2012 and 33 274 in 2013. However, some projects implemented in this area under priority 3 were not effective, either because they failed to provide solutions to problems faced or involved methods which h</w:t>
      </w:r>
      <w:r>
        <w:rPr>
          <w:noProof/>
        </w:rPr>
        <w:t>ad already been used before and thus could not truly be considered innovative. With AMIF, under shared management Member States define the objectives of the calls for proposals, so they may choose to implement projects focused on innovation if they see a n</w:t>
      </w:r>
      <w:r>
        <w:rPr>
          <w:noProof/>
        </w:rPr>
        <w:t>eed for this. Several innovative tools or projects may also be financed under Union actions.</w:t>
      </w:r>
      <w:r>
        <w:rPr>
          <w:rStyle w:val="FootnoteReference"/>
          <w:noProof/>
        </w:rPr>
        <w:footnoteReference w:id="136"/>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shared management, all Member States except five</w:t>
      </w:r>
      <w:r>
        <w:rPr>
          <w:rStyle w:val="FootnoteReference"/>
          <w:rFonts w:ascii="Times New Roman" w:hAnsi="Times New Roman" w:cs="Times New Roman"/>
          <w:noProof/>
          <w:sz w:val="24"/>
          <w:szCs w:val="24"/>
          <w:lang w:val="en-GB"/>
        </w:rPr>
        <w:footnoteReference w:id="137"/>
      </w:r>
      <w:r>
        <w:rPr>
          <w:rFonts w:ascii="Times New Roman" w:hAnsi="Times New Roman" w:cs="Times New Roman"/>
          <w:noProof/>
          <w:sz w:val="24"/>
          <w:szCs w:val="24"/>
          <w:lang w:val="en-GB"/>
        </w:rPr>
        <w:t xml:space="preserve"> implemented actions under Priority 3, which represented 18% of all actions funded and 13% of total RF fund</w:t>
      </w:r>
      <w:r>
        <w:rPr>
          <w:rFonts w:ascii="Times New Roman" w:hAnsi="Times New Roman" w:cs="Times New Roman"/>
          <w:noProof/>
          <w:sz w:val="24"/>
          <w:szCs w:val="24"/>
          <w:lang w:val="en-GB"/>
        </w:rPr>
        <w:t>ing. The Netherlands and the United Kingdom also used funding from other priorities to innovate in their return practices. Although in several Member States</w:t>
      </w:r>
      <w:r>
        <w:rPr>
          <w:rStyle w:val="FootnoteReference"/>
          <w:rFonts w:ascii="Times New Roman" w:hAnsi="Times New Roman" w:cs="Times New Roman"/>
          <w:noProof/>
          <w:sz w:val="24"/>
          <w:szCs w:val="24"/>
          <w:lang w:val="en-GB"/>
        </w:rPr>
        <w:footnoteReference w:id="138"/>
      </w:r>
      <w:r>
        <w:rPr>
          <w:rFonts w:ascii="Times New Roman" w:hAnsi="Times New Roman" w:cs="Times New Roman"/>
          <w:noProof/>
          <w:sz w:val="24"/>
          <w:szCs w:val="24"/>
          <w:lang w:val="en-GB"/>
        </w:rPr>
        <w:t xml:space="preserve"> the allocated funding under Priority 3 clearly contributed to the development of tools which were </w:t>
      </w:r>
      <w:r>
        <w:rPr>
          <w:rFonts w:ascii="Times New Roman" w:hAnsi="Times New Roman" w:cs="Times New Roman"/>
          <w:noProof/>
          <w:sz w:val="24"/>
          <w:szCs w:val="24"/>
          <w:lang w:val="en-GB"/>
        </w:rPr>
        <w:t>original within an EU-wide context, most actions tended to focus on addressing national problems and were thus innovative at a national level but not necessarily so at an EU level.</w:t>
      </w:r>
      <w:r>
        <w:rPr>
          <w:rStyle w:val="FootnoteReference"/>
          <w:rFonts w:ascii="Times New Roman" w:hAnsi="Times New Roman" w:cs="Times New Roman"/>
          <w:noProof/>
          <w:sz w:val="24"/>
          <w:szCs w:val="24"/>
          <w:lang w:val="en-GB"/>
        </w:rPr>
        <w:footnoteReference w:id="139"/>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Actions in this area had a positive effect. The EU total number of return</w:t>
      </w:r>
      <w:r>
        <w:rPr>
          <w:rFonts w:ascii="Times New Roman" w:hAnsi="Times New Roman" w:cs="Times New Roman"/>
          <w:noProof/>
          <w:sz w:val="24"/>
          <w:szCs w:val="24"/>
          <w:lang w:val="en-GB"/>
        </w:rPr>
        <w:t xml:space="preserve"> cases addressed or affected by the use of new return management tools or initiatives in 2011-2013 increased from 2 543 in 2011, to 21 181 in 2012 and 33 274 in 2013.</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lang w:val="en-GB"/>
        </w:rPr>
        <w:t xml:space="preserve"> Additionally, the number of new return management tools or initiatives introduced across</w:t>
      </w:r>
      <w:r>
        <w:rPr>
          <w:rFonts w:ascii="Times New Roman" w:hAnsi="Times New Roman" w:cs="Times New Roman"/>
          <w:noProof/>
          <w:sz w:val="24"/>
          <w:szCs w:val="24"/>
          <w:lang w:val="en-GB"/>
        </w:rPr>
        <w:t xml:space="preserve"> the EU increased from 29 in 2011, to 160 in 2012 and 186 in 2013. The number of persons returned thanks to such new tools/initiatives also increased from 2 523 in 2011 to 7 022 in 2012 (a 178% increase), and 8 123 in 2013 (a 15% increase).</w:t>
      </w:r>
      <w:r>
        <w:rPr>
          <w:rStyle w:val="FootnoteReference"/>
          <w:rFonts w:ascii="Times New Roman" w:hAnsi="Times New Roman" w:cs="Times New Roman"/>
          <w:noProof/>
          <w:sz w:val="24"/>
          <w:szCs w:val="24"/>
        </w:rPr>
        <w:footnoteReference w:id="141"/>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some </w:t>
      </w:r>
      <w:r>
        <w:rPr>
          <w:rFonts w:ascii="Times New Roman" w:hAnsi="Times New Roman" w:cs="Times New Roman"/>
          <w:noProof/>
          <w:sz w:val="24"/>
          <w:szCs w:val="24"/>
          <w:lang w:val="en-GB"/>
        </w:rPr>
        <w:t>projects selected for funding under Priority 3 were not effective in contributing to the development and/or use of innovative tools.</w:t>
      </w:r>
      <w:r>
        <w:rPr>
          <w:rStyle w:val="FootnoteReference"/>
          <w:rFonts w:ascii="Times New Roman" w:hAnsi="Times New Roman" w:cs="Times New Roman"/>
          <w:noProof/>
          <w:sz w:val="24"/>
          <w:szCs w:val="24"/>
          <w:lang w:val="en-GB"/>
        </w:rPr>
        <w:footnoteReference w:id="142"/>
      </w:r>
      <w:r>
        <w:rPr>
          <w:rFonts w:ascii="Times New Roman" w:hAnsi="Times New Roman" w:cs="Times New Roman"/>
          <w:noProof/>
          <w:sz w:val="24"/>
          <w:szCs w:val="24"/>
          <w:lang w:val="en-GB"/>
        </w:rPr>
        <w:t xml:space="preserve"> For example, Lithuania and Romania stated that their projects could not be considered innovative because they did not lead</w:t>
      </w:r>
      <w:r>
        <w:rPr>
          <w:rFonts w:ascii="Times New Roman" w:hAnsi="Times New Roman" w:cs="Times New Roman"/>
          <w:noProof/>
          <w:sz w:val="24"/>
          <w:szCs w:val="24"/>
          <w:lang w:val="en-GB"/>
        </w:rPr>
        <w:t xml:space="preserve"> to the solution of the problems faced. In Hungary, two projects funded under Priority 3 involved methods which had already been tested during the 2008-2010 programming cycle.</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no definition of what could be considered as innovative tool was pr</w:t>
      </w:r>
      <w:r>
        <w:rPr>
          <w:rFonts w:ascii="Times New Roman" w:hAnsi="Times New Roman" w:cs="Times New Roman"/>
          <w:noProof/>
          <w:sz w:val="24"/>
          <w:szCs w:val="24"/>
          <w:lang w:val="en-GB"/>
        </w:rPr>
        <w:t>ovided to the Member States.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focused on a wider range of issues, Community actions generated tools that were innovative from an EU perspective. New standards, guidelines or evidence-bases were developed</w:t>
      </w:r>
      <w:r>
        <w:rPr>
          <w:rStyle w:val="FootnoteReference"/>
          <w:rFonts w:ascii="Times New Roman" w:hAnsi="Times New Roman" w:cs="Times New Roman"/>
          <w:noProof/>
          <w:sz w:val="24"/>
          <w:szCs w:val="24"/>
          <w:lang w:val="en-GB"/>
        </w:rPr>
        <w:footnoteReference w:id="143"/>
      </w:r>
      <w:r>
        <w:rPr>
          <w:rFonts w:ascii="Times New Roman" w:hAnsi="Times New Roman" w:cs="Times New Roman"/>
          <w:noProof/>
          <w:sz w:val="24"/>
          <w:szCs w:val="24"/>
          <w:lang w:val="en-GB"/>
        </w:rPr>
        <w:t>, or new forms of cooperation between Member</w:t>
      </w:r>
      <w:r>
        <w:rPr>
          <w:rFonts w:ascii="Times New Roman" w:hAnsi="Times New Roman" w:cs="Times New Roman"/>
          <w:noProof/>
          <w:sz w:val="24"/>
          <w:szCs w:val="24"/>
          <w:lang w:val="en-GB"/>
        </w:rPr>
        <w:t xml:space="preserve"> States were created on topics where there had previously been less or no cooperation, such as reintegration and the return of UAMs.</w:t>
      </w:r>
      <w:r>
        <w:rPr>
          <w:rStyle w:val="FootnoteReference"/>
          <w:rFonts w:ascii="Times New Roman" w:hAnsi="Times New Roman" w:cs="Times New Roman"/>
          <w:noProof/>
          <w:sz w:val="24"/>
          <w:szCs w:val="24"/>
          <w:lang w:val="en-GB"/>
        </w:rPr>
        <w:footnoteReference w:id="144"/>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innovative dimension of emergency actions implemented during the evaluation period was also noted as effective in addr</w:t>
      </w:r>
      <w:r>
        <w:rPr>
          <w:rFonts w:ascii="Times New Roman" w:hAnsi="Times New Roman" w:cs="Times New Roman"/>
          <w:noProof/>
          <w:sz w:val="24"/>
          <w:szCs w:val="24"/>
          <w:lang w:val="en-GB"/>
        </w:rPr>
        <w:t>essing unusual migratory pressures. Two emergency assistance projects carried out by Spain in Ceuta and Melilla, for example, included the setting up of immediate identification missions in mass arrival situations, innovative practices to improve accommoda</w:t>
      </w:r>
      <w:r>
        <w:rPr>
          <w:rFonts w:ascii="Times New Roman" w:hAnsi="Times New Roman" w:cs="Times New Roman"/>
          <w:noProof/>
          <w:sz w:val="24"/>
          <w:szCs w:val="24"/>
          <w:lang w:val="en-GB"/>
        </w:rPr>
        <w:t>tion for migrants who had received a deportation order, and attention to adults and children adapted to their profiles.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AMIF, Member States may choose to carry out innovative actions. Under shared management, Member States define the objectives of the</w:t>
      </w:r>
      <w:r>
        <w:rPr>
          <w:rFonts w:ascii="Times New Roman" w:hAnsi="Times New Roman" w:cs="Times New Roman"/>
          <w:noProof/>
          <w:sz w:val="24"/>
          <w:szCs w:val="24"/>
          <w:lang w:val="en-GB"/>
        </w:rPr>
        <w:t xml:space="preserve"> calls for proposals, so they may choose to implement projects focused on innovation if they see a need for this. Several innovative tools or projects may also be financed under Union actions.</w:t>
      </w:r>
      <w:r>
        <w:rPr>
          <w:rStyle w:val="FootnoteReference"/>
          <w:noProof/>
        </w:rPr>
        <w:footnoteReference w:id="145"/>
      </w:r>
    </w:p>
    <w:p w:rsidR="007013FD" w:rsidRDefault="005E3FDE">
      <w:pPr>
        <w:pStyle w:val="Heading2"/>
        <w:rPr>
          <w:rFonts w:ascii="Times New Roman" w:hAnsi="Times New Roman" w:cs="Times New Roman"/>
          <w:noProof/>
          <w:sz w:val="24"/>
          <w:szCs w:val="24"/>
          <w:lang w:val="en-GB"/>
        </w:rPr>
      </w:pPr>
      <w:bookmarkStart w:id="67" w:name="_OBJECTIVE_C"/>
      <w:bookmarkStart w:id="68" w:name="_OBJECTIVE_B"/>
      <w:bookmarkStart w:id="69" w:name="_Evaluation_Question_10:"/>
      <w:bookmarkStart w:id="70" w:name="_Evaluation_Question_3:"/>
      <w:bookmarkStart w:id="71" w:name="_OBJECTIVE_D"/>
      <w:bookmarkStart w:id="72" w:name="_Evaluation_Question_6:"/>
      <w:bookmarkStart w:id="73" w:name="_Evaluation_Question_11:"/>
      <w:bookmarkStart w:id="74" w:name="_Evaluation_Question_8:"/>
      <w:bookmarkStart w:id="75" w:name="_Evaluation_Question_9:"/>
      <w:bookmarkStart w:id="76" w:name="_OBJECTIVE_A"/>
      <w:bookmarkStart w:id="77" w:name="_Evaluation_Question_2:"/>
      <w:bookmarkStart w:id="78" w:name="_Evaluation_Question_5:"/>
      <w:bookmarkStart w:id="79" w:name="_Toc496630460"/>
      <w:bookmarkStart w:id="80" w:name="_Toc496711945"/>
      <w:bookmarkStart w:id="81" w:name="_Toc515379363"/>
      <w:bookmarkEnd w:id="67"/>
      <w:bookmarkEnd w:id="68"/>
      <w:bookmarkEnd w:id="69"/>
      <w:bookmarkEnd w:id="70"/>
      <w:bookmarkEnd w:id="71"/>
      <w:bookmarkEnd w:id="72"/>
      <w:bookmarkEnd w:id="73"/>
      <w:bookmarkEnd w:id="74"/>
      <w:bookmarkEnd w:id="75"/>
      <w:bookmarkEnd w:id="76"/>
      <w:bookmarkEnd w:id="77"/>
      <w:bookmarkEnd w:id="78"/>
      <w:r>
        <w:rPr>
          <w:rFonts w:ascii="Times New Roman" w:hAnsi="Times New Roman" w:cs="Times New Roman"/>
          <w:noProof/>
          <w:sz w:val="24"/>
          <w:szCs w:val="24"/>
          <w:lang w:val="en-GB"/>
        </w:rPr>
        <w:t>Efficiency</w:t>
      </w:r>
      <w:bookmarkEnd w:id="79"/>
      <w:bookmarkEnd w:id="80"/>
      <w:bookmarkEnd w:id="81"/>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noProof/>
          <w:lang w:val="en-GB"/>
        </w:rPr>
      </w:pPr>
      <w:r>
        <w:rPr>
          <w:rFonts w:ascii="Times New Roman" w:hAnsi="Times New Roman" w:cs="Times New Roman"/>
          <w:b/>
          <w:noProof/>
          <w:sz w:val="24"/>
          <w:szCs w:val="24"/>
          <w:lang w:val="en-GB"/>
        </w:rPr>
        <w:t>EQ8:</w:t>
      </w:r>
      <w:r>
        <w:rPr>
          <w:rFonts w:ascii="Times New Roman" w:hAnsi="Times New Roman" w:cs="Times New Roman"/>
          <w:noProof/>
          <w:lang w:val="en-GB"/>
        </w:rPr>
        <w:t xml:space="preserve"> </w:t>
      </w:r>
      <w:r>
        <w:rPr>
          <w:rFonts w:ascii="Times New Roman" w:hAnsi="Times New Roman" w:cs="Times New Roman"/>
          <w:b/>
          <w:i/>
          <w:noProof/>
          <w:sz w:val="24"/>
          <w:szCs w:val="24"/>
          <w:lang w:val="en-GB"/>
        </w:rPr>
        <w:t>To what extent were the effects of the RF 2011</w:t>
      </w:r>
      <w:r>
        <w:rPr>
          <w:rFonts w:ascii="Times New Roman" w:hAnsi="Times New Roman" w:cs="Times New Roman"/>
          <w:b/>
          <w:i/>
          <w:noProof/>
          <w:sz w:val="24"/>
          <w:szCs w:val="24"/>
          <w:lang w:val="en-GB"/>
        </w:rPr>
        <w:t>-2013 actions achieved at a reasonable cost in terms of financial and human resources deployed?</w:t>
      </w:r>
    </w:p>
    <w:p w:rsidR="007013FD" w:rsidRDefault="007013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noProof/>
          <w:lang w:val="en-GB"/>
        </w:rPr>
        <w:t xml:space="preserve"> </w:t>
      </w:r>
      <w:r>
        <w:rPr>
          <w:rFonts w:ascii="Times New Roman" w:hAnsi="Times New Roman" w:cs="Times New Roman"/>
          <w:iCs/>
          <w:noProof/>
          <w:sz w:val="24"/>
          <w:szCs w:val="24"/>
          <w:lang w:val="en-GB"/>
        </w:rPr>
        <w:t xml:space="preserve">Overall, most Member States reported that RF actions implemented under 2011-2013 APs had been achieved at a reasonable cost in terms of the </w:t>
      </w:r>
      <w:r>
        <w:rPr>
          <w:rFonts w:ascii="Times New Roman" w:hAnsi="Times New Roman" w:cs="Times New Roman"/>
          <w:iCs/>
          <w:noProof/>
          <w:sz w:val="24"/>
          <w:szCs w:val="24"/>
          <w:lang w:val="en-GB"/>
        </w:rPr>
        <w:t>financial and human resources deployed. However,</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it is difficult to draw clear conclusions regarding efficiency because the quantitative assessment of unit costs across Member States is very limited and relies on qualitative data, due to a lack of comparab</w:t>
      </w:r>
      <w:r>
        <w:rPr>
          <w:rFonts w:ascii="Times New Roman" w:hAnsi="Times New Roman" w:cs="Times New Roman"/>
          <w:iCs/>
          <w:noProof/>
          <w:sz w:val="24"/>
          <w:szCs w:val="24"/>
          <w:lang w:val="en-GB"/>
        </w:rPr>
        <w:t xml:space="preserve">ility across projects, the varying reporting methods used by Member States, and the limited quantitative data available in NERs. With these limitations in mind, the evaluation showed that unit costs of return varied greatly across Member States, depending </w:t>
      </w:r>
      <w:r>
        <w:rPr>
          <w:rFonts w:ascii="Times New Roman" w:hAnsi="Times New Roman" w:cs="Times New Roman"/>
          <w:iCs/>
          <w:noProof/>
          <w:sz w:val="24"/>
          <w:szCs w:val="24"/>
          <w:lang w:val="en-GB"/>
        </w:rPr>
        <w:t xml:space="preserve">on factors such as </w:t>
      </w:r>
      <w:r>
        <w:rPr>
          <w:rFonts w:ascii="Times New Roman" w:hAnsi="Times New Roman" w:cs="Times New Roman"/>
          <w:noProof/>
          <w:sz w:val="24"/>
          <w:szCs w:val="24"/>
          <w:lang w:val="en-GB"/>
        </w:rPr>
        <w:t>the number of returnees, the accessibility of the destination country of return, the number of countries collaborating in return operations and the amount of financial assistance provided to returnees.</w:t>
      </w:r>
      <w:r>
        <w:rPr>
          <w:rFonts w:ascii="Times New Roman" w:hAnsi="Times New Roman" w:cs="Times New Roman"/>
          <w:iCs/>
          <w:noProof/>
          <w:sz w:val="24"/>
          <w:szCs w:val="24"/>
          <w:lang w:val="en-GB"/>
        </w:rPr>
        <w:t xml:space="preserve"> Several Member States and beneficia</w:t>
      </w:r>
      <w:r>
        <w:rPr>
          <w:rFonts w:ascii="Times New Roman" w:hAnsi="Times New Roman" w:cs="Times New Roman"/>
          <w:iCs/>
          <w:noProof/>
          <w:sz w:val="24"/>
          <w:szCs w:val="24"/>
          <w:lang w:val="en-GB"/>
        </w:rPr>
        <w:t>ries provided examples of less efficient projects or actions in relation to management costs and administrative burden. Voluntary return was found to be generally more cost-efficient than forced return.</w:t>
      </w:r>
    </w:p>
    <w:p w:rsidR="007013FD" w:rsidRDefault="007013FD">
      <w:pPr>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Efficiency was evaluated in terms of staff and manag</w:t>
      </w:r>
      <w:r>
        <w:rPr>
          <w:rFonts w:ascii="Times New Roman" w:hAnsi="Times New Roman" w:cs="Times New Roman"/>
          <w:noProof/>
          <w:sz w:val="24"/>
          <w:szCs w:val="24"/>
          <w:lang w:val="en-GB"/>
        </w:rPr>
        <w:t>ement costs, administrative burden and unit costs where possible, with the available quantitative data</w:t>
      </w:r>
      <w:r>
        <w:rPr>
          <w:rStyle w:val="FootnoteReference"/>
          <w:rFonts w:ascii="Times New Roman" w:hAnsi="Times New Roman" w:cs="Times New Roman"/>
          <w:noProof/>
          <w:sz w:val="24"/>
          <w:szCs w:val="24"/>
          <w:lang w:val="en-GB"/>
        </w:rPr>
        <w:footnoteReference w:id="146"/>
      </w:r>
      <w:r>
        <w:rPr>
          <w:rFonts w:ascii="Times New Roman" w:hAnsi="Times New Roman" w:cs="Times New Roman"/>
          <w:noProof/>
          <w:sz w:val="24"/>
          <w:szCs w:val="24"/>
          <w:lang w:val="en-GB"/>
        </w:rPr>
        <w:t xml:space="preserve"> supplemented by qualitative data</w:t>
      </w:r>
      <w:r>
        <w:rPr>
          <w:rStyle w:val="FootnoteReference"/>
          <w:rFonts w:ascii="Times New Roman" w:hAnsi="Times New Roman" w:cs="Times New Roman"/>
          <w:noProof/>
          <w:sz w:val="24"/>
          <w:szCs w:val="24"/>
          <w:lang w:val="en-GB"/>
        </w:rPr>
        <w:footnoteReference w:id="147"/>
      </w:r>
      <w:r>
        <w:rPr>
          <w:rFonts w:ascii="Times New Roman" w:hAnsi="Times New Roman" w:cs="Times New Roman"/>
          <w:noProof/>
          <w:sz w:val="24"/>
          <w:szCs w:val="24"/>
          <w:lang w:val="en-GB"/>
        </w:rPr>
        <w:t xml:space="preserve">. It should be noted that the quantitative data is limited by the fact that only 20 Member States provided information </w:t>
      </w:r>
      <w:r>
        <w:rPr>
          <w:rFonts w:ascii="Times New Roman" w:hAnsi="Times New Roman" w:cs="Times New Roman"/>
          <w:noProof/>
          <w:sz w:val="24"/>
          <w:szCs w:val="24"/>
          <w:lang w:val="en-GB"/>
        </w:rPr>
        <w:t>on management and staff costs in their NERs</w:t>
      </w:r>
      <w:r>
        <w:rPr>
          <w:rStyle w:val="FootnoteReference"/>
          <w:rFonts w:ascii="Times New Roman" w:hAnsi="Times New Roman" w:cs="Times New Roman"/>
          <w:noProof/>
          <w:sz w:val="24"/>
          <w:szCs w:val="24"/>
          <w:lang w:val="en-GB"/>
        </w:rPr>
        <w:footnoteReference w:id="148"/>
      </w:r>
      <w:r>
        <w:rPr>
          <w:rFonts w:ascii="Times New Roman" w:hAnsi="Times New Roman" w:cs="Times New Roman"/>
          <w:noProof/>
          <w:sz w:val="24"/>
          <w:szCs w:val="24"/>
          <w:lang w:val="en-GB"/>
        </w:rPr>
        <w:t xml:space="preserve">, and that these reports do not distinguish between staff costs and management costs. </w:t>
      </w:r>
      <w:r>
        <w:rPr>
          <w:rFonts w:ascii="Times New Roman" w:hAnsi="Times New Roman" w:cs="Times New Roman"/>
          <w:b/>
          <w:noProof/>
          <w:sz w:val="24"/>
          <w:szCs w:val="24"/>
          <w:lang w:val="en-GB"/>
        </w:rPr>
        <w:t>Overall, most Member States</w:t>
      </w:r>
      <w:r>
        <w:rPr>
          <w:rStyle w:val="FootnoteReference"/>
          <w:rFonts w:ascii="Times New Roman" w:hAnsi="Times New Roman" w:cs="Times New Roman"/>
          <w:b/>
          <w:noProof/>
          <w:sz w:val="24"/>
          <w:szCs w:val="24"/>
        </w:rPr>
        <w:footnoteReference w:id="149"/>
      </w:r>
      <w:r>
        <w:rPr>
          <w:rFonts w:ascii="Times New Roman" w:hAnsi="Times New Roman" w:cs="Times New Roman"/>
          <w:b/>
          <w:noProof/>
          <w:sz w:val="24"/>
          <w:szCs w:val="24"/>
          <w:lang w:val="en-GB"/>
        </w:rPr>
        <w:t xml:space="preserve"> reported that RF actions implemented under 2011-2013 APs had been achieved at a reasonable cost i</w:t>
      </w:r>
      <w:r>
        <w:rPr>
          <w:rFonts w:ascii="Times New Roman" w:hAnsi="Times New Roman" w:cs="Times New Roman"/>
          <w:b/>
          <w:noProof/>
          <w:sz w:val="24"/>
          <w:szCs w:val="24"/>
          <w:lang w:val="en-GB"/>
        </w:rPr>
        <w:t>n terms of the financial and human resources deployed</w:t>
      </w:r>
      <w:r>
        <w:rPr>
          <w:rFonts w:ascii="Times New Roman" w:hAnsi="Times New Roman" w:cs="Times New Roman"/>
          <w:noProof/>
          <w:sz w:val="24"/>
          <w:szCs w:val="24"/>
          <w:lang w:val="en-GB"/>
        </w:rPr>
        <w:t>, but in many cases individual examples of less efficient projects were highlighted. 80% of beneficiaries surveyed agreed to some extent that the resources allocated were reasonable in comparison to simi</w:t>
      </w:r>
      <w:r>
        <w:rPr>
          <w:rFonts w:ascii="Times New Roman" w:hAnsi="Times New Roman" w:cs="Times New Roman"/>
          <w:noProof/>
          <w:sz w:val="24"/>
          <w:szCs w:val="24"/>
          <w:lang w:val="en-GB"/>
        </w:rPr>
        <w:t>lar activities</w:t>
      </w:r>
      <w:r>
        <w:rPr>
          <w:rStyle w:val="FootnoteReference"/>
          <w:rFonts w:ascii="Times New Roman" w:hAnsi="Times New Roman" w:cs="Times New Roman"/>
          <w:noProof/>
          <w:sz w:val="24"/>
          <w:szCs w:val="24"/>
        </w:rPr>
        <w:footnoteReference w:id="150"/>
      </w:r>
      <w:r>
        <w:rPr>
          <w:rFonts w:ascii="Times New Roman" w:hAnsi="Times New Roman" w:cs="Times New Roman"/>
          <w:noProof/>
          <w:sz w:val="24"/>
          <w:szCs w:val="24"/>
          <w:lang w:val="en-GB"/>
        </w:rPr>
        <w:t>. 93% of respondents reported having realised the planned outputs, results and impacts within the available budget and time limits</w:t>
      </w:r>
      <w:r>
        <w:rPr>
          <w:rStyle w:val="FootnoteReference"/>
          <w:rFonts w:ascii="Times New Roman" w:hAnsi="Times New Roman" w:cs="Times New Roman"/>
          <w:noProof/>
          <w:sz w:val="24"/>
          <w:szCs w:val="24"/>
        </w:rPr>
        <w:footnoteReference w:id="151"/>
      </w:r>
      <w:r>
        <w:rPr>
          <w:rFonts w:ascii="Times New Roman" w:hAnsi="Times New Roman" w:cs="Times New Roman"/>
          <w:noProof/>
          <w:sz w:val="24"/>
          <w:szCs w:val="24"/>
          <w:lang w:val="en-GB"/>
        </w:rPr>
        <w:t xml:space="preserve">. However 20% of respondents had concerns regarding the cost-effectiveness of actions funded under the RF. </w:t>
      </w:r>
    </w:p>
    <w:p w:rsidR="007013FD" w:rsidRDefault="005E3FDE">
      <w:pPr>
        <w:pStyle w:val="ListParagraph"/>
        <w:numPr>
          <w:ilvl w:val="0"/>
          <w:numId w:val="47"/>
        </w:numPr>
        <w:spacing w:line="240" w:lineRule="auto"/>
        <w:jc w:val="both"/>
        <w:rPr>
          <w:rFonts w:ascii="Times New Roman" w:hAnsi="Times New Roman"/>
          <w:b/>
          <w:noProof/>
          <w:sz w:val="24"/>
        </w:rPr>
      </w:pPr>
      <w:r>
        <w:rPr>
          <w:rFonts w:ascii="Times New Roman" w:hAnsi="Times New Roman"/>
          <w:b/>
          <w:noProof/>
          <w:sz w:val="24"/>
        </w:rPr>
        <w:t>St</w:t>
      </w:r>
      <w:r>
        <w:rPr>
          <w:rFonts w:ascii="Times New Roman" w:hAnsi="Times New Roman"/>
          <w:b/>
          <w:noProof/>
          <w:sz w:val="24"/>
        </w:rPr>
        <w:t>aff and Management costs</w:t>
      </w:r>
    </w:p>
    <w:p w:rsidR="007013FD" w:rsidRDefault="007013FD">
      <w:pPr>
        <w:pStyle w:val="ListParagraph"/>
        <w:spacing w:line="240" w:lineRule="auto"/>
        <w:ind w:left="1428"/>
        <w:jc w:val="both"/>
        <w:rPr>
          <w:rFonts w:ascii="Times New Roman" w:hAnsi="Times New Roman"/>
          <w:b/>
          <w:i/>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Staff and management costs varied from one Member State to another depending on the nature of the projects, the profiles of the staff carrying out the projects, the size of the implementing organisation, and Member State cost </w:t>
      </w:r>
      <w:r>
        <w:rPr>
          <w:rFonts w:ascii="Times New Roman" w:hAnsi="Times New Roman" w:cs="Times New Roman"/>
          <w:noProof/>
          <w:sz w:val="24"/>
          <w:szCs w:val="24"/>
          <w:lang w:val="en-GB"/>
        </w:rPr>
        <w:t>reporting practices. On average, staff and management costs represented 10% of project costs reported for the period covered by the 2011-2013 AP, and ranged from representing 1%-5%</w:t>
      </w:r>
      <w:r>
        <w:rPr>
          <w:rStyle w:val="FootnoteReference"/>
          <w:rFonts w:ascii="Times New Roman" w:hAnsi="Times New Roman" w:cs="Times New Roman"/>
          <w:noProof/>
          <w:sz w:val="24"/>
          <w:szCs w:val="24"/>
        </w:rPr>
        <w:footnoteReference w:id="152"/>
      </w:r>
      <w:r>
        <w:rPr>
          <w:rFonts w:ascii="Times New Roman" w:hAnsi="Times New Roman" w:cs="Times New Roman"/>
          <w:noProof/>
          <w:sz w:val="24"/>
          <w:szCs w:val="24"/>
          <w:lang w:val="en-GB"/>
        </w:rPr>
        <w:t>, 20%-30%</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lang w:val="en-GB"/>
        </w:rPr>
        <w:t>, or even up to 47% in Germany and 49% in Belgium, due to the lab</w:t>
      </w:r>
      <w:r>
        <w:rPr>
          <w:rFonts w:ascii="Times New Roman" w:hAnsi="Times New Roman" w:cs="Times New Roman"/>
          <w:noProof/>
          <w:sz w:val="24"/>
          <w:szCs w:val="24"/>
          <w:lang w:val="en-GB"/>
        </w:rPr>
        <w:t>our-intensive nature of some projects implemented in these two Member States.</w:t>
      </w:r>
    </w:p>
    <w:p w:rsidR="007013FD" w:rsidRDefault="005E3FDE">
      <w:pPr>
        <w:pStyle w:val="ListParagraph"/>
        <w:numPr>
          <w:ilvl w:val="0"/>
          <w:numId w:val="47"/>
        </w:numPr>
        <w:spacing w:line="240" w:lineRule="auto"/>
        <w:jc w:val="both"/>
        <w:rPr>
          <w:rFonts w:ascii="Times New Roman" w:hAnsi="Times New Roman"/>
          <w:b/>
          <w:noProof/>
          <w:sz w:val="24"/>
        </w:rPr>
      </w:pPr>
      <w:r>
        <w:rPr>
          <w:rFonts w:ascii="Times New Roman" w:hAnsi="Times New Roman"/>
          <w:b/>
          <w:noProof/>
          <w:sz w:val="24"/>
        </w:rPr>
        <w:t>Administrative Burden</w:t>
      </w:r>
    </w:p>
    <w:p w:rsidR="007013FD" w:rsidRDefault="007013FD">
      <w:pPr>
        <w:pStyle w:val="ListParagraph"/>
        <w:spacing w:line="240" w:lineRule="auto"/>
        <w:ind w:left="1428"/>
        <w:jc w:val="both"/>
        <w:rPr>
          <w:rFonts w:ascii="Times New Roman" w:hAnsi="Times New Roman"/>
          <w:b/>
          <w:i/>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Member State authorities tended to perceive costs relating to administrative burden</w:t>
      </w:r>
      <w:r>
        <w:rPr>
          <w:rStyle w:val="FootnoteReference"/>
          <w:rFonts w:ascii="Times New Roman" w:hAnsi="Times New Roman" w:cs="Times New Roman"/>
          <w:noProof/>
          <w:sz w:val="24"/>
          <w:szCs w:val="24"/>
        </w:rPr>
        <w:footnoteReference w:id="154"/>
      </w:r>
      <w:r>
        <w:rPr>
          <w:rFonts w:ascii="Times New Roman" w:hAnsi="Times New Roman" w:cs="Times New Roman"/>
          <w:noProof/>
          <w:sz w:val="24"/>
          <w:szCs w:val="24"/>
          <w:lang w:val="en-GB"/>
        </w:rPr>
        <w:t xml:space="preserve"> as reasonable, 26% of respondents to a survey considered that</w:t>
      </w:r>
      <w:r>
        <w:rPr>
          <w:rFonts w:ascii="Times New Roman" w:hAnsi="Times New Roman" w:cs="Times New Roman"/>
          <w:noProof/>
          <w:sz w:val="24"/>
          <w:szCs w:val="24"/>
          <w:lang w:val="en-GB"/>
        </w:rPr>
        <w:t xml:space="preserve"> the administrative burden relating to the implementation of the Fund was excessive or not reasonable, and some Member States highlighted that the high administrative requirements of the Fund could have had a negative impact on its efficiency</w:t>
      </w:r>
      <w:r>
        <w:rPr>
          <w:rStyle w:val="FootnoteReference"/>
          <w:rFonts w:ascii="Times New Roman" w:hAnsi="Times New Roman" w:cs="Times New Roman"/>
          <w:noProof/>
          <w:sz w:val="24"/>
          <w:szCs w:val="24"/>
        </w:rPr>
        <w:footnoteReference w:id="155"/>
      </w:r>
      <w:r>
        <w:rPr>
          <w:rFonts w:ascii="Times New Roman" w:hAnsi="Times New Roman" w:cs="Times New Roman"/>
          <w:noProof/>
          <w:sz w:val="24"/>
          <w:szCs w:val="24"/>
          <w:lang w:val="en-GB"/>
        </w:rPr>
        <w:t>. For example</w:t>
      </w:r>
      <w:r>
        <w:rPr>
          <w:rFonts w:ascii="Times New Roman" w:hAnsi="Times New Roman" w:cs="Times New Roman"/>
          <w:noProof/>
          <w:sz w:val="24"/>
          <w:szCs w:val="24"/>
          <w:lang w:val="en-GB"/>
        </w:rPr>
        <w:t>, beneficiaries in Austria found the administrative burden of the SOLID Funds heavy compared to other funding instruments; authorities in Estonia found it heavy compared to the actual effects of the RF interventions; authorities in Spain attributed the nee</w:t>
      </w:r>
      <w:r>
        <w:rPr>
          <w:rFonts w:ascii="Times New Roman" w:hAnsi="Times New Roman" w:cs="Times New Roman"/>
          <w:noProof/>
          <w:sz w:val="24"/>
          <w:szCs w:val="24"/>
          <w:lang w:val="en-GB"/>
        </w:rPr>
        <w:t>d to hire external expertise for the provision of technical assistance to the large administrative burden of RF programming and reporting procedures; and authorities in the Slovak Republic reported that projects on a larger scale had been preferred in orde</w:t>
      </w:r>
      <w:r>
        <w:rPr>
          <w:rFonts w:ascii="Times New Roman" w:hAnsi="Times New Roman" w:cs="Times New Roman"/>
          <w:noProof/>
          <w:sz w:val="24"/>
          <w:szCs w:val="24"/>
          <w:lang w:val="en-GB"/>
        </w:rPr>
        <w:t>r to reduce administrative burden. Sweden pointed out the negative impact that the RF had on programming, mainly due to the fact that the rules on eligible costs under RF and their interpretation were not agreed upon in advance by the Commission and the RA</w:t>
      </w:r>
      <w:r>
        <w:rPr>
          <w:rFonts w:ascii="Times New Roman" w:hAnsi="Times New Roman" w:cs="Times New Roman"/>
          <w:noProof/>
          <w:sz w:val="24"/>
          <w:szCs w:val="24"/>
          <w:lang w:val="en-GB"/>
        </w:rPr>
        <w:t>s.    Improvements were made for the 2014-2020 programming period by the creation of only one Fund that covers all migration matters (AMIF), the adoption of one single multiannual programme and the alignment of the eligibility rules on the national rules o</w:t>
      </w:r>
      <w:r>
        <w:rPr>
          <w:rFonts w:ascii="Times New Roman" w:hAnsi="Times New Roman" w:cs="Times New Roman"/>
          <w:noProof/>
          <w:sz w:val="24"/>
          <w:szCs w:val="24"/>
          <w:lang w:val="en-GB"/>
        </w:rPr>
        <w:t>f the Member States.</w:t>
      </w:r>
    </w:p>
    <w:p w:rsidR="007013FD" w:rsidRDefault="005E3FDE">
      <w:pPr>
        <w:pStyle w:val="ListParagraph"/>
        <w:numPr>
          <w:ilvl w:val="0"/>
          <w:numId w:val="47"/>
        </w:numPr>
        <w:spacing w:line="240" w:lineRule="auto"/>
        <w:jc w:val="both"/>
        <w:rPr>
          <w:rFonts w:ascii="Times New Roman" w:hAnsi="Times New Roman"/>
          <w:b/>
          <w:noProof/>
          <w:sz w:val="24"/>
        </w:rPr>
      </w:pPr>
      <w:r>
        <w:rPr>
          <w:rFonts w:ascii="Times New Roman" w:hAnsi="Times New Roman"/>
          <w:b/>
          <w:noProof/>
          <w:sz w:val="24"/>
        </w:rPr>
        <w:t>Unit Costs</w:t>
      </w:r>
    </w:p>
    <w:p w:rsidR="007013FD" w:rsidRDefault="007013FD">
      <w:pPr>
        <w:pStyle w:val="ListParagraph"/>
        <w:spacing w:line="240" w:lineRule="auto"/>
        <w:ind w:left="1428"/>
        <w:jc w:val="both"/>
        <w:rPr>
          <w:rFonts w:ascii="Times New Roman" w:hAnsi="Times New Roman"/>
          <w:b/>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made a tentative comparison of assisted voluntary return versus forced return within the same Member State. </w:t>
      </w:r>
      <w:r>
        <w:rPr>
          <w:rFonts w:ascii="Times New Roman" w:hAnsi="Times New Roman"/>
          <w:noProof/>
          <w:sz w:val="24"/>
          <w:szCs w:val="24"/>
          <w:lang w:val="en-GB"/>
        </w:rPr>
        <w:t>It is important to keep in mind that comparisons between Member States must be interpreted with caut</w:t>
      </w:r>
      <w:r>
        <w:rPr>
          <w:rFonts w:ascii="Times New Roman" w:hAnsi="Times New Roman"/>
          <w:noProof/>
          <w:sz w:val="24"/>
          <w:szCs w:val="24"/>
          <w:lang w:val="en-GB"/>
        </w:rPr>
        <w:t xml:space="preserve">ion given differences in the number of returnees and the type of destination countries. </w:t>
      </w:r>
      <w:r>
        <w:rPr>
          <w:rFonts w:ascii="Times New Roman" w:hAnsi="Times New Roman" w:cs="Times New Roman"/>
          <w:noProof/>
          <w:sz w:val="24"/>
          <w:szCs w:val="24"/>
          <w:lang w:val="en-GB"/>
        </w:rPr>
        <w:t>A few indicative conclusions may be drawn regarding the factors influencing differences between Member States in unit costs for voluntary and forced return</w:t>
      </w:r>
      <w:r>
        <w:rPr>
          <w:rStyle w:val="FootnoteReference"/>
          <w:rFonts w:ascii="Times New Roman" w:hAnsi="Times New Roman" w:cs="Times New Roman"/>
          <w:noProof/>
          <w:sz w:val="24"/>
          <w:szCs w:val="24"/>
          <w:lang w:val="en-GB"/>
        </w:rPr>
        <w:footnoteReference w:id="156"/>
      </w:r>
      <w:r>
        <w:rPr>
          <w:rFonts w:ascii="Times New Roman" w:hAnsi="Times New Roman" w:cs="Times New Roman"/>
          <w:noProof/>
          <w:sz w:val="24"/>
          <w:szCs w:val="24"/>
          <w:lang w:val="en-GB"/>
        </w:rPr>
        <w:t>. A key fact</w:t>
      </w:r>
      <w:r>
        <w:rPr>
          <w:rFonts w:ascii="Times New Roman" w:hAnsi="Times New Roman" w:cs="Times New Roman"/>
          <w:noProof/>
          <w:sz w:val="24"/>
          <w:szCs w:val="24"/>
          <w:lang w:val="en-GB"/>
        </w:rPr>
        <w:t>or was the number of persons returned: with a higher number of persons returned through assisted voluntarily return, the unit cost incurred tended to decrease</w:t>
      </w:r>
      <w:r>
        <w:rPr>
          <w:rStyle w:val="FootnoteReference"/>
          <w:rFonts w:ascii="Times New Roman" w:hAnsi="Times New Roman" w:cs="Times New Roman"/>
          <w:noProof/>
          <w:sz w:val="24"/>
          <w:szCs w:val="24"/>
          <w:lang w:val="en-GB"/>
        </w:rPr>
        <w:footnoteReference w:id="157"/>
      </w:r>
      <w:r>
        <w:rPr>
          <w:rFonts w:ascii="Times New Roman" w:hAnsi="Times New Roman" w:cs="Times New Roman"/>
          <w:noProof/>
          <w:sz w:val="24"/>
          <w:szCs w:val="24"/>
          <w:lang w:val="en-GB"/>
        </w:rPr>
        <w:t>. The destination country of return was another important influencing factor: returning persons t</w:t>
      </w:r>
      <w:r>
        <w:rPr>
          <w:rFonts w:ascii="Times New Roman" w:hAnsi="Times New Roman" w:cs="Times New Roman"/>
          <w:noProof/>
          <w:sz w:val="24"/>
          <w:szCs w:val="24"/>
          <w:lang w:val="en-GB"/>
        </w:rPr>
        <w:t>o a neighbouring Member State cost significantly less than returning them to a third country, given the remoteness of the latter.</w:t>
      </w:r>
      <w:r>
        <w:rPr>
          <w:rStyle w:val="FootnoteReference"/>
          <w:rFonts w:ascii="Times New Roman" w:hAnsi="Times New Roman" w:cs="Times New Roman"/>
          <w:noProof/>
          <w:sz w:val="24"/>
          <w:szCs w:val="24"/>
          <w:lang w:val="en-GB"/>
        </w:rPr>
        <w:footnoteReference w:id="158"/>
      </w:r>
      <w:r>
        <w:rPr>
          <w:rFonts w:ascii="Times New Roman" w:hAnsi="Times New Roman" w:cs="Times New Roman"/>
          <w:noProof/>
          <w:sz w:val="24"/>
          <w:szCs w:val="24"/>
          <w:lang w:val="en-GB"/>
        </w:rPr>
        <w:t xml:space="preserv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terms of unit costs per type of return, several Member States reported that unit costs for forced return were higher than</w:t>
      </w:r>
      <w:r>
        <w:rPr>
          <w:rFonts w:ascii="Times New Roman" w:hAnsi="Times New Roman" w:cs="Times New Roman"/>
          <w:noProof/>
          <w:sz w:val="24"/>
          <w:szCs w:val="24"/>
          <w:lang w:val="en-GB"/>
        </w:rPr>
        <w:t xml:space="preserve"> those of voluntary return.</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lang w:val="en-GB"/>
        </w:rPr>
        <w:t xml:space="preserve"> In Hungary, for example, forced return costs more than twice the cost of AVR per returnee. Indeed, the financial assistance provided to persons returning voluntarily tends to be lower than the cost of enforced returns, which in</w:t>
      </w:r>
      <w:r>
        <w:rPr>
          <w:rFonts w:ascii="Times New Roman" w:hAnsi="Times New Roman" w:cs="Times New Roman"/>
          <w:noProof/>
          <w:sz w:val="24"/>
          <w:szCs w:val="24"/>
          <w:lang w:val="en-GB"/>
        </w:rPr>
        <w:t>cludes escorting costs, charter flight costs, and accommodation costs.</w:t>
      </w:r>
      <w:r>
        <w:rPr>
          <w:rStyle w:val="FootnoteReference"/>
          <w:rFonts w:ascii="Times New Roman" w:hAnsi="Times New Roman" w:cs="Times New Roman"/>
          <w:noProof/>
          <w:sz w:val="24"/>
          <w:szCs w:val="24"/>
          <w:lang w:val="en-GB"/>
        </w:rPr>
        <w:footnoteReference w:id="160"/>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significant differences in costs between Member States were sometimes not directly linked to the efficiency of the return action but to the policy and practice on return manag</w:t>
      </w:r>
      <w:r>
        <w:rPr>
          <w:rFonts w:ascii="Times New Roman" w:hAnsi="Times New Roman" w:cs="Times New Roman"/>
          <w:noProof/>
          <w:sz w:val="24"/>
          <w:szCs w:val="24"/>
          <w:lang w:val="en-GB"/>
        </w:rPr>
        <w:t>ement at Member State level. A good example of this is the large variation across Member States in the financial assistance provided to those returning voluntarily.</w:t>
      </w:r>
      <w:r>
        <w:rPr>
          <w:rStyle w:val="FootnoteReference"/>
          <w:rFonts w:ascii="Times New Roman" w:hAnsi="Times New Roman" w:cs="Times New Roman"/>
          <w:noProof/>
          <w:sz w:val="24"/>
          <w:szCs w:val="24"/>
        </w:rPr>
        <w:footnoteReference w:id="161"/>
      </w:r>
    </w:p>
    <w:p w:rsidR="007013FD" w:rsidRDefault="005E3FDE">
      <w:pPr>
        <w:pStyle w:val="Heading2"/>
        <w:rPr>
          <w:rFonts w:ascii="Times New Roman" w:hAnsi="Times New Roman" w:cs="Times New Roman"/>
          <w:noProof/>
          <w:sz w:val="24"/>
          <w:szCs w:val="24"/>
          <w:lang w:val="en-GB"/>
        </w:rPr>
      </w:pPr>
      <w:bookmarkStart w:id="82" w:name="_Toc496630461"/>
      <w:bookmarkStart w:id="83" w:name="_Toc496711946"/>
      <w:bookmarkStart w:id="84" w:name="_Toc515379364"/>
      <w:r>
        <w:rPr>
          <w:rFonts w:ascii="Times New Roman" w:hAnsi="Times New Roman" w:cs="Times New Roman"/>
          <w:noProof/>
          <w:sz w:val="24"/>
          <w:szCs w:val="24"/>
          <w:lang w:val="en-GB"/>
        </w:rPr>
        <w:t>Sustainability</w:t>
      </w:r>
      <w:bookmarkEnd w:id="82"/>
      <w:bookmarkEnd w:id="83"/>
      <w:bookmarkEnd w:id="84"/>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EQ9: </w:t>
      </w:r>
      <w:r>
        <w:rPr>
          <w:rFonts w:ascii="Times New Roman" w:hAnsi="Times New Roman" w:cs="Times New Roman"/>
          <w:i/>
          <w:noProof/>
          <w:sz w:val="24"/>
          <w:szCs w:val="24"/>
          <w:lang w:val="en-GB"/>
        </w:rPr>
        <w:t>To what extent have the positive effects of the RF 2011-2013 actions l</w:t>
      </w:r>
      <w:r>
        <w:rPr>
          <w:rFonts w:ascii="Times New Roman" w:hAnsi="Times New Roman" w:cs="Times New Roman"/>
          <w:i/>
          <w:noProof/>
          <w:sz w:val="24"/>
          <w:szCs w:val="24"/>
          <w:lang w:val="en-GB"/>
        </w:rPr>
        <w:t>asted after the interventions were terminated?</w:t>
      </w:r>
    </w:p>
    <w:p w:rsidR="007013FD" w:rsidRDefault="007013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Overall,</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 xml:space="preserve">the majority of Member States found that most of the RF actions had long lasting effects after the projects ended. However, there was no strong evidence to demonstrate the long-term </w:t>
      </w:r>
      <w:r>
        <w:rPr>
          <w:rFonts w:ascii="Times New Roman" w:hAnsi="Times New Roman" w:cs="Times New Roman"/>
          <w:iCs/>
          <w:noProof/>
          <w:sz w:val="24"/>
          <w:szCs w:val="24"/>
          <w:lang w:val="en-GB"/>
        </w:rPr>
        <w:t>sustainability of the action as many Member States highlighted that further funding was required to be able to continue return activities launched with RF funding. This was also confirmed by the survey results (80% of the respondents).</w:t>
      </w:r>
    </w:p>
    <w:p w:rsidR="007013FD" w:rsidRDefault="007013FD">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p>
    <w:p w:rsidR="007013FD" w:rsidRDefault="005E3FDE">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iCs/>
          <w:noProof/>
          <w:sz w:val="24"/>
          <w:szCs w:val="24"/>
          <w:lang w:val="en-GB"/>
        </w:rPr>
        <w:t>The most sustainabl</w:t>
      </w:r>
      <w:r>
        <w:rPr>
          <w:rFonts w:ascii="Times New Roman" w:hAnsi="Times New Roman" w:cs="Times New Roman"/>
          <w:iCs/>
          <w:noProof/>
          <w:sz w:val="24"/>
          <w:szCs w:val="24"/>
          <w:lang w:val="en-GB"/>
        </w:rPr>
        <w:t>e type of actions were those which had structural effects, such as the creation of new structures within return management institutions or authorities, improvements to the infrastructure of detention facilities, and actions which improved cooperation betwe</w:t>
      </w:r>
      <w:r>
        <w:rPr>
          <w:rFonts w:ascii="Times New Roman" w:hAnsi="Times New Roman" w:cs="Times New Roman"/>
          <w:iCs/>
          <w:noProof/>
          <w:sz w:val="24"/>
          <w:szCs w:val="24"/>
          <w:lang w:val="en-GB"/>
        </w:rPr>
        <w:t>en Member States or Member States and third countries. To better measure the sustainability of AMIF, specific indicators and evaluation questions on sustainability have been included in the common monitoring and evaluation framework of AMIF.</w:t>
      </w:r>
      <w:r>
        <w:rPr>
          <w:rStyle w:val="FootnoteReference"/>
          <w:rFonts w:ascii="Times New Roman" w:hAnsi="Times New Roman" w:cs="Times New Roman"/>
          <w:bCs/>
          <w:noProof/>
          <w:color w:val="444444"/>
          <w:sz w:val="24"/>
          <w:szCs w:val="24"/>
        </w:rPr>
        <w:footnoteReference w:id="162"/>
      </w:r>
    </w:p>
    <w:p w:rsidR="007013FD" w:rsidRDefault="007013FD">
      <w:pPr>
        <w:spacing w:line="240" w:lineRule="auto"/>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 half of</w:t>
      </w:r>
      <w:r>
        <w:rPr>
          <w:rFonts w:ascii="Times New Roman" w:hAnsi="Times New Roman" w:cs="Times New Roman"/>
          <w:noProof/>
          <w:sz w:val="24"/>
          <w:szCs w:val="24"/>
          <w:lang w:val="en-GB"/>
        </w:rPr>
        <w:t xml:space="preserve"> Member States found that the majority of the RF actions had long lasting effects even after the interventions were terminated</w:t>
      </w:r>
      <w:r>
        <w:rPr>
          <w:rStyle w:val="FootnoteReference"/>
          <w:noProof/>
          <w:szCs w:val="24"/>
        </w:rPr>
        <w:footnoteReference w:id="163"/>
      </w:r>
      <w:r>
        <w:rPr>
          <w:rFonts w:ascii="Times New Roman" w:hAnsi="Times New Roman" w:cs="Times New Roman"/>
          <w:noProof/>
          <w:sz w:val="24"/>
          <w:szCs w:val="24"/>
          <w:lang w:val="en-GB"/>
        </w:rPr>
        <w:t xml:space="preserve">. Member States reported that some actions generated sustainable effects more than other actions: </w:t>
      </w:r>
    </w:p>
    <w:p w:rsidR="007013FD" w:rsidRDefault="005E3FDE">
      <w:pPr>
        <w:pStyle w:val="ListParagraph"/>
        <w:numPr>
          <w:ilvl w:val="0"/>
          <w:numId w:val="42"/>
        </w:numPr>
        <w:spacing w:line="240" w:lineRule="auto"/>
        <w:jc w:val="both"/>
        <w:rPr>
          <w:rFonts w:ascii="Times New Roman" w:hAnsi="Times New Roman"/>
          <w:noProof/>
          <w:sz w:val="24"/>
        </w:rPr>
      </w:pPr>
      <w:r>
        <w:rPr>
          <w:rFonts w:ascii="Times New Roman" w:hAnsi="Times New Roman"/>
          <w:noProof/>
          <w:sz w:val="24"/>
        </w:rPr>
        <w:t>capacity-building activities (</w:t>
      </w:r>
      <w:r>
        <w:rPr>
          <w:rFonts w:ascii="Times New Roman" w:hAnsi="Times New Roman"/>
          <w:noProof/>
          <w:sz w:val="24"/>
        </w:rPr>
        <w:t>training, courses, workshop, seminars) to staff working in the field of return</w:t>
      </w:r>
      <w:r>
        <w:rPr>
          <w:rStyle w:val="FootnoteReference"/>
          <w:noProof/>
        </w:rPr>
        <w:footnoteReference w:id="164"/>
      </w:r>
      <w:r>
        <w:rPr>
          <w:rFonts w:ascii="Times New Roman" w:hAnsi="Times New Roman"/>
          <w:noProof/>
          <w:sz w:val="24"/>
        </w:rPr>
        <w:t xml:space="preserve">; </w:t>
      </w:r>
    </w:p>
    <w:p w:rsidR="007013FD" w:rsidRDefault="005E3FDE">
      <w:pPr>
        <w:pStyle w:val="ListParagraph"/>
        <w:numPr>
          <w:ilvl w:val="0"/>
          <w:numId w:val="42"/>
        </w:numPr>
        <w:spacing w:line="240" w:lineRule="auto"/>
        <w:jc w:val="both"/>
        <w:rPr>
          <w:rFonts w:ascii="Times New Roman" w:hAnsi="Times New Roman"/>
          <w:noProof/>
          <w:sz w:val="24"/>
        </w:rPr>
      </w:pPr>
      <w:r>
        <w:rPr>
          <w:rFonts w:ascii="Times New Roman" w:hAnsi="Times New Roman"/>
          <w:noProof/>
          <w:sz w:val="24"/>
        </w:rPr>
        <w:t>the creation of new structures within the institutions or authorities in charge of return management which produces effects as long as the new structure remains in place</w:t>
      </w:r>
      <w:r>
        <w:rPr>
          <w:rStyle w:val="FootnoteReference"/>
          <w:noProof/>
        </w:rPr>
        <w:footnoteReference w:id="165"/>
      </w:r>
      <w:r>
        <w:rPr>
          <w:rFonts w:ascii="Times New Roman" w:hAnsi="Times New Roman"/>
          <w:noProof/>
          <w:sz w:val="24"/>
        </w:rPr>
        <w:t xml:space="preserve">; </w:t>
      </w:r>
    </w:p>
    <w:p w:rsidR="007013FD" w:rsidRDefault="005E3FDE">
      <w:pPr>
        <w:pStyle w:val="ListParagraph"/>
        <w:numPr>
          <w:ilvl w:val="0"/>
          <w:numId w:val="42"/>
        </w:numPr>
        <w:spacing w:line="240" w:lineRule="auto"/>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 xml:space="preserve">mprovements to the infrastructure of detention facilities which by definition have long lasting effect; </w:t>
      </w:r>
    </w:p>
    <w:p w:rsidR="007013FD" w:rsidRDefault="005E3FDE">
      <w:pPr>
        <w:pStyle w:val="ListParagraph"/>
        <w:numPr>
          <w:ilvl w:val="0"/>
          <w:numId w:val="42"/>
        </w:numPr>
        <w:spacing w:line="240" w:lineRule="auto"/>
        <w:jc w:val="both"/>
        <w:rPr>
          <w:rFonts w:ascii="Times New Roman" w:hAnsi="Times New Roman"/>
          <w:noProof/>
          <w:sz w:val="24"/>
        </w:rPr>
      </w:pPr>
      <w:r>
        <w:rPr>
          <w:rFonts w:ascii="Times New Roman" w:hAnsi="Times New Roman"/>
          <w:noProof/>
          <w:sz w:val="24"/>
        </w:rPr>
        <w:t>the purchase of material, depending on the product's life-span</w:t>
      </w:r>
      <w:r>
        <w:rPr>
          <w:rStyle w:val="FootnoteReference"/>
          <w:noProof/>
        </w:rPr>
        <w:footnoteReference w:id="166"/>
      </w:r>
      <w:r>
        <w:rPr>
          <w:rFonts w:ascii="Times New Roman" w:hAnsi="Times New Roman"/>
          <w:noProof/>
          <w:sz w:val="24"/>
        </w:rPr>
        <w:t>; and</w:t>
      </w:r>
    </w:p>
    <w:p w:rsidR="007013FD" w:rsidRDefault="005E3FDE">
      <w:pPr>
        <w:pStyle w:val="ListParagraph"/>
        <w:numPr>
          <w:ilvl w:val="0"/>
          <w:numId w:val="42"/>
        </w:numPr>
        <w:spacing w:line="240" w:lineRule="auto"/>
        <w:jc w:val="both"/>
        <w:rPr>
          <w:rFonts w:ascii="Times New Roman" w:hAnsi="Times New Roman"/>
          <w:noProof/>
          <w:sz w:val="24"/>
        </w:rPr>
      </w:pPr>
      <w:r>
        <w:rPr>
          <w:rFonts w:ascii="Times New Roman" w:hAnsi="Times New Roman"/>
          <w:noProof/>
          <w:sz w:val="24"/>
        </w:rPr>
        <w:t>actions resulting in improved cooperation at a national level, between Member Stat</w:t>
      </w:r>
      <w:r>
        <w:rPr>
          <w:rFonts w:ascii="Times New Roman" w:hAnsi="Times New Roman"/>
          <w:noProof/>
          <w:sz w:val="24"/>
        </w:rPr>
        <w:t>es, or between Member States and third countries</w:t>
      </w:r>
      <w:r>
        <w:rPr>
          <w:rStyle w:val="FootnoteReference"/>
          <w:noProof/>
        </w:rPr>
        <w:footnoteReference w:id="167"/>
      </w:r>
      <w:r>
        <w:rPr>
          <w:rFonts w:ascii="Times New Roman" w:hAnsi="Times New Roman"/>
          <w:noProof/>
          <w:sz w:val="24"/>
        </w:rPr>
        <w:t>.</w:t>
      </w:r>
    </w:p>
    <w:p w:rsidR="007013FD" w:rsidRDefault="007013FD">
      <w:pPr>
        <w:pStyle w:val="ListParagraph"/>
        <w:spacing w:line="240" w:lineRule="auto"/>
        <w:jc w:val="both"/>
        <w:rPr>
          <w:rFonts w:ascii="Times New Roman" w:hAnsi="Times New Roman"/>
          <w:noProof/>
          <w:sz w:val="24"/>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Several Member States and respondents to an online survey indicated that further funding was required to guarantee the results obtained and to continue RF return activities on the same scale and for the </w:t>
      </w:r>
      <w:r>
        <w:rPr>
          <w:rFonts w:ascii="Times New Roman" w:hAnsi="Times New Roman" w:cs="Times New Roman"/>
          <w:noProof/>
          <w:sz w:val="24"/>
          <w:szCs w:val="24"/>
          <w:lang w:val="en-GB"/>
        </w:rPr>
        <w:t>same duration after the intervention ended. The extent to which further funding was required varied across Member States, depending on the type of activity and the desired result or effect. Voluntary returns</w:t>
      </w:r>
      <w:r>
        <w:rPr>
          <w:rStyle w:val="FootnoteReference"/>
          <w:rFonts w:ascii="Times New Roman" w:hAnsi="Times New Roman"/>
          <w:noProof/>
          <w:sz w:val="24"/>
        </w:rPr>
        <w:footnoteReference w:id="168"/>
      </w:r>
      <w:r>
        <w:rPr>
          <w:rFonts w:ascii="Times New Roman" w:hAnsi="Times New Roman" w:cs="Times New Roman"/>
          <w:noProof/>
          <w:sz w:val="24"/>
          <w:szCs w:val="24"/>
          <w:lang w:val="en-GB"/>
        </w:rPr>
        <w:t>, the provision of counselling and reintegration</w:t>
      </w:r>
      <w:r>
        <w:rPr>
          <w:rFonts w:ascii="Times New Roman" w:hAnsi="Times New Roman" w:cs="Times New Roman"/>
          <w:noProof/>
          <w:sz w:val="24"/>
          <w:szCs w:val="24"/>
          <w:lang w:val="en-GB"/>
        </w:rPr>
        <w:t xml:space="preserve"> assistance, and actions related to the provision of assistance to vulnerable persons and to support for innovative tools were found to be less sustainable as highly dependent on future funding. Projects covering the operational costs of return activities,</w:t>
      </w:r>
      <w:r>
        <w:rPr>
          <w:rFonts w:ascii="Times New Roman" w:hAnsi="Times New Roman" w:cs="Times New Roman"/>
          <w:noProof/>
          <w:sz w:val="24"/>
          <w:szCs w:val="24"/>
          <w:lang w:val="en-GB"/>
        </w:rPr>
        <w:t xml:space="preserve"> such as the procurement of interpretation services or legal services, were also less likely to produce sustainable results in the long-term.</w:t>
      </w:r>
      <w:r>
        <w:rPr>
          <w:rStyle w:val="FootnoteReference"/>
          <w:rFonts w:ascii="Times New Roman" w:hAnsi="Times New Roman" w:cs="Times New Roman"/>
          <w:noProof/>
          <w:sz w:val="24"/>
          <w:szCs w:val="24"/>
          <w:lang w:val="en-GB"/>
        </w:rPr>
        <w:footnoteReference w:id="169"/>
      </w:r>
      <w:r>
        <w:rPr>
          <w:rFonts w:ascii="Times New Roman" w:hAnsi="Times New Roman" w:cs="Times New Roman"/>
          <w:noProof/>
          <w:sz w:val="24"/>
          <w:szCs w:val="24"/>
          <w:lang w:val="en-GB"/>
        </w:rPr>
        <w:t xml:space="preserve"> Despite the various means through which the sustainability of the RF 2011-2013 actions’ output and outcomes were </w:t>
      </w:r>
      <w:r>
        <w:rPr>
          <w:rFonts w:ascii="Times New Roman" w:hAnsi="Times New Roman" w:cs="Times New Roman"/>
          <w:noProof/>
          <w:sz w:val="24"/>
          <w:szCs w:val="24"/>
          <w:lang w:val="en-GB"/>
        </w:rPr>
        <w:t xml:space="preserve">secured (see below), overall there is no strong evidence to demonstrate that the results of the projects were not only continued, but indeed proved to have sustainable positive impacts in the long-term. This was also supported by the survey results, which </w:t>
      </w:r>
      <w:r>
        <w:rPr>
          <w:rFonts w:ascii="Times New Roman" w:hAnsi="Times New Roman" w:cs="Times New Roman"/>
          <w:noProof/>
          <w:sz w:val="24"/>
          <w:szCs w:val="24"/>
          <w:lang w:val="en-GB"/>
        </w:rPr>
        <w:t>indicated that 80% of stakeholders who implemented return operations projects could not have achieved the planned objectives without further funding or continuation of the project under the AMIF 2014-2020.</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used different means for achieving t</w:t>
      </w:r>
      <w:r>
        <w:rPr>
          <w:rFonts w:ascii="Times New Roman" w:hAnsi="Times New Roman" w:cs="Times New Roman"/>
          <w:noProof/>
          <w:sz w:val="24"/>
          <w:szCs w:val="24"/>
          <w:lang w:val="en-GB"/>
        </w:rPr>
        <w:t xml:space="preserve">he sustainability of RF actions, such as the continued use of outputs and/or continuing project activities after the closure of the project; the transfer of results into national legislation, policy or procedures; and the dissemination of project results. </w:t>
      </w:r>
      <w:r>
        <w:rPr>
          <w:rFonts w:ascii="Times New Roman" w:hAnsi="Times New Roman" w:cs="Times New Roman"/>
          <w:noProof/>
          <w:sz w:val="24"/>
          <w:szCs w:val="24"/>
          <w:lang w:val="en-GB"/>
        </w:rPr>
        <w:t>Other ways of increasing the sustainability of actions were through the transfer of outputs of successful actions or projects</w:t>
      </w:r>
      <w:r>
        <w:rPr>
          <w:rStyle w:val="FootnoteReference"/>
          <w:rFonts w:ascii="Times New Roman" w:hAnsi="Times New Roman" w:cs="Times New Roman"/>
          <w:noProof/>
          <w:sz w:val="24"/>
          <w:szCs w:val="24"/>
          <w:lang w:val="en-GB"/>
        </w:rPr>
        <w:footnoteReference w:id="170"/>
      </w:r>
      <w:r>
        <w:rPr>
          <w:rFonts w:ascii="Times New Roman" w:hAnsi="Times New Roman" w:cs="Times New Roman"/>
          <w:noProof/>
          <w:sz w:val="24"/>
          <w:szCs w:val="24"/>
          <w:lang w:val="en-GB"/>
        </w:rPr>
        <w:t xml:space="preserve"> and the dissemination of results at the end of projects. </w:t>
      </w:r>
    </w:p>
    <w:p w:rsidR="007013FD" w:rsidRDefault="005E3FDE">
      <w:pPr>
        <w:spacing w:line="240" w:lineRule="auto"/>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To encourage the sustainability of future actions in the area of return</w:t>
      </w:r>
      <w:r>
        <w:rPr>
          <w:rFonts w:ascii="Times New Roman" w:hAnsi="Times New Roman" w:cs="Times New Roman"/>
          <w:noProof/>
          <w:sz w:val="24"/>
          <w:szCs w:val="24"/>
          <w:lang w:val="en-GB"/>
        </w:rPr>
        <w:t xml:space="preserve">, some RAs include it as a selection criterion of projects funded by AMIF. To measure the sustainability of this Fund, specific indicators and evaluation questions on sustainability have also been included in the common monitoring and evaluation framework </w:t>
      </w:r>
      <w:r>
        <w:rPr>
          <w:rFonts w:ascii="Times New Roman" w:hAnsi="Times New Roman" w:cs="Times New Roman"/>
          <w:noProof/>
          <w:sz w:val="24"/>
          <w:szCs w:val="24"/>
          <w:lang w:val="en-GB"/>
        </w:rPr>
        <w:t>of AMIF.</w:t>
      </w:r>
      <w:r>
        <w:rPr>
          <w:rStyle w:val="FootnoteReference"/>
          <w:rFonts w:ascii="Times New Roman" w:hAnsi="Times New Roman" w:cs="Times New Roman"/>
          <w:noProof/>
          <w:sz w:val="24"/>
          <w:szCs w:val="24"/>
          <w:lang w:val="en-GB"/>
        </w:rPr>
        <w:footnoteReference w:id="171"/>
      </w:r>
      <w:bookmarkStart w:id="85" w:name="_Toc484593413"/>
      <w:bookmarkStart w:id="86" w:name="_Toc485716565"/>
      <w:bookmarkStart w:id="87" w:name="_Toc486423109"/>
      <w:bookmarkEnd w:id="85"/>
      <w:bookmarkEnd w:id="86"/>
      <w:bookmarkEnd w:id="87"/>
    </w:p>
    <w:p w:rsidR="007013FD" w:rsidRDefault="005E3FDE">
      <w:pPr>
        <w:pStyle w:val="Heading2"/>
        <w:rPr>
          <w:rFonts w:ascii="Times New Roman" w:hAnsi="Times New Roman"/>
          <w:noProof/>
          <w:sz w:val="24"/>
          <w:lang w:val="en-GB"/>
        </w:rPr>
      </w:pPr>
      <w:bookmarkStart w:id="88" w:name="_Toc496630462"/>
      <w:bookmarkStart w:id="89" w:name="_Toc496711947"/>
      <w:bookmarkStart w:id="90" w:name="_Toc515379365"/>
      <w:r>
        <w:rPr>
          <w:rFonts w:ascii="Times New Roman" w:hAnsi="Times New Roman"/>
          <w:noProof/>
          <w:sz w:val="24"/>
          <w:lang w:val="en-GB"/>
        </w:rPr>
        <w:t>Coherence and Complementarity</w:t>
      </w:r>
      <w:bookmarkEnd w:id="88"/>
      <w:bookmarkEnd w:id="89"/>
      <w:bookmarkEnd w:id="90"/>
    </w:p>
    <w:tbl>
      <w:tblPr>
        <w:tblStyle w:val="TableGrid"/>
        <w:tblW w:w="0" w:type="auto"/>
        <w:tblLook w:val="04A0" w:firstRow="1" w:lastRow="0" w:firstColumn="1" w:lastColumn="0" w:noHBand="0" w:noVBand="1"/>
      </w:tblPr>
      <w:tblGrid>
        <w:gridCol w:w="9288"/>
      </w:tblGrid>
      <w:tr w:rsidR="007013FD" w:rsidRPr="005E3FDE">
        <w:tc>
          <w:tcPr>
            <w:tcW w:w="9288" w:type="dxa"/>
          </w:tcPr>
          <w:p w:rsidR="007013FD" w:rsidRDefault="005E3FDE">
            <w:pPr>
              <w:spacing w:after="120"/>
              <w:jc w:val="both"/>
              <w:rPr>
                <w:rFonts w:ascii="Times New Roman" w:hAnsi="Times New Roman" w:cs="Times New Roman"/>
                <w:noProof/>
                <w:sz w:val="24"/>
                <w:szCs w:val="24"/>
              </w:rPr>
            </w:pPr>
            <w:r>
              <w:rPr>
                <w:rFonts w:ascii="Times New Roman" w:hAnsi="Times New Roman" w:cs="Times New Roman"/>
                <w:i/>
                <w:noProof/>
                <w:sz w:val="24"/>
                <w:szCs w:val="24"/>
              </w:rPr>
              <w:t>EQ12a: To what extent were the Return Fund 2011-2013 actions coherent with and complementary to other EU financial instruments or from national resources of the Member States, including the activities of the European</w:t>
            </w:r>
            <w:r>
              <w:rPr>
                <w:rFonts w:ascii="Times New Roman" w:hAnsi="Times New Roman" w:cs="Times New Roman"/>
                <w:i/>
                <w:noProof/>
                <w:sz w:val="24"/>
                <w:szCs w:val="24"/>
              </w:rPr>
              <w:t xml:space="preserve"> Agency for the Management of Operational Cooperation at the External Borders of the Member States of the European Union (Frontex) providing EU Member States with the necessary support in organising joint return operations?</w:t>
            </w:r>
          </w:p>
          <w:p w:rsidR="007013FD" w:rsidRDefault="005E3FDE">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The evaluation</w:t>
            </w:r>
            <w:r>
              <w:rPr>
                <w:rFonts w:ascii="Times New Roman" w:hAnsi="Times New Roman" w:cs="Times New Roman"/>
                <w:noProof/>
                <w:sz w:val="24"/>
                <w:szCs w:val="24"/>
              </w:rPr>
              <w:t xml:space="preserve"> concluded that actions funded by the RF were coherent and complementary to other national actions in the area of return and generally coherent with and complementary to other EU Funds in the area of return. However, low complementarity was found between R</w:t>
            </w:r>
            <w:r>
              <w:rPr>
                <w:rFonts w:ascii="Times New Roman" w:hAnsi="Times New Roman" w:cs="Times New Roman"/>
                <w:noProof/>
                <w:sz w:val="24"/>
                <w:szCs w:val="24"/>
              </w:rPr>
              <w:t>F-funded actions and reintegration policies funded by other EU instruments, with a potential for overlaps. In order to avoid potential overlaps in this area, there should be a more regular and consistent dialogue between different DGs involved in reintegra</w:t>
            </w:r>
            <w:r>
              <w:rPr>
                <w:rFonts w:ascii="Times New Roman" w:hAnsi="Times New Roman" w:cs="Times New Roman"/>
                <w:noProof/>
                <w:sz w:val="24"/>
                <w:szCs w:val="24"/>
              </w:rPr>
              <w:t>tion measures. In order to improve the processes of monitoring and evaluation of the Fund, under AMIF indicators for the better monitoring and evaluation of coherence and complementarity were introduced.</w:t>
            </w:r>
            <w:r>
              <w:rPr>
                <w:rStyle w:val="FootnoteReference"/>
                <w:rFonts w:ascii="Times New Roman" w:hAnsi="Times New Roman" w:cs="Times New Roman"/>
                <w:noProof/>
                <w:sz w:val="24"/>
                <w:szCs w:val="24"/>
              </w:rPr>
              <w:footnoteReference w:id="172"/>
            </w:r>
            <w:r>
              <w:rPr>
                <w:rFonts w:ascii="Times New Roman" w:hAnsi="Times New Roman" w:cs="Times New Roman"/>
                <w:noProof/>
                <w:sz w:val="24"/>
                <w:szCs w:val="24"/>
              </w:rPr>
              <w:t xml:space="preserve"> Member States are also asked to outline in their AMIF national programmes how they ensure coherence and complementarity.</w:t>
            </w:r>
          </w:p>
        </w:tc>
      </w:tr>
    </w:tbl>
    <w:p w:rsidR="007013FD" w:rsidRDefault="005E3FDE">
      <w:pPr>
        <w:pStyle w:val="ListParagraph"/>
        <w:numPr>
          <w:ilvl w:val="0"/>
          <w:numId w:val="48"/>
        </w:numPr>
        <w:spacing w:before="240" w:after="240" w:line="240" w:lineRule="auto"/>
        <w:jc w:val="both"/>
        <w:rPr>
          <w:rFonts w:ascii="Times New Roman" w:hAnsi="Times New Roman"/>
          <w:b/>
          <w:noProof/>
          <w:sz w:val="24"/>
        </w:rPr>
      </w:pPr>
      <w:r>
        <w:rPr>
          <w:rFonts w:ascii="Times New Roman" w:hAnsi="Times New Roman"/>
          <w:b/>
          <w:noProof/>
          <w:sz w:val="24"/>
        </w:rPr>
        <w:t>Complementarity and coherence at national level</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Member States</w:t>
      </w:r>
      <w:r>
        <w:rPr>
          <w:rStyle w:val="FootnoteReference"/>
          <w:rFonts w:ascii="Times New Roman" w:hAnsi="Times New Roman" w:cs="Times New Roman"/>
          <w:noProof/>
          <w:sz w:val="24"/>
          <w:szCs w:val="24"/>
          <w:lang w:val="en-GB"/>
        </w:rPr>
        <w:footnoteReference w:id="173"/>
      </w:r>
      <w:r>
        <w:rPr>
          <w:rFonts w:ascii="Times New Roman" w:hAnsi="Times New Roman" w:cs="Times New Roman"/>
          <w:noProof/>
          <w:sz w:val="24"/>
          <w:szCs w:val="24"/>
          <w:lang w:val="en-GB"/>
        </w:rPr>
        <w:t xml:space="preserve"> ensured coherence between the RF and national interventions, prog</w:t>
      </w:r>
      <w:r>
        <w:rPr>
          <w:rFonts w:ascii="Times New Roman" w:hAnsi="Times New Roman" w:cs="Times New Roman"/>
          <w:noProof/>
          <w:sz w:val="24"/>
          <w:szCs w:val="24"/>
          <w:lang w:val="en-GB"/>
        </w:rPr>
        <w:t>rammes or actions, by aligning the RF Multiannual programmes (MAPs) and Annual Programmes (APs) with the national priorities included in national strategies or action plans</w:t>
      </w:r>
      <w:r>
        <w:rPr>
          <w:rStyle w:val="FootnoteReference"/>
          <w:rFonts w:ascii="Times New Roman" w:hAnsi="Times New Roman" w:cs="Times New Roman"/>
          <w:noProof/>
          <w:sz w:val="24"/>
          <w:szCs w:val="24"/>
          <w:lang w:val="en-GB"/>
        </w:rPr>
        <w:footnoteReference w:id="174"/>
      </w:r>
      <w:r>
        <w:rPr>
          <w:rFonts w:ascii="Times New Roman" w:hAnsi="Times New Roman" w:cs="Times New Roman"/>
          <w:noProof/>
          <w:sz w:val="24"/>
          <w:szCs w:val="24"/>
          <w:lang w:val="en-GB"/>
        </w:rPr>
        <w:t>.On the whole, actions funded via the RF were coherent with and complementary to na</w:t>
      </w:r>
      <w:r>
        <w:rPr>
          <w:rFonts w:ascii="Times New Roman" w:hAnsi="Times New Roman" w:cs="Times New Roman"/>
          <w:noProof/>
          <w:sz w:val="24"/>
          <w:szCs w:val="24"/>
          <w:lang w:val="en-GB"/>
        </w:rPr>
        <w:t>tional-level interventions in the area of return and no overlaps were identified. The RF supported areas of return policy which generally received limited national funding or were not considered as a high priority by national governments, such as reintegra</w:t>
      </w:r>
      <w:r>
        <w:rPr>
          <w:rFonts w:ascii="Times New Roman" w:hAnsi="Times New Roman" w:cs="Times New Roman"/>
          <w:noProof/>
          <w:sz w:val="24"/>
          <w:szCs w:val="24"/>
          <w:lang w:val="en-GB"/>
        </w:rPr>
        <w:t xml:space="preserve">tion support or specific assistance to vulnerable returnees. </w:t>
      </w:r>
    </w:p>
    <w:p w:rsidR="007013FD" w:rsidRDefault="007013FD">
      <w:pPr>
        <w:spacing w:after="240" w:line="240" w:lineRule="auto"/>
        <w:jc w:val="both"/>
        <w:rPr>
          <w:rFonts w:ascii="Times New Roman" w:hAnsi="Times New Roman" w:cs="Times New Roman"/>
          <w:noProof/>
          <w:sz w:val="24"/>
          <w:szCs w:val="24"/>
          <w:lang w:val="en-GB"/>
        </w:rPr>
      </w:pPr>
    </w:p>
    <w:p w:rsidR="007013FD" w:rsidRDefault="005E3FDE">
      <w:pPr>
        <w:pStyle w:val="ListParagraph"/>
        <w:numPr>
          <w:ilvl w:val="0"/>
          <w:numId w:val="48"/>
        </w:numPr>
        <w:spacing w:after="240" w:line="240" w:lineRule="auto"/>
        <w:jc w:val="both"/>
        <w:rPr>
          <w:rFonts w:ascii="Times New Roman" w:hAnsi="Times New Roman"/>
          <w:b/>
          <w:noProof/>
          <w:sz w:val="24"/>
        </w:rPr>
      </w:pPr>
      <w:r>
        <w:rPr>
          <w:rFonts w:ascii="Times New Roman" w:hAnsi="Times New Roman"/>
          <w:b/>
          <w:noProof/>
          <w:sz w:val="24"/>
        </w:rPr>
        <w:t>Coherence and complementarity at EU level</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 the period of evaluation, the RF supported efforts by Member States to implement a standardised EU return policy. Several Member States</w:t>
      </w:r>
      <w:r>
        <w:rPr>
          <w:rStyle w:val="FootnoteReference"/>
          <w:rFonts w:ascii="Times New Roman" w:hAnsi="Times New Roman" w:cs="Times New Roman"/>
          <w:noProof/>
          <w:sz w:val="24"/>
          <w:szCs w:val="24"/>
          <w:lang w:val="en-GB"/>
        </w:rPr>
        <w:footnoteReference w:id="175"/>
      </w:r>
      <w:r>
        <w:rPr>
          <w:rFonts w:ascii="Times New Roman" w:hAnsi="Times New Roman" w:cs="Times New Roman"/>
          <w:noProof/>
          <w:sz w:val="24"/>
          <w:szCs w:val="24"/>
          <w:lang w:val="en-GB"/>
        </w:rPr>
        <w:t xml:space="preserve"> found the RF actions to be coherent with the EU funding instruments under the SOLID programme and other types of EU funding</w:t>
      </w:r>
      <w:r>
        <w:rPr>
          <w:rStyle w:val="FootnoteReference"/>
          <w:rFonts w:ascii="Times New Roman" w:hAnsi="Times New Roman" w:cs="Times New Roman"/>
          <w:noProof/>
          <w:sz w:val="24"/>
          <w:szCs w:val="24"/>
          <w:lang w:val="en-GB"/>
        </w:rPr>
        <w:footnoteReference w:id="176"/>
      </w:r>
      <w:r>
        <w:rPr>
          <w:rFonts w:ascii="Times New Roman" w:hAnsi="Times New Roman" w:cs="Times New Roman"/>
          <w:noProof/>
          <w:sz w:val="24"/>
          <w:szCs w:val="24"/>
          <w:lang w:val="en-GB"/>
        </w:rPr>
        <w:t>. Despite an identified potential for overlaps between the actions of the RF and those funded through Frontex in the field of retur</w:t>
      </w:r>
      <w:r>
        <w:rPr>
          <w:rFonts w:ascii="Times New Roman" w:hAnsi="Times New Roman" w:cs="Times New Roman"/>
          <w:noProof/>
          <w:sz w:val="24"/>
          <w:szCs w:val="24"/>
          <w:lang w:val="en-GB"/>
        </w:rPr>
        <w:t>n, in practice, complementarity between these was found. In some Member States</w:t>
      </w:r>
      <w:r>
        <w:rPr>
          <w:rStyle w:val="FootnoteReference"/>
          <w:rFonts w:ascii="Times New Roman" w:hAnsi="Times New Roman" w:cs="Times New Roman"/>
          <w:noProof/>
          <w:sz w:val="24"/>
          <w:szCs w:val="24"/>
          <w:lang w:val="en-GB"/>
        </w:rPr>
        <w:footnoteReference w:id="177"/>
      </w:r>
      <w:r>
        <w:rPr>
          <w:rFonts w:ascii="Times New Roman" w:hAnsi="Times New Roman" w:cs="Times New Roman"/>
          <w:noProof/>
          <w:sz w:val="24"/>
          <w:szCs w:val="24"/>
          <w:lang w:val="en-GB"/>
        </w:rPr>
        <w:t>, the RA for the RF was also responsible for enforcing other EU Funds, which contributed to ensuring coherence between the RF and other EU legal, financial, or policy instrument</w:t>
      </w:r>
      <w:r>
        <w:rPr>
          <w:rFonts w:ascii="Times New Roman" w:hAnsi="Times New Roman" w:cs="Times New Roman"/>
          <w:noProof/>
          <w:sz w:val="24"/>
          <w:szCs w:val="24"/>
          <w:lang w:val="en-GB"/>
        </w:rPr>
        <w:t>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limited complementarity was found between RF-funded actions and reintegration policies funded by other EU instruments, such as the Development Cooperation Instrument (DCI)</w:t>
      </w:r>
      <w:r>
        <w:rPr>
          <w:rStyle w:val="FootnoteReference"/>
          <w:rFonts w:ascii="Times New Roman" w:hAnsi="Times New Roman" w:cs="Times New Roman"/>
          <w:noProof/>
          <w:sz w:val="24"/>
          <w:szCs w:val="24"/>
          <w:lang w:val="en-GB"/>
        </w:rPr>
        <w:footnoteReference w:id="178"/>
      </w:r>
      <w:r>
        <w:rPr>
          <w:rFonts w:ascii="Times New Roman" w:hAnsi="Times New Roman" w:cs="Times New Roman"/>
          <w:noProof/>
          <w:sz w:val="24"/>
          <w:szCs w:val="24"/>
          <w:lang w:val="en-GB"/>
        </w:rPr>
        <w:t xml:space="preserve"> and IPA II. The risk for overlap can be nevertheless considered as rela</w:t>
      </w:r>
      <w:r>
        <w:rPr>
          <w:rFonts w:ascii="Times New Roman" w:hAnsi="Times New Roman" w:cs="Times New Roman"/>
          <w:noProof/>
          <w:sz w:val="24"/>
          <w:szCs w:val="24"/>
          <w:lang w:val="en-GB"/>
        </w:rPr>
        <w:t>tively low, as there was a decline in the number of reintegration measures financed by externally-funded actions of the EU during the evaluation period, in contrast to the period before the evaluation, when the RF was in its early stages.</w:t>
      </w:r>
    </w:p>
    <w:p w:rsidR="007013FD" w:rsidRDefault="005E3FDE">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co</w:t>
      </w:r>
      <w:r>
        <w:rPr>
          <w:rFonts w:ascii="Times New Roman" w:hAnsi="Times New Roman" w:cs="Times New Roman"/>
          <w:noProof/>
          <w:sz w:val="24"/>
          <w:szCs w:val="24"/>
          <w:lang w:val="en-GB"/>
        </w:rPr>
        <w:t xml:space="preserve">ncluded that, in order to avoid potential overlaps, a more consistent dialogue between different DGs with a role in reintegration measures would ensure a more unified approach towards the application of EU funding in this area. The European Parliament has </w:t>
      </w:r>
      <w:r>
        <w:rPr>
          <w:rFonts w:ascii="Times New Roman" w:hAnsi="Times New Roman" w:cs="Times New Roman"/>
          <w:noProof/>
          <w:sz w:val="24"/>
          <w:szCs w:val="24"/>
          <w:lang w:val="en-GB"/>
        </w:rPr>
        <w:t>also observed that the processes of monitoring and evaluation of the Fund, particularly ex-ante or interim monitoring mechanisms, should be improved to further ensure transparency and accountability of EU migration Funds.</w:t>
      </w:r>
      <w:r>
        <w:rPr>
          <w:rStyle w:val="FootnoteReference"/>
          <w:rFonts w:ascii="Times New Roman" w:hAnsi="Times New Roman" w:cs="Times New Roman"/>
          <w:noProof/>
          <w:sz w:val="24"/>
          <w:szCs w:val="24"/>
          <w:lang w:val="en-GB"/>
        </w:rPr>
        <w:footnoteReference w:id="179"/>
      </w:r>
      <w:r>
        <w:rPr>
          <w:rFonts w:ascii="Times New Roman" w:hAnsi="Times New Roman" w:cs="Times New Roman"/>
          <w:noProof/>
          <w:sz w:val="24"/>
          <w:szCs w:val="24"/>
          <w:lang w:val="en-GB"/>
        </w:rPr>
        <w:t xml:space="preserve"> In this regard, under AMIF indica</w:t>
      </w:r>
      <w:r>
        <w:rPr>
          <w:rFonts w:ascii="Times New Roman" w:hAnsi="Times New Roman" w:cs="Times New Roman"/>
          <w:noProof/>
          <w:sz w:val="24"/>
          <w:szCs w:val="24"/>
          <w:lang w:val="en-GB"/>
        </w:rPr>
        <w:t>tors for the better monitoring and evaluation of coherence and complementarity were introduced.</w:t>
      </w:r>
      <w:r>
        <w:rPr>
          <w:rStyle w:val="FootnoteReference"/>
          <w:rFonts w:ascii="Times New Roman" w:hAnsi="Times New Roman" w:cs="Times New Roman"/>
          <w:noProof/>
          <w:sz w:val="24"/>
          <w:szCs w:val="24"/>
        </w:rPr>
        <w:footnoteReference w:id="180"/>
      </w:r>
      <w:r>
        <w:rPr>
          <w:rFonts w:ascii="Times New Roman" w:hAnsi="Times New Roman" w:cs="Times New Roman"/>
          <w:noProof/>
          <w:sz w:val="24"/>
          <w:szCs w:val="24"/>
          <w:lang w:val="en-GB"/>
        </w:rPr>
        <w:t xml:space="preserve"> Member States are also asked to outline in their AMIF national programmes how they ensure coherence and complementarity. Certain provisions of the AMIF legal b</w:t>
      </w:r>
      <w:r>
        <w:rPr>
          <w:rFonts w:ascii="Times New Roman" w:hAnsi="Times New Roman" w:cs="Times New Roman"/>
          <w:noProof/>
          <w:sz w:val="24"/>
          <w:szCs w:val="24"/>
          <w:lang w:val="en-GB"/>
        </w:rPr>
        <w:t>asis also state that the Commission and the Member States shall ensure the consistency and complementarity of actions under AMIF with European Union priorities and instruments,</w:t>
      </w:r>
      <w:r>
        <w:rPr>
          <w:rStyle w:val="FootnoteReference"/>
          <w:rFonts w:ascii="Times New Roman" w:hAnsi="Times New Roman" w:cs="Times New Roman"/>
          <w:noProof/>
          <w:sz w:val="24"/>
          <w:szCs w:val="24"/>
          <w:lang w:val="en-GB"/>
        </w:rPr>
        <w:footnoteReference w:id="181"/>
      </w:r>
      <w:r>
        <w:rPr>
          <w:rFonts w:ascii="Times New Roman" w:hAnsi="Times New Roman" w:cs="Times New Roman"/>
          <w:noProof/>
          <w:sz w:val="24"/>
          <w:szCs w:val="24"/>
          <w:lang w:val="en-GB"/>
        </w:rPr>
        <w:t xml:space="preserve"> with European Union external action and foreign policy, as well as with develo</w:t>
      </w:r>
      <w:r>
        <w:rPr>
          <w:rFonts w:ascii="Times New Roman" w:hAnsi="Times New Roman" w:cs="Times New Roman"/>
          <w:noProof/>
          <w:sz w:val="24"/>
          <w:szCs w:val="24"/>
          <w:lang w:val="en-GB"/>
        </w:rPr>
        <w:t>pment aid financial instruments</w:t>
      </w:r>
      <w:r>
        <w:rPr>
          <w:rStyle w:val="FootnoteReference"/>
          <w:rFonts w:ascii="Times New Roman" w:hAnsi="Times New Roman" w:cs="Times New Roman"/>
          <w:noProof/>
          <w:sz w:val="24"/>
          <w:szCs w:val="24"/>
          <w:lang w:val="en-GB"/>
        </w:rPr>
        <w:footnoteReference w:id="182"/>
      </w:r>
      <w:r>
        <w:rPr>
          <w:rFonts w:ascii="Times New Roman" w:hAnsi="Times New Roman" w:cs="Times New Roman"/>
          <w:noProof/>
          <w:sz w:val="24"/>
          <w:szCs w:val="24"/>
          <w:lang w:val="en-GB"/>
        </w:rPr>
        <w:t>.</w:t>
      </w:r>
    </w:p>
    <w:p w:rsidR="007013FD" w:rsidRDefault="005E3FDE">
      <w:pPr>
        <w:pStyle w:val="Heading2"/>
        <w:rPr>
          <w:rFonts w:ascii="Times New Roman" w:hAnsi="Times New Roman" w:cs="Times New Roman"/>
          <w:noProof/>
          <w:sz w:val="24"/>
          <w:szCs w:val="24"/>
          <w:lang w:val="en-GB"/>
        </w:rPr>
      </w:pPr>
      <w:bookmarkStart w:id="91" w:name="_Toc482173464"/>
      <w:bookmarkStart w:id="92" w:name="_Toc484593415"/>
      <w:bookmarkStart w:id="93" w:name="_Toc485716567"/>
      <w:bookmarkStart w:id="94" w:name="_Toc486423111"/>
      <w:bookmarkStart w:id="95" w:name="_Toc482173465"/>
      <w:bookmarkStart w:id="96" w:name="_Toc484593416"/>
      <w:bookmarkStart w:id="97" w:name="_Toc485716568"/>
      <w:bookmarkStart w:id="98" w:name="_Toc486423112"/>
      <w:bookmarkStart w:id="99" w:name="_Toc482173466"/>
      <w:bookmarkStart w:id="100" w:name="_Toc484593417"/>
      <w:bookmarkStart w:id="101" w:name="_Toc485716569"/>
      <w:bookmarkStart w:id="102" w:name="_Toc486423113"/>
      <w:bookmarkStart w:id="103" w:name="_Toc482173467"/>
      <w:bookmarkStart w:id="104" w:name="_Toc484593418"/>
      <w:bookmarkStart w:id="105" w:name="_Toc485716570"/>
      <w:bookmarkStart w:id="106" w:name="_Toc486423114"/>
      <w:bookmarkStart w:id="107" w:name="_Toc482173468"/>
      <w:bookmarkStart w:id="108" w:name="_Toc484593419"/>
      <w:bookmarkStart w:id="109" w:name="_Toc485716571"/>
      <w:bookmarkStart w:id="110" w:name="_Toc486423115"/>
      <w:bookmarkStart w:id="111" w:name="_Toc482173469"/>
      <w:bookmarkStart w:id="112" w:name="_Toc484593420"/>
      <w:bookmarkStart w:id="113" w:name="_Toc485716572"/>
      <w:bookmarkStart w:id="114" w:name="_Toc486423116"/>
      <w:bookmarkStart w:id="115" w:name="_Toc496630463"/>
      <w:bookmarkStart w:id="116" w:name="_Toc496711948"/>
      <w:bookmarkStart w:id="117" w:name="_Toc51537936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cs="Times New Roman"/>
          <w:noProof/>
          <w:sz w:val="24"/>
          <w:szCs w:val="24"/>
          <w:lang w:val="en-GB"/>
        </w:rPr>
        <w:t>EU added value</w:t>
      </w:r>
      <w:bookmarkEnd w:id="115"/>
      <w:bookmarkEnd w:id="116"/>
      <w:bookmarkEnd w:id="117"/>
    </w:p>
    <w:tbl>
      <w:tblPr>
        <w:tblStyle w:val="TableGrid"/>
        <w:tblW w:w="0" w:type="auto"/>
        <w:tblLook w:val="04A0" w:firstRow="1" w:lastRow="0" w:firstColumn="1" w:lastColumn="0" w:noHBand="0" w:noVBand="1"/>
      </w:tblPr>
      <w:tblGrid>
        <w:gridCol w:w="9288"/>
      </w:tblGrid>
      <w:tr w:rsidR="007013FD" w:rsidRPr="005E3FDE">
        <w:tc>
          <w:tcPr>
            <w:tcW w:w="9288" w:type="dxa"/>
          </w:tcPr>
          <w:p w:rsidR="007013FD" w:rsidRDefault="005E3FDE">
            <w:pPr>
              <w:spacing w:after="120"/>
              <w:jc w:val="both"/>
              <w:rPr>
                <w:rFonts w:ascii="Times New Roman" w:hAnsi="Times New Roman" w:cs="Times New Roman"/>
                <w:noProof/>
                <w:sz w:val="24"/>
                <w:szCs w:val="24"/>
              </w:rPr>
            </w:pPr>
            <w:r>
              <w:rPr>
                <w:rFonts w:ascii="Times New Roman" w:hAnsi="Times New Roman" w:cs="Times New Roman"/>
                <w:i/>
                <w:noProof/>
                <w:sz w:val="24"/>
                <w:szCs w:val="24"/>
              </w:rPr>
              <w:t>EQ13: What is the additional value resulting from the RF 2011-2013 actions compared to what the Member States would be able to carry out through investments necessary for the implementation of the EU policie</w:t>
            </w:r>
            <w:r>
              <w:rPr>
                <w:rFonts w:ascii="Times New Roman" w:hAnsi="Times New Roman" w:cs="Times New Roman"/>
                <w:i/>
                <w:noProof/>
                <w:sz w:val="24"/>
                <w:szCs w:val="24"/>
              </w:rPr>
              <w:t>s in the field of return management without the support of the RF 2011-2013 actions?</w:t>
            </w:r>
          </w:p>
          <w:p w:rsidR="007013FD" w:rsidRDefault="005E3FDE">
            <w:pPr>
              <w:spacing w:after="240"/>
              <w:jc w:val="both"/>
              <w:rPr>
                <w:rFonts w:ascii="Times New Roman" w:hAnsi="Times New Roman"/>
                <w:b/>
                <w:noProof/>
                <w:sz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Member States were of the opinion that the Fund added value in different ways: It provided Member States with the means to fund new actions or to enhance</w:t>
            </w:r>
            <w:r>
              <w:rPr>
                <w:rFonts w:ascii="Times New Roman" w:hAnsi="Times New Roman" w:cs="Times New Roman"/>
                <w:noProof/>
                <w:sz w:val="24"/>
                <w:szCs w:val="24"/>
              </w:rPr>
              <w:t xml:space="preserve"> those already in effect (with the exception of forced return activities);the introduction of reintegration activities in voluntary return policy; it facilitated the involvement of new stakeholders in return management; and contributed to the achievement o</w:t>
            </w:r>
            <w:r>
              <w:rPr>
                <w:rFonts w:ascii="Times New Roman" w:hAnsi="Times New Roman" w:cs="Times New Roman"/>
                <w:noProof/>
                <w:sz w:val="24"/>
                <w:szCs w:val="24"/>
              </w:rPr>
              <w:t>f EU standards and requirements</w:t>
            </w:r>
            <w:r>
              <w:rPr>
                <w:rStyle w:val="FootnoteReference"/>
                <w:rFonts w:ascii="Times New Roman" w:hAnsi="Times New Roman" w:cs="Times New Roman"/>
                <w:noProof/>
                <w:sz w:val="24"/>
                <w:szCs w:val="24"/>
              </w:rPr>
              <w:footnoteReference w:id="183"/>
            </w:r>
            <w:r>
              <w:rPr>
                <w:rFonts w:ascii="Times New Roman" w:hAnsi="Times New Roman" w:cs="Times New Roman"/>
                <w:noProof/>
                <w:sz w:val="24"/>
                <w:szCs w:val="24"/>
              </w:rPr>
              <w:t>. However, there is less evidence of EU added value in the area of cooperation between member States and between member States and third countries under shared management actions. Under AMIF, the introduction of Specific Act</w:t>
            </w:r>
            <w:r>
              <w:rPr>
                <w:rFonts w:ascii="Times New Roman" w:hAnsi="Times New Roman" w:cs="Times New Roman"/>
                <w:noProof/>
                <w:sz w:val="24"/>
                <w:szCs w:val="24"/>
              </w:rPr>
              <w:t>ions for return under shared management has sought to encourage cooperation between Member States and Member States and third countries in the area of return.</w:t>
            </w:r>
          </w:p>
        </w:tc>
      </w:tr>
    </w:tbl>
    <w:p w:rsidR="007013FD" w:rsidRDefault="007013FD">
      <w:pPr>
        <w:spacing w:after="240" w:line="240" w:lineRule="auto"/>
        <w:jc w:val="both"/>
        <w:rPr>
          <w:rFonts w:ascii="Times New Roman" w:hAnsi="Times New Roman" w:cs="Times New Roman"/>
          <w:noProof/>
          <w:sz w:val="24"/>
          <w:szCs w:val="24"/>
          <w:lang w:val="en-GB"/>
        </w:rPr>
      </w:pP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RF added value to the existing capacity and the operational activities at national level in</w:t>
      </w:r>
      <w:r>
        <w:rPr>
          <w:rFonts w:ascii="Times New Roman" w:hAnsi="Times New Roman" w:cs="Times New Roman"/>
          <w:noProof/>
          <w:sz w:val="24"/>
          <w:szCs w:val="24"/>
          <w:lang w:val="en-GB"/>
        </w:rPr>
        <w:t xml:space="preserve"> five different ways:</w:t>
      </w:r>
    </w:p>
    <w:p w:rsidR="007013FD" w:rsidRDefault="005E3FDE">
      <w:pPr>
        <w:pStyle w:val="ListParagraph"/>
        <w:numPr>
          <w:ilvl w:val="0"/>
          <w:numId w:val="43"/>
        </w:numPr>
        <w:spacing w:after="240" w:line="240" w:lineRule="auto"/>
        <w:jc w:val="both"/>
        <w:rPr>
          <w:rFonts w:ascii="Times New Roman" w:hAnsi="Times New Roman"/>
          <w:noProof/>
          <w:sz w:val="24"/>
        </w:rPr>
      </w:pPr>
      <w:r>
        <w:rPr>
          <w:rFonts w:ascii="Times New Roman" w:hAnsi="Times New Roman"/>
          <w:noProof/>
          <w:sz w:val="24"/>
        </w:rPr>
        <w:t>It had an impact on the dimension of projects as it enabled Member States to fund actions which would not have been funded under national systems and/or to scale-up actions already in place: The RF enabled over half of Member States t</w:t>
      </w:r>
      <w:r>
        <w:rPr>
          <w:rFonts w:ascii="Times New Roman" w:hAnsi="Times New Roman"/>
          <w:noProof/>
          <w:sz w:val="24"/>
        </w:rPr>
        <w:t>o fund parts of their return systems which would not have been possible without this source of funding.</w:t>
      </w:r>
      <w:r>
        <w:rPr>
          <w:rStyle w:val="FootnoteReference"/>
          <w:rFonts w:ascii="Times New Roman" w:hAnsi="Times New Roman"/>
          <w:noProof/>
          <w:sz w:val="24"/>
        </w:rPr>
        <w:footnoteReference w:id="184"/>
      </w:r>
      <w:r>
        <w:rPr>
          <w:rFonts w:ascii="Times New Roman" w:hAnsi="Times New Roman"/>
          <w:noProof/>
          <w:sz w:val="24"/>
        </w:rPr>
        <w:t xml:space="preserve"> The extent to which the RF brought EU added value varied depending on the national spending on return. In some Member States where cuts in public expen</w:t>
      </w:r>
      <w:r>
        <w:rPr>
          <w:rFonts w:ascii="Times New Roman" w:hAnsi="Times New Roman"/>
          <w:noProof/>
          <w:sz w:val="24"/>
        </w:rPr>
        <w:t>diture reduced national capacity to fund return operations, the RF had a greater EU added value.</w:t>
      </w:r>
      <w:r>
        <w:rPr>
          <w:rStyle w:val="FootnoteReference"/>
          <w:rFonts w:ascii="Times New Roman" w:hAnsi="Times New Roman"/>
          <w:noProof/>
          <w:sz w:val="24"/>
        </w:rPr>
        <w:footnoteReference w:id="185"/>
      </w:r>
      <w:r>
        <w:rPr>
          <w:rFonts w:ascii="Times New Roman" w:hAnsi="Times New Roman"/>
          <w:noProof/>
          <w:sz w:val="24"/>
        </w:rPr>
        <w:t xml:space="preserve"> By contrast, Luxembourg and France (except for reintegration projects) reported that projects would also have been implemented without the RF. </w:t>
      </w:r>
    </w:p>
    <w:p w:rsidR="007013FD" w:rsidRDefault="005E3FDE">
      <w:pPr>
        <w:spacing w:after="240" w:line="240" w:lineRule="auto"/>
        <w:ind w:left="7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Fund encou</w:t>
      </w:r>
      <w:r>
        <w:rPr>
          <w:rFonts w:ascii="Times New Roman" w:hAnsi="Times New Roman" w:cs="Times New Roman"/>
          <w:noProof/>
          <w:sz w:val="24"/>
          <w:szCs w:val="24"/>
          <w:lang w:val="en-GB"/>
        </w:rPr>
        <w:t xml:space="preserve">raged the recourse to voluntary return over forced return. Regarding assisted voluntary (AVR(R)), </w:t>
      </w:r>
      <w:r>
        <w:rPr>
          <w:rFonts w:ascii="Times New Roman" w:hAnsi="Times New Roman" w:cs="Times New Roman"/>
          <w:b/>
          <w:noProof/>
          <w:sz w:val="24"/>
          <w:szCs w:val="24"/>
          <w:lang w:val="en-GB"/>
        </w:rPr>
        <w:t>eleven Member States</w:t>
      </w:r>
      <w:r>
        <w:rPr>
          <w:rStyle w:val="FootnoteReference"/>
          <w:rFonts w:ascii="Times New Roman" w:hAnsi="Times New Roman" w:cs="Times New Roman"/>
          <w:b/>
          <w:noProof/>
          <w:sz w:val="24"/>
          <w:szCs w:val="24"/>
          <w:lang w:val="en-GB"/>
        </w:rPr>
        <w:footnoteReference w:id="186"/>
      </w:r>
      <w:r>
        <w:rPr>
          <w:rFonts w:ascii="Times New Roman" w:hAnsi="Times New Roman" w:cs="Times New Roman"/>
          <w:b/>
          <w:noProof/>
          <w:sz w:val="24"/>
          <w:szCs w:val="24"/>
          <w:lang w:val="en-GB"/>
        </w:rPr>
        <w:t xml:space="preserve"> reported that, despite the fact that assisted voluntary return operations were in place well before the RF, the RF had the effect of dev</w:t>
      </w:r>
      <w:r>
        <w:rPr>
          <w:rFonts w:ascii="Times New Roman" w:hAnsi="Times New Roman" w:cs="Times New Roman"/>
          <w:b/>
          <w:noProof/>
          <w:sz w:val="24"/>
          <w:szCs w:val="24"/>
          <w:lang w:val="en-GB"/>
        </w:rPr>
        <w:t xml:space="preserve">eloping their AVR(R) system to an extent which would have not been possible in its absence. </w:t>
      </w:r>
      <w:r>
        <w:rPr>
          <w:rFonts w:ascii="Times New Roman" w:hAnsi="Times New Roman" w:cs="Times New Roman"/>
          <w:noProof/>
          <w:sz w:val="24"/>
          <w:szCs w:val="24"/>
          <w:lang w:val="en-GB"/>
        </w:rPr>
        <w:t>This was achieved, for instance, by implementing systematic reintegration grants, by monitoring the return to third-countries, by building supporting networks for r</w:t>
      </w:r>
      <w:r>
        <w:rPr>
          <w:rFonts w:ascii="Times New Roman" w:hAnsi="Times New Roman" w:cs="Times New Roman"/>
          <w:noProof/>
          <w:sz w:val="24"/>
          <w:szCs w:val="24"/>
          <w:lang w:val="en-GB"/>
        </w:rPr>
        <w:t>eintegration and disseminating information and by raising awareness on return-related issues. During the evaluation period, the number of voluntary returns overall increased across Member States by 114%, going from 21 057 in 2011 to 45 077 in 2013. This ma</w:t>
      </w:r>
      <w:r>
        <w:rPr>
          <w:rFonts w:ascii="Times New Roman" w:hAnsi="Times New Roman" w:cs="Times New Roman"/>
          <w:noProof/>
          <w:sz w:val="24"/>
          <w:szCs w:val="24"/>
          <w:lang w:val="en-GB"/>
        </w:rPr>
        <w:t>y be explained by the additional financial capacity provided by funding under the RF over this period. Indeed, twelve Member States</w:t>
      </w:r>
      <w:r>
        <w:rPr>
          <w:rStyle w:val="FootnoteReference"/>
          <w:rFonts w:ascii="Times New Roman" w:hAnsi="Times New Roman" w:cs="Times New Roman"/>
          <w:noProof/>
          <w:sz w:val="24"/>
          <w:szCs w:val="24"/>
          <w:lang w:val="en-GB"/>
        </w:rPr>
        <w:footnoteReference w:id="187"/>
      </w:r>
      <w:r>
        <w:rPr>
          <w:rFonts w:ascii="Times New Roman" w:hAnsi="Times New Roman" w:cs="Times New Roman"/>
          <w:noProof/>
          <w:sz w:val="24"/>
          <w:szCs w:val="24"/>
          <w:lang w:val="en-GB"/>
        </w:rPr>
        <w:t xml:space="preserve"> reported that the RF had increased the financial capacities of the stakeholders involved, leading to an increase in results</w:t>
      </w:r>
      <w:r>
        <w:rPr>
          <w:rFonts w:ascii="Times New Roman" w:hAnsi="Times New Roman" w:cs="Times New Roman"/>
          <w:noProof/>
          <w:sz w:val="24"/>
          <w:szCs w:val="24"/>
          <w:lang w:val="en-GB"/>
        </w:rPr>
        <w:t xml:space="preserve"> (i.e. increase in the number of countries for AVR(R) to which people could be returned and the number of actual returnees), which would not have been possible without the RF funding. Regarding forced return, </w:t>
      </w:r>
      <w:r>
        <w:rPr>
          <w:rFonts w:ascii="Times New Roman" w:hAnsi="Times New Roman" w:cs="Times New Roman"/>
          <w:b/>
          <w:noProof/>
          <w:sz w:val="24"/>
          <w:szCs w:val="24"/>
          <w:lang w:val="en-GB"/>
        </w:rPr>
        <w:t>most Member States reported that forced returns</w:t>
      </w:r>
      <w:r>
        <w:rPr>
          <w:rFonts w:ascii="Times New Roman" w:hAnsi="Times New Roman" w:cs="Times New Roman"/>
          <w:b/>
          <w:noProof/>
          <w:sz w:val="24"/>
          <w:szCs w:val="24"/>
          <w:lang w:val="en-GB"/>
        </w:rPr>
        <w:t xml:space="preserve"> as such would have been carried out also in the absence of the RF probably to the same scale</w:t>
      </w:r>
      <w:r>
        <w:rPr>
          <w:rFonts w:ascii="Times New Roman" w:hAnsi="Times New Roman" w:cs="Times New Roman"/>
          <w:noProof/>
          <w:sz w:val="24"/>
          <w:szCs w:val="24"/>
          <w:lang w:val="en-GB"/>
        </w:rPr>
        <w:t xml:space="preserve">. In general, therefore, the RF did not add as much value in terms of scale of forced returns, as it did for voluntary returns. </w:t>
      </w:r>
    </w:p>
    <w:p w:rsidR="007013FD" w:rsidRDefault="005E3FDE">
      <w:pPr>
        <w:pStyle w:val="ListParagraph"/>
        <w:numPr>
          <w:ilvl w:val="0"/>
          <w:numId w:val="43"/>
        </w:numPr>
        <w:spacing w:after="240" w:line="240" w:lineRule="auto"/>
        <w:jc w:val="both"/>
        <w:rPr>
          <w:rFonts w:ascii="Times New Roman" w:hAnsi="Times New Roman"/>
          <w:noProof/>
          <w:sz w:val="24"/>
        </w:rPr>
      </w:pPr>
      <w:r>
        <w:rPr>
          <w:rFonts w:ascii="Times New Roman" w:hAnsi="Times New Roman"/>
          <w:noProof/>
          <w:sz w:val="24"/>
        </w:rPr>
        <w:t>With the evaluation limitations in</w:t>
      </w:r>
      <w:r>
        <w:rPr>
          <w:rFonts w:ascii="Times New Roman" w:hAnsi="Times New Roman"/>
          <w:noProof/>
          <w:sz w:val="24"/>
        </w:rPr>
        <w:t xml:space="preserve"> mind (see chapter on Method), the evaluation found that the RF encouraged Member States to take different new approaches to return than they would have done have they been using national funding: Not being constrained by the same priorities and short term</w:t>
      </w:r>
      <w:r>
        <w:rPr>
          <w:rFonts w:ascii="Times New Roman" w:hAnsi="Times New Roman"/>
          <w:noProof/>
          <w:sz w:val="24"/>
        </w:rPr>
        <w:t xml:space="preserve"> objectives as national funding, the RF encouraged the implementation of more varied approaches, such as the introduction of the reintegration component in Member State voluntary return policies. Several Member States</w:t>
      </w:r>
      <w:r>
        <w:rPr>
          <w:rStyle w:val="FootnoteReference"/>
          <w:rFonts w:ascii="Times New Roman" w:hAnsi="Times New Roman"/>
          <w:noProof/>
          <w:sz w:val="24"/>
        </w:rPr>
        <w:footnoteReference w:id="188"/>
      </w:r>
      <w:r>
        <w:rPr>
          <w:rFonts w:ascii="Times New Roman" w:hAnsi="Times New Roman"/>
          <w:noProof/>
          <w:sz w:val="24"/>
        </w:rPr>
        <w:t xml:space="preserve"> introduced this component for the fir</w:t>
      </w:r>
      <w:r>
        <w:rPr>
          <w:rFonts w:ascii="Times New Roman" w:hAnsi="Times New Roman"/>
          <w:noProof/>
          <w:sz w:val="24"/>
        </w:rPr>
        <w:t>st time under the RF and were of the opinion that without EU funding it would have been difficult to do so.</w:t>
      </w:r>
    </w:p>
    <w:p w:rsidR="007013FD" w:rsidRDefault="007013FD">
      <w:pPr>
        <w:pStyle w:val="ListParagraph"/>
        <w:spacing w:after="240" w:line="240" w:lineRule="auto"/>
        <w:jc w:val="both"/>
        <w:rPr>
          <w:rFonts w:ascii="Times New Roman" w:hAnsi="Times New Roman"/>
          <w:noProof/>
          <w:sz w:val="24"/>
        </w:rPr>
      </w:pPr>
    </w:p>
    <w:p w:rsidR="007013FD" w:rsidRDefault="005E3FDE">
      <w:pPr>
        <w:pStyle w:val="ListParagraph"/>
        <w:numPr>
          <w:ilvl w:val="0"/>
          <w:numId w:val="43"/>
        </w:numPr>
        <w:spacing w:after="240" w:line="240" w:lineRule="auto"/>
        <w:jc w:val="both"/>
        <w:rPr>
          <w:rFonts w:ascii="Times New Roman" w:hAnsi="Times New Roman"/>
          <w:noProof/>
          <w:sz w:val="24"/>
        </w:rPr>
      </w:pPr>
      <w:r>
        <w:rPr>
          <w:rFonts w:ascii="Times New Roman" w:hAnsi="Times New Roman"/>
          <w:noProof/>
          <w:sz w:val="24"/>
        </w:rPr>
        <w:t xml:space="preserve">The RF provided a guaranteed funding stream for the implementation of EU legislation and standards: As shown in Section 7.1, Priority 4 was </w:t>
      </w:r>
      <w:r>
        <w:rPr>
          <w:rFonts w:ascii="Times New Roman" w:hAnsi="Times New Roman"/>
          <w:noProof/>
          <w:sz w:val="24"/>
        </w:rPr>
        <w:t>relatively unimportant in terms of the percentage of funding (3%) allocated to it. However, fifteen Member States reported that the RF made a positive contribution to their efforts in the implementation of EU common standards and best practices on return</w:t>
      </w:r>
      <w:r>
        <w:rPr>
          <w:rStyle w:val="FootnoteReference"/>
          <w:rFonts w:ascii="Times New Roman" w:hAnsi="Times New Roman"/>
          <w:noProof/>
          <w:sz w:val="24"/>
        </w:rPr>
        <w:footnoteReference w:id="189"/>
      </w:r>
      <w:r>
        <w:rPr>
          <w:rFonts w:ascii="Times New Roman" w:hAnsi="Times New Roman"/>
          <w:noProof/>
          <w:sz w:val="24"/>
        </w:rPr>
        <w:t>.</w:t>
      </w:r>
      <w:r>
        <w:rPr>
          <w:rFonts w:ascii="Times New Roman" w:hAnsi="Times New Roman"/>
          <w:noProof/>
          <w:sz w:val="24"/>
        </w:rPr>
        <w:t xml:space="preserve"> Whilst most Member States had by 2011 transposed the Return Directive</w:t>
      </w:r>
      <w:r>
        <w:rPr>
          <w:rStyle w:val="FootnoteReference"/>
          <w:rFonts w:ascii="Times New Roman" w:hAnsi="Times New Roman"/>
          <w:noProof/>
          <w:sz w:val="24"/>
        </w:rPr>
        <w:footnoteReference w:id="190"/>
      </w:r>
      <w:r>
        <w:rPr>
          <w:rFonts w:ascii="Times New Roman" w:hAnsi="Times New Roman"/>
          <w:noProof/>
          <w:sz w:val="24"/>
        </w:rPr>
        <w:t>, several clearly used RF funding to implement aspects introduced into national legislation through this transposition. For example, some Member States felt that the Fund improved the q</w:t>
      </w:r>
      <w:r>
        <w:rPr>
          <w:rFonts w:ascii="Times New Roman" w:hAnsi="Times New Roman"/>
          <w:noProof/>
          <w:sz w:val="24"/>
        </w:rPr>
        <w:t>uality of the standards of forced returns, in a way that would not have been possible by relying only on national funding. Czech Republic noted that legal counselling in detention centres, as foreseen by Article 16 of the Return Directive, would not have b</w:t>
      </w:r>
      <w:r>
        <w:rPr>
          <w:rFonts w:ascii="Times New Roman" w:hAnsi="Times New Roman"/>
          <w:noProof/>
          <w:sz w:val="24"/>
        </w:rPr>
        <w:t xml:space="preserve">een implemented, or implemented to a lesser extent, in the absence of the RF. No or very little support to vulnerable persons, as per Article 14(a)(d) of the Return Directive, would have been provided in Estonia and Hungary.  </w:t>
      </w:r>
    </w:p>
    <w:p w:rsidR="007013FD" w:rsidRDefault="007013FD">
      <w:pPr>
        <w:pStyle w:val="ListParagraph"/>
        <w:spacing w:after="240" w:line="240" w:lineRule="auto"/>
        <w:jc w:val="both"/>
        <w:rPr>
          <w:rFonts w:ascii="Times New Roman" w:hAnsi="Times New Roman"/>
          <w:noProof/>
          <w:sz w:val="24"/>
        </w:rPr>
      </w:pPr>
    </w:p>
    <w:p w:rsidR="007013FD" w:rsidRDefault="005E3FDE">
      <w:pPr>
        <w:pStyle w:val="ListParagraph"/>
        <w:numPr>
          <w:ilvl w:val="0"/>
          <w:numId w:val="43"/>
        </w:numPr>
        <w:spacing w:after="240" w:line="240" w:lineRule="auto"/>
        <w:jc w:val="both"/>
        <w:rPr>
          <w:rFonts w:ascii="Times New Roman" w:hAnsi="Times New Roman"/>
          <w:noProof/>
          <w:sz w:val="24"/>
        </w:rPr>
      </w:pPr>
      <w:r>
        <w:rPr>
          <w:rFonts w:ascii="Times New Roman" w:hAnsi="Times New Roman"/>
          <w:noProof/>
          <w:sz w:val="24"/>
        </w:rPr>
        <w:t>The RF targeted stakeholders</w:t>
      </w:r>
      <w:r>
        <w:rPr>
          <w:rFonts w:ascii="Times New Roman" w:hAnsi="Times New Roman"/>
          <w:noProof/>
          <w:sz w:val="24"/>
        </w:rPr>
        <w:t xml:space="preserve"> other than the ministries and agencies responsible for national return decisions, thus empowering new stakeholders to contribute to return:</w:t>
      </w:r>
      <w:r>
        <w:rPr>
          <w:noProof/>
        </w:rPr>
        <w:t xml:space="preserve"> </w:t>
      </w:r>
      <w:r>
        <w:rPr>
          <w:rFonts w:ascii="Times New Roman" w:hAnsi="Times New Roman"/>
          <w:noProof/>
          <w:sz w:val="24"/>
        </w:rPr>
        <w:t xml:space="preserve">The Commission’s insistence on </w:t>
      </w:r>
      <w:r>
        <w:rPr>
          <w:rFonts w:ascii="Times New Roman" w:hAnsi="Times New Roman"/>
          <w:b/>
          <w:noProof/>
          <w:sz w:val="24"/>
        </w:rPr>
        <w:t>empowering a plurality of beneficiaries and the partnership principle</w:t>
      </w:r>
      <w:r>
        <w:rPr>
          <w:rStyle w:val="FootnoteReference"/>
          <w:rFonts w:ascii="Times New Roman" w:hAnsi="Times New Roman"/>
          <w:noProof/>
          <w:sz w:val="24"/>
        </w:rPr>
        <w:footnoteReference w:id="191"/>
      </w:r>
      <w:r>
        <w:rPr>
          <w:rFonts w:ascii="Times New Roman" w:hAnsi="Times New Roman"/>
          <w:noProof/>
          <w:sz w:val="24"/>
        </w:rPr>
        <w:t xml:space="preserve"> provided the opportunity for new stakeholders (mainly, (small) NGOs and international organisations) to participate in the field of return. As a consequence, more NGOs could gain visibility and influence to ensure that (especially forced) returnees were t</w:t>
      </w:r>
      <w:r>
        <w:rPr>
          <w:rFonts w:ascii="Times New Roman" w:hAnsi="Times New Roman"/>
          <w:noProof/>
          <w:sz w:val="24"/>
        </w:rPr>
        <w:t>reated in ‘a humane and dignified manner’, as established in the Return Directive. Moreover, since NGOs are better placed to communicate with potential returnees and encourage voluntary returns, their involvement increased the visibility of voluntary retur</w:t>
      </w:r>
      <w:r>
        <w:rPr>
          <w:rFonts w:ascii="Times New Roman" w:hAnsi="Times New Roman"/>
          <w:noProof/>
          <w:sz w:val="24"/>
        </w:rPr>
        <w:t>n and thus voluntary return operations. Particular success stories regarding the involvement of new stakeholders were highlighted by EE, ES, IT, NL, PL.</w:t>
      </w:r>
    </w:p>
    <w:p w:rsidR="007013FD" w:rsidRDefault="007013FD">
      <w:pPr>
        <w:pStyle w:val="ListParagraph"/>
        <w:spacing w:after="240" w:line="240" w:lineRule="auto"/>
        <w:jc w:val="both"/>
        <w:rPr>
          <w:rFonts w:ascii="Times New Roman" w:hAnsi="Times New Roman"/>
          <w:noProof/>
          <w:sz w:val="24"/>
        </w:rPr>
      </w:pPr>
    </w:p>
    <w:p w:rsidR="007013FD" w:rsidRDefault="005E3FDE">
      <w:pPr>
        <w:pStyle w:val="ListParagraph"/>
        <w:numPr>
          <w:ilvl w:val="0"/>
          <w:numId w:val="43"/>
        </w:numPr>
        <w:spacing w:after="240" w:line="240" w:lineRule="auto"/>
        <w:jc w:val="both"/>
        <w:rPr>
          <w:rFonts w:ascii="Times New Roman" w:hAnsi="Times New Roman"/>
          <w:noProof/>
          <w:sz w:val="24"/>
        </w:rPr>
      </w:pPr>
      <w:r>
        <w:rPr>
          <w:rFonts w:ascii="Times New Roman" w:hAnsi="Times New Roman"/>
          <w:noProof/>
          <w:sz w:val="24"/>
        </w:rPr>
        <w:t>The Fund fostered synergies between stakeholders implementing return: The RF fostered synergies betwee</w:t>
      </w:r>
      <w:r>
        <w:rPr>
          <w:rFonts w:ascii="Times New Roman" w:hAnsi="Times New Roman"/>
          <w:noProof/>
          <w:sz w:val="24"/>
        </w:rPr>
        <w:t xml:space="preserve">n stakeholders implementing return (i.e. between national authorities, between Member States and by directly funding cooperation activities through its Community actions). </w:t>
      </w:r>
      <w:r>
        <w:rPr>
          <w:rFonts w:ascii="Times New Roman" w:hAnsi="Times New Roman"/>
          <w:b/>
          <w:noProof/>
          <w:sz w:val="24"/>
        </w:rPr>
        <w:t>At the national level</w:t>
      </w:r>
      <w:r>
        <w:rPr>
          <w:rFonts w:ascii="Times New Roman" w:hAnsi="Times New Roman"/>
          <w:noProof/>
          <w:sz w:val="24"/>
        </w:rPr>
        <w:t>, five Member States</w:t>
      </w:r>
      <w:r>
        <w:rPr>
          <w:rStyle w:val="FootnoteReference"/>
          <w:rFonts w:ascii="Times New Roman" w:hAnsi="Times New Roman"/>
          <w:noProof/>
          <w:sz w:val="24"/>
        </w:rPr>
        <w:footnoteReference w:id="192"/>
      </w:r>
      <w:r>
        <w:rPr>
          <w:rFonts w:ascii="Times New Roman" w:hAnsi="Times New Roman"/>
          <w:noProof/>
          <w:sz w:val="24"/>
        </w:rPr>
        <w:t xml:space="preserve"> reported that the RF had created unpreced</w:t>
      </w:r>
      <w:r>
        <w:rPr>
          <w:rFonts w:ascii="Times New Roman" w:hAnsi="Times New Roman"/>
          <w:noProof/>
          <w:sz w:val="24"/>
        </w:rPr>
        <w:t>ented synergies between the beneficiaries of RF actions and the responsible authorities. In particular, in France and Italy, networks of beneficiaries were established that could implement and provide feedback to the Member States on their return strategy.</w:t>
      </w:r>
      <w:r>
        <w:rPr>
          <w:rFonts w:ascii="Times New Roman" w:hAnsi="Times New Roman"/>
          <w:noProof/>
          <w:sz w:val="24"/>
        </w:rPr>
        <w:t xml:space="preserve"> </w:t>
      </w:r>
      <w:r>
        <w:rPr>
          <w:rFonts w:ascii="Times New Roman" w:hAnsi="Times New Roman"/>
          <w:b/>
          <w:noProof/>
          <w:sz w:val="24"/>
        </w:rPr>
        <w:t>Among Member States</w:t>
      </w:r>
      <w:r>
        <w:rPr>
          <w:rFonts w:ascii="Times New Roman" w:hAnsi="Times New Roman"/>
          <w:noProof/>
          <w:sz w:val="24"/>
        </w:rPr>
        <w:t xml:space="preserve">, cooperation was mainly achieved through the Community actions since few actions and a relatively low share of the allocated funds were dedicated to the corresponding priorities (see Section 7.1). Cooperation between Member States was </w:t>
      </w:r>
      <w:r>
        <w:rPr>
          <w:rFonts w:ascii="Times New Roman" w:hAnsi="Times New Roman"/>
          <w:noProof/>
          <w:sz w:val="24"/>
        </w:rPr>
        <w:t>instead mostly fostered through Community actions such as European Re-Integration Instrument (ERI), European Reintegration Network (ERIN), European Integrated Approach on Return towards Third Countries (EURINT) Network, European Return Liaison Officers Net</w:t>
      </w:r>
      <w:r>
        <w:rPr>
          <w:rFonts w:ascii="Times New Roman" w:hAnsi="Times New Roman"/>
          <w:noProof/>
          <w:sz w:val="24"/>
        </w:rPr>
        <w:t>work (EURLO), Forced Return Monitoring (FREM), and MAGNET</w:t>
      </w:r>
      <w:r>
        <w:rPr>
          <w:rStyle w:val="FootnoteReference"/>
          <w:rFonts w:ascii="Times New Roman" w:hAnsi="Times New Roman"/>
          <w:noProof/>
          <w:sz w:val="24"/>
        </w:rPr>
        <w:footnoteReference w:id="193"/>
      </w:r>
      <w:r>
        <w:rPr>
          <w:rStyle w:val="FootnoteReference"/>
          <w:rFonts w:ascii="Times New Roman" w:hAnsi="Times New Roman"/>
          <w:noProof/>
          <w:sz w:val="24"/>
        </w:rPr>
        <w:footnoteReference w:id="194"/>
      </w:r>
      <w:r>
        <w:rPr>
          <w:rFonts w:ascii="Times New Roman" w:hAnsi="Times New Roman"/>
          <w:noProof/>
          <w:sz w:val="24"/>
        </w:rPr>
        <w:t>. Some national actions however contributed to fostering cooperation between Member States, especially in joint return operations (with Frontex’s support)</w:t>
      </w:r>
      <w:r>
        <w:rPr>
          <w:rStyle w:val="FootnoteReference"/>
          <w:rFonts w:ascii="Times New Roman" w:hAnsi="Times New Roman"/>
          <w:noProof/>
          <w:sz w:val="24"/>
        </w:rPr>
        <w:footnoteReference w:id="195"/>
      </w:r>
      <w:r>
        <w:rPr>
          <w:rFonts w:ascii="Times New Roman" w:hAnsi="Times New Roman"/>
          <w:noProof/>
          <w:sz w:val="24"/>
        </w:rPr>
        <w:t xml:space="preserve"> and in delivering trainings to practition</w:t>
      </w:r>
      <w:r>
        <w:rPr>
          <w:rFonts w:ascii="Times New Roman" w:hAnsi="Times New Roman"/>
          <w:noProof/>
          <w:sz w:val="24"/>
        </w:rPr>
        <w:t xml:space="preserve">ers. However, </w:t>
      </w:r>
      <w:r>
        <w:rPr>
          <w:rFonts w:ascii="Times New Roman" w:hAnsi="Times New Roman"/>
          <w:b/>
          <w:noProof/>
          <w:sz w:val="24"/>
        </w:rPr>
        <w:t>there is less evidence of EU added value in the area of cooperation between Member States and third countries</w:t>
      </w:r>
      <w:r>
        <w:rPr>
          <w:rFonts w:ascii="Times New Roman" w:hAnsi="Times New Roman"/>
          <w:noProof/>
          <w:sz w:val="24"/>
        </w:rPr>
        <w:t>. Few actions under shared management were dedicated to cooperation between Member States and third countries (See Section 7.1). Unde</w:t>
      </w:r>
      <w:r>
        <w:rPr>
          <w:rFonts w:ascii="Times New Roman" w:hAnsi="Times New Roman"/>
          <w:noProof/>
          <w:sz w:val="24"/>
        </w:rPr>
        <w:t>r AMIF, the introduction of Specific Actions for return under shared management has sought to encourage cooperation between Member States and Member States and third countries in this area</w:t>
      </w:r>
      <w:r>
        <w:rPr>
          <w:noProof/>
        </w:rPr>
        <w:t>.</w:t>
      </w:r>
      <w:r>
        <w:rPr>
          <w:rStyle w:val="FootnoteReference"/>
          <w:noProof/>
        </w:rPr>
        <w:footnoteReference w:id="196"/>
      </w:r>
    </w:p>
    <w:p w:rsidR="007013FD" w:rsidRDefault="007013FD">
      <w:pPr>
        <w:pStyle w:val="ListParagraph"/>
        <w:spacing w:after="240" w:line="240" w:lineRule="auto"/>
        <w:jc w:val="both"/>
        <w:rPr>
          <w:rFonts w:ascii="Times New Roman" w:hAnsi="Times New Roman"/>
          <w:noProof/>
          <w:sz w:val="24"/>
        </w:rPr>
      </w:pPr>
    </w:p>
    <w:p w:rsidR="007013FD" w:rsidRDefault="007013FD">
      <w:pPr>
        <w:pStyle w:val="ListParagraph"/>
        <w:spacing w:after="240" w:line="240" w:lineRule="auto"/>
        <w:jc w:val="both"/>
        <w:rPr>
          <w:rFonts w:ascii="Times New Roman" w:hAnsi="Times New Roman"/>
          <w:noProof/>
          <w:sz w:val="24"/>
        </w:rPr>
      </w:pPr>
    </w:p>
    <w:p w:rsidR="007013FD" w:rsidRDefault="007013FD">
      <w:pPr>
        <w:pStyle w:val="ListParagraph"/>
        <w:spacing w:after="240" w:line="240" w:lineRule="auto"/>
        <w:jc w:val="both"/>
        <w:rPr>
          <w:rFonts w:ascii="Times New Roman" w:hAnsi="Times New Roman"/>
          <w:noProof/>
          <w:sz w:val="24"/>
        </w:rPr>
      </w:pPr>
    </w:p>
    <w:p w:rsidR="007013FD" w:rsidRDefault="005E3FDE">
      <w:pPr>
        <w:pStyle w:val="Heading1"/>
        <w:rPr>
          <w:noProof/>
        </w:rPr>
      </w:pPr>
      <w:bookmarkStart w:id="118" w:name="_Toc496630464"/>
      <w:bookmarkStart w:id="119" w:name="_Toc496711949"/>
      <w:bookmarkStart w:id="120" w:name="_Toc515379367"/>
      <w:r>
        <w:rPr>
          <w:noProof/>
        </w:rPr>
        <w:t>Conclusion</w:t>
      </w:r>
      <w:bookmarkEnd w:id="118"/>
      <w:bookmarkEnd w:id="119"/>
      <w:bookmarkEnd w:id="120"/>
    </w:p>
    <w:p w:rsidR="007013FD" w:rsidRDefault="005E3FDE">
      <w:pPr>
        <w:spacing w:line="240" w:lineRule="auto"/>
        <w:jc w:val="both"/>
        <w:rPr>
          <w:rFonts w:ascii="Times New Roman" w:hAnsi="Times New Roman" w:cs="Times New Roman"/>
          <w:noProof/>
          <w:sz w:val="24"/>
          <w:szCs w:val="24"/>
          <w:lang w:val="en-GB"/>
        </w:rPr>
      </w:pPr>
      <w:bookmarkStart w:id="121" w:name="_Toc496630465"/>
      <w:bookmarkEnd w:id="121"/>
      <w:r>
        <w:rPr>
          <w:rFonts w:ascii="Times New Roman" w:hAnsi="Times New Roman" w:cs="Times New Roman"/>
          <w:noProof/>
          <w:sz w:val="24"/>
          <w:szCs w:val="24"/>
          <w:lang w:val="en-GB"/>
        </w:rPr>
        <w:t>This report provides an evaluation of the extent to</w:t>
      </w:r>
      <w:r>
        <w:rPr>
          <w:rFonts w:ascii="Times New Roman" w:hAnsi="Times New Roman" w:cs="Times New Roman"/>
          <w:noProof/>
          <w:sz w:val="24"/>
          <w:szCs w:val="24"/>
          <w:lang w:val="en-GB"/>
        </w:rPr>
        <w:t xml:space="preserve"> which the different RF actions contributed to the </w:t>
      </w:r>
      <w:r>
        <w:rPr>
          <w:rFonts w:ascii="Times New Roman" w:hAnsi="Times New Roman" w:cs="Times New Roman"/>
          <w:b/>
          <w:noProof/>
          <w:sz w:val="24"/>
          <w:szCs w:val="24"/>
          <w:lang w:val="en-GB"/>
        </w:rPr>
        <w:t>relevance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effectiveness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efficiency</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sustainability</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complementarity and coherence</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EU added value</w:t>
      </w:r>
      <w:r>
        <w:rPr>
          <w:rFonts w:ascii="Times New Roman" w:hAnsi="Times New Roman" w:cs="Times New Roman"/>
          <w:noProof/>
          <w:sz w:val="24"/>
          <w:szCs w:val="24"/>
          <w:lang w:val="en-GB"/>
        </w:rPr>
        <w:t xml:space="preserve"> of the Fund. This chapter summarises these findings and provides an assessment of the RF’s overall ro</w:t>
      </w:r>
      <w:r>
        <w:rPr>
          <w:rFonts w:ascii="Times New Roman" w:hAnsi="Times New Roman" w:cs="Times New Roman"/>
          <w:noProof/>
          <w:sz w:val="24"/>
          <w:szCs w:val="24"/>
          <w:lang w:val="en-GB"/>
        </w:rPr>
        <w:t>le in the field of return management. For each of the evaluation criteria as well as at a general level, conclusions and relevant lessons learned are presented below.</w:t>
      </w:r>
    </w:p>
    <w:p w:rsidR="007013FD" w:rsidRDefault="005E3FDE">
      <w:pPr>
        <w:spacing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Relevance: </w:t>
      </w:r>
      <w:r>
        <w:rPr>
          <w:rFonts w:ascii="Times New Roman" w:hAnsi="Times New Roman" w:cs="Times New Roman"/>
          <w:noProof/>
          <w:sz w:val="24"/>
          <w:szCs w:val="24"/>
          <w:lang w:val="en-GB"/>
        </w:rPr>
        <w:t>Overall the majority of Member States found that the RF objectives corresponde</w:t>
      </w:r>
      <w:r>
        <w:rPr>
          <w:rFonts w:ascii="Times New Roman" w:hAnsi="Times New Roman" w:cs="Times New Roman"/>
          <w:noProof/>
          <w:sz w:val="24"/>
          <w:szCs w:val="24"/>
          <w:lang w:val="en-GB"/>
        </w:rPr>
        <w:t>d to their needs in the field of return management. The development of a strategic approach to return management (Integrated return management) was highlighted as the most relevant Priority of the RF. As reflected by the very low amount allocated by Member</w:t>
      </w:r>
      <w:r>
        <w:rPr>
          <w:rFonts w:ascii="Times New Roman" w:hAnsi="Times New Roman" w:cs="Times New Roman"/>
          <w:noProof/>
          <w:sz w:val="24"/>
          <w:szCs w:val="24"/>
          <w:lang w:val="en-GB"/>
        </w:rPr>
        <w:t xml:space="preserve"> States to Priority 2 'Cooperation between Member States in return management', the latter was considered less relevant to most Member States' needs. The same conclusion can be drawn for Specific Priority 4 on support for Community standards and best pract</w:t>
      </w:r>
      <w:r>
        <w:rPr>
          <w:rFonts w:ascii="Times New Roman" w:hAnsi="Times New Roman" w:cs="Times New Roman"/>
          <w:noProof/>
          <w:sz w:val="24"/>
          <w:szCs w:val="24"/>
          <w:lang w:val="en-GB"/>
        </w:rPr>
        <w:t>ices. As for the evolution of the needs, the continued relevance of the RF was ensured by the fact that Member States were entitled to revise their annual programme to adjust actions according to their changing needs. Some shortcomings were identified as t</w:t>
      </w:r>
      <w:r>
        <w:rPr>
          <w:rFonts w:ascii="Times New Roman" w:hAnsi="Times New Roman" w:cs="Times New Roman"/>
          <w:noProof/>
          <w:sz w:val="24"/>
          <w:szCs w:val="24"/>
          <w:lang w:val="en-GB"/>
        </w:rPr>
        <w:t>o the target eligibility rules, which were all addressed in AMIF.</w:t>
      </w:r>
    </w:p>
    <w:p w:rsidR="007013FD" w:rsidRDefault="005E3FDE">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Effectiveness</w:t>
      </w:r>
      <w:r>
        <w:rPr>
          <w:rFonts w:ascii="Times New Roman" w:hAnsi="Times New Roman" w:cs="Times New Roman"/>
          <w:noProof/>
          <w:sz w:val="24"/>
          <w:szCs w:val="24"/>
          <w:lang w:val="en-GB"/>
        </w:rPr>
        <w:t>: Globally, the RF was effective in reaching its objectives, although the degree of effectiveness varied and some problems were encountered by Member States, RAs or beneficiarie</w:t>
      </w:r>
      <w:r>
        <w:rPr>
          <w:rFonts w:ascii="Times New Roman" w:hAnsi="Times New Roman" w:cs="Times New Roman"/>
          <w:noProof/>
          <w:sz w:val="24"/>
          <w:szCs w:val="24"/>
          <w:lang w:val="en-GB"/>
        </w:rPr>
        <w:t>s. With regard to the principle of solidarity, the RF's performance in this area was effective. The distribution key was found to have limitations when faced with unforeseen crises, given that it was based on a past reference period. However, a high absorp</w:t>
      </w:r>
      <w:r>
        <w:rPr>
          <w:rFonts w:ascii="Times New Roman" w:hAnsi="Times New Roman" w:cs="Times New Roman"/>
          <w:noProof/>
          <w:sz w:val="24"/>
          <w:szCs w:val="24"/>
          <w:lang w:val="en-GB"/>
        </w:rPr>
        <w:t>tion rate and positive perceptions of Member States suggest that the Emergency Assistance grants played an important role and compensated for this, allowing the Fund increased flexibility for the provision of often crucial support in case of emergency situ</w:t>
      </w:r>
      <w:r>
        <w:rPr>
          <w:rFonts w:ascii="Times New Roman" w:hAnsi="Times New Roman" w:cs="Times New Roman"/>
          <w:noProof/>
          <w:sz w:val="24"/>
          <w:szCs w:val="24"/>
          <w:lang w:val="en-GB"/>
        </w:rPr>
        <w:t>ations. The RF was particularly effective in reaching specific objective a), making a significant contribution to the introduction and improvement of an integrated return management system, to a better balance between voluntary and forced return, and to th</w:t>
      </w:r>
      <w:r>
        <w:rPr>
          <w:rFonts w:ascii="Times New Roman" w:hAnsi="Times New Roman" w:cs="Times New Roman"/>
          <w:noProof/>
          <w:sz w:val="24"/>
          <w:szCs w:val="24"/>
          <w:lang w:val="en-GB"/>
        </w:rPr>
        <w:t>e enhancement of Member State return capacity in general, although the planned numbers of returns were not always achieved, mostly due to difficulties in planning a realistic number of returns that could be attained, as well as scheduling constraints. In a</w:t>
      </w:r>
      <w:r>
        <w:rPr>
          <w:rFonts w:ascii="Times New Roman" w:hAnsi="Times New Roman" w:cs="Times New Roman"/>
          <w:noProof/>
          <w:sz w:val="24"/>
          <w:szCs w:val="24"/>
          <w:lang w:val="en-GB"/>
        </w:rPr>
        <w:t>ddition, the effectiveness of actions aiming to foster cooperation between Member States and third countries was undermined by external factors such as the willingness of the authorities in partner countries to cooperate in the field of return and reintegr</w:t>
      </w:r>
      <w:r>
        <w:rPr>
          <w:rFonts w:ascii="Times New Roman" w:hAnsi="Times New Roman" w:cs="Times New Roman"/>
          <w:noProof/>
          <w:sz w:val="24"/>
          <w:szCs w:val="24"/>
          <w:lang w:val="en-GB"/>
        </w:rPr>
        <w:t xml:space="preserve">ation. The RF was moderately effective in reaching specific objective b), enhanced cooperation between Member States within the framework of integrated return management, largely due to the limited number of projects implemented in this area. The Fund was </w:t>
      </w:r>
      <w:r>
        <w:rPr>
          <w:rFonts w:ascii="Times New Roman" w:hAnsi="Times New Roman" w:cs="Times New Roman"/>
          <w:noProof/>
          <w:sz w:val="24"/>
          <w:szCs w:val="24"/>
          <w:lang w:val="en-GB"/>
        </w:rPr>
        <w:t>also moderately effective in reaching specific objective c), the promotion of an effective implementation of common standards on return, given the relatively low amount of funding and low number of actions carried out under this specific objective compared</w:t>
      </w:r>
      <w:r>
        <w:rPr>
          <w:rFonts w:ascii="Times New Roman" w:hAnsi="Times New Roman" w:cs="Times New Roman"/>
          <w:noProof/>
          <w:sz w:val="24"/>
          <w:szCs w:val="24"/>
          <w:lang w:val="en-GB"/>
        </w:rPr>
        <w:t xml:space="preserve"> to other specific objectives. Nonetheless, particularly effective actions in this area were the improvement of detention conditions, the monitoring of returns, and the training on and exchange of best practices.</w:t>
      </w:r>
    </w:p>
    <w:p w:rsidR="007013FD" w:rsidRDefault="007013FD">
      <w:pPr>
        <w:spacing w:after="0" w:line="240" w:lineRule="auto"/>
        <w:jc w:val="both"/>
        <w:rPr>
          <w:rFonts w:ascii="Times New Roman" w:hAnsi="Times New Roman" w:cs="Times New Roman"/>
          <w:b/>
          <w:i/>
          <w:noProof/>
          <w:sz w:val="24"/>
          <w:szCs w:val="24"/>
          <w:highlight w:val="yellow"/>
          <w:lang w:val="en-GB"/>
        </w:rPr>
      </w:pPr>
    </w:p>
    <w:p w:rsidR="007013FD" w:rsidRDefault="005E3FDE">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Efficiency: </w:t>
      </w:r>
      <w:r>
        <w:rPr>
          <w:rFonts w:ascii="Times New Roman" w:hAnsi="Times New Roman" w:cs="Times New Roman"/>
          <w:noProof/>
          <w:sz w:val="24"/>
          <w:szCs w:val="24"/>
          <w:lang w:val="en-GB"/>
        </w:rPr>
        <w:t>Overall,</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Most Member States reported that RF 2011-2013 actions were achieved at a reasonable cost in terms of the financial and human resources deployed. Member States and survey respondents highlighted that the implementation of the actions was efficient as a whol</w:t>
      </w:r>
      <w:r>
        <w:rPr>
          <w:rFonts w:ascii="Times New Roman" w:hAnsi="Times New Roman" w:cs="Times New Roman"/>
          <w:noProof/>
          <w:sz w:val="24"/>
          <w:szCs w:val="24"/>
          <w:lang w:val="en-GB"/>
        </w:rPr>
        <w:t>e, although individual examples of less efficient projects were also highlighted in many cases. However, it has been difficult to draw clear conclusions on efficiency due to methodological challenges encountered such as the limited comparability of availab</w:t>
      </w:r>
      <w:r>
        <w:rPr>
          <w:rFonts w:ascii="Times New Roman" w:hAnsi="Times New Roman" w:cs="Times New Roman"/>
          <w:noProof/>
          <w:sz w:val="24"/>
          <w:szCs w:val="24"/>
          <w:lang w:val="en-GB"/>
        </w:rPr>
        <w:t>le data, including the different types of projects implemented across Member States and reporting methods used by them. Furthermore, the evaluation showed that unit costs varied greatly across Member States, depending on factors such as the number of retur</w:t>
      </w:r>
      <w:r>
        <w:rPr>
          <w:rFonts w:ascii="Times New Roman" w:hAnsi="Times New Roman" w:cs="Times New Roman"/>
          <w:noProof/>
          <w:sz w:val="24"/>
          <w:szCs w:val="24"/>
          <w:lang w:val="en-GB"/>
        </w:rPr>
        <w:t xml:space="preserve">nees, the accessibility of the destination country of return, the number of countries collaborating in return operations, and the policy and practice on return management at Member State level. </w:t>
      </w:r>
    </w:p>
    <w:p w:rsidR="007013FD" w:rsidRDefault="007013FD">
      <w:pPr>
        <w:spacing w:after="0" w:line="240" w:lineRule="auto"/>
        <w:jc w:val="both"/>
        <w:rPr>
          <w:rFonts w:ascii="Times New Roman" w:hAnsi="Times New Roman" w:cs="Times New Roman"/>
          <w:b/>
          <w:noProof/>
          <w:sz w:val="24"/>
          <w:szCs w:val="24"/>
          <w:lang w:val="en-GB"/>
        </w:rPr>
      </w:pPr>
    </w:p>
    <w:p w:rsidR="007013FD" w:rsidRDefault="005E3FDE">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Sustainability:</w:t>
      </w:r>
      <w:r>
        <w:rPr>
          <w:rFonts w:ascii="Times New Roman" w:hAnsi="Times New Roman" w:cs="Times New Roman"/>
          <w:noProof/>
          <w:sz w:val="24"/>
          <w:szCs w:val="24"/>
          <w:lang w:val="en-GB"/>
        </w:rPr>
        <w:t xml:space="preserve"> Overall, the majority of Member States were </w:t>
      </w:r>
      <w:r>
        <w:rPr>
          <w:rFonts w:ascii="Times New Roman" w:hAnsi="Times New Roman" w:cs="Times New Roman"/>
          <w:noProof/>
          <w:sz w:val="24"/>
          <w:szCs w:val="24"/>
          <w:lang w:val="en-GB"/>
        </w:rPr>
        <w:t xml:space="preserve">of the opinion that most of the RF actions had long lasting effects after the projects ended. However, there was no strong evidence to demonstrate the long-term impact of the action as many Member States highlighted that further funding was required to be </w:t>
      </w:r>
      <w:r>
        <w:rPr>
          <w:rFonts w:ascii="Times New Roman" w:hAnsi="Times New Roman" w:cs="Times New Roman"/>
          <w:noProof/>
          <w:sz w:val="24"/>
          <w:szCs w:val="24"/>
          <w:lang w:val="en-GB"/>
        </w:rPr>
        <w:t>able to continue return activities launched with RF funding. The most sustainable type of actions were those which had structural effects, such as the creation of new structures within return management institutions or authorities, improvements to the infr</w:t>
      </w:r>
      <w:r>
        <w:rPr>
          <w:rFonts w:ascii="Times New Roman" w:hAnsi="Times New Roman" w:cs="Times New Roman"/>
          <w:noProof/>
          <w:sz w:val="24"/>
          <w:szCs w:val="24"/>
          <w:lang w:val="en-GB"/>
        </w:rPr>
        <w:t xml:space="preserve">astructure of detention facilities, and actions which improved cooperation between Member States or Member States and third countries. </w:t>
      </w:r>
    </w:p>
    <w:p w:rsidR="007013FD" w:rsidRDefault="007013FD">
      <w:pPr>
        <w:spacing w:after="0" w:line="240" w:lineRule="auto"/>
        <w:jc w:val="both"/>
        <w:rPr>
          <w:rFonts w:ascii="Times New Roman" w:hAnsi="Times New Roman" w:cs="Times New Roman"/>
          <w:b/>
          <w:noProof/>
          <w:sz w:val="24"/>
          <w:szCs w:val="24"/>
          <w:lang w:val="en-GB"/>
        </w:rPr>
      </w:pPr>
    </w:p>
    <w:p w:rsidR="007013FD" w:rsidRDefault="005E3FDE">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Complementarity and coherence:</w:t>
      </w:r>
      <w:r>
        <w:rPr>
          <w:rFonts w:ascii="Times New Roman" w:hAnsi="Times New Roman" w:cs="Times New Roman"/>
          <w:noProof/>
          <w:sz w:val="24"/>
          <w:szCs w:val="24"/>
          <w:lang w:val="en-GB"/>
        </w:rPr>
        <w:t xml:space="preserve"> The evaluation concluded that actions funded by the RF were coherent and complementary t</w:t>
      </w:r>
      <w:r>
        <w:rPr>
          <w:rFonts w:ascii="Times New Roman" w:hAnsi="Times New Roman" w:cs="Times New Roman"/>
          <w:noProof/>
          <w:sz w:val="24"/>
          <w:szCs w:val="24"/>
          <w:lang w:val="en-GB"/>
        </w:rPr>
        <w:t>o other national actions in the area of return and generally coherent with and complementary to other EU Funds in the area of return. However, low complementarity was found between RF-funded actions and reintegration policies funded by other EU instruments</w:t>
      </w:r>
      <w:r>
        <w:rPr>
          <w:rFonts w:ascii="Times New Roman" w:hAnsi="Times New Roman" w:cs="Times New Roman"/>
          <w:noProof/>
          <w:sz w:val="24"/>
          <w:szCs w:val="24"/>
          <w:lang w:val="en-GB"/>
        </w:rPr>
        <w:t xml:space="preserve">, with a potential for overlaps. </w:t>
      </w:r>
    </w:p>
    <w:p w:rsidR="007013FD" w:rsidRDefault="007013FD">
      <w:pPr>
        <w:spacing w:after="0"/>
        <w:jc w:val="both"/>
        <w:rPr>
          <w:rFonts w:ascii="Times New Roman" w:hAnsi="Times New Roman"/>
          <w:noProof/>
          <w:sz w:val="24"/>
          <w:lang w:val="en-GB"/>
        </w:rPr>
      </w:pPr>
    </w:p>
    <w:p w:rsidR="007013FD" w:rsidRDefault="005E3FDE">
      <w:pPr>
        <w:spacing w:after="0" w:line="240" w:lineRule="auto"/>
        <w:jc w:val="both"/>
        <w:rPr>
          <w:rFonts w:ascii="Times New Roman" w:hAnsi="Times New Roman" w:cs="Times New Roman"/>
          <w:noProof/>
          <w:sz w:val="24"/>
          <w:szCs w:val="24"/>
          <w:highlight w:val="yellow"/>
          <w:lang w:val="en-GB"/>
        </w:rPr>
      </w:pPr>
      <w:r>
        <w:rPr>
          <w:rFonts w:ascii="Times New Roman" w:hAnsi="Times New Roman" w:cs="Times New Roman"/>
          <w:b/>
          <w:noProof/>
          <w:sz w:val="24"/>
          <w:szCs w:val="24"/>
          <w:lang w:val="en-GB"/>
        </w:rPr>
        <w:t>EU added value:</w:t>
      </w:r>
      <w:r>
        <w:rPr>
          <w:noProof/>
          <w:lang w:val="en-GB"/>
        </w:rPr>
        <w:t xml:space="preserve"> </w:t>
      </w:r>
      <w:r>
        <w:rPr>
          <w:rFonts w:ascii="Times New Roman" w:hAnsi="Times New Roman" w:cs="Times New Roman"/>
          <w:noProof/>
          <w:sz w:val="24"/>
          <w:szCs w:val="24"/>
          <w:lang w:val="en-GB"/>
        </w:rPr>
        <w:t>Member States were of the opinion that the Fund added value in different ways. It provided Member States with the means to fund new actions or to enhance those already in effect.</w:t>
      </w:r>
      <w:r>
        <w:rPr>
          <w:noProof/>
          <w:lang w:val="en-GB"/>
        </w:rPr>
        <w:t xml:space="preserve"> </w:t>
      </w:r>
      <w:r>
        <w:rPr>
          <w:rFonts w:ascii="Times New Roman" w:hAnsi="Times New Roman" w:cs="Times New Roman"/>
          <w:noProof/>
          <w:sz w:val="24"/>
          <w:szCs w:val="24"/>
          <w:lang w:val="en-GB"/>
        </w:rPr>
        <w:t>The Fund encouraged the re</w:t>
      </w:r>
      <w:r>
        <w:rPr>
          <w:rFonts w:ascii="Times New Roman" w:hAnsi="Times New Roman" w:cs="Times New Roman"/>
          <w:noProof/>
          <w:sz w:val="24"/>
          <w:szCs w:val="24"/>
          <w:lang w:val="en-GB"/>
        </w:rPr>
        <w:t>course to voluntary return over forced return. Regarding assisted voluntary return (AVR(R)), Member States reported that, despite the fact that assisted voluntary return operations were in place well before the RF, the RF had the effect of developing their</w:t>
      </w:r>
      <w:r>
        <w:rPr>
          <w:rFonts w:ascii="Times New Roman" w:hAnsi="Times New Roman" w:cs="Times New Roman"/>
          <w:noProof/>
          <w:sz w:val="24"/>
          <w:szCs w:val="24"/>
          <w:lang w:val="en-GB"/>
        </w:rPr>
        <w:t xml:space="preserve"> AVR(R) system to an extent which would have not been possible in its absence, for instance by implementing systematic reintegration grants, by monitoring the return to third-countries, by building supporting networks for reintegration and disseminating in</w:t>
      </w:r>
      <w:r>
        <w:rPr>
          <w:rFonts w:ascii="Times New Roman" w:hAnsi="Times New Roman" w:cs="Times New Roman"/>
          <w:noProof/>
          <w:sz w:val="24"/>
          <w:szCs w:val="24"/>
          <w:lang w:val="en-GB"/>
        </w:rPr>
        <w:t>formation and by raising awareness on return-related issues. However, most Member States reported that forced returns as such would have been carried out also in the absence of the RF probably to the same scale. Additionally, the Fund facilitated the invol</w:t>
      </w:r>
      <w:r>
        <w:rPr>
          <w:rFonts w:ascii="Times New Roman" w:hAnsi="Times New Roman" w:cs="Times New Roman"/>
          <w:noProof/>
          <w:sz w:val="24"/>
          <w:szCs w:val="24"/>
          <w:lang w:val="en-GB"/>
        </w:rPr>
        <w:t>vement of new stakeholders in return management and contributed to the achievement of EU standards and requirements. However, there is less evidence of EU added value in the area of cooperation between Member States and between Member States and third coun</w:t>
      </w:r>
      <w:r>
        <w:rPr>
          <w:rFonts w:ascii="Times New Roman" w:hAnsi="Times New Roman" w:cs="Times New Roman"/>
          <w:noProof/>
          <w:sz w:val="24"/>
          <w:szCs w:val="24"/>
          <w:lang w:val="en-GB"/>
        </w:rPr>
        <w:t xml:space="preserve">tries under shared management actions. </w:t>
      </w:r>
    </w:p>
    <w:p w:rsidR="007013FD" w:rsidRDefault="007013FD">
      <w:pPr>
        <w:spacing w:after="0" w:line="240" w:lineRule="auto"/>
        <w:jc w:val="both"/>
        <w:rPr>
          <w:rFonts w:ascii="Times New Roman" w:hAnsi="Times New Roman" w:cs="Times New Roman"/>
          <w:b/>
          <w:noProof/>
          <w:sz w:val="24"/>
          <w:szCs w:val="24"/>
          <w:lang w:val="en-GB"/>
        </w:rPr>
      </w:pPr>
    </w:p>
    <w:p w:rsidR="007013FD" w:rsidRDefault="005E3FDE">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Lessons learned:</w:t>
      </w:r>
    </w:p>
    <w:p w:rsidR="007013FD" w:rsidRDefault="007013FD">
      <w:pPr>
        <w:spacing w:after="0" w:line="240" w:lineRule="auto"/>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Key lessons have been drawn from the experience gained with the RF and as a result of this evaluation. Some corrective measures have already been adopted under AMIF: </w:t>
      </w:r>
    </w:p>
    <w:p w:rsidR="007013FD" w:rsidRDefault="005E3FDE">
      <w:pPr>
        <w:pStyle w:val="ListParagraph"/>
        <w:numPr>
          <w:ilvl w:val="0"/>
          <w:numId w:val="44"/>
        </w:numPr>
        <w:spacing w:after="120"/>
        <w:jc w:val="both"/>
        <w:rPr>
          <w:rFonts w:ascii="Times New Roman" w:hAnsi="Times New Roman"/>
          <w:noProof/>
          <w:sz w:val="24"/>
        </w:rPr>
      </w:pPr>
      <w:r>
        <w:rPr>
          <w:rFonts w:ascii="Times New Roman" w:hAnsi="Times New Roman"/>
          <w:noProof/>
          <w:sz w:val="24"/>
        </w:rPr>
        <w:t>The architecture of the RF was rather complex, as it consisted of one general objective, three specific objectives and numerous examples of eligible actions on the one hand and four priorities and eight specific priorities on the other hand. The priorities</w:t>
      </w:r>
      <w:r>
        <w:rPr>
          <w:rFonts w:ascii="Times New Roman" w:hAnsi="Times New Roman"/>
          <w:noProof/>
          <w:sz w:val="24"/>
        </w:rPr>
        <w:t xml:space="preserve"> were subsequently formulated by the Commission in an effort to make the Fund more concrete and operational but they did not fully match the objectives. </w:t>
      </w:r>
    </w:p>
    <w:p w:rsidR="007013FD" w:rsidRDefault="005E3FDE">
      <w:pPr>
        <w:pStyle w:val="ListParagraph"/>
        <w:spacing w:after="120"/>
        <w:jc w:val="both"/>
        <w:rPr>
          <w:rFonts w:ascii="Times New Roman" w:hAnsi="Times New Roman"/>
          <w:noProof/>
          <w:sz w:val="24"/>
        </w:rPr>
      </w:pPr>
      <w:r>
        <w:rPr>
          <w:rFonts w:ascii="Times New Roman" w:hAnsi="Times New Roman"/>
          <w:i/>
          <w:noProof/>
          <w:sz w:val="24"/>
        </w:rPr>
        <w:t>The architecture of AMIF was simplified as it includes four specific objectives, one of which is dedic</w:t>
      </w:r>
      <w:r>
        <w:rPr>
          <w:rFonts w:ascii="Times New Roman" w:hAnsi="Times New Roman"/>
          <w:i/>
          <w:noProof/>
          <w:sz w:val="24"/>
        </w:rPr>
        <w:t>ated return. The specific objective related to return is then supported by three national objectives</w:t>
      </w:r>
      <w:r>
        <w:rPr>
          <w:rFonts w:ascii="Times New Roman" w:hAnsi="Times New Roman"/>
          <w:noProof/>
          <w:sz w:val="24"/>
        </w:rPr>
        <w:t>.</w:t>
      </w:r>
    </w:p>
    <w:p w:rsidR="007013FD" w:rsidRDefault="007013FD">
      <w:pPr>
        <w:pStyle w:val="ListParagraph"/>
        <w:spacing w:after="120"/>
        <w:jc w:val="both"/>
        <w:rPr>
          <w:rFonts w:ascii="Times New Roman" w:hAnsi="Times New Roman"/>
          <w:noProof/>
          <w:sz w:val="24"/>
        </w:rPr>
      </w:pPr>
    </w:p>
    <w:p w:rsidR="007013FD" w:rsidRDefault="005E3FDE">
      <w:pPr>
        <w:pStyle w:val="ListParagraph"/>
        <w:numPr>
          <w:ilvl w:val="0"/>
          <w:numId w:val="44"/>
        </w:numPr>
        <w:spacing w:after="120" w:line="240" w:lineRule="auto"/>
        <w:jc w:val="both"/>
        <w:rPr>
          <w:rFonts w:asciiTheme="minorHAnsi" w:hAnsiTheme="minorHAnsi"/>
          <w:noProof/>
          <w:sz w:val="22"/>
        </w:rPr>
      </w:pPr>
      <w:r>
        <w:rPr>
          <w:rFonts w:ascii="Times New Roman" w:hAnsi="Times New Roman"/>
          <w:noProof/>
          <w:sz w:val="24"/>
        </w:rPr>
        <w:t>Some difficulties linked to evaluation limitations emerged when it came to assessing the overall effectiveness of the RF at EU level, given the lack of an initial baseline and the fact that the RF monitoring and evaluation system did not allow for detailed</w:t>
      </w:r>
      <w:r>
        <w:rPr>
          <w:rFonts w:ascii="Times New Roman" w:hAnsi="Times New Roman"/>
          <w:noProof/>
          <w:sz w:val="24"/>
        </w:rPr>
        <w:t xml:space="preserve"> monitoring and assessment of the performance of the Fund. Set indicators were rather weak and monitoring data were not fully reliable. The same goes for sustainability and complementarity and coherence. </w:t>
      </w:r>
    </w:p>
    <w:p w:rsidR="007013FD" w:rsidRDefault="005E3FDE">
      <w:pPr>
        <w:pStyle w:val="ListParagraph"/>
        <w:spacing w:after="120" w:line="240" w:lineRule="auto"/>
        <w:jc w:val="both"/>
        <w:rPr>
          <w:rFonts w:ascii="Times New Roman" w:hAnsi="Times New Roman"/>
          <w:i/>
          <w:noProof/>
          <w:sz w:val="24"/>
        </w:rPr>
      </w:pPr>
      <w:r>
        <w:rPr>
          <w:rFonts w:ascii="Times New Roman" w:hAnsi="Times New Roman"/>
          <w:i/>
          <w:noProof/>
          <w:sz w:val="24"/>
        </w:rPr>
        <w:t>This issue has been addressed for AMIF, as the Comm</w:t>
      </w:r>
      <w:r>
        <w:rPr>
          <w:rFonts w:ascii="Times New Roman" w:hAnsi="Times New Roman"/>
          <w:i/>
          <w:noProof/>
          <w:sz w:val="24"/>
        </w:rPr>
        <w:t xml:space="preserve">ission has included a list of common indicators in the legal base of the instrument. In addition, a Delegated Regulation (EU) 2017/207 was adopted in October 2016 on the common monitoring and evaluation framework for AMIF (covering also ISF Police and ISF </w:t>
      </w:r>
      <w:r>
        <w:rPr>
          <w:rFonts w:ascii="Times New Roman" w:hAnsi="Times New Roman"/>
          <w:i/>
          <w:noProof/>
          <w:sz w:val="24"/>
        </w:rPr>
        <w:t>Borders and Visa). It provides evaluation questions and a set of indicators to be used by all MSs for evaluation purposes. To better measure the sustainability and complementarity and coherence of AMIF, specific indicators and evaluation questions on these</w:t>
      </w:r>
      <w:r>
        <w:rPr>
          <w:rFonts w:ascii="Times New Roman" w:hAnsi="Times New Roman"/>
          <w:i/>
          <w:noProof/>
          <w:sz w:val="24"/>
        </w:rPr>
        <w:t xml:space="preserve"> criteria have been included in the common monitoring and evaluation framework of AMIF. The Commission has also developed a guidance document on the monitoring and evaluation framework for MSs</w:t>
      </w:r>
      <w:r>
        <w:rPr>
          <w:rStyle w:val="FootnoteReference"/>
          <w:rFonts w:ascii="Times New Roman" w:hAnsi="Times New Roman"/>
          <w:i/>
          <w:noProof/>
          <w:sz w:val="24"/>
        </w:rPr>
        <w:footnoteReference w:id="197"/>
      </w:r>
      <w:r>
        <w:rPr>
          <w:rFonts w:ascii="Times New Roman" w:hAnsi="Times New Roman"/>
          <w:i/>
          <w:noProof/>
          <w:sz w:val="24"/>
        </w:rPr>
        <w:t xml:space="preserve"> and is organising regular workshops on this matter, and a comm</w:t>
      </w:r>
      <w:r>
        <w:rPr>
          <w:rFonts w:ascii="Times New Roman" w:hAnsi="Times New Roman"/>
          <w:i/>
          <w:noProof/>
          <w:sz w:val="24"/>
        </w:rPr>
        <w:t>on template for the evaluation reports to be submitted by the MSs, to ensure consistency. Furthermore, regular workshops in regard to the guidance document are being organized. To raise awareness and develop skills and knowledge within the responsible auth</w:t>
      </w:r>
      <w:r>
        <w:rPr>
          <w:rFonts w:ascii="Times New Roman" w:hAnsi="Times New Roman"/>
          <w:i/>
          <w:noProof/>
          <w:sz w:val="24"/>
        </w:rPr>
        <w:t>orities in charge of the implementation of AMIF (and also ISF), the Commission has set up an evaluation network composed of staff appointed by MSs, who meet and discuss regularly with the Commission on evaluation-related matters. For complementarity and co</w:t>
      </w:r>
      <w:r>
        <w:rPr>
          <w:rFonts w:ascii="Times New Roman" w:hAnsi="Times New Roman"/>
          <w:i/>
          <w:noProof/>
          <w:sz w:val="24"/>
        </w:rPr>
        <w:t>herence, Member States are also asked to outline in their AMIF national programmes how they ensure coherence and complementarity.</w:t>
      </w:r>
    </w:p>
    <w:p w:rsidR="007013FD" w:rsidRDefault="007013FD">
      <w:pPr>
        <w:pStyle w:val="ListParagraph"/>
        <w:spacing w:line="240" w:lineRule="auto"/>
        <w:jc w:val="both"/>
        <w:rPr>
          <w:rFonts w:ascii="Times New Roman" w:hAnsi="Times New Roman"/>
          <w:noProof/>
          <w:sz w:val="24"/>
          <w:highlight w:val="yellow"/>
        </w:rPr>
      </w:pPr>
    </w:p>
    <w:p w:rsidR="007013FD" w:rsidRDefault="005E3FDE">
      <w:pPr>
        <w:pStyle w:val="ListParagraph"/>
        <w:numPr>
          <w:ilvl w:val="0"/>
          <w:numId w:val="44"/>
        </w:numPr>
        <w:spacing w:line="240" w:lineRule="auto"/>
        <w:jc w:val="both"/>
        <w:rPr>
          <w:rFonts w:ascii="Times New Roman" w:hAnsi="Times New Roman"/>
          <w:i/>
          <w:noProof/>
          <w:sz w:val="24"/>
        </w:rPr>
      </w:pPr>
      <w:r>
        <w:rPr>
          <w:rFonts w:ascii="Times New Roman" w:hAnsi="Times New Roman"/>
          <w:noProof/>
          <w:sz w:val="24"/>
        </w:rPr>
        <w:t>The Fund had eligibility limitations that prevented the implementation of some actions that could have addressed the identifi</w:t>
      </w:r>
      <w:r>
        <w:rPr>
          <w:rFonts w:ascii="Times New Roman" w:hAnsi="Times New Roman"/>
          <w:noProof/>
          <w:sz w:val="24"/>
        </w:rPr>
        <w:t>ed needs such as the scope of the target group which did not include third country nationals residing legally on the territory of Member States but wishing to return to their country of origin or the costs related to detention centres or IT tools.</w:t>
      </w:r>
    </w:p>
    <w:p w:rsidR="007013FD" w:rsidRDefault="005E3FDE">
      <w:pPr>
        <w:spacing w:line="240" w:lineRule="auto"/>
        <w:ind w:left="708"/>
        <w:jc w:val="both"/>
        <w:rPr>
          <w:rFonts w:ascii="Times New Roman" w:hAnsi="Times New Roman" w:cs="Times New Roman"/>
          <w:i/>
          <w:noProof/>
          <w:sz w:val="24"/>
          <w:szCs w:val="24"/>
          <w:lang w:val="en-GB"/>
        </w:rPr>
      </w:pPr>
      <w:r>
        <w:rPr>
          <w:rFonts w:ascii="Times New Roman" w:hAnsi="Times New Roman"/>
          <w:i/>
          <w:noProof/>
          <w:sz w:val="24"/>
          <w:lang w:val="en-GB"/>
        </w:rPr>
        <w:t>This sho</w:t>
      </w:r>
      <w:r>
        <w:rPr>
          <w:rFonts w:ascii="Times New Roman" w:hAnsi="Times New Roman"/>
          <w:i/>
          <w:noProof/>
          <w:sz w:val="24"/>
          <w:lang w:val="en-GB"/>
        </w:rPr>
        <w:t xml:space="preserve">rtcoming has been addressed under AMIF </w:t>
      </w:r>
      <w:r>
        <w:rPr>
          <w:rFonts w:ascii="Times New Roman" w:hAnsi="Times New Roman" w:cs="Times New Roman"/>
          <w:i/>
          <w:noProof/>
          <w:sz w:val="24"/>
          <w:szCs w:val="24"/>
          <w:lang w:val="en-GB"/>
        </w:rPr>
        <w:t>as the target group has been expanded to include third-country nationals enjoying the right to stay, legal residence and/or international protection or temporary protection who wish to voluntary return to their countr</w:t>
      </w:r>
      <w:r>
        <w:rPr>
          <w:rFonts w:ascii="Times New Roman" w:hAnsi="Times New Roman" w:cs="Times New Roman"/>
          <w:i/>
          <w:noProof/>
          <w:sz w:val="24"/>
          <w:szCs w:val="24"/>
          <w:lang w:val="en-GB"/>
        </w:rPr>
        <w:t xml:space="preserve">y of origin. The scope of the AMIF also includes ‘the establishment, maintenance, and improvement of (…) detention infrastructure, services and conditions’ as well as ‘the setting-up of administrative structures and systems, including IT tools’. </w:t>
      </w:r>
    </w:p>
    <w:p w:rsidR="007013FD" w:rsidRDefault="005E3FDE">
      <w:pPr>
        <w:pStyle w:val="ListParagraph"/>
        <w:numPr>
          <w:ilvl w:val="0"/>
          <w:numId w:val="44"/>
        </w:numPr>
        <w:spacing w:line="240" w:lineRule="auto"/>
        <w:jc w:val="both"/>
        <w:rPr>
          <w:rFonts w:ascii="Times New Roman" w:hAnsi="Times New Roman"/>
          <w:i/>
          <w:noProof/>
          <w:sz w:val="24"/>
        </w:rPr>
      </w:pPr>
      <w:r>
        <w:rPr>
          <w:rFonts w:ascii="Times New Roman" w:hAnsi="Times New Roman"/>
          <w:noProof/>
          <w:sz w:val="24"/>
        </w:rPr>
        <w:t>Member St</w:t>
      </w:r>
      <w:r>
        <w:rPr>
          <w:rFonts w:ascii="Times New Roman" w:hAnsi="Times New Roman"/>
          <w:noProof/>
          <w:sz w:val="24"/>
        </w:rPr>
        <w:t xml:space="preserve">ates showed little interest in developing projects related to cooperation between themselves and with third countries. </w:t>
      </w:r>
    </w:p>
    <w:p w:rsidR="007013FD" w:rsidRDefault="005E3FDE">
      <w:pPr>
        <w:pStyle w:val="ListParagraph"/>
        <w:spacing w:line="240" w:lineRule="auto"/>
        <w:jc w:val="both"/>
        <w:rPr>
          <w:rFonts w:ascii="Times New Roman" w:hAnsi="Times New Roman"/>
          <w:i/>
          <w:noProof/>
          <w:sz w:val="24"/>
        </w:rPr>
      </w:pPr>
      <w:r>
        <w:rPr>
          <w:rFonts w:ascii="Times New Roman" w:hAnsi="Times New Roman"/>
          <w:i/>
          <w:noProof/>
          <w:sz w:val="24"/>
        </w:rPr>
        <w:t>The Commission has decided to incentivise this area through a 90% co-financing rate in national programmes under the AMIF (Specific acti</w:t>
      </w:r>
      <w:r>
        <w:rPr>
          <w:rFonts w:ascii="Times New Roman" w:hAnsi="Times New Roman"/>
          <w:i/>
          <w:noProof/>
          <w:sz w:val="24"/>
        </w:rPr>
        <w:t>ons).</w:t>
      </w:r>
    </w:p>
    <w:p w:rsidR="007013FD" w:rsidRDefault="007013FD">
      <w:pPr>
        <w:pStyle w:val="ListParagraph"/>
        <w:spacing w:line="240" w:lineRule="auto"/>
        <w:jc w:val="both"/>
        <w:rPr>
          <w:rFonts w:ascii="Times New Roman" w:hAnsi="Times New Roman"/>
          <w:i/>
          <w:noProof/>
          <w:sz w:val="24"/>
        </w:rPr>
      </w:pPr>
    </w:p>
    <w:p w:rsidR="007013FD" w:rsidRDefault="005E3FDE">
      <w:pPr>
        <w:pStyle w:val="ListParagraph"/>
        <w:numPr>
          <w:ilvl w:val="0"/>
          <w:numId w:val="44"/>
        </w:numPr>
        <w:spacing w:line="240" w:lineRule="auto"/>
        <w:jc w:val="both"/>
        <w:rPr>
          <w:rFonts w:ascii="Times New Roman" w:hAnsi="Times New Roman"/>
          <w:noProof/>
          <w:sz w:val="24"/>
        </w:rPr>
      </w:pPr>
      <w:r>
        <w:rPr>
          <w:rFonts w:ascii="Times New Roman" w:hAnsi="Times New Roman"/>
          <w:noProof/>
          <w:sz w:val="24"/>
        </w:rPr>
        <w:t>Although the costs relating to administrative burden</w:t>
      </w:r>
      <w:r>
        <w:rPr>
          <w:rFonts w:ascii="Times New Roman" w:hAnsi="Times New Roman"/>
          <w:noProof/>
          <w:sz w:val="24"/>
          <w:vertAlign w:val="superscript"/>
          <w:lang w:val="fr-BE"/>
        </w:rPr>
        <w:footnoteReference w:id="198"/>
      </w:r>
      <w:r>
        <w:rPr>
          <w:rFonts w:ascii="Times New Roman" w:hAnsi="Times New Roman"/>
          <w:noProof/>
          <w:sz w:val="24"/>
        </w:rPr>
        <w:t xml:space="preserve"> were perceived as reasonable by most Member States, 26% of respondents to a survey considered that the administrative burden relating to the implementation of the Fund was excessive or not reason</w:t>
      </w:r>
      <w:r>
        <w:rPr>
          <w:rFonts w:ascii="Times New Roman" w:hAnsi="Times New Roman"/>
          <w:noProof/>
          <w:sz w:val="24"/>
        </w:rPr>
        <w:t>able, and some Member States highlighted that the high administrative requirements of the Fund could have had a negative impact on its efficiency.</w:t>
      </w:r>
    </w:p>
    <w:p w:rsidR="007013FD" w:rsidRDefault="005E3FDE">
      <w:pPr>
        <w:spacing w:line="240" w:lineRule="auto"/>
        <w:ind w:left="705"/>
        <w:jc w:val="both"/>
        <w:rPr>
          <w:rFonts w:ascii="Times New Roman" w:hAnsi="Times New Roman"/>
          <w:i/>
          <w:noProof/>
          <w:sz w:val="24"/>
          <w:lang w:val="en-GB"/>
        </w:rPr>
      </w:pPr>
      <w:r>
        <w:rPr>
          <w:rFonts w:ascii="Times New Roman" w:hAnsi="Times New Roman"/>
          <w:i/>
          <w:noProof/>
          <w:sz w:val="24"/>
          <w:lang w:val="en-GB"/>
        </w:rPr>
        <w:t>The 2014-2020 programming period saw some improvements, as a single fund covers all migration matters (AMIF),</w:t>
      </w:r>
      <w:r>
        <w:rPr>
          <w:rFonts w:ascii="Times New Roman" w:hAnsi="Times New Roman"/>
          <w:i/>
          <w:noProof/>
          <w:sz w:val="24"/>
          <w:lang w:val="en-GB"/>
        </w:rPr>
        <w:t xml:space="preserve"> Member States adopt multiannual programmes and the eligibility rules are aligned to the national ones. Member States have also been encouraged to use the simplified costs options.</w:t>
      </w:r>
    </w:p>
    <w:p w:rsidR="007013FD" w:rsidRDefault="007013FD">
      <w:pPr>
        <w:spacing w:line="240" w:lineRule="auto"/>
        <w:jc w:val="both"/>
        <w:rPr>
          <w:rFonts w:ascii="Times New Roman" w:hAnsi="Times New Roman"/>
          <w:i/>
          <w:noProof/>
          <w:sz w:val="24"/>
          <w:lang w:val="en-GB"/>
        </w:rPr>
      </w:pPr>
      <w:bookmarkStart w:id="122" w:name="_Toc496630466"/>
    </w:p>
    <w:p w:rsidR="007013FD" w:rsidRDefault="005E3FDE">
      <w:pPr>
        <w:rPr>
          <w:rFonts w:ascii="Times New Roman" w:eastAsiaTheme="majorEastAsia" w:hAnsi="Times New Roman" w:cs="Times New Roman"/>
          <w:b/>
          <w:bCs/>
          <w:noProof/>
          <w:sz w:val="24"/>
          <w:szCs w:val="24"/>
          <w:lang w:val="en-GB"/>
        </w:rPr>
      </w:pPr>
      <w:r>
        <w:rPr>
          <w:noProof/>
          <w:lang w:val="en-GB"/>
        </w:rPr>
        <w:br w:type="page"/>
      </w:r>
    </w:p>
    <w:p w:rsidR="007013FD" w:rsidRDefault="005E3FDE">
      <w:pPr>
        <w:pStyle w:val="Heading1"/>
        <w:rPr>
          <w:b w:val="0"/>
          <w:noProof/>
        </w:rPr>
      </w:pPr>
      <w:bookmarkStart w:id="123" w:name="_Toc496711950"/>
      <w:bookmarkStart w:id="124" w:name="_Toc515379368"/>
      <w:r>
        <w:rPr>
          <w:noProof/>
        </w:rPr>
        <w:t xml:space="preserve">ANNEX 1 — </w:t>
      </w:r>
      <w:r>
        <w:rPr>
          <w:b w:val="0"/>
          <w:noProof/>
        </w:rPr>
        <w:t>Procedural information</w:t>
      </w:r>
      <w:bookmarkEnd w:id="122"/>
      <w:bookmarkEnd w:id="123"/>
      <w:bookmarkEnd w:id="124"/>
    </w:p>
    <w:tbl>
      <w:tblPr>
        <w:tblStyle w:val="TableGrid"/>
        <w:tblW w:w="0" w:type="auto"/>
        <w:tblLook w:val="04A0" w:firstRow="1" w:lastRow="0" w:firstColumn="1" w:lastColumn="0" w:noHBand="0" w:noVBand="1"/>
      </w:tblPr>
      <w:tblGrid>
        <w:gridCol w:w="3652"/>
        <w:gridCol w:w="5182"/>
      </w:tblGrid>
      <w:tr w:rsidR="007013FD">
        <w:tc>
          <w:tcPr>
            <w:tcW w:w="3652" w:type="dxa"/>
            <w:shd w:val="clear" w:color="auto" w:fill="auto"/>
          </w:tcPr>
          <w:p w:rsidR="007013FD" w:rsidRDefault="005E3FDE">
            <w:pPr>
              <w:pStyle w:val="NormalWeb"/>
              <w:rPr>
                <w:noProof/>
              </w:rPr>
            </w:pPr>
            <w:r>
              <w:rPr>
                <w:noProof/>
              </w:rPr>
              <w:t>Leading DG</w:t>
            </w:r>
          </w:p>
        </w:tc>
        <w:tc>
          <w:tcPr>
            <w:tcW w:w="5182" w:type="dxa"/>
          </w:tcPr>
          <w:p w:rsidR="007013FD" w:rsidRDefault="005E3FDE">
            <w:pPr>
              <w:pStyle w:val="NormalWeb"/>
              <w:spacing w:before="0" w:beforeAutospacing="0" w:after="0" w:afterAutospacing="0"/>
              <w:rPr>
                <w:noProof/>
              </w:rPr>
            </w:pPr>
            <w:r>
              <w:rPr>
                <w:noProof/>
              </w:rPr>
              <w:t>DG HOME</w:t>
            </w:r>
          </w:p>
        </w:tc>
      </w:tr>
      <w:tr w:rsidR="007013FD" w:rsidRPr="005E3FDE">
        <w:tc>
          <w:tcPr>
            <w:tcW w:w="3652" w:type="dxa"/>
            <w:shd w:val="clear" w:color="auto" w:fill="auto"/>
          </w:tcPr>
          <w:p w:rsidR="007013FD" w:rsidRDefault="005E3FDE">
            <w:pPr>
              <w:pStyle w:val="NormalWeb"/>
              <w:rPr>
                <w:noProof/>
              </w:rPr>
            </w:pPr>
            <w:r>
              <w:rPr>
                <w:noProof/>
              </w:rPr>
              <w:t>Participating Units</w:t>
            </w:r>
            <w:r>
              <w:rPr>
                <w:noProof/>
              </w:rPr>
              <w:t xml:space="preserve"> of DG HOME</w:t>
            </w:r>
          </w:p>
        </w:tc>
        <w:tc>
          <w:tcPr>
            <w:tcW w:w="5182" w:type="dxa"/>
          </w:tcPr>
          <w:p w:rsidR="007013FD" w:rsidRDefault="005E3FDE">
            <w:pPr>
              <w:pStyle w:val="NormalWeb"/>
              <w:spacing w:after="0"/>
              <w:rPr>
                <w:noProof/>
              </w:rPr>
            </w:pPr>
            <w:r>
              <w:rPr>
                <w:noProof/>
              </w:rPr>
              <w:t>A2 – Legal Affairs</w:t>
            </w:r>
            <w:r>
              <w:rPr>
                <w:noProof/>
              </w:rPr>
              <w:br/>
              <w:t>C3 – Asylum</w:t>
            </w:r>
            <w:r>
              <w:rPr>
                <w:noProof/>
              </w:rPr>
              <w:br/>
              <w:t xml:space="preserve">C4 –  Migration management support </w:t>
            </w:r>
            <w:r>
              <w:rPr>
                <w:noProof/>
              </w:rPr>
              <w:br/>
              <w:t>E1 – Union Actions</w:t>
            </w:r>
            <w:r>
              <w:rPr>
                <w:noProof/>
              </w:rPr>
              <w:br/>
              <w:t>E2 – National programmes for South and East Europe, evaluation, AMF/ISF Committee</w:t>
            </w:r>
            <w:r>
              <w:rPr>
                <w:noProof/>
              </w:rPr>
              <w:br/>
              <w:t>E3 - National programmes for North and West Europe, budget, MFF, agencies</w:t>
            </w:r>
          </w:p>
        </w:tc>
      </w:tr>
      <w:tr w:rsidR="007013FD">
        <w:tc>
          <w:tcPr>
            <w:tcW w:w="3652" w:type="dxa"/>
            <w:shd w:val="clear" w:color="auto" w:fill="auto"/>
          </w:tcPr>
          <w:p w:rsidR="007013FD" w:rsidRDefault="005E3FDE">
            <w:pPr>
              <w:pStyle w:val="NormalWeb"/>
              <w:rPr>
                <w:noProof/>
              </w:rPr>
            </w:pPr>
            <w:r>
              <w:rPr>
                <w:noProof/>
              </w:rPr>
              <w:t>P</w:t>
            </w:r>
            <w:r>
              <w:rPr>
                <w:noProof/>
              </w:rPr>
              <w:t xml:space="preserve">articipating DGs </w:t>
            </w:r>
          </w:p>
        </w:tc>
        <w:tc>
          <w:tcPr>
            <w:tcW w:w="5182" w:type="dxa"/>
          </w:tcPr>
          <w:p w:rsidR="007013FD" w:rsidRDefault="005E3FDE">
            <w:pPr>
              <w:pStyle w:val="NormalWeb"/>
              <w:spacing w:before="0" w:beforeAutospacing="0" w:after="0" w:afterAutospacing="0"/>
              <w:rPr>
                <w:noProof/>
              </w:rPr>
            </w:pPr>
            <w:r>
              <w:rPr>
                <w:noProof/>
              </w:rPr>
              <w:t>Secretariat General</w:t>
            </w:r>
          </w:p>
          <w:p w:rsidR="007013FD" w:rsidRDefault="005E3FDE">
            <w:pPr>
              <w:pStyle w:val="NormalWeb"/>
              <w:spacing w:before="0" w:beforeAutospacing="0" w:after="0" w:afterAutospacing="0"/>
              <w:rPr>
                <w:noProof/>
              </w:rPr>
            </w:pPr>
            <w:r>
              <w:rPr>
                <w:noProof/>
              </w:rPr>
              <w:t>DG BUDG</w:t>
            </w:r>
          </w:p>
          <w:p w:rsidR="007013FD" w:rsidRDefault="005E3FDE">
            <w:pPr>
              <w:pStyle w:val="NormalWeb"/>
              <w:spacing w:before="0" w:beforeAutospacing="0" w:after="0" w:afterAutospacing="0"/>
              <w:rPr>
                <w:noProof/>
              </w:rPr>
            </w:pPr>
            <w:r>
              <w:rPr>
                <w:noProof/>
              </w:rPr>
              <w:t>DG JUST</w:t>
            </w:r>
          </w:p>
          <w:p w:rsidR="007013FD" w:rsidRDefault="005E3FDE">
            <w:pPr>
              <w:pStyle w:val="NormalWeb"/>
              <w:spacing w:before="0" w:beforeAutospacing="0" w:after="0" w:afterAutospacing="0"/>
              <w:rPr>
                <w:noProof/>
              </w:rPr>
            </w:pPr>
            <w:r>
              <w:rPr>
                <w:noProof/>
              </w:rPr>
              <w:t>Legal service (SJ)</w:t>
            </w:r>
          </w:p>
        </w:tc>
      </w:tr>
      <w:tr w:rsidR="007013FD">
        <w:tc>
          <w:tcPr>
            <w:tcW w:w="3652" w:type="dxa"/>
            <w:shd w:val="clear" w:color="auto" w:fill="auto"/>
          </w:tcPr>
          <w:p w:rsidR="007013FD" w:rsidRDefault="005E3FDE">
            <w:pPr>
              <w:pStyle w:val="NormalWeb"/>
              <w:rPr>
                <w:noProof/>
              </w:rPr>
            </w:pPr>
            <w:r>
              <w:rPr>
                <w:noProof/>
              </w:rPr>
              <w:t>Roadmap approval</w:t>
            </w:r>
          </w:p>
        </w:tc>
        <w:tc>
          <w:tcPr>
            <w:tcW w:w="5182" w:type="dxa"/>
          </w:tcPr>
          <w:p w:rsidR="007013FD" w:rsidRDefault="005E3FDE">
            <w:pPr>
              <w:pStyle w:val="NormalWeb"/>
              <w:rPr>
                <w:noProof/>
              </w:rPr>
            </w:pPr>
            <w:r>
              <w:rPr>
                <w:noProof/>
              </w:rPr>
              <w:t>December 2015</w:t>
            </w:r>
          </w:p>
        </w:tc>
      </w:tr>
      <w:tr w:rsidR="007013FD" w:rsidRPr="005E3FDE">
        <w:tc>
          <w:tcPr>
            <w:tcW w:w="3652" w:type="dxa"/>
            <w:shd w:val="clear" w:color="auto" w:fill="auto"/>
          </w:tcPr>
          <w:p w:rsidR="007013FD" w:rsidRDefault="005E3FDE">
            <w:pPr>
              <w:pStyle w:val="NormalWeb"/>
              <w:rPr>
                <w:noProof/>
              </w:rPr>
            </w:pPr>
            <w:r>
              <w:rPr>
                <w:noProof/>
              </w:rPr>
              <w:t>External consulting firm specialised in evaluation</w:t>
            </w:r>
          </w:p>
        </w:tc>
        <w:tc>
          <w:tcPr>
            <w:tcW w:w="5182" w:type="dxa"/>
          </w:tcPr>
          <w:p w:rsidR="007013FD" w:rsidRDefault="005E3FDE">
            <w:pPr>
              <w:pStyle w:val="NormalWeb"/>
              <w:spacing w:before="0" w:beforeAutospacing="0" w:after="0" w:afterAutospacing="0"/>
              <w:rPr>
                <w:noProof/>
              </w:rPr>
            </w:pPr>
            <w:r>
              <w:rPr>
                <w:noProof/>
              </w:rPr>
              <w:t>Contract signed in April 2016 with consortium of:</w:t>
            </w:r>
          </w:p>
          <w:p w:rsidR="007013FD" w:rsidRDefault="005E3FDE">
            <w:pPr>
              <w:pStyle w:val="NormalWeb"/>
              <w:spacing w:before="0" w:beforeAutospacing="0" w:after="0" w:afterAutospacing="0"/>
              <w:ind w:left="317"/>
              <w:rPr>
                <w:noProof/>
              </w:rPr>
            </w:pPr>
            <w:r>
              <w:rPr>
                <w:noProof/>
              </w:rPr>
              <w:t>Ernst &amp;</w:t>
            </w:r>
            <w:r>
              <w:rPr>
                <w:noProof/>
              </w:rPr>
              <w:t xml:space="preserve"> Young Special Business Services (lead partner) </w:t>
            </w:r>
          </w:p>
          <w:p w:rsidR="007013FD" w:rsidRDefault="005E3FDE">
            <w:pPr>
              <w:pStyle w:val="NormalWeb"/>
              <w:spacing w:before="0" w:beforeAutospacing="0" w:after="0" w:afterAutospacing="0"/>
              <w:ind w:left="317"/>
              <w:rPr>
                <w:noProof/>
              </w:rPr>
            </w:pPr>
            <w:r>
              <w:rPr>
                <w:noProof/>
              </w:rPr>
              <w:t xml:space="preserve">Center for International Legal Cooperation Rand Europa Community Interest Company </w:t>
            </w:r>
          </w:p>
        </w:tc>
      </w:tr>
      <w:tr w:rsidR="007013FD">
        <w:tc>
          <w:tcPr>
            <w:tcW w:w="3652" w:type="dxa"/>
            <w:shd w:val="clear" w:color="auto" w:fill="auto"/>
          </w:tcPr>
          <w:p w:rsidR="007013FD" w:rsidRDefault="005E3FDE">
            <w:pPr>
              <w:pStyle w:val="NormalWeb"/>
              <w:rPr>
                <w:noProof/>
              </w:rPr>
            </w:pPr>
            <w:r>
              <w:rPr>
                <w:noProof/>
              </w:rPr>
              <w:t>Number of steering group meetings</w:t>
            </w:r>
          </w:p>
        </w:tc>
        <w:tc>
          <w:tcPr>
            <w:tcW w:w="5182" w:type="dxa"/>
          </w:tcPr>
          <w:p w:rsidR="007013FD" w:rsidRDefault="005E3FDE">
            <w:pPr>
              <w:pStyle w:val="NormalWeb"/>
              <w:rPr>
                <w:noProof/>
              </w:rPr>
            </w:pPr>
            <w:r>
              <w:rPr>
                <w:noProof/>
              </w:rPr>
              <w:t>6</w:t>
            </w:r>
          </w:p>
        </w:tc>
      </w:tr>
      <w:tr w:rsidR="007013FD">
        <w:tc>
          <w:tcPr>
            <w:tcW w:w="3652" w:type="dxa"/>
            <w:shd w:val="clear" w:color="auto" w:fill="auto"/>
          </w:tcPr>
          <w:p w:rsidR="007013FD" w:rsidRDefault="005E3FDE">
            <w:pPr>
              <w:pStyle w:val="NormalWeb"/>
              <w:rPr>
                <w:noProof/>
              </w:rPr>
            </w:pPr>
            <w:r>
              <w:rPr>
                <w:noProof/>
              </w:rPr>
              <w:t>Last deliverable handed in</w:t>
            </w:r>
          </w:p>
        </w:tc>
        <w:tc>
          <w:tcPr>
            <w:tcW w:w="5182" w:type="dxa"/>
          </w:tcPr>
          <w:p w:rsidR="007013FD" w:rsidRDefault="005E3FDE">
            <w:pPr>
              <w:pStyle w:val="NormalWeb"/>
              <w:rPr>
                <w:noProof/>
              </w:rPr>
            </w:pPr>
            <w:r>
              <w:rPr>
                <w:noProof/>
              </w:rPr>
              <w:t>March 2017</w:t>
            </w:r>
          </w:p>
        </w:tc>
      </w:tr>
      <w:tr w:rsidR="007013FD">
        <w:tc>
          <w:tcPr>
            <w:tcW w:w="3652" w:type="dxa"/>
            <w:shd w:val="clear" w:color="auto" w:fill="auto"/>
          </w:tcPr>
          <w:p w:rsidR="007013FD" w:rsidRDefault="005E3FDE">
            <w:pPr>
              <w:pStyle w:val="NormalWeb"/>
              <w:rPr>
                <w:noProof/>
              </w:rPr>
            </w:pPr>
            <w:r>
              <w:rPr>
                <w:noProof/>
              </w:rPr>
              <w:t>Approval of the final report by Steering Group</w:t>
            </w:r>
          </w:p>
        </w:tc>
        <w:tc>
          <w:tcPr>
            <w:tcW w:w="5182" w:type="dxa"/>
          </w:tcPr>
          <w:p w:rsidR="007013FD" w:rsidRDefault="005E3FDE">
            <w:pPr>
              <w:pStyle w:val="NormalWeb"/>
              <w:rPr>
                <w:noProof/>
              </w:rPr>
            </w:pPr>
            <w:r>
              <w:rPr>
                <w:noProof/>
              </w:rPr>
              <w:t>March 2017</w:t>
            </w:r>
          </w:p>
        </w:tc>
      </w:tr>
      <w:tr w:rsidR="007013FD">
        <w:tc>
          <w:tcPr>
            <w:tcW w:w="3652" w:type="dxa"/>
            <w:shd w:val="clear" w:color="auto" w:fill="auto"/>
          </w:tcPr>
          <w:p w:rsidR="007013FD" w:rsidRDefault="005E3FDE">
            <w:pPr>
              <w:pStyle w:val="NormalWeb"/>
              <w:rPr>
                <w:noProof/>
              </w:rPr>
            </w:pPr>
            <w:r>
              <w:rPr>
                <w:noProof/>
              </w:rPr>
              <w:t>Decide planning reference</w:t>
            </w:r>
          </w:p>
        </w:tc>
        <w:tc>
          <w:tcPr>
            <w:tcW w:w="5182" w:type="dxa"/>
          </w:tcPr>
          <w:p w:rsidR="007013FD" w:rsidRDefault="005E3FDE">
            <w:pPr>
              <w:pStyle w:val="NormalWeb"/>
              <w:rPr>
                <w:noProof/>
              </w:rPr>
            </w:pPr>
            <w:r>
              <w:rPr>
                <w:noProof/>
              </w:rPr>
              <w:t>2016/HOME/082</w:t>
            </w:r>
          </w:p>
        </w:tc>
      </w:tr>
    </w:tbl>
    <w:p w:rsidR="007013FD" w:rsidRDefault="007013FD">
      <w:pPr>
        <w:spacing w:line="240" w:lineRule="auto"/>
        <w:rPr>
          <w:rFonts w:ascii="Times New Roman" w:hAnsi="Times New Roman" w:cs="Times New Roman"/>
          <w:b/>
          <w:noProof/>
          <w:sz w:val="24"/>
          <w:szCs w:val="24"/>
          <w:highlight w:val="lightGray"/>
        </w:rPr>
      </w:pPr>
    </w:p>
    <w:p w:rsidR="007013FD" w:rsidRDefault="005E3FDE">
      <w:pPr>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br w:type="page"/>
      </w:r>
    </w:p>
    <w:p w:rsidR="007013FD" w:rsidRDefault="005E3FDE">
      <w:pPr>
        <w:pStyle w:val="Heading1"/>
        <w:rPr>
          <w:b w:val="0"/>
          <w:noProof/>
        </w:rPr>
      </w:pPr>
      <w:bookmarkStart w:id="125" w:name="_Toc496630467"/>
      <w:bookmarkStart w:id="126" w:name="_Toc496711951"/>
      <w:bookmarkStart w:id="127" w:name="_Toc515379369"/>
      <w:r>
        <w:rPr>
          <w:noProof/>
        </w:rPr>
        <w:t xml:space="preserve">ANNEX 2 — </w:t>
      </w:r>
      <w:r>
        <w:rPr>
          <w:b w:val="0"/>
          <w:noProof/>
        </w:rPr>
        <w:t>Stakeholders’ consultation</w:t>
      </w:r>
      <w:bookmarkEnd w:id="125"/>
      <w:bookmarkEnd w:id="126"/>
      <w:bookmarkEnd w:id="127"/>
    </w:p>
    <w:p w:rsidR="007013FD" w:rsidRDefault="007013FD">
      <w:pPr>
        <w:spacing w:after="120"/>
        <w:rPr>
          <w:noProof/>
          <w:lang w:val="en-GB"/>
        </w:rPr>
      </w:pP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Overview</w:t>
      </w:r>
    </w:p>
    <w:p w:rsidR="007013FD" w:rsidRDefault="005E3FDE">
      <w:pPr>
        <w:pStyle w:val="Default"/>
        <w:jc w:val="both"/>
        <w:rPr>
          <w:noProof/>
        </w:rPr>
      </w:pPr>
      <w:r>
        <w:rPr>
          <w:noProof/>
        </w:rPr>
        <w:t xml:space="preserve">In order to inform the ex-post evaluation of the European Return Fund (RF) 2011-2013, several stakeholders were consulted through an open public </w:t>
      </w:r>
      <w:r>
        <w:rPr>
          <w:noProof/>
        </w:rPr>
        <w:t>consultation conducted by the European Commission and other stakeholder consultations conducted by the ICF Consulting Services ("the external evaluators") in the framework of their contract with the Commission to provide a study on the ex-post evaluation o</w:t>
      </w:r>
      <w:r>
        <w:rPr>
          <w:noProof/>
        </w:rPr>
        <w:t xml:space="preserve">f the implementation of the RF. An overview of the consultation processes and the types of stakeholders consulted is provided in this section, along with the results of these consultations. The results presented here have been compiled and summarised from </w:t>
      </w:r>
      <w:r>
        <w:rPr>
          <w:noProof/>
        </w:rPr>
        <w:t>the responses received by the European Commission to its public consultation, and from the final ex-post evaluation report of the RF submitted to the Commission by the external evaluators. The stakeholder consultations presented below have met the European</w:t>
      </w:r>
      <w:r>
        <w:rPr>
          <w:noProof/>
        </w:rPr>
        <w:t xml:space="preserve"> Commission's general principles and minimum standards for stakeholder consultation.</w:t>
      </w:r>
    </w:p>
    <w:p w:rsidR="007013FD" w:rsidRDefault="007013FD">
      <w:pPr>
        <w:pStyle w:val="Default"/>
        <w:jc w:val="both"/>
        <w:rPr>
          <w:noProof/>
        </w:rPr>
      </w:pPr>
    </w:p>
    <w:p w:rsidR="007013FD" w:rsidRDefault="005E3FDE">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Open Public Consultation Conducted by the European Commission</w:t>
      </w:r>
    </w:p>
    <w:p w:rsidR="007013FD" w:rsidRDefault="005E3FDE">
      <w:pPr>
        <w:pStyle w:val="NoSpacing"/>
        <w:jc w:val="both"/>
        <w:rPr>
          <w:rFonts w:ascii="Times New Roman" w:hAnsi="Times New Roman" w:cs="Times New Roman"/>
          <w:noProof/>
          <w:sz w:val="24"/>
          <w:szCs w:val="24"/>
        </w:rPr>
      </w:pPr>
      <w:r>
        <w:rPr>
          <w:rFonts w:ascii="Times New Roman" w:hAnsi="Times New Roman" w:cs="Times New Roman"/>
          <w:noProof/>
          <w:sz w:val="24"/>
          <w:szCs w:val="24"/>
        </w:rPr>
        <w:t>The European Commission held an internet-based open public consultation on the ex-post evaluation of the</w:t>
      </w:r>
      <w:r>
        <w:rPr>
          <w:rFonts w:ascii="Times New Roman" w:hAnsi="Times New Roman" w:cs="Times New Roman"/>
          <w:noProof/>
          <w:sz w:val="24"/>
          <w:szCs w:val="24"/>
        </w:rPr>
        <w:t xml:space="preserve"> RF 2011-2013 in the form of an online questionnaire between 10 May 2016 and 9 August 2016. Contributions were sought in particular from individuals (experts, beneficiaries), local and national Member State authorities, intergovernmental and non-government</w:t>
      </w:r>
      <w:r>
        <w:rPr>
          <w:rFonts w:ascii="Times New Roman" w:hAnsi="Times New Roman" w:cs="Times New Roman"/>
          <w:noProof/>
          <w:sz w:val="24"/>
          <w:szCs w:val="24"/>
        </w:rPr>
        <w:t>al organisations, social partners and civil society, academic institutions, international organisations, and EU institutions and agencies. The final number of respondents was small (seven participants from six Member States), which means that contributions</w:t>
      </w:r>
      <w:r>
        <w:rPr>
          <w:rFonts w:ascii="Times New Roman" w:hAnsi="Times New Roman" w:cs="Times New Roman"/>
          <w:noProof/>
          <w:sz w:val="24"/>
          <w:szCs w:val="24"/>
        </w:rPr>
        <w:t xml:space="preserve"> cannot be considered as being representative of the targeted stakeholders. The results may provide additional insights nonetheless and will be presented below together with the findings from the other consultations. Another limitation is the fact that the</w:t>
      </w:r>
      <w:r>
        <w:rPr>
          <w:rFonts w:ascii="Times New Roman" w:hAnsi="Times New Roman" w:cs="Times New Roman"/>
          <w:noProof/>
          <w:sz w:val="24"/>
          <w:szCs w:val="24"/>
        </w:rPr>
        <w:t xml:space="preserve"> information available on the identities of the participants is based on self-reported values which cannot be verified.</w:t>
      </w:r>
    </w:p>
    <w:p w:rsidR="007013FD" w:rsidRDefault="007013FD">
      <w:pPr>
        <w:pStyle w:val="NoSpacing"/>
        <w:jc w:val="both"/>
        <w:rPr>
          <w:rFonts w:ascii="Times New Roman" w:hAnsi="Times New Roman" w:cs="Times New Roman"/>
          <w:noProof/>
          <w:sz w:val="24"/>
          <w:szCs w:val="24"/>
        </w:rPr>
      </w:pPr>
    </w:p>
    <w:p w:rsidR="007013FD" w:rsidRDefault="005E3FDE">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consultations conducted by the external evaluators</w:t>
      </w:r>
    </w:p>
    <w:p w:rsidR="007013FD" w:rsidRDefault="005E3FDE">
      <w:pPr>
        <w:pStyle w:val="Default"/>
        <w:spacing w:line="276" w:lineRule="auto"/>
        <w:jc w:val="both"/>
        <w:rPr>
          <w:noProof/>
        </w:rPr>
      </w:pPr>
      <w:r>
        <w:rPr>
          <w:noProof/>
        </w:rPr>
        <w:t>The external evaluators conducted four different types of consultation with vari</w:t>
      </w:r>
      <w:r>
        <w:rPr>
          <w:noProof/>
        </w:rPr>
        <w:t>ed types of stakeholders. This section provides an overview of each consultation and the consultation process that took place in each case, as well as possible limitations.</w:t>
      </w:r>
    </w:p>
    <w:p w:rsidR="007013FD" w:rsidRDefault="007013FD">
      <w:pPr>
        <w:pStyle w:val="Default"/>
        <w:spacing w:line="276" w:lineRule="auto"/>
        <w:jc w:val="both"/>
        <w:rPr>
          <w:noProof/>
        </w:rPr>
      </w:pPr>
    </w:p>
    <w:p w:rsidR="007013FD" w:rsidRDefault="005E3FDE">
      <w:pPr>
        <w:pStyle w:val="Default"/>
        <w:numPr>
          <w:ilvl w:val="0"/>
          <w:numId w:val="18"/>
        </w:numPr>
        <w:spacing w:line="276" w:lineRule="auto"/>
        <w:jc w:val="both"/>
        <w:rPr>
          <w:b/>
          <w:noProof/>
        </w:rPr>
      </w:pPr>
      <w:r>
        <w:rPr>
          <w:b/>
          <w:noProof/>
        </w:rPr>
        <w:t>Targeted consultations in the form of interviews with all Member State Responsible</w:t>
      </w:r>
      <w:r>
        <w:rPr>
          <w:b/>
          <w:noProof/>
        </w:rPr>
        <w:t xml:space="preserve"> Authorities (RAs):</w:t>
      </w:r>
    </w:p>
    <w:p w:rsidR="007013FD" w:rsidRDefault="007013FD">
      <w:pPr>
        <w:pStyle w:val="Default"/>
        <w:ind w:left="720"/>
        <w:jc w:val="both"/>
        <w:rPr>
          <w:b/>
          <w:noProof/>
        </w:rPr>
      </w:pPr>
    </w:p>
    <w:p w:rsidR="007013FD" w:rsidRDefault="005E3FDE">
      <w:pPr>
        <w:pStyle w:val="Default"/>
        <w:jc w:val="both"/>
        <w:rPr>
          <w:noProof/>
        </w:rPr>
      </w:pPr>
      <w:r>
        <w:rPr>
          <w:noProof/>
        </w:rPr>
        <w:t>All RAs were contacted and twenty-two were available for interviewing</w:t>
      </w:r>
      <w:r>
        <w:rPr>
          <w:rStyle w:val="FootnoteReference"/>
          <w:noProof/>
        </w:rPr>
        <w:footnoteReference w:id="199"/>
      </w:r>
      <w:r>
        <w:rPr>
          <w:noProof/>
        </w:rPr>
        <w:t>. Member States were offered the possibility to part in an interview in a variety of ways, i.e. face-to-face, via video conference or Skype, and by telephone. The ev</w:t>
      </w:r>
      <w:r>
        <w:rPr>
          <w:noProof/>
        </w:rPr>
        <w:t>aluation team also met and interviewed stakeholders during external events when possible, such as on the margins of meetings with the European Commission in Brussels, in national ex-post evaluation conferences, and in European Migration Network-related mee</w:t>
      </w:r>
      <w:r>
        <w:rPr>
          <w:noProof/>
        </w:rPr>
        <w:t>tings. Furthermore, evaluation team members in charge of interviewing specific RAs sent interviewees a short list of focused follow-up questions in advance to ensure that the interview was conducted in an efficient manner.</w:t>
      </w:r>
    </w:p>
    <w:p w:rsidR="007013FD" w:rsidRDefault="007013FD">
      <w:pPr>
        <w:pStyle w:val="Default"/>
        <w:ind w:left="720"/>
        <w:jc w:val="both"/>
        <w:rPr>
          <w:b/>
          <w:noProof/>
        </w:rPr>
      </w:pPr>
    </w:p>
    <w:p w:rsidR="007013FD" w:rsidRDefault="005E3FDE">
      <w:pPr>
        <w:pStyle w:val="Default"/>
        <w:numPr>
          <w:ilvl w:val="0"/>
          <w:numId w:val="18"/>
        </w:numPr>
        <w:jc w:val="both"/>
        <w:rPr>
          <w:b/>
          <w:noProof/>
        </w:rPr>
      </w:pPr>
      <w:r>
        <w:rPr>
          <w:b/>
          <w:noProof/>
        </w:rPr>
        <w:t>Targeted consultations in the fo</w:t>
      </w:r>
      <w:r>
        <w:rPr>
          <w:b/>
          <w:noProof/>
        </w:rPr>
        <w:t>rm of interviews with Member State RAs and beneficiaries of RF funding between 2011 and 2013:</w:t>
      </w:r>
    </w:p>
    <w:p w:rsidR="007013FD" w:rsidRDefault="007013FD">
      <w:pPr>
        <w:pStyle w:val="Default"/>
        <w:jc w:val="both"/>
        <w:rPr>
          <w:b/>
          <w:noProof/>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interviews were carried out for six Member States</w:t>
      </w:r>
      <w:r>
        <w:rPr>
          <w:rStyle w:val="FootnoteReference"/>
          <w:rFonts w:ascii="Times New Roman" w:hAnsi="Times New Roman" w:cs="Times New Roman"/>
          <w:noProof/>
          <w:sz w:val="24"/>
          <w:szCs w:val="24"/>
          <w:lang w:val="en-GB"/>
        </w:rPr>
        <w:footnoteReference w:id="200"/>
      </w:r>
      <w:r>
        <w:rPr>
          <w:rFonts w:ascii="Times New Roman" w:hAnsi="Times New Roman" w:cs="Times New Roman"/>
          <w:noProof/>
          <w:sz w:val="24"/>
          <w:szCs w:val="24"/>
          <w:lang w:val="en-GB"/>
        </w:rPr>
        <w:t xml:space="preserve">, which were examined as part of case studies. Interviews were also conducted with twelve RF </w:t>
      </w:r>
      <w:r>
        <w:rPr>
          <w:rFonts w:ascii="Times New Roman" w:hAnsi="Times New Roman" w:cs="Times New Roman"/>
          <w:noProof/>
          <w:sz w:val="24"/>
          <w:szCs w:val="24"/>
          <w:lang w:val="en-GB"/>
        </w:rPr>
        <w:t>beneficiaries from the six case study countries: one in Hungary (IOM – Budapest), two in Italy (IOM Italia; Italian Council for Refugees), three in the Netherlands (IOM NL; Stichting WereldWijd; Stichting Nieuwkomers en Vluchtelingenwerk Brabant Centraal),</w:t>
      </w:r>
      <w:r>
        <w:rPr>
          <w:rFonts w:ascii="Times New Roman" w:hAnsi="Times New Roman" w:cs="Times New Roman"/>
          <w:noProof/>
          <w:sz w:val="24"/>
          <w:szCs w:val="24"/>
          <w:lang w:val="en-GB"/>
        </w:rPr>
        <w:t xml:space="preserve"> one in Malta (IOM Malta), four in Romania (General Inspectorate for Immigration; Romanian Council for Refugees; Jesuit Refugee Service; IOM), and two in the United Kingdom (UK Border Agency Home Office; Refugee Action).</w:t>
      </w:r>
    </w:p>
    <w:p w:rsidR="007013FD" w:rsidRDefault="005E3FDE">
      <w:pPr>
        <w:pStyle w:val="ListParagraph"/>
        <w:numPr>
          <w:ilvl w:val="0"/>
          <w:numId w:val="18"/>
        </w:numPr>
        <w:spacing w:line="240" w:lineRule="auto"/>
        <w:jc w:val="both"/>
        <w:rPr>
          <w:rFonts w:ascii="Times New Roman" w:hAnsi="Times New Roman"/>
          <w:b/>
          <w:noProof/>
          <w:sz w:val="24"/>
        </w:rPr>
      </w:pPr>
      <w:r>
        <w:rPr>
          <w:rFonts w:ascii="Times New Roman" w:hAnsi="Times New Roman"/>
          <w:b/>
          <w:noProof/>
          <w:sz w:val="24"/>
        </w:rPr>
        <w:t xml:space="preserve">Targeted consultations in the form </w:t>
      </w:r>
      <w:r>
        <w:rPr>
          <w:rFonts w:ascii="Times New Roman" w:hAnsi="Times New Roman"/>
          <w:b/>
          <w:noProof/>
          <w:sz w:val="24"/>
        </w:rPr>
        <w:t>of interviews with four beneficiaries of Community Action:</w:t>
      </w:r>
    </w:p>
    <w:p w:rsidR="007013FD" w:rsidRDefault="007013FD">
      <w:pPr>
        <w:spacing w:after="0" w:line="240" w:lineRule="auto"/>
        <w:jc w:val="both"/>
        <w:rPr>
          <w:rFonts w:ascii="Times New Roman" w:hAnsi="Times New Roman" w:cs="Times New Roman"/>
          <w:noProof/>
          <w:sz w:val="24"/>
          <w:szCs w:val="24"/>
          <w:lang w:val="en-GB"/>
        </w:rPr>
      </w:pP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four beneficiaries are: the Organisation of Ibero-American States (on OSS-LAC, OSS II), Repatriation and Departure Service (two interviews focusing respectively on ERIN, EURINT), the Interna</w:t>
      </w:r>
      <w:r>
        <w:rPr>
          <w:rFonts w:ascii="Times New Roman" w:hAnsi="Times New Roman" w:cs="Times New Roman"/>
          <w:noProof/>
          <w:sz w:val="24"/>
          <w:szCs w:val="24"/>
          <w:lang w:val="en-GB"/>
        </w:rPr>
        <w:t>tional Centre for Migration Policy Development (on FREM) and the International Organisation for Migration (IOM) (on MAGNET I and II).</w:t>
      </w:r>
    </w:p>
    <w:p w:rsidR="007013FD" w:rsidRDefault="005E3FDE">
      <w:pPr>
        <w:spacing w:line="240" w:lineRule="auto"/>
        <w:ind w:left="42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4. Targeted consultations in the form of a general survey addressed to all RF beneficiaries under the 2011-2013 Annual </w:t>
      </w:r>
      <w:r>
        <w:rPr>
          <w:rFonts w:ascii="Times New Roman" w:hAnsi="Times New Roman" w:cs="Times New Roman"/>
          <w:b/>
          <w:noProof/>
          <w:sz w:val="24"/>
          <w:szCs w:val="24"/>
          <w:lang w:val="en-GB"/>
        </w:rPr>
        <w:t>Programmes (APs):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total of eighty stakeholders representing twenty-five Member States were identified as potential respondents. The survey was open to participants from 30 May 2016 to 20 July 2016 and received twenty-four responses, of which thirteen wer</w:t>
      </w:r>
      <w:r>
        <w:rPr>
          <w:rFonts w:ascii="Times New Roman" w:hAnsi="Times New Roman" w:cs="Times New Roman"/>
          <w:noProof/>
          <w:sz w:val="24"/>
          <w:szCs w:val="24"/>
          <w:lang w:val="en-GB"/>
        </w:rPr>
        <w:t xml:space="preserve">e complete (all questions were answered) and eleven partial. In order to mitigate the risks of a low response rate common to surveys, respondents were offered the possibility of answering the survey online or in Word format. They were also provided with a </w:t>
      </w:r>
      <w:r>
        <w:rPr>
          <w:rFonts w:ascii="Times New Roman" w:hAnsi="Times New Roman" w:cs="Times New Roman"/>
          <w:noProof/>
          <w:sz w:val="24"/>
          <w:szCs w:val="24"/>
          <w:lang w:val="en-GB"/>
        </w:rPr>
        <w:t>specific email address which they could use to contact the evaluation team with any queries. Initially, there was a low response rate nonetheless (only 17 respondents of 63 potential respondents identified), so one week prior to the initial deadline for cl</w:t>
      </w:r>
      <w:r>
        <w:rPr>
          <w:rFonts w:ascii="Times New Roman" w:hAnsi="Times New Roman" w:cs="Times New Roman"/>
          <w:noProof/>
          <w:sz w:val="24"/>
          <w:szCs w:val="24"/>
          <w:lang w:val="en-GB"/>
        </w:rPr>
        <w:t>osure of the consultation, the evaluation team requested the Directorate-General Migration and Home Affairs (DG HOME) to send a reminder to all respondents. The deadline for responding was also extended by twenty days.</w:t>
      </w:r>
    </w:p>
    <w:p w:rsidR="007013FD" w:rsidRDefault="005E3FDE">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Results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most relevant results of </w:t>
      </w:r>
      <w:r>
        <w:rPr>
          <w:rFonts w:ascii="Times New Roman" w:hAnsi="Times New Roman" w:cs="Times New Roman"/>
          <w:noProof/>
          <w:sz w:val="24"/>
          <w:szCs w:val="24"/>
          <w:lang w:val="en-GB"/>
        </w:rPr>
        <w:t>the consultations carried out by the external evaluators and the European Commission are grouped in this section and presented according to the following six evaluation criteria: relevance, effectiveness, efficiency, sustainability, coherence and complemen</w:t>
      </w:r>
      <w:r>
        <w:rPr>
          <w:rFonts w:ascii="Times New Roman" w:hAnsi="Times New Roman" w:cs="Times New Roman"/>
          <w:noProof/>
          <w:sz w:val="24"/>
          <w:szCs w:val="24"/>
          <w:lang w:val="en-GB"/>
        </w:rPr>
        <w:t>tarity, and EU added value.</w:t>
      </w:r>
    </w:p>
    <w:p w:rsidR="007013FD" w:rsidRDefault="005E3FDE">
      <w:pPr>
        <w:spacing w:line="240" w:lineRule="auto"/>
        <w:jc w:val="both"/>
        <w:rPr>
          <w:b/>
          <w:noProof/>
          <w:lang w:val="en-GB"/>
        </w:rPr>
      </w:pPr>
      <w:r>
        <w:rPr>
          <w:rFonts w:ascii="Times New Roman" w:hAnsi="Times New Roman" w:cs="Times New Roman"/>
          <w:b/>
          <w:noProof/>
          <w:sz w:val="24"/>
          <w:lang w:val="en-GB"/>
        </w:rPr>
        <w:t>Relevance</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the Member States</w:t>
      </w:r>
      <w:r>
        <w:rPr>
          <w:rStyle w:val="FootnoteReference"/>
          <w:rFonts w:ascii="Times New Roman" w:hAnsi="Times New Roman" w:cs="Times New Roman"/>
          <w:noProof/>
          <w:sz w:val="24"/>
          <w:szCs w:val="24"/>
          <w:lang w:val="en-GB"/>
        </w:rPr>
        <w:footnoteReference w:id="201"/>
      </w:r>
      <w:r>
        <w:rPr>
          <w:rFonts w:ascii="Times New Roman" w:hAnsi="Times New Roman" w:cs="Times New Roman"/>
          <w:noProof/>
          <w:sz w:val="24"/>
          <w:szCs w:val="24"/>
          <w:lang w:val="en-GB"/>
        </w:rPr>
        <w:t xml:space="preserve"> consulted considered the RF's objectives to be relevant to their individual needs in the area of return. The most relevant priority as identified by the Member States was the developm</w:t>
      </w:r>
      <w:r>
        <w:rPr>
          <w:rFonts w:ascii="Times New Roman" w:hAnsi="Times New Roman" w:cs="Times New Roman"/>
          <w:noProof/>
          <w:sz w:val="24"/>
          <w:szCs w:val="24"/>
          <w:lang w:val="en-GB"/>
        </w:rPr>
        <w:t>ent of a strategic approach to return management (priority 1) - primarily activities promoting voluntary over forced return - especially as some Member States</w:t>
      </w:r>
      <w:r>
        <w:rPr>
          <w:rStyle w:val="FootnoteReference"/>
          <w:rFonts w:ascii="Times New Roman" w:hAnsi="Times New Roman" w:cs="Times New Roman"/>
          <w:noProof/>
          <w:sz w:val="24"/>
          <w:szCs w:val="24"/>
          <w:lang w:val="en-GB"/>
        </w:rPr>
        <w:footnoteReference w:id="202"/>
      </w:r>
      <w:r>
        <w:rPr>
          <w:rFonts w:ascii="Times New Roman" w:hAnsi="Times New Roman" w:cs="Times New Roman"/>
          <w:noProof/>
          <w:sz w:val="24"/>
          <w:szCs w:val="24"/>
          <w:lang w:val="en-GB"/>
        </w:rPr>
        <w:t xml:space="preserve"> lacked experience in dealing with voluntary return. Objectives relating to cooperation in return</w:t>
      </w:r>
      <w:r>
        <w:rPr>
          <w:rFonts w:ascii="Times New Roman" w:hAnsi="Times New Roman" w:cs="Times New Roman"/>
          <w:noProof/>
          <w:sz w:val="24"/>
          <w:szCs w:val="24"/>
          <w:lang w:val="en-GB"/>
        </w:rPr>
        <w:t xml:space="preserve"> management were felt to be particularly relevant by those Member States</w:t>
      </w:r>
      <w:r>
        <w:rPr>
          <w:rStyle w:val="FootnoteReference"/>
          <w:rFonts w:ascii="Times New Roman" w:hAnsi="Times New Roman" w:cs="Times New Roman"/>
          <w:noProof/>
          <w:sz w:val="24"/>
          <w:szCs w:val="24"/>
          <w:lang w:val="en-GB"/>
        </w:rPr>
        <w:footnoteReference w:id="203"/>
      </w:r>
      <w:r>
        <w:rPr>
          <w:rFonts w:ascii="Times New Roman" w:hAnsi="Times New Roman" w:cs="Times New Roman"/>
          <w:noProof/>
          <w:sz w:val="24"/>
          <w:szCs w:val="24"/>
          <w:lang w:val="en-GB"/>
        </w:rPr>
        <w:t xml:space="preserve"> with little experience in this area as they encouraged the exchange of knowledge and best practices. More experienced Member States found them to be less relevant.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6/7 respondents </w:t>
      </w:r>
      <w:r>
        <w:rPr>
          <w:rFonts w:ascii="Times New Roman" w:hAnsi="Times New Roman" w:cs="Times New Roman"/>
          <w:noProof/>
          <w:sz w:val="24"/>
          <w:szCs w:val="24"/>
          <w:lang w:val="en-GB"/>
        </w:rPr>
        <w:t>reported that the projects funded in their country targeted the needs of beneficiaries. For example, actions aimed at helping individuals to set up their own business in their country of origin made the process of reintegration smoother. However, some issu</w:t>
      </w:r>
      <w:r>
        <w:rPr>
          <w:rFonts w:ascii="Times New Roman" w:hAnsi="Times New Roman" w:cs="Times New Roman"/>
          <w:noProof/>
          <w:sz w:val="24"/>
          <w:szCs w:val="24"/>
          <w:lang w:val="en-GB"/>
        </w:rPr>
        <w:t>es were highlighted. Beneficiaries consulted indicated that the RF could have been made more relevant if other categories of migrant were included in the target groups.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whole, national programmes were found to be in agreement with RF objectives. Mem</w:t>
      </w:r>
      <w:r>
        <w:rPr>
          <w:rFonts w:ascii="Times New Roman" w:hAnsi="Times New Roman" w:cs="Times New Roman"/>
          <w:noProof/>
          <w:sz w:val="24"/>
          <w:szCs w:val="24"/>
          <w:lang w:val="en-GB"/>
        </w:rPr>
        <w:t>ber States</w:t>
      </w:r>
      <w:r>
        <w:rPr>
          <w:rStyle w:val="FootnoteReference"/>
          <w:rFonts w:ascii="Times New Roman" w:hAnsi="Times New Roman" w:cs="Times New Roman"/>
          <w:noProof/>
          <w:sz w:val="24"/>
          <w:szCs w:val="24"/>
          <w:lang w:val="en-GB"/>
        </w:rPr>
        <w:footnoteReference w:id="204"/>
      </w:r>
      <w:r>
        <w:rPr>
          <w:rFonts w:ascii="Times New Roman" w:hAnsi="Times New Roman" w:cs="Times New Roman"/>
          <w:noProof/>
          <w:sz w:val="24"/>
          <w:szCs w:val="24"/>
          <w:lang w:val="en-GB"/>
        </w:rPr>
        <w:t xml:space="preserve"> and beneficiaries were interested in being able to adjust the margins of actions in accordance with their changing needs, particularly in emergency situations.</w:t>
      </w:r>
    </w:p>
    <w:p w:rsidR="007013FD" w:rsidRDefault="005E3FDE">
      <w:pPr>
        <w:pStyle w:val="Default"/>
        <w:spacing w:after="120"/>
        <w:ind w:left="-142"/>
        <w:jc w:val="both"/>
        <w:rPr>
          <w:b/>
          <w:noProof/>
        </w:rPr>
      </w:pPr>
      <w:r>
        <w:rPr>
          <w:b/>
          <w:noProof/>
        </w:rPr>
        <w:tab/>
        <w:t>Effectiveness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total of 23 Member States</w:t>
      </w:r>
      <w:r>
        <w:rPr>
          <w:rStyle w:val="FootnoteReference"/>
          <w:rFonts w:ascii="Times New Roman" w:hAnsi="Times New Roman" w:cs="Times New Roman"/>
          <w:noProof/>
          <w:sz w:val="24"/>
          <w:szCs w:val="24"/>
          <w:lang w:val="en-GB"/>
        </w:rPr>
        <w:footnoteReference w:id="205"/>
      </w:r>
      <w:r>
        <w:rPr>
          <w:rFonts w:ascii="Times New Roman" w:hAnsi="Times New Roman" w:cs="Times New Roman"/>
          <w:noProof/>
          <w:sz w:val="24"/>
          <w:szCs w:val="24"/>
          <w:lang w:val="en-GB"/>
        </w:rPr>
        <w:t xml:space="preserve"> reported that the RF had achieved positi</w:t>
      </w:r>
      <w:r>
        <w:rPr>
          <w:rFonts w:ascii="Times New Roman" w:hAnsi="Times New Roman" w:cs="Times New Roman"/>
          <w:noProof/>
          <w:sz w:val="24"/>
          <w:szCs w:val="24"/>
          <w:lang w:val="en-GB"/>
        </w:rPr>
        <w:t>ve results. Projects were also implemented very effectively, with 93% of those put into effect by respondents to the survey being carried out as planned. 80% of these met with no significant difficulties in their implementation. Interviews carried out with</w:t>
      </w:r>
      <w:r>
        <w:rPr>
          <w:rFonts w:ascii="Times New Roman" w:hAnsi="Times New Roman" w:cs="Times New Roman"/>
          <w:noProof/>
          <w:sz w:val="24"/>
          <w:szCs w:val="24"/>
          <w:lang w:val="en-GB"/>
        </w:rPr>
        <w:t xml:space="preserve"> RAs from the Member States show that the RF has been particularly effective in developing an integrated return management approach, with over half of the Member States</w:t>
      </w:r>
      <w:r>
        <w:rPr>
          <w:rStyle w:val="FootnoteReference"/>
          <w:rFonts w:ascii="Times New Roman" w:hAnsi="Times New Roman" w:cs="Times New Roman"/>
          <w:noProof/>
          <w:sz w:val="24"/>
          <w:szCs w:val="24"/>
          <w:lang w:val="en-GB"/>
        </w:rPr>
        <w:footnoteReference w:id="206"/>
      </w:r>
      <w:r>
        <w:rPr>
          <w:rFonts w:ascii="Times New Roman" w:hAnsi="Times New Roman" w:cs="Times New Roman"/>
          <w:noProof/>
          <w:sz w:val="24"/>
          <w:szCs w:val="24"/>
          <w:lang w:val="en-GB"/>
        </w:rPr>
        <w:t xml:space="preserve"> consulted noting the significant contribution made by the RF to the completion of volu</w:t>
      </w:r>
      <w:r>
        <w:rPr>
          <w:rFonts w:ascii="Times New Roman" w:hAnsi="Times New Roman" w:cs="Times New Roman"/>
          <w:noProof/>
          <w:sz w:val="24"/>
          <w:szCs w:val="24"/>
          <w:lang w:val="en-GB"/>
        </w:rPr>
        <w:t>ntary returns. The majority of Member States</w:t>
      </w:r>
      <w:r>
        <w:rPr>
          <w:rStyle w:val="FootnoteReference"/>
          <w:rFonts w:ascii="Times New Roman" w:hAnsi="Times New Roman" w:cs="Times New Roman"/>
          <w:noProof/>
          <w:sz w:val="24"/>
          <w:szCs w:val="24"/>
          <w:lang w:val="en-GB"/>
        </w:rPr>
        <w:footnoteReference w:id="207"/>
      </w:r>
      <w:r>
        <w:rPr>
          <w:rFonts w:ascii="Times New Roman" w:hAnsi="Times New Roman" w:cs="Times New Roman"/>
          <w:noProof/>
          <w:sz w:val="24"/>
          <w:szCs w:val="24"/>
          <w:lang w:val="en-GB"/>
        </w:rPr>
        <w:t xml:space="preserve"> also made overt reference to the importance of the role played by the RF in the introduction and improvement of integrated return management. Although only 2% of RF funding was put towards projects contributing</w:t>
      </w:r>
      <w:r>
        <w:rPr>
          <w:rFonts w:ascii="Times New Roman" w:hAnsi="Times New Roman" w:cs="Times New Roman"/>
          <w:noProof/>
          <w:sz w:val="24"/>
          <w:szCs w:val="24"/>
          <w:lang w:val="en-GB"/>
        </w:rPr>
        <w:t xml:space="preserve"> to the application of EU standards and best practices in the field of return management, and only 14% of the total number of projects related to this objective, a large majority of Member States found the RF to be effective in this area. The majority of M</w:t>
      </w:r>
      <w:r>
        <w:rPr>
          <w:rFonts w:ascii="Times New Roman" w:hAnsi="Times New Roman" w:cs="Times New Roman"/>
          <w:noProof/>
          <w:sz w:val="24"/>
          <w:szCs w:val="24"/>
          <w:lang w:val="en-GB"/>
        </w:rPr>
        <w:t>ember States who responded reported that cooperation between all parties had been enhanced (Member States, third countries and national administrations). In addition, several Member States</w:t>
      </w:r>
      <w:r>
        <w:rPr>
          <w:rStyle w:val="FootnoteReference"/>
          <w:rFonts w:ascii="Times New Roman" w:hAnsi="Times New Roman" w:cs="Times New Roman"/>
          <w:noProof/>
          <w:sz w:val="24"/>
          <w:szCs w:val="24"/>
          <w:lang w:val="en-GB"/>
        </w:rPr>
        <w:footnoteReference w:id="208"/>
      </w:r>
      <w:r>
        <w:rPr>
          <w:rFonts w:ascii="Times New Roman" w:hAnsi="Times New Roman" w:cs="Times New Roman"/>
          <w:noProof/>
          <w:sz w:val="24"/>
          <w:szCs w:val="24"/>
          <w:lang w:val="en-GB"/>
        </w:rPr>
        <w:t xml:space="preserve"> reported that the RF had improved their relations with third count</w:t>
      </w:r>
      <w:r>
        <w:rPr>
          <w:rFonts w:ascii="Times New Roman" w:hAnsi="Times New Roman" w:cs="Times New Roman"/>
          <w:noProof/>
          <w:sz w:val="24"/>
          <w:szCs w:val="24"/>
          <w:lang w:val="en-GB"/>
        </w:rPr>
        <w:t>ries. In some Member States</w:t>
      </w:r>
      <w:r>
        <w:rPr>
          <w:rStyle w:val="FootnoteReference"/>
          <w:rFonts w:ascii="Times New Roman" w:hAnsi="Times New Roman" w:cs="Times New Roman"/>
          <w:noProof/>
          <w:sz w:val="24"/>
          <w:szCs w:val="24"/>
          <w:lang w:val="en-GB"/>
        </w:rPr>
        <w:footnoteReference w:id="209"/>
      </w:r>
      <w:r>
        <w:rPr>
          <w:rFonts w:ascii="Times New Roman" w:hAnsi="Times New Roman" w:cs="Times New Roman"/>
          <w:noProof/>
          <w:sz w:val="24"/>
          <w:szCs w:val="24"/>
          <w:lang w:val="en-GB"/>
        </w:rPr>
        <w:t>, however, results were lower than expected; this was attributed to several challenges faced by the Member States, including lack of cooperation from countries of origin</w:t>
      </w:r>
      <w:r>
        <w:rPr>
          <w:rStyle w:val="FootnoteReference"/>
          <w:rFonts w:ascii="Times New Roman" w:hAnsi="Times New Roman" w:cs="Times New Roman"/>
          <w:noProof/>
          <w:sz w:val="24"/>
          <w:szCs w:val="24"/>
          <w:lang w:val="en-GB"/>
        </w:rPr>
        <w:footnoteReference w:id="210"/>
      </w:r>
      <w:r>
        <w:rPr>
          <w:rFonts w:ascii="Times New Roman" w:hAnsi="Times New Roman" w:cs="Times New Roman"/>
          <w:noProof/>
          <w:sz w:val="24"/>
          <w:szCs w:val="24"/>
          <w:lang w:val="en-GB"/>
        </w:rPr>
        <w:t xml:space="preserve"> and a lower number of returns eligible under the RF.</w:t>
      </w:r>
      <w:r>
        <w:rPr>
          <w:rStyle w:val="FootnoteReference"/>
          <w:rFonts w:ascii="Times New Roman" w:hAnsi="Times New Roman" w:cs="Times New Roman"/>
          <w:noProof/>
          <w:sz w:val="24"/>
          <w:szCs w:val="24"/>
          <w:lang w:val="en-GB"/>
        </w:rPr>
        <w:footnoteReference w:id="211"/>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w:t>
      </w:r>
      <w:r>
        <w:rPr>
          <w:rFonts w:ascii="Times New Roman" w:hAnsi="Times New Roman" w:cs="Times New Roman"/>
          <w:noProof/>
          <w:sz w:val="24"/>
          <w:szCs w:val="24"/>
          <w:lang w:val="en-GB"/>
        </w:rPr>
        <w:t xml:space="preserve"> RF was effective in providing appropriate assistance to vulnerable persons in relation to return procedures, with Belgium, Hungary and Sweden pointing to particular successes.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respondents to the public consultation reported that cooperatio</w:t>
      </w:r>
      <w:r>
        <w:rPr>
          <w:rFonts w:ascii="Times New Roman" w:hAnsi="Times New Roman" w:cs="Times New Roman"/>
          <w:noProof/>
          <w:sz w:val="24"/>
          <w:szCs w:val="24"/>
          <w:lang w:val="en-GB"/>
        </w:rPr>
        <w:t>n had improved between Member States, Member States and Third Countries, and national administrations. Actions have indirectly facilitated an increase in the number of both forced and voluntary returns of third-country nationals, with several Member States</w:t>
      </w:r>
      <w:r>
        <w:rPr>
          <w:rFonts w:ascii="Times New Roman" w:hAnsi="Times New Roman" w:cs="Times New Roman"/>
          <w:noProof/>
          <w:sz w:val="24"/>
          <w:szCs w:val="24"/>
          <w:lang w:val="en-GB"/>
        </w:rPr>
        <w:t xml:space="preserve"> reporting that the RF had improved their relationship with third countries.</w:t>
      </w:r>
    </w:p>
    <w:p w:rsidR="007013FD" w:rsidRDefault="005E3FDE">
      <w:pPr>
        <w:spacing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Efficiency</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of the interviews and survey responses</w:t>
      </w:r>
      <w:r>
        <w:rPr>
          <w:rStyle w:val="FootnoteReference"/>
          <w:rFonts w:ascii="Times New Roman" w:hAnsi="Times New Roman" w:cs="Times New Roman"/>
          <w:noProof/>
          <w:sz w:val="24"/>
          <w:szCs w:val="24"/>
          <w:lang w:val="en-GB"/>
        </w:rPr>
        <w:footnoteReference w:id="212"/>
      </w:r>
      <w:r>
        <w:rPr>
          <w:rFonts w:ascii="Times New Roman" w:hAnsi="Times New Roman" w:cs="Times New Roman"/>
          <w:noProof/>
          <w:sz w:val="24"/>
          <w:szCs w:val="24"/>
          <w:lang w:val="en-GB"/>
        </w:rPr>
        <w:t xml:space="preserve"> indicated that RF actions were achieved at a reasonable cost. 80% of respondents reported that the amount of funding was re</w:t>
      </w:r>
      <w:r>
        <w:rPr>
          <w:rFonts w:ascii="Times New Roman" w:hAnsi="Times New Roman" w:cs="Times New Roman"/>
          <w:noProof/>
          <w:sz w:val="24"/>
          <w:szCs w:val="24"/>
          <w:lang w:val="en-GB"/>
        </w:rPr>
        <w:t>asonable when compared to similar projects. 20% were unsure about the cost-effectiveness of actions funded via the RF. Those beneficiaries of Community Actions who were interviewed also found the projects to be cost-efficient. Several factors which affecte</w:t>
      </w:r>
      <w:r>
        <w:rPr>
          <w:rFonts w:ascii="Times New Roman" w:hAnsi="Times New Roman" w:cs="Times New Roman"/>
          <w:noProof/>
          <w:sz w:val="24"/>
          <w:szCs w:val="24"/>
          <w:lang w:val="en-GB"/>
        </w:rPr>
        <w:t>d the efficiency of the RF were suggested, such as the difficulties of implementing European administrative standards when working in third countries, and the obligation of applying on paper.</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Several Member States</w:t>
      </w:r>
      <w:r>
        <w:rPr>
          <w:rStyle w:val="FootnoteReference"/>
          <w:rFonts w:ascii="Times New Roman" w:hAnsi="Times New Roman" w:cs="Times New Roman"/>
          <w:noProof/>
          <w:sz w:val="24"/>
          <w:szCs w:val="24"/>
          <w:lang w:val="en-GB"/>
        </w:rPr>
        <w:footnoteReference w:id="213"/>
      </w:r>
      <w:r>
        <w:rPr>
          <w:rFonts w:ascii="Times New Roman" w:hAnsi="Times New Roman" w:cs="Times New Roman"/>
          <w:noProof/>
          <w:sz w:val="24"/>
          <w:szCs w:val="24"/>
          <w:lang w:val="en-GB"/>
        </w:rPr>
        <w:t xml:space="preserve"> highlighted the administrative burden whi</w:t>
      </w:r>
      <w:r>
        <w:rPr>
          <w:rFonts w:ascii="Times New Roman" w:hAnsi="Times New Roman" w:cs="Times New Roman"/>
          <w:noProof/>
          <w:sz w:val="24"/>
          <w:szCs w:val="24"/>
          <w:lang w:val="en-GB"/>
        </w:rPr>
        <w:t xml:space="preserve">ch came with the implementation of funded actions; it was suggested that this could have impacted the RF's efficiency. By contrast, the public consultation generated generally positive responses, with 5/7 participants reporting that the RF had "generally" </w:t>
      </w:r>
      <w:r>
        <w:rPr>
          <w:rFonts w:ascii="Times New Roman" w:hAnsi="Times New Roman" w:cs="Times New Roman"/>
          <w:noProof/>
          <w:sz w:val="24"/>
          <w:szCs w:val="24"/>
          <w:lang w:val="en-GB"/>
        </w:rPr>
        <w:t>and "to a great extent" had a positive impact on activities dealing with return.</w:t>
      </w:r>
    </w:p>
    <w:p w:rsidR="007013FD" w:rsidRDefault="005E3FDE">
      <w:pPr>
        <w:spacing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Sustainability</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concluded that the RF had been somewhat sustainable between 2011 and 2013, but there was no convincing evidence to suggest that actions had broug</w:t>
      </w:r>
      <w:r>
        <w:rPr>
          <w:rFonts w:ascii="Times New Roman" w:hAnsi="Times New Roman" w:cs="Times New Roman"/>
          <w:noProof/>
          <w:sz w:val="24"/>
          <w:szCs w:val="24"/>
          <w:lang w:val="en-GB"/>
        </w:rPr>
        <w:t>ht about any long-term impact. However, a considerable number of Member States</w:t>
      </w:r>
      <w:r>
        <w:rPr>
          <w:rStyle w:val="FootnoteReference"/>
          <w:rFonts w:ascii="Times New Roman" w:hAnsi="Times New Roman" w:cs="Times New Roman"/>
          <w:noProof/>
          <w:sz w:val="24"/>
          <w:szCs w:val="24"/>
          <w:lang w:val="en-GB"/>
        </w:rPr>
        <w:footnoteReference w:id="214"/>
      </w:r>
      <w:r>
        <w:rPr>
          <w:rFonts w:ascii="Times New Roman" w:hAnsi="Times New Roman" w:cs="Times New Roman"/>
          <w:noProof/>
          <w:sz w:val="24"/>
          <w:szCs w:val="24"/>
          <w:lang w:val="en-GB"/>
        </w:rPr>
        <w:t xml:space="preserve"> reported that most RF actions had generated a lasting impact after they had ended, with reference to several factors which may have improved the sustainability of RF actions, s</w:t>
      </w:r>
      <w:r>
        <w:rPr>
          <w:rFonts w:ascii="Times New Roman" w:hAnsi="Times New Roman" w:cs="Times New Roman"/>
          <w:noProof/>
          <w:sz w:val="24"/>
          <w:szCs w:val="24"/>
          <w:lang w:val="en-GB"/>
        </w:rPr>
        <w:t xml:space="preserve">uch as development and implementation of projects involving self-sustainable activities. However, only two Member States successfully disseminated project results and only four transferred outcomes into national legislation, both of which were reported as </w:t>
      </w:r>
      <w:r>
        <w:rPr>
          <w:rFonts w:ascii="Times New Roman" w:hAnsi="Times New Roman" w:cs="Times New Roman"/>
          <w:noProof/>
          <w:sz w:val="24"/>
          <w:szCs w:val="24"/>
          <w:lang w:val="en-GB"/>
        </w:rPr>
        <w:t xml:space="preserve">factors which could have improved sustainability.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Five Member States</w:t>
      </w:r>
      <w:r>
        <w:rPr>
          <w:rStyle w:val="FootnoteReference"/>
          <w:rFonts w:ascii="Times New Roman" w:hAnsi="Times New Roman" w:cs="Times New Roman"/>
          <w:noProof/>
          <w:sz w:val="24"/>
          <w:szCs w:val="24"/>
          <w:lang w:val="en-GB"/>
        </w:rPr>
        <w:footnoteReference w:id="215"/>
      </w:r>
      <w:r>
        <w:rPr>
          <w:rFonts w:ascii="Times New Roman" w:hAnsi="Times New Roman" w:cs="Times New Roman"/>
          <w:noProof/>
          <w:sz w:val="24"/>
          <w:szCs w:val="24"/>
          <w:lang w:val="en-GB"/>
        </w:rPr>
        <w:t xml:space="preserve"> reported that AVR(R) programmes were less likely to continue on the same scale without EU funding. Assistance to vulnerable persons and the development of innovative approaches were als</w:t>
      </w:r>
      <w:r>
        <w:rPr>
          <w:rFonts w:ascii="Times New Roman" w:hAnsi="Times New Roman" w:cs="Times New Roman"/>
          <w:noProof/>
          <w:sz w:val="24"/>
          <w:szCs w:val="24"/>
          <w:lang w:val="en-GB"/>
        </w:rPr>
        <w:t>o likely to be limited in the absence of the RF. Forced returns, however, were likely to be carried out via national budgets as Member States have a legal obligation in this respect.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Some actions were felt to be more sustainable than others, including the </w:t>
      </w:r>
      <w:r>
        <w:rPr>
          <w:rFonts w:ascii="Times New Roman" w:hAnsi="Times New Roman" w:cs="Times New Roman"/>
          <w:noProof/>
          <w:sz w:val="24"/>
          <w:szCs w:val="24"/>
          <w:lang w:val="en-GB"/>
        </w:rPr>
        <w:t>creation of new organisational structures and improvements to the infrastructure of detention facilities.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response to the public consultation, 4/7 participants suggested that the improvement of services and procedures would continue to a certain extent </w:t>
      </w:r>
      <w:r>
        <w:rPr>
          <w:rFonts w:ascii="Times New Roman" w:hAnsi="Times New Roman" w:cs="Times New Roman"/>
          <w:noProof/>
          <w:sz w:val="24"/>
          <w:szCs w:val="24"/>
          <w:lang w:val="en-GB"/>
        </w:rPr>
        <w:t>without EU financing.</w:t>
      </w:r>
    </w:p>
    <w:p w:rsidR="007013FD" w:rsidRDefault="005E3FDE">
      <w:pPr>
        <w:spacing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Coherence and Complementarity</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found that actions funded via the RF were generally coherent with and complementary to other EU financial instruments and national policies and needs in the area of return. RF-funded activi</w:t>
      </w:r>
      <w:r>
        <w:rPr>
          <w:rFonts w:ascii="Times New Roman" w:hAnsi="Times New Roman" w:cs="Times New Roman"/>
          <w:noProof/>
          <w:sz w:val="24"/>
          <w:szCs w:val="24"/>
          <w:lang w:val="en-GB"/>
        </w:rPr>
        <w:t>ties did not usually overlap with national actions as the RF was often used to fund areas of return policy which were in receipt of limited national funding. Only 6% of survey respondents reported overlaps.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Several Member States</w:t>
      </w:r>
      <w:r>
        <w:rPr>
          <w:rStyle w:val="FootnoteReference"/>
          <w:rFonts w:ascii="Times New Roman" w:hAnsi="Times New Roman" w:cs="Times New Roman"/>
          <w:noProof/>
          <w:sz w:val="24"/>
          <w:szCs w:val="24"/>
          <w:lang w:val="en-GB"/>
        </w:rPr>
        <w:footnoteReference w:id="216"/>
      </w:r>
      <w:r>
        <w:rPr>
          <w:rFonts w:ascii="Times New Roman" w:hAnsi="Times New Roman" w:cs="Times New Roman"/>
          <w:noProof/>
          <w:sz w:val="24"/>
          <w:szCs w:val="24"/>
          <w:lang w:val="en-GB"/>
        </w:rPr>
        <w:t xml:space="preserve"> found that the RF was comp</w:t>
      </w:r>
      <w:r>
        <w:rPr>
          <w:rFonts w:ascii="Times New Roman" w:hAnsi="Times New Roman" w:cs="Times New Roman"/>
          <w:noProof/>
          <w:sz w:val="24"/>
          <w:szCs w:val="24"/>
          <w:lang w:val="en-GB"/>
        </w:rPr>
        <w:t>lementary to other EU financial instruments. Some</w:t>
      </w:r>
      <w:r>
        <w:rPr>
          <w:rStyle w:val="FootnoteReference"/>
          <w:rFonts w:ascii="Times New Roman" w:hAnsi="Times New Roman" w:cs="Times New Roman"/>
          <w:noProof/>
          <w:sz w:val="24"/>
          <w:szCs w:val="24"/>
          <w:lang w:val="en-GB"/>
        </w:rPr>
        <w:footnoteReference w:id="217"/>
      </w:r>
      <w:r>
        <w:rPr>
          <w:rFonts w:ascii="Times New Roman" w:hAnsi="Times New Roman" w:cs="Times New Roman"/>
          <w:noProof/>
          <w:sz w:val="24"/>
          <w:szCs w:val="24"/>
          <w:lang w:val="en-GB"/>
        </w:rPr>
        <w:t xml:space="preserve"> pointed to particular links between the RF and the EBF, as one intercepted and the other returned members of the same target group (irregular migrants).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Austria and Finland, however, highlighted the </w:t>
      </w:r>
      <w:r>
        <w:rPr>
          <w:rFonts w:ascii="Times New Roman" w:hAnsi="Times New Roman" w:cs="Times New Roman"/>
          <w:noProof/>
          <w:sz w:val="24"/>
          <w:szCs w:val="24"/>
          <w:lang w:val="en-GB"/>
        </w:rPr>
        <w:t>potential for overlaps between actions funded via the RF and those funded via the ERF/EIF. The evaluation indicates that there was little complementarity between RF-funded actions and other EU instruments funding reintegration policies.</w:t>
      </w:r>
    </w:p>
    <w:p w:rsidR="007013FD" w:rsidRDefault="005E3FDE">
      <w:pPr>
        <w:spacing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w:t>
      </w:r>
      <w:r>
        <w:rPr>
          <w:rFonts w:ascii="Times New Roman" w:hAnsi="Times New Roman" w:cs="Times New Roman"/>
          <w:noProof/>
          <w:sz w:val="24"/>
          <w:szCs w:val="24"/>
          <w:lang w:val="en-GB"/>
        </w:rPr>
        <w:t xml:space="preserve"> the help of the RF, more than half of Member States were able to fund aspects of the return system which would not otherwise have received funding; most RF stakeholders reported that the same results would not have been achieved in the absence of the RF. </w:t>
      </w:r>
      <w:r>
        <w:rPr>
          <w:rFonts w:ascii="Times New Roman" w:hAnsi="Times New Roman" w:cs="Times New Roman"/>
          <w:noProof/>
          <w:sz w:val="24"/>
          <w:szCs w:val="24"/>
          <w:lang w:val="en-GB"/>
        </w:rPr>
        <w:t>100% of survey respondents agreed or strongly agreed when asked if the outcomes of their projects would have been possible without the RF, whilst only 50% reported the same regarding structural changes and capacity-building. This suggests that the RF prima</w:t>
      </w:r>
      <w:r>
        <w:rPr>
          <w:rFonts w:ascii="Times New Roman" w:hAnsi="Times New Roman" w:cs="Times New Roman"/>
          <w:noProof/>
          <w:sz w:val="24"/>
          <w:szCs w:val="24"/>
          <w:lang w:val="en-GB"/>
        </w:rPr>
        <w:t>rily brought added value to return operations, although the low response rate means these conclusions are not well-founded.</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National spending on return had an impact on the EU added value of the RF. The fund had particular added value in Member States that</w:t>
      </w:r>
      <w:r>
        <w:rPr>
          <w:rFonts w:ascii="Times New Roman" w:hAnsi="Times New Roman" w:cs="Times New Roman"/>
          <w:noProof/>
          <w:sz w:val="24"/>
          <w:szCs w:val="24"/>
          <w:lang w:val="en-GB"/>
        </w:rPr>
        <w:t xml:space="preserve"> had experienced cuts in public expenditure.</w:t>
      </w:r>
      <w:r>
        <w:rPr>
          <w:rStyle w:val="FootnoteReference"/>
          <w:rFonts w:ascii="Times New Roman" w:hAnsi="Times New Roman" w:cs="Times New Roman"/>
          <w:noProof/>
          <w:sz w:val="24"/>
          <w:szCs w:val="24"/>
          <w:lang w:val="en-GB"/>
        </w:rPr>
        <w:footnoteReference w:id="218"/>
      </w:r>
      <w:r>
        <w:rPr>
          <w:rFonts w:ascii="Times New Roman" w:hAnsi="Times New Roman" w:cs="Times New Roman"/>
          <w:noProof/>
          <w:sz w:val="24"/>
          <w:szCs w:val="24"/>
          <w:lang w:val="en-GB"/>
        </w:rPr>
        <w:t xml:space="preserve"> Member States also highlighted innovation as one of the RF's contributions; those practices which were not in effect before the RF was introduced were considered to be innovative by Member States. 7/7 responden</w:t>
      </w:r>
      <w:r>
        <w:rPr>
          <w:rFonts w:ascii="Times New Roman" w:hAnsi="Times New Roman" w:cs="Times New Roman"/>
          <w:noProof/>
          <w:sz w:val="24"/>
          <w:szCs w:val="24"/>
          <w:lang w:val="en-GB"/>
        </w:rPr>
        <w:t>ts to the public consultation felt that the RF had some impact on the implementation of EU return policies in their country.</w:t>
      </w:r>
    </w:p>
    <w:p w:rsidR="007013FD" w:rsidRDefault="005E3FDE">
      <w:pPr>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br w:type="page"/>
      </w:r>
    </w:p>
    <w:p w:rsidR="007013FD" w:rsidRDefault="005E3FDE">
      <w:pPr>
        <w:pStyle w:val="Heading1"/>
        <w:rPr>
          <w:noProof/>
        </w:rPr>
      </w:pPr>
      <w:bookmarkStart w:id="128" w:name="_Toc496630468"/>
      <w:bookmarkStart w:id="129" w:name="_Toc496711952"/>
      <w:bookmarkStart w:id="130" w:name="_Toc515379370"/>
      <w:r>
        <w:rPr>
          <w:noProof/>
        </w:rPr>
        <w:t xml:space="preserve">ANNEX 3 — </w:t>
      </w:r>
      <w:r>
        <w:rPr>
          <w:b w:val="0"/>
          <w:noProof/>
        </w:rPr>
        <w:t>Methodology</w:t>
      </w:r>
      <w:bookmarkEnd w:id="128"/>
      <w:bookmarkEnd w:id="129"/>
      <w:bookmarkEnd w:id="130"/>
    </w:p>
    <w:p w:rsidR="007013FD" w:rsidRDefault="007013FD">
      <w:pPr>
        <w:spacing w:after="120" w:line="240" w:lineRule="auto"/>
        <w:jc w:val="both"/>
        <w:rPr>
          <w:rFonts w:ascii="Times New Roman" w:hAnsi="Times New Roman" w:cs="Times New Roman"/>
          <w:b/>
          <w:i/>
          <w:noProof/>
          <w:sz w:val="24"/>
          <w:szCs w:val="24"/>
          <w:lang w:val="en-GB"/>
        </w:rPr>
      </w:pP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Study conducted by external evaluators  </w:t>
      </w:r>
    </w:p>
    <w:p w:rsidR="007013FD" w:rsidRDefault="005E3FDE">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relied on a supporting study conducted by an exter</w:t>
      </w:r>
      <w:r>
        <w:rPr>
          <w:rFonts w:ascii="Times New Roman" w:hAnsi="Times New Roman" w:cs="Times New Roman"/>
          <w:noProof/>
          <w:sz w:val="24"/>
          <w:szCs w:val="24"/>
          <w:lang w:val="en-GB"/>
        </w:rPr>
        <w:t>nal company. It was decided to rely on an external study so as to obtain a robust and impartial overview of the Fund. A number of elements ensured the high quality of the study:</w:t>
      </w:r>
    </w:p>
    <w:p w:rsidR="007013FD" w:rsidRDefault="005E3FDE">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 xml:space="preserve">A regular and transparent dialogue took place between the European Commission </w:t>
      </w:r>
      <w:r>
        <w:rPr>
          <w:rFonts w:ascii="Times New Roman" w:hAnsi="Times New Roman"/>
          <w:noProof/>
          <w:sz w:val="24"/>
        </w:rPr>
        <w:t>and the external evaluator;</w:t>
      </w:r>
    </w:p>
    <w:p w:rsidR="007013FD" w:rsidRDefault="005E3FDE">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The terms of reference of the contract were clearly set out and respected;</w:t>
      </w:r>
    </w:p>
    <w:p w:rsidR="007013FD" w:rsidRDefault="005E3FDE">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The Fund's management modes were clearly distinguished in the methodology;</w:t>
      </w:r>
    </w:p>
    <w:p w:rsidR="007013FD" w:rsidRDefault="005E3FDE">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 xml:space="preserve">The evaluation applied a mixed-methods approach in order to address the </w:t>
      </w:r>
      <w:r>
        <w:rPr>
          <w:rFonts w:ascii="Times New Roman" w:hAnsi="Times New Roman"/>
          <w:noProof/>
          <w:sz w:val="24"/>
        </w:rPr>
        <w:t>evaluation questions more fully and to ensure all relevant stakeholders were consulted;</w:t>
      </w:r>
    </w:p>
    <w:p w:rsidR="007013FD" w:rsidRDefault="005E3FDE">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All data sources were assessed for validity and presented data are clearly labelled.</w:t>
      </w:r>
    </w:p>
    <w:p w:rsidR="007013FD" w:rsidRDefault="007013FD">
      <w:pPr>
        <w:pStyle w:val="ListParagraph"/>
        <w:spacing w:line="240" w:lineRule="auto"/>
        <w:jc w:val="both"/>
        <w:rPr>
          <w:rFonts w:ascii="Times New Roman" w:hAnsi="Times New Roman"/>
          <w:noProof/>
          <w:sz w:val="24"/>
        </w:rPr>
      </w:pP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Communication between the European Commission and the external evaluator</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study</w:t>
      </w:r>
      <w:r>
        <w:rPr>
          <w:rFonts w:ascii="Times New Roman" w:hAnsi="Times New Roman" w:cs="Times New Roman"/>
          <w:noProof/>
          <w:sz w:val="24"/>
          <w:szCs w:val="24"/>
          <w:lang w:val="en-GB"/>
        </w:rPr>
        <w:t>'s progress was followed by an Inter-service Steering Group (ISSG) comprised of officials from the Secretariat General (SG), Legal Service (SJ), DG Budget (DG BUDG), DG Regional Policy (DG REGIO), DG Migration and Home Affairs(DG HOME (particularly Units A</w:t>
      </w:r>
      <w:r>
        <w:rPr>
          <w:rFonts w:ascii="Times New Roman" w:hAnsi="Times New Roman" w:cs="Times New Roman"/>
          <w:noProof/>
          <w:sz w:val="24"/>
          <w:szCs w:val="24"/>
          <w:lang w:val="en-GB"/>
        </w:rPr>
        <w:t>2, C1, C3, E1, E2 and E3) as well as the contractor with their partners and experts. Four meetings took place between the contractors and the ISSG and structured feedback (in both directions) was provided on a weekly basis throughout the contract. This two</w:t>
      </w:r>
      <w:r>
        <w:rPr>
          <w:rFonts w:ascii="Times New Roman" w:hAnsi="Times New Roman" w:cs="Times New Roman"/>
          <w:noProof/>
          <w:sz w:val="24"/>
          <w:szCs w:val="24"/>
          <w:lang w:val="en-GB"/>
        </w:rPr>
        <w:t>-way dialogue was enriched by the active participation in the ISSG of policy and implementation units and shadowed by horizontal units and the Secretariat General. The final report delivered by the external company was subject to a Quality Assessment condu</w:t>
      </w:r>
      <w:r>
        <w:rPr>
          <w:rFonts w:ascii="Times New Roman" w:hAnsi="Times New Roman" w:cs="Times New Roman"/>
          <w:noProof/>
          <w:sz w:val="24"/>
          <w:szCs w:val="24"/>
          <w:lang w:val="en-GB"/>
        </w:rPr>
        <w:t xml:space="preserve">cted by the ISSG. </w:t>
      </w: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Management modes and phases</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Shared and direct management modes are clearly distinguished in the external study's methodology and in the presentation of findings. Shared Management comprises actions co-financed by the RF under the 2011-20</w:t>
      </w:r>
      <w:r>
        <w:rPr>
          <w:rFonts w:ascii="Times New Roman" w:hAnsi="Times New Roman" w:cs="Times New Roman"/>
          <w:noProof/>
          <w:sz w:val="24"/>
          <w:szCs w:val="24"/>
          <w:lang w:val="en-GB"/>
        </w:rPr>
        <w:t>13 Annual Programmes implemented by the Member States as well as Emergency Measures. The scope of Direct Management in the study was the RF Community Actions supported under the 2010, 2011, 2012 and 2013 annual work programmes</w:t>
      </w:r>
      <w:r>
        <w:rPr>
          <w:rStyle w:val="FootnoteReference"/>
          <w:rFonts w:ascii="Times New Roman" w:hAnsi="Times New Roman" w:cs="Times New Roman"/>
          <w:noProof/>
          <w:sz w:val="24"/>
          <w:szCs w:val="24"/>
          <w:lang w:val="en-GB"/>
        </w:rPr>
        <w:footnoteReference w:id="219"/>
      </w:r>
      <w:r>
        <w:rPr>
          <w:rFonts w:ascii="Times New Roman" w:hAnsi="Times New Roman" w:cs="Times New Roman"/>
          <w:noProof/>
          <w:sz w:val="24"/>
          <w:szCs w:val="24"/>
          <w:lang w:val="en-GB"/>
        </w:rPr>
        <w:t>.</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Another structuring feature</w:t>
      </w:r>
      <w:r>
        <w:rPr>
          <w:rFonts w:ascii="Times New Roman" w:hAnsi="Times New Roman" w:cs="Times New Roman"/>
          <w:noProof/>
          <w:sz w:val="24"/>
          <w:szCs w:val="24"/>
          <w:lang w:val="en-GB"/>
        </w:rPr>
        <w:t xml:space="preserve"> of the external evaluation was the segmentation of the tasks into clearly defined phases which were closely observed by all parties. These phases had been determined in the Terms of Reference. Adherence to the Terms of Reference made the study itself more</w:t>
      </w:r>
      <w:r>
        <w:rPr>
          <w:rFonts w:ascii="Times New Roman" w:hAnsi="Times New Roman" w:cs="Times New Roman"/>
          <w:noProof/>
          <w:sz w:val="24"/>
          <w:szCs w:val="24"/>
          <w:lang w:val="en-GB"/>
        </w:rPr>
        <w:t xml:space="preserve"> efficient and transparent.</w:t>
      </w: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Data sources and quality</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information analysed by the contractors can be regrouped into two categories:</w:t>
      </w:r>
    </w:p>
    <w:p w:rsidR="007013FD" w:rsidRDefault="005E3FDE">
      <w:pPr>
        <w:pStyle w:val="ListParagraph"/>
        <w:numPr>
          <w:ilvl w:val="0"/>
          <w:numId w:val="21"/>
        </w:numPr>
        <w:spacing w:after="240" w:line="240" w:lineRule="auto"/>
        <w:jc w:val="both"/>
        <w:rPr>
          <w:rFonts w:ascii="Times New Roman" w:hAnsi="Times New Roman"/>
          <w:noProof/>
          <w:sz w:val="24"/>
        </w:rPr>
      </w:pPr>
      <w:r>
        <w:rPr>
          <w:rFonts w:ascii="Times New Roman" w:hAnsi="Times New Roman"/>
          <w:noProof/>
          <w:sz w:val="24"/>
        </w:rPr>
        <w:t xml:space="preserve">Documentation relating to implementation – legal acts; high-level contextual documents; programme documents (Annual Work </w:t>
      </w:r>
      <w:r>
        <w:rPr>
          <w:rFonts w:ascii="Times New Roman" w:hAnsi="Times New Roman"/>
          <w:noProof/>
          <w:sz w:val="24"/>
        </w:rPr>
        <w:t xml:space="preserve">Programmes) and additional evaluation documents (National evaluation reports for shared management and technical implementation reports for direct management); </w:t>
      </w:r>
    </w:p>
    <w:p w:rsidR="007013FD" w:rsidRDefault="007013FD">
      <w:pPr>
        <w:pStyle w:val="ListParagraph"/>
        <w:spacing w:after="240" w:line="240" w:lineRule="auto"/>
        <w:jc w:val="both"/>
        <w:rPr>
          <w:rFonts w:ascii="Times New Roman" w:hAnsi="Times New Roman"/>
          <w:noProof/>
          <w:sz w:val="24"/>
        </w:rPr>
      </w:pPr>
    </w:p>
    <w:p w:rsidR="007013FD" w:rsidRDefault="005E3FDE">
      <w:pPr>
        <w:pStyle w:val="ListParagraph"/>
        <w:numPr>
          <w:ilvl w:val="0"/>
          <w:numId w:val="21"/>
        </w:numPr>
        <w:spacing w:after="240" w:line="240" w:lineRule="auto"/>
        <w:jc w:val="both"/>
        <w:rPr>
          <w:rFonts w:ascii="Times New Roman" w:hAnsi="Times New Roman"/>
          <w:noProof/>
          <w:sz w:val="24"/>
        </w:rPr>
      </w:pPr>
      <w:r>
        <w:rPr>
          <w:rFonts w:ascii="Times New Roman" w:hAnsi="Times New Roman"/>
          <w:noProof/>
          <w:sz w:val="24"/>
        </w:rPr>
        <w:t>Statistical data – this includes:</w:t>
      </w:r>
    </w:p>
    <w:p w:rsidR="007013FD" w:rsidRDefault="005E3FDE">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Official statistics from Eurostat, EASO and UNHCR;</w:t>
      </w:r>
    </w:p>
    <w:p w:rsidR="007013FD" w:rsidRDefault="005E3FDE">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Financial</w:t>
      </w:r>
      <w:r>
        <w:rPr>
          <w:rFonts w:ascii="Times New Roman" w:hAnsi="Times New Roman"/>
          <w:noProof/>
          <w:sz w:val="24"/>
        </w:rPr>
        <w:t xml:space="preserve"> data extracted from ABAC for RF and all SOLID Funds in order to present Programmed and Net EU contributions and absorption rates;</w:t>
      </w:r>
    </w:p>
    <w:p w:rsidR="007013FD" w:rsidRDefault="005E3FDE">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 xml:space="preserve">Financial data extracted from SFC2007 to present the breakdowns by Priority and Specific Priority; </w:t>
      </w:r>
    </w:p>
    <w:p w:rsidR="007013FD" w:rsidRDefault="005E3FDE">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 xml:space="preserve">Financial data extracted </w:t>
      </w:r>
      <w:r>
        <w:rPr>
          <w:rFonts w:ascii="Times New Roman" w:hAnsi="Times New Roman"/>
          <w:noProof/>
          <w:sz w:val="24"/>
        </w:rPr>
        <w:t>from SFC2007 to present Programmed and Net EU contributions and absorption rates for Annual Programmes;</w:t>
      </w:r>
    </w:p>
    <w:p w:rsidR="007013FD" w:rsidRDefault="005E3FDE">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Financial data for direct management were provided by the European Commission. Figures presented are the sum of the cost claims minus the ineligible cos</w:t>
      </w:r>
      <w:r>
        <w:rPr>
          <w:rFonts w:ascii="Times New Roman" w:hAnsi="Times New Roman"/>
          <w:noProof/>
          <w:sz w:val="24"/>
        </w:rPr>
        <w:t>ts.</w:t>
      </w: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Analysis</w:t>
      </w:r>
    </w:p>
    <w:p w:rsidR="007013FD" w:rsidRDefault="005E3FDE">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Three different levels of analysis were undertaken by the evaluator:</w:t>
      </w:r>
    </w:p>
    <w:p w:rsidR="007013FD" w:rsidRDefault="005E3FDE">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Descriptive analysis</w:t>
      </w:r>
      <w:r>
        <w:rPr>
          <w:rFonts w:ascii="Times New Roman" w:hAnsi="Times New Roman"/>
          <w:noProof/>
          <w:sz w:val="24"/>
        </w:rPr>
        <w:t>, at two levels, to provide context and a basis for the development of other types of analysis:</w:t>
      </w:r>
    </w:p>
    <w:p w:rsidR="007013FD" w:rsidRDefault="005E3FDE">
      <w:pPr>
        <w:pStyle w:val="ListParagraph"/>
        <w:numPr>
          <w:ilvl w:val="0"/>
          <w:numId w:val="24"/>
        </w:numPr>
        <w:spacing w:before="120" w:after="120" w:line="240" w:lineRule="auto"/>
        <w:jc w:val="both"/>
        <w:rPr>
          <w:rFonts w:ascii="Times New Roman" w:hAnsi="Times New Roman"/>
          <w:noProof/>
          <w:sz w:val="24"/>
        </w:rPr>
      </w:pPr>
      <w:r>
        <w:rPr>
          <w:rFonts w:ascii="Times New Roman" w:hAnsi="Times New Roman"/>
          <w:noProof/>
          <w:sz w:val="24"/>
        </w:rPr>
        <w:t>EU level: Different official documentation, such as the De</w:t>
      </w:r>
      <w:r>
        <w:rPr>
          <w:rFonts w:ascii="Times New Roman" w:hAnsi="Times New Roman"/>
          <w:noProof/>
          <w:sz w:val="24"/>
        </w:rPr>
        <w:t>cision establishing the RF, as well as interviews with DG HOME were analysed and used to describe the context of the RF, such as the objectives it was aiming to achieve and the type of actions eligible for funding under the RF.</w:t>
      </w:r>
    </w:p>
    <w:p w:rsidR="007013FD" w:rsidRDefault="005E3FDE">
      <w:pPr>
        <w:pStyle w:val="ListParagraph"/>
        <w:numPr>
          <w:ilvl w:val="0"/>
          <w:numId w:val="24"/>
        </w:numPr>
        <w:spacing w:before="120" w:after="120" w:line="240" w:lineRule="auto"/>
        <w:jc w:val="both"/>
        <w:rPr>
          <w:rFonts w:ascii="Times New Roman" w:hAnsi="Times New Roman"/>
          <w:noProof/>
          <w:sz w:val="24"/>
        </w:rPr>
      </w:pPr>
      <w:r>
        <w:rPr>
          <w:rFonts w:ascii="Times New Roman" w:hAnsi="Times New Roman"/>
          <w:noProof/>
          <w:sz w:val="24"/>
        </w:rPr>
        <w:t>Case studies: The analysis o</w:t>
      </w:r>
      <w:r>
        <w:rPr>
          <w:rFonts w:ascii="Times New Roman" w:hAnsi="Times New Roman"/>
          <w:noProof/>
          <w:sz w:val="24"/>
        </w:rPr>
        <w:t>f the data collected relating to the national actions as part of the case studies (all programmatic documents, national evaluation reports and interview notes) was carried out and described according to the intervention logic elements, as well as all the e</w:t>
      </w:r>
      <w:r>
        <w:rPr>
          <w:rFonts w:ascii="Times New Roman" w:hAnsi="Times New Roman"/>
          <w:noProof/>
          <w:sz w:val="24"/>
        </w:rPr>
        <w:t>valuation criteria in the case study reports. The case studies were selected according to four fixed criteria to improve representativeness (Objectives, Priorities, types of intervention); relevance (external borders and migratory pressure); solidarity (wh</w:t>
      </w:r>
      <w:r>
        <w:rPr>
          <w:rFonts w:ascii="Times New Roman" w:hAnsi="Times New Roman"/>
          <w:noProof/>
          <w:sz w:val="24"/>
        </w:rPr>
        <w:t>ere investments exceed input) and coverage of the evaluation questions in the national evaluation reports.</w:t>
      </w:r>
    </w:p>
    <w:p w:rsidR="007013FD" w:rsidRDefault="005E3FDE">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Thematic analysis:</w:t>
      </w:r>
      <w:r>
        <w:rPr>
          <w:rFonts w:ascii="Times New Roman" w:hAnsi="Times New Roman"/>
          <w:noProof/>
          <w:sz w:val="24"/>
        </w:rPr>
        <w:t xml:space="preserve"> For this analysis, N-vivo, a qualitative analysis tool, was used to encode and subsequently analyse the information from the national evaluation reports and relevant interviews (EU level and interviews with RAs). The encoding was done according to a Codin</w:t>
      </w:r>
      <w:r>
        <w:rPr>
          <w:rFonts w:ascii="Times New Roman" w:hAnsi="Times New Roman"/>
          <w:noProof/>
          <w:sz w:val="24"/>
        </w:rPr>
        <w:t>g Framework which included all the different intervention logic elements, as well as all the evaluation criteria, and allowed for the creation of “sub-nodes” as further themes emerged from the analysis. Through the encoding, trends and themes emerged acros</w:t>
      </w:r>
      <w:r>
        <w:rPr>
          <w:rFonts w:ascii="Times New Roman" w:hAnsi="Times New Roman"/>
          <w:noProof/>
          <w:sz w:val="24"/>
        </w:rPr>
        <w:t xml:space="preserve">s the participating countries under the different evaluation criteria and RF objectives and priorities. In addition, quantitative data collected was analysed, such as the context and effectiveness indicators from the final closure reports submitted by the </w:t>
      </w:r>
      <w:r>
        <w:rPr>
          <w:rFonts w:ascii="Times New Roman" w:hAnsi="Times New Roman"/>
          <w:noProof/>
          <w:sz w:val="24"/>
        </w:rPr>
        <w:t xml:space="preserve">Member States (as presented in the SFC 2007 database) and national evaluation reports. This quantitative analysis also allowed for key messages to emerge from the data (such as type of priority receiving the most funding). </w:t>
      </w:r>
    </w:p>
    <w:p w:rsidR="007013FD" w:rsidRDefault="007013FD">
      <w:pPr>
        <w:spacing w:before="120" w:after="120" w:line="240" w:lineRule="auto"/>
        <w:jc w:val="both"/>
        <w:rPr>
          <w:rFonts w:ascii="Times New Roman" w:hAnsi="Times New Roman" w:cs="Times New Roman"/>
          <w:noProof/>
          <w:sz w:val="24"/>
          <w:szCs w:val="24"/>
          <w:lang w:val="en-GB"/>
        </w:rPr>
      </w:pPr>
    </w:p>
    <w:p w:rsidR="007013FD" w:rsidRDefault="005E3FDE">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Comparative analysis:</w:t>
      </w:r>
      <w:r>
        <w:rPr>
          <w:rFonts w:ascii="Times New Roman" w:hAnsi="Times New Roman"/>
          <w:noProof/>
          <w:sz w:val="24"/>
        </w:rPr>
        <w:t xml:space="preserve"> Building </w:t>
      </w:r>
      <w:r>
        <w:rPr>
          <w:rFonts w:ascii="Times New Roman" w:hAnsi="Times New Roman"/>
          <w:noProof/>
          <w:sz w:val="24"/>
        </w:rPr>
        <w:t>on the descriptive and thematic analysis, a comparative analysis was undertaken, comparing the findings from different participating countries under each of the evaluation criteria. The comparative analysis allowed the study team to assess the extent to wh</w:t>
      </w:r>
      <w:r>
        <w:rPr>
          <w:rFonts w:ascii="Times New Roman" w:hAnsi="Times New Roman"/>
          <w:noProof/>
          <w:sz w:val="24"/>
        </w:rPr>
        <w:t xml:space="preserve">ich the research findings were coherent. The case studies were also included in the analysis and used to illustrate certain findings. </w:t>
      </w:r>
    </w:p>
    <w:p w:rsidR="007013FD" w:rsidRDefault="007013FD">
      <w:pPr>
        <w:pStyle w:val="ListParagraph"/>
        <w:spacing w:after="240" w:line="240" w:lineRule="auto"/>
        <w:jc w:val="both"/>
        <w:rPr>
          <w:rFonts w:ascii="Times New Roman" w:hAnsi="Times New Roman"/>
          <w:b/>
          <w:i/>
          <w:noProof/>
          <w:sz w:val="24"/>
          <w:u w:val="single"/>
        </w:rPr>
      </w:pP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Assessing the Impacts of the RF</w:t>
      </w:r>
    </w:p>
    <w:p w:rsidR="007013FD" w:rsidRDefault="005E3FDE">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Evaluating the impacts of the RF at national level is more complicated as it requires ex</w:t>
      </w:r>
      <w:r>
        <w:rPr>
          <w:rFonts w:ascii="Times New Roman" w:hAnsi="Times New Roman" w:cs="Times New Roman"/>
          <w:noProof/>
          <w:sz w:val="24"/>
          <w:szCs w:val="24"/>
          <w:lang w:val="en-GB"/>
        </w:rPr>
        <w:t>periment conditions with a matched control where RF was not utilised. In order to mitigate this, the study used information from the case studies and interviews, as well as the evaluators’ own judgment.</w:t>
      </w:r>
    </w:p>
    <w:p w:rsidR="007013FD" w:rsidRDefault="005E3FDE">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Public Consultation</w:t>
      </w:r>
    </w:p>
    <w:p w:rsidR="007013FD" w:rsidRDefault="005E3FDE">
      <w:pPr>
        <w:spacing w:after="240" w:line="240" w:lineRule="auto"/>
        <w:jc w:val="both"/>
        <w:rPr>
          <w:b/>
          <w:noProof/>
          <w:lang w:val="en-GB"/>
        </w:rPr>
        <w:sectPr w:rsidR="007013F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pPr>
      <w:r>
        <w:rPr>
          <w:rFonts w:ascii="Times New Roman" w:hAnsi="Times New Roman" w:cs="Times New Roman"/>
          <w:noProof/>
          <w:sz w:val="24"/>
          <w:szCs w:val="24"/>
          <w:lang w:val="en-GB"/>
        </w:rPr>
        <w:t>Between 10 May 2016 and 9 August 2016, the European Commission also held an Internet-based open public consultation on the RF 2011-2013 in the form of an online questionnaire. The types of stakeholder invited to participate in this consultati</w:t>
      </w:r>
      <w:r>
        <w:rPr>
          <w:rFonts w:ascii="Times New Roman" w:hAnsi="Times New Roman" w:cs="Times New Roman"/>
          <w:noProof/>
          <w:sz w:val="24"/>
          <w:szCs w:val="24"/>
          <w:lang w:val="en-GB"/>
        </w:rPr>
        <w:t>on were: individuals (experts, beneficiaries), local and national Member State Authorities, intergovernmental and non-governmental organisations, social partners and civil society, academic institutions, international organisations, and EU Institutions and</w:t>
      </w:r>
      <w:r>
        <w:rPr>
          <w:rFonts w:ascii="Times New Roman" w:hAnsi="Times New Roman" w:cs="Times New Roman"/>
          <w:noProof/>
          <w:sz w:val="24"/>
          <w:szCs w:val="24"/>
          <w:lang w:val="en-GB"/>
        </w:rPr>
        <w:t xml:space="preserve"> Agencies. The results of the open public consultation fed into the analysis developed to answer the evaluation questions.  </w:t>
      </w:r>
    </w:p>
    <w:p w:rsidR="007013FD" w:rsidRDefault="007013FD">
      <w:pPr>
        <w:rPr>
          <w:noProof/>
          <w:lang w:val="en-GB"/>
        </w:rPr>
      </w:pPr>
    </w:p>
    <w:p w:rsidR="007013FD" w:rsidRDefault="005E3FDE">
      <w:pPr>
        <w:rPr>
          <w:noProof/>
          <w:lang w:val="en-GB"/>
        </w:rPr>
        <w:sectPr w:rsidR="007013FD">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18" w:right="1418" w:bottom="1418" w:left="1418" w:header="709" w:footer="709" w:gutter="0"/>
          <w:cols w:space="720"/>
          <w:docGrid w:linePitch="360"/>
        </w:sectPr>
      </w:pPr>
      <w:r>
        <w:rPr>
          <w:rFonts w:ascii="Times New Roman" w:hAnsi="Times New Roman" w:cs="Times New Roman"/>
          <w:noProof/>
          <w:sz w:val="24"/>
          <w:szCs w:val="24"/>
          <w:lang w:val="en-GB"/>
        </w:rPr>
        <w:br w:type="page"/>
      </w:r>
    </w:p>
    <w:p w:rsidR="007013FD" w:rsidRDefault="005E3FDE">
      <w:pPr>
        <w:pStyle w:val="Heading1"/>
        <w:numPr>
          <w:ilvl w:val="0"/>
          <w:numId w:val="0"/>
        </w:numPr>
        <w:rPr>
          <w:b w:val="0"/>
          <w:noProof/>
        </w:rPr>
      </w:pPr>
      <w:bookmarkStart w:id="131" w:name="_Toc496630469"/>
      <w:bookmarkStart w:id="132" w:name="_Toc496711953"/>
      <w:bookmarkStart w:id="133" w:name="_Toc515379371"/>
      <w:r>
        <w:rPr>
          <w:b w:val="0"/>
          <w:noProof/>
        </w:rPr>
        <w:t>13</w:t>
      </w:r>
      <w:r>
        <w:rPr>
          <w:noProof/>
        </w:rPr>
        <w:tab/>
        <w:t xml:space="preserve">ANNEX 4 — </w:t>
      </w:r>
      <w:r>
        <w:rPr>
          <w:b w:val="0"/>
          <w:noProof/>
        </w:rPr>
        <w:t>List of evaluation questions</w:t>
      </w:r>
      <w:bookmarkEnd w:id="131"/>
      <w:bookmarkEnd w:id="132"/>
      <w:bookmarkEnd w:id="133"/>
    </w:p>
    <w:p w:rsidR="007013FD" w:rsidRDefault="005E3FDE">
      <w:pPr>
        <w:spacing w:line="240" w:lineRule="auto"/>
        <w:rPr>
          <w:rFonts w:ascii="Times New Roman" w:hAnsi="Times New Roman" w:cs="Times New Roman"/>
          <w:b/>
          <w:i/>
          <w:noProof/>
          <w:sz w:val="24"/>
          <w:szCs w:val="24"/>
          <w:lang w:val="en-GB"/>
        </w:rPr>
        <w:sectPr w:rsidR="007013FD">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418" w:right="1418" w:bottom="1418" w:left="1418" w:header="709" w:footer="709" w:gutter="0"/>
          <w:cols w:space="720"/>
          <w:docGrid w:linePitch="360"/>
        </w:sectPr>
      </w:pPr>
      <w:r>
        <w:rPr>
          <w:rFonts w:ascii="Times New Roman" w:hAnsi="Times New Roman" w:cs="Times New Roman"/>
          <w:b/>
          <w:i/>
          <w:noProof/>
          <w:sz w:val="24"/>
          <w:szCs w:val="24"/>
          <w:lang w:val="en-GB"/>
        </w:rPr>
        <w:t>Theme 1 Effectiveness</w:t>
      </w:r>
    </w:p>
    <w:p w:rsidR="007013FD" w:rsidRDefault="005E3FDE">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1. To what extent did the RF 2011-2013 actions contribute to the achievement of the objectives defined in the Articles 2 and 3 of Decision No 2007/575/EC and to the priorities defined by the strategic</w:t>
      </w:r>
      <w:r>
        <w:rPr>
          <w:rFonts w:ascii="Times New Roman" w:hAnsi="Times New Roman" w:cs="Times New Roman"/>
          <w:noProof/>
          <w:sz w:val="24"/>
          <w:szCs w:val="24"/>
          <w:lang w:val="en-GB"/>
        </w:rPr>
        <w:t xml:space="preserve"> guidelines (Decision No 2007/837/EC)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2. To what extent did the actions under the RF 2011-2013 contribute to the development of integrated return management and in particular to the balance between forced and voluntary returns and to the setting up of a </w:t>
      </w:r>
      <w:r>
        <w:rPr>
          <w:rFonts w:ascii="Times New Roman" w:hAnsi="Times New Roman" w:cs="Times New Roman"/>
          <w:noProof/>
          <w:sz w:val="24"/>
          <w:szCs w:val="24"/>
          <w:lang w:val="en-GB"/>
        </w:rPr>
        <w:t>return procedure based on the situation of the potential returnees?</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3. To what extent did the actions under the RF 2011-2013 contribute to the cooperation between Member States in return management?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4. To what extent did the actions under the RF 2011-2013 </w:t>
      </w:r>
      <w:r>
        <w:rPr>
          <w:rFonts w:ascii="Times New Roman" w:hAnsi="Times New Roman" w:cs="Times New Roman"/>
          <w:noProof/>
          <w:sz w:val="24"/>
          <w:szCs w:val="24"/>
          <w:lang w:val="en-GB"/>
        </w:rPr>
        <w:t>contribute to the cooperation between Member States and third countries in return management?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5. To what extent did the actions under the RF 2011-2013 contribute to specific innovative (inter)national tools for return management?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6. To what extent did the </w:t>
      </w:r>
      <w:r>
        <w:rPr>
          <w:rFonts w:ascii="Times New Roman" w:hAnsi="Times New Roman" w:cs="Times New Roman"/>
          <w:noProof/>
          <w:sz w:val="24"/>
          <w:szCs w:val="24"/>
          <w:lang w:val="en-GB"/>
        </w:rPr>
        <w:t>actions under the RF 2011-2013 contribute to the implementation of EU standards and best practices in return management?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7. To what extent did the actions under the RF 2011-2013 contribute to the cooperation between different levels (national, regional, lo</w:t>
      </w:r>
      <w:r>
        <w:rPr>
          <w:rFonts w:ascii="Times New Roman" w:hAnsi="Times New Roman" w:cs="Times New Roman"/>
          <w:noProof/>
          <w:sz w:val="24"/>
          <w:szCs w:val="24"/>
          <w:lang w:val="en-GB"/>
        </w:rPr>
        <w:t>cal and urban)?</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7.a. To what extent were the RF 2011-2013 actions, and in particular the RF Community actions, effective in providing support services to Member States in duly substantiated emergency situations requiring urgent action in the field of retur</w:t>
      </w:r>
      <w:r>
        <w:rPr>
          <w:rFonts w:ascii="Times New Roman" w:hAnsi="Times New Roman" w:cs="Times New Roman"/>
          <w:noProof/>
          <w:sz w:val="24"/>
          <w:szCs w:val="24"/>
          <w:lang w:val="en-GB"/>
        </w:rPr>
        <w:t>n management?</w:t>
      </w:r>
    </w:p>
    <w:p w:rsidR="007013FD" w:rsidRDefault="005E3FDE">
      <w:pPr>
        <w:spacing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2 Efficiency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8. To what extent were the effects of the RF 2011-2013 actions achieved at a reasonable cost in terms of financial and human resources deployed?</w:t>
      </w:r>
    </w:p>
    <w:p w:rsidR="007013FD" w:rsidRDefault="005E3FDE">
      <w:pPr>
        <w:spacing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Theme 3 Sustainability</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9. To what extent have the positive effects of the RF </w:t>
      </w:r>
      <w:r>
        <w:rPr>
          <w:rFonts w:ascii="Times New Roman" w:hAnsi="Times New Roman" w:cs="Times New Roman"/>
          <w:noProof/>
          <w:sz w:val="24"/>
          <w:szCs w:val="24"/>
          <w:lang w:val="en-GB"/>
        </w:rPr>
        <w:t>2011-2013 actions lasted after the interventions were terminated?</w:t>
      </w:r>
    </w:p>
    <w:p w:rsidR="007013FD" w:rsidRDefault="005E3FDE">
      <w:pPr>
        <w:spacing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4 Relevance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10. To what extent did the RF objectives correspond to needs in the field of return management?</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11. To what extent did the objectives of the actions under the RF 2011-2013</w:t>
      </w:r>
      <w:r>
        <w:rPr>
          <w:rFonts w:ascii="Times New Roman" w:hAnsi="Times New Roman" w:cs="Times New Roman"/>
          <w:noProof/>
          <w:sz w:val="24"/>
          <w:szCs w:val="24"/>
          <w:lang w:val="en-GB"/>
        </w:rPr>
        <w:t xml:space="preserve"> correspond to the needs in the field of return management?</w:t>
      </w:r>
    </w:p>
    <w:p w:rsidR="007013FD" w:rsidRDefault="005E3FDE">
      <w:pPr>
        <w:spacing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5 Coherence and complementarity </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12a. To what extent were the Return Fund 2011-2013 actions coherent with and complementary to other EU financial instruments or from national resources of th</w:t>
      </w:r>
      <w:r>
        <w:rPr>
          <w:rFonts w:ascii="Times New Roman" w:hAnsi="Times New Roman" w:cs="Times New Roman"/>
          <w:noProof/>
          <w:sz w:val="24"/>
          <w:szCs w:val="24"/>
          <w:lang w:val="en-GB"/>
        </w:rPr>
        <w:t xml:space="preserve">e Member States, including the activities of the European Agency for the Management of Operational Cooperation at the External Borders of the Member States of the European Union (Frontex) providing EU Member States with the necessary support in organising </w:t>
      </w:r>
      <w:r>
        <w:rPr>
          <w:rFonts w:ascii="Times New Roman" w:hAnsi="Times New Roman" w:cs="Times New Roman"/>
          <w:noProof/>
          <w:sz w:val="24"/>
          <w:szCs w:val="24"/>
          <w:lang w:val="en-GB"/>
        </w:rPr>
        <w:t>joint return operations?</w:t>
      </w:r>
    </w:p>
    <w:p w:rsidR="007013FD" w:rsidRDefault="005E3FDE">
      <w:pPr>
        <w:spacing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Theme 6 EU added value</w:t>
      </w:r>
    </w:p>
    <w:p w:rsidR="007013FD" w:rsidRDefault="005E3FDE">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13. What is the additional value resulting from the RF 2011-2013 actions compared to what the Member States would be able to carry out through investments necessary for the implementation of the EU policies i</w:t>
      </w:r>
      <w:r>
        <w:rPr>
          <w:rFonts w:ascii="Times New Roman" w:hAnsi="Times New Roman" w:cs="Times New Roman"/>
          <w:noProof/>
          <w:sz w:val="24"/>
          <w:szCs w:val="24"/>
          <w:lang w:val="en-GB"/>
        </w:rPr>
        <w:t>n the field of return management without the support of the RF 2011-2013 actions?</w:t>
      </w:r>
    </w:p>
    <w:p w:rsidR="007013FD" w:rsidRDefault="005E3FDE">
      <w:pPr>
        <w:spacing w:line="240" w:lineRule="auto"/>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br w:type="page"/>
      </w:r>
    </w:p>
    <w:p w:rsidR="007013FD" w:rsidRDefault="005E3FDE">
      <w:pPr>
        <w:pStyle w:val="Heading1"/>
        <w:numPr>
          <w:ilvl w:val="0"/>
          <w:numId w:val="0"/>
        </w:numPr>
        <w:rPr>
          <w:b w:val="0"/>
          <w:noProof/>
        </w:rPr>
      </w:pPr>
      <w:bookmarkStart w:id="134" w:name="_Toc496630470"/>
      <w:bookmarkStart w:id="135" w:name="_Toc496711954"/>
      <w:bookmarkStart w:id="136" w:name="_Toc515379372"/>
      <w:r>
        <w:rPr>
          <w:b w:val="0"/>
          <w:noProof/>
        </w:rPr>
        <w:t>14</w:t>
      </w:r>
      <w:r>
        <w:rPr>
          <w:noProof/>
        </w:rPr>
        <w:tab/>
        <w:t xml:space="preserve">ANNEX 5 — </w:t>
      </w:r>
      <w:r>
        <w:rPr>
          <w:b w:val="0"/>
          <w:noProof/>
        </w:rPr>
        <w:t>List of abbreviations and country codes</w:t>
      </w:r>
      <w:bookmarkEnd w:id="134"/>
      <w:bookmarkEnd w:id="135"/>
      <w:bookmarkEnd w:id="136"/>
    </w:p>
    <w:p w:rsidR="007013FD" w:rsidRDefault="007013FD">
      <w:pPr>
        <w:spacing w:after="0"/>
        <w:rPr>
          <w:rFonts w:ascii="Times New Roman" w:hAnsi="Times New Roman" w:cs="Times New Roman"/>
          <w:noProof/>
          <w:sz w:val="24"/>
          <w:szCs w:val="24"/>
          <w:lang w:val="en-GB"/>
        </w:rPr>
      </w:pP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ABAC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Accrual Basic Accounting</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AMIF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Asylum, Migration and Integration Fund</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AP</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Annual Programme</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AWP</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Annual Work Prog</w:t>
      </w:r>
      <w:r>
        <w:rPr>
          <w:rFonts w:ascii="Times New Roman" w:hAnsi="Times New Roman" w:cs="Times New Roman"/>
          <w:noProof/>
          <w:sz w:val="24"/>
          <w:szCs w:val="24"/>
          <w:lang w:val="en-GB"/>
        </w:rPr>
        <w:t>ramme</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Community Action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CEAS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Common European Asylum System</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COI</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Country of Origin Information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EAC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Asylum Curriculum</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EASO</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Asylum Support Office</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EBF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Borders Fund</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Commission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EIA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Extended Impact Assessment</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EIF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r>
      <w:r>
        <w:rPr>
          <w:rFonts w:ascii="Times New Roman" w:hAnsi="Times New Roman" w:cs="Times New Roman"/>
          <w:noProof/>
          <w:sz w:val="24"/>
          <w:szCs w:val="24"/>
          <w:lang w:val="en-GB"/>
        </w:rPr>
        <w:t xml:space="preserve">European Integration Fund </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EQ</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Evaluation Question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ERF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Refugee Fund</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IOM</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International Organisation for Migration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ISF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Internal Security Fund</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ISSG</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Inter Service Steering Group</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MPI</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Migration Policy Institute</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NGO</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Non-Governmental Organisation</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RA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Responsible Authority</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RF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Return Fund</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SFC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System for Fund Management</w:t>
      </w:r>
    </w:p>
    <w:p w:rsidR="007013FD" w:rsidRDefault="005E3FDE">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SOLID</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Solidarity and Management of Migration Flows</w:t>
      </w:r>
    </w:p>
    <w:p w:rsidR="007013FD" w:rsidRDefault="007013FD">
      <w:pPr>
        <w:pStyle w:val="Body"/>
        <w:rPr>
          <w:rFonts w:ascii="Times New Roman" w:hAnsi="Times New Roman" w:cs="Times New Roman"/>
          <w:b/>
          <w:i/>
          <w:noProof/>
          <w:sz w:val="24"/>
          <w:szCs w:val="24"/>
          <w:lang w:val="en-GB"/>
        </w:rPr>
      </w:pPr>
    </w:p>
    <w:p w:rsidR="007013FD" w:rsidRDefault="005E3FDE">
      <w:pPr>
        <w:pStyle w:val="Body"/>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List of country codes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696"/>
        <w:gridCol w:w="7082"/>
      </w:tblGrid>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AT</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 xml:space="preserve">Austria </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BE</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Belgium</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BG</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Bulgaria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CH</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Switzerland</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CY</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Cyprus</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CZ</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Czech Republic</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DE</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Germany</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DK</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Denmark</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EE</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Estonia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EL</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Greece</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ES</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Spain</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FI</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Finland</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FR</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France</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HR</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Croatia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HU</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Hungary</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IE</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Ireland</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IS</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Iceland</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IT</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Italy</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LT</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Lithuania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LU</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Luxembourg</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LV</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Latvia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MT</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Malta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NL</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Netherlands</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NO</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 xml:space="preserve">Norway </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PL</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Poland</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PT</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Portugal</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RO</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Romania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SE</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Sweden</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SI</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Slovenia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SK</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Slovakia</w:t>
            </w:r>
          </w:p>
        </w:tc>
      </w:tr>
      <w:tr w:rsidR="007013FD">
        <w:tc>
          <w:tcPr>
            <w:tcW w:w="1696" w:type="dxa"/>
            <w:shd w:val="clear" w:color="auto" w:fill="auto"/>
            <w:vAlign w:val="center"/>
          </w:tcPr>
          <w:p w:rsidR="007013FD" w:rsidRDefault="005E3FDE">
            <w:pPr>
              <w:pStyle w:val="Body"/>
              <w:spacing w:after="0"/>
              <w:rPr>
                <w:rFonts w:ascii="Times New Roman" w:eastAsia="MS Mincho" w:hAnsi="Times New Roman"/>
                <w:noProof/>
                <w:color w:val="000000"/>
                <w:sz w:val="24"/>
                <w:lang w:val="en-GB"/>
              </w:rPr>
            </w:pPr>
            <w:r>
              <w:rPr>
                <w:rFonts w:ascii="Times New Roman" w:eastAsia="MS Mincho" w:hAnsi="Times New Roman"/>
                <w:noProof/>
                <w:color w:val="000000"/>
                <w:sz w:val="24"/>
                <w:lang w:val="en-GB"/>
              </w:rPr>
              <w:t>UK</w:t>
            </w:r>
          </w:p>
        </w:tc>
        <w:tc>
          <w:tcPr>
            <w:tcW w:w="7082" w:type="dxa"/>
            <w:shd w:val="clear" w:color="auto" w:fill="auto"/>
            <w:vAlign w:val="center"/>
          </w:tcPr>
          <w:p w:rsidR="007013FD" w:rsidRDefault="005E3FDE">
            <w:pPr>
              <w:pStyle w:val="Body"/>
              <w:spacing w:after="0"/>
              <w:rPr>
                <w:rFonts w:ascii="Times New Roman" w:eastAsia="MS Mincho" w:hAnsi="Times New Roman"/>
                <w:noProof/>
                <w:sz w:val="24"/>
                <w:lang w:val="en-GB"/>
              </w:rPr>
            </w:pPr>
            <w:r>
              <w:rPr>
                <w:rFonts w:ascii="Times New Roman" w:eastAsia="MS Mincho" w:hAnsi="Times New Roman"/>
                <w:noProof/>
                <w:sz w:val="24"/>
                <w:lang w:val="en-GB"/>
              </w:rPr>
              <w:t xml:space="preserve">United Kingdom </w:t>
            </w:r>
          </w:p>
        </w:tc>
      </w:tr>
    </w:tbl>
    <w:p w:rsidR="007013FD" w:rsidRDefault="007013FD">
      <w:pPr>
        <w:spacing w:line="240" w:lineRule="auto"/>
        <w:jc w:val="both"/>
        <w:rPr>
          <w:rFonts w:ascii="Times New Roman" w:hAnsi="Times New Roman"/>
          <w:noProof/>
          <w:sz w:val="24"/>
        </w:rPr>
      </w:pPr>
    </w:p>
    <w:p w:rsidR="007013FD" w:rsidRDefault="007013FD">
      <w:pPr>
        <w:rPr>
          <w:rFonts w:ascii="Times New Roman" w:hAnsi="Times New Roman"/>
          <w:noProof/>
          <w:sz w:val="24"/>
          <w:lang w:val="en-GB"/>
        </w:rPr>
      </w:pPr>
    </w:p>
    <w:sectPr w:rsidR="007013FD">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FD" w:rsidRDefault="005E3FDE">
      <w:pPr>
        <w:spacing w:after="0" w:line="240" w:lineRule="auto"/>
      </w:pPr>
      <w:r>
        <w:separator/>
      </w:r>
    </w:p>
  </w:endnote>
  <w:endnote w:type="continuationSeparator" w:id="0">
    <w:p w:rsidR="007013FD" w:rsidRDefault="005E3FDE">
      <w:pPr>
        <w:spacing w:after="0" w:line="240" w:lineRule="auto"/>
      </w:pPr>
      <w:r>
        <w:continuationSeparator/>
      </w:r>
    </w:p>
  </w:endnote>
  <w:endnote w:type="continuationNotice" w:id="1">
    <w:p w:rsidR="007013FD" w:rsidRDefault="00701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Regular">
    <w:altName w:val="Times New Roman"/>
    <w:charset w:val="00"/>
    <w:family w:val="auto"/>
    <w:pitch w:val="variable"/>
    <w:sig w:usb0="00000001" w:usb1="5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edra Sans Pro Book">
    <w:altName w:val="Fedra Sans Pro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09985"/>
      <w:docPartObj>
        <w:docPartGallery w:val="Page Numbers (Bottom of Page)"/>
        <w:docPartUnique/>
      </w:docPartObj>
    </w:sdtPr>
    <w:sdtEndPr>
      <w:rPr>
        <w:noProof/>
      </w:rPr>
    </w:sdtEndPr>
    <w:sdtContent>
      <w:p w:rsidR="007013FD" w:rsidRDefault="005E3FDE">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rsidR="007013FD" w:rsidRDefault="007013F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13384"/>
      <w:docPartObj>
        <w:docPartGallery w:val="Page Numbers (Bottom of Page)"/>
        <w:docPartUnique/>
      </w:docPartObj>
    </w:sdtPr>
    <w:sdtEndPr>
      <w:rPr>
        <w:noProof/>
      </w:rPr>
    </w:sdtEndPr>
    <w:sdtContent>
      <w:p w:rsidR="007013FD" w:rsidRDefault="005E3FDE">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rsidR="007013FD" w:rsidRDefault="007013F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FooterCoverPage"/>
      <w:rPr>
        <w:rFonts w:ascii="Arial" w:hAnsi="Arial" w:cs="Arial"/>
        <w:b/>
        <w:sz w:val="48"/>
      </w:rPr>
    </w:pPr>
    <w:r w:rsidRPr="005E3FDE">
      <w:rPr>
        <w:rFonts w:ascii="Arial" w:hAnsi="Arial" w:cs="Arial"/>
        <w:b/>
        <w:sz w:val="48"/>
      </w:rPr>
      <w:t>EN</w:t>
    </w:r>
    <w:r w:rsidRPr="005E3FDE">
      <w:rPr>
        <w:rFonts w:ascii="Arial" w:hAnsi="Arial" w:cs="Arial"/>
        <w:b/>
        <w:sz w:val="48"/>
      </w:rPr>
      <w:tab/>
    </w:r>
    <w:r w:rsidRPr="005E3FDE">
      <w:rPr>
        <w:rFonts w:ascii="Arial" w:hAnsi="Arial" w:cs="Arial"/>
        <w:b/>
        <w:sz w:val="48"/>
      </w:rPr>
      <w:tab/>
    </w:r>
    <w:r w:rsidRPr="005E3FDE">
      <w:tab/>
    </w:r>
    <w:r w:rsidRPr="005E3FD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29603"/>
      <w:docPartObj>
        <w:docPartGallery w:val="Page Numbers (Bottom of Page)"/>
        <w:docPartUnique/>
      </w:docPartObj>
    </w:sdtPr>
    <w:sdtEndPr>
      <w:rPr>
        <w:noProof/>
      </w:rPr>
    </w:sdtEndPr>
    <w:sdtContent>
      <w:p w:rsidR="007013FD" w:rsidRDefault="005E3FD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013FD" w:rsidRDefault="007013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67639"/>
      <w:docPartObj>
        <w:docPartGallery w:val="Page Numbers (Bottom of Page)"/>
        <w:docPartUnique/>
      </w:docPartObj>
    </w:sdtPr>
    <w:sdtEndPr>
      <w:rPr>
        <w:noProof/>
      </w:rPr>
    </w:sdtEndPr>
    <w:sdtContent>
      <w:p w:rsidR="007013FD" w:rsidRDefault="005E3FDE">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7013FD" w:rsidRDefault="007013F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FD" w:rsidRDefault="005E3FDE">
      <w:pPr>
        <w:spacing w:after="0" w:line="240" w:lineRule="auto"/>
      </w:pPr>
      <w:r>
        <w:separator/>
      </w:r>
    </w:p>
  </w:footnote>
  <w:footnote w:type="continuationSeparator" w:id="0">
    <w:p w:rsidR="007013FD" w:rsidRDefault="005E3FDE">
      <w:pPr>
        <w:spacing w:after="0" w:line="240" w:lineRule="auto"/>
      </w:pPr>
      <w:r>
        <w:continuationSeparator/>
      </w:r>
    </w:p>
  </w:footnote>
  <w:footnote w:type="continuationNotice" w:id="1">
    <w:p w:rsidR="007013FD" w:rsidRDefault="007013FD">
      <w:pPr>
        <w:spacing w:after="0" w:line="240" w:lineRule="auto"/>
      </w:pPr>
    </w:p>
  </w:footnote>
  <w:footnote w:id="2">
    <w:p w:rsidR="007013FD" w:rsidRDefault="005E3FDE">
      <w:pPr>
        <w:autoSpaceDE w:val="0"/>
        <w:autoSpaceDN w:val="0"/>
        <w:adjustRightInd w:val="0"/>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16"/>
          <w:szCs w:val="16"/>
          <w:lang w:val="en-GB"/>
        </w:rPr>
        <w:t xml:space="preserve"> </w:t>
      </w:r>
      <w:r>
        <w:rPr>
          <w:rFonts w:ascii="Times New Roman" w:hAnsi="Times New Roman" w:cs="Times New Roman"/>
          <w:sz w:val="16"/>
          <w:szCs w:val="16"/>
          <w:lang w:val="en-GB"/>
        </w:rPr>
        <w:tab/>
      </w:r>
      <w:r>
        <w:rPr>
          <w:rFonts w:ascii="Times New Roman" w:hAnsi="Times New Roman" w:cs="Times New Roman"/>
          <w:sz w:val="20"/>
          <w:szCs w:val="20"/>
          <w:lang w:val="en-GB"/>
        </w:rPr>
        <w:t xml:space="preserve">Communication from the Commission to the Council and the European Parliament establishing a framework      programme on solidarity and management of migration </w:t>
      </w:r>
      <w:r>
        <w:rPr>
          <w:rFonts w:ascii="Times New Roman" w:hAnsi="Times New Roman" w:cs="Times New Roman"/>
          <w:sz w:val="20"/>
          <w:szCs w:val="20"/>
          <w:lang w:val="en-GB"/>
        </w:rPr>
        <w:t>flows for the period 2007-2013, COM(2005) 123 final.</w:t>
      </w:r>
    </w:p>
  </w:footnote>
  <w:footnote w:id="3">
    <w:p w:rsidR="007013FD" w:rsidRDefault="005E3FDE">
      <w:pPr>
        <w:autoSpaceDE w:val="0"/>
        <w:autoSpaceDN w:val="0"/>
        <w:adjustRightInd w:val="0"/>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Decision No 575/2007/EC of the European Parliament and of the Council of 23 May 2007 establishing the European Return Fund for the period 2008 to 2013 as part of the General Programme ‘Solidarity a</w:t>
      </w:r>
      <w:r>
        <w:rPr>
          <w:rFonts w:ascii="Times New Roman" w:hAnsi="Times New Roman" w:cs="Times New Roman"/>
          <w:sz w:val="20"/>
          <w:szCs w:val="20"/>
          <w:lang w:val="en-GB"/>
        </w:rPr>
        <w:t>nd Management of Migration Flows’, Articles 50(2)(a) and 50(3)(b). Report from the Commission to the European Parliament, the Council, the European Economic and Social Committee and the Committee of the Regions on the results achieved and on qualitative an</w:t>
      </w:r>
      <w:r>
        <w:rPr>
          <w:rFonts w:ascii="Times New Roman" w:hAnsi="Times New Roman" w:cs="Times New Roman"/>
          <w:sz w:val="20"/>
          <w:szCs w:val="20"/>
          <w:lang w:val="en-GB"/>
        </w:rPr>
        <w:t>d quantitative aspects of implementation of the European Return Fund for the period 2007-2009, 9 December 2011, COM(2011) 858 final.</w:t>
      </w:r>
    </w:p>
  </w:footnote>
  <w:footnote w:id="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Decision No 575/2007/EC, Articles 50(2)(b) and 50(3)(c). </w:t>
      </w:r>
    </w:p>
  </w:footnote>
  <w:footnote w:id="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Report from the Commission to the European Parliament, the </w:t>
      </w:r>
      <w:r>
        <w:rPr>
          <w:rFonts w:ascii="Times New Roman" w:hAnsi="Times New Roman" w:cs="Times New Roman"/>
          <w:sz w:val="20"/>
          <w:szCs w:val="20"/>
        </w:rPr>
        <w:t>Council, the European Economic and Social Committee of the Regions on the ex-post evaluation of the European Return Fund for the period 2008-2010, 23 April 2014, COM(2014)230.</w:t>
      </w:r>
    </w:p>
  </w:footnote>
  <w:footnote w:id="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Decision No 575/2007/EC, Article 50(2)(b) and 50(3)(c). </w:t>
      </w:r>
    </w:p>
  </w:footnote>
  <w:footnote w:id="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DK does not parti</w:t>
      </w:r>
      <w:r>
        <w:rPr>
          <w:rFonts w:ascii="Times New Roman" w:hAnsi="Times New Roman" w:cs="Times New Roman"/>
          <w:sz w:val="20"/>
          <w:szCs w:val="20"/>
        </w:rPr>
        <w:t>cipate in accordance with Articles 1 and 2 of the Protocol on the position of Denmark, annexed to the Treaty on European Union and to the Treaty establishing the European Community. Croatia participated from 2013 only, upon accession to the EU.</w:t>
      </w:r>
    </w:p>
  </w:footnote>
  <w:footnote w:id="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Commu</w:t>
      </w:r>
      <w:r>
        <w:rPr>
          <w:rFonts w:ascii="Times New Roman" w:hAnsi="Times New Roman" w:cs="Times New Roman"/>
          <w:sz w:val="20"/>
          <w:szCs w:val="20"/>
        </w:rPr>
        <w:t>nity actions implemented under the 2010 annual work programme were implemented after 1 January 2011 they are covered by the evaluation.</w:t>
      </w:r>
    </w:p>
  </w:footnote>
  <w:footnote w:id="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According to the legal basis the Commission shall submit by 31 December 2015 to the European Parliament, the Council,</w:t>
      </w:r>
      <w:r>
        <w:rPr>
          <w:rFonts w:ascii="Times New Roman" w:hAnsi="Times New Roman" w:cs="Times New Roman"/>
          <w:sz w:val="20"/>
          <w:szCs w:val="20"/>
        </w:rPr>
        <w:t xml:space="preserve"> the European Economic and Social Committee and the Committee of the Regions by 31 December 2015 an ex-post evaluation report (Article 50(3)(c) of </w:t>
      </w:r>
      <w:r>
        <w:rPr>
          <w:rFonts w:ascii="Times New Roman" w:hAnsi="Times New Roman" w:cs="Times New Roman"/>
          <w:bCs/>
          <w:sz w:val="20"/>
          <w:szCs w:val="20"/>
        </w:rPr>
        <w:t xml:space="preserve">Decision No </w:t>
      </w:r>
      <w:r>
        <w:rPr>
          <w:rFonts w:ascii="Times New Roman" w:hAnsi="Times New Roman" w:cs="Times New Roman"/>
          <w:sz w:val="20"/>
          <w:szCs w:val="20"/>
        </w:rPr>
        <w:t>575/2007/EC). The deadline was extended as the Commission's ex-post evaluation report had to take</w:t>
      </w:r>
      <w:r>
        <w:rPr>
          <w:rFonts w:ascii="Times New Roman" w:hAnsi="Times New Roman" w:cs="Times New Roman"/>
          <w:sz w:val="20"/>
          <w:szCs w:val="20"/>
        </w:rPr>
        <w:t xml:space="preserve"> account of the national (ex-post) evaluation reports to be submitted by the Member States. The deadline for those, provided in the legal basis was 30 June 2015. Considering that the eligibility period of the 2013 annual programmes for the Return Fund ende</w:t>
      </w:r>
      <w:r>
        <w:rPr>
          <w:rFonts w:ascii="Times New Roman" w:hAnsi="Times New Roman" w:cs="Times New Roman"/>
          <w:sz w:val="20"/>
          <w:szCs w:val="20"/>
        </w:rPr>
        <w:t>d on the same day (30 June 2015), it has not been feasible to finalize national ex-post evaluation at the same moment of time as the implementation ended. The national evaluation reports were therefore provided to the Commission by 30 November 2015. Conseq</w:t>
      </w:r>
      <w:r>
        <w:rPr>
          <w:rFonts w:ascii="Times New Roman" w:hAnsi="Times New Roman" w:cs="Times New Roman"/>
          <w:sz w:val="20"/>
          <w:szCs w:val="20"/>
        </w:rPr>
        <w:t>uently, also the ex-post evaluation report of the Commission has been prepared with a delay in comparison with the deadline set in the legal basis. The targeted date for the submission of the report was 31 December 2016.This date was postponed to the first</w:t>
      </w:r>
      <w:r>
        <w:rPr>
          <w:rFonts w:ascii="Times New Roman" w:hAnsi="Times New Roman" w:cs="Times New Roman"/>
          <w:sz w:val="20"/>
          <w:szCs w:val="20"/>
        </w:rPr>
        <w:t xml:space="preserve"> quarter of 2018 due to the fact that two out of four SWDs (ERF and EBF) were selected by the Regulatory Scrutiny Board.</w:t>
      </w:r>
    </w:p>
  </w:footnote>
  <w:footnote w:id="1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Regulation (EU) No 516/2014 of the European Parliament and of the Council of 16 April 2014 establishing the Asylum, Migration and </w:t>
      </w:r>
      <w:r>
        <w:rPr>
          <w:rFonts w:ascii="Times New Roman" w:hAnsi="Times New Roman" w:cs="Times New Roman"/>
          <w:sz w:val="20"/>
          <w:szCs w:val="20"/>
        </w:rPr>
        <w:t>Integration Fund (OJ L 150, 20.5.2014, p. 168).</w:t>
      </w:r>
    </w:p>
  </w:footnote>
  <w:footnote w:id="1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Part of the interim evaluation is the mid-term review of the AMIF national programmes of the Member States (Regulation (EU) No 514/2014, Article 15) which will take place in 2017 and 2018. The purpose of t</w:t>
      </w:r>
      <w:r>
        <w:rPr>
          <w:rFonts w:ascii="Times New Roman" w:hAnsi="Times New Roman" w:cs="Times New Roman"/>
          <w:sz w:val="20"/>
          <w:szCs w:val="20"/>
        </w:rPr>
        <w:t xml:space="preserve">he mid-term review is for the Commission and the Member States to review the national programmes and assess the need for a possible revision of the programme, in the light of </w:t>
      </w:r>
      <w:r>
        <w:rPr>
          <w:rFonts w:ascii="Times New Roman" w:hAnsi="Times New Roman" w:cs="Times New Roman"/>
          <w:sz w:val="20"/>
          <w:szCs w:val="20"/>
          <w:lang w:eastAsia="en-GB"/>
        </w:rPr>
        <w:t>developments in Union and national policies through a questionnaire and bilateral</w:t>
      </w:r>
      <w:r>
        <w:rPr>
          <w:rFonts w:ascii="Times New Roman" w:hAnsi="Times New Roman" w:cs="Times New Roman"/>
          <w:sz w:val="20"/>
          <w:szCs w:val="20"/>
          <w:lang w:eastAsia="en-GB"/>
        </w:rPr>
        <w:t xml:space="preserve"> dialogues with the Member States. In addition if the need arises, the results of the mid-term review of the national programmes may support requests for additional funding made by the Commission to the budgetary authorities for the remaining implementatio</w:t>
      </w:r>
      <w:r>
        <w:rPr>
          <w:rFonts w:ascii="Times New Roman" w:hAnsi="Times New Roman" w:cs="Times New Roman"/>
          <w:sz w:val="20"/>
          <w:szCs w:val="20"/>
          <w:lang w:eastAsia="en-GB"/>
        </w:rPr>
        <w:t xml:space="preserve">n period.  </w:t>
      </w:r>
    </w:p>
  </w:footnote>
  <w:footnote w:id="1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Removed third country nationals: persons other than those entitled under Community law who, having entered the country illegally, having resided in the country illegally or for other reasons, are returned to a third country. The figures may </w:t>
      </w:r>
      <w:r>
        <w:rPr>
          <w:rFonts w:ascii="Times New Roman" w:hAnsi="Times New Roman" w:cs="Times New Roman"/>
          <w:sz w:val="20"/>
          <w:szCs w:val="20"/>
        </w:rPr>
        <w:t>include voluntary departure where such a departure takes place in order to comply with a formal order to leave.</w:t>
      </w:r>
    </w:p>
  </w:footnote>
  <w:footnote w:id="1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For example, 393,635 removals were recorded for 2001, 242,225 for 2002 and 298,504 for 2003 (Eurostat and CIREFI data collection as reported </w:t>
      </w:r>
      <w:r>
        <w:rPr>
          <w:rFonts w:ascii="Times New Roman" w:hAnsi="Times New Roman" w:cs="Times New Roman"/>
          <w:sz w:val="20"/>
          <w:szCs w:val="20"/>
        </w:rPr>
        <w:t xml:space="preserve">in </w:t>
      </w:r>
      <w:r>
        <w:rPr>
          <w:rFonts w:ascii="Times New Roman" w:hAnsi="Times New Roman" w:cs="Times New Roman"/>
          <w:i/>
          <w:sz w:val="20"/>
          <w:szCs w:val="20"/>
        </w:rPr>
        <w:t>Annex to the General Programme Solidarity and Management of Migration Flows – Extended impact assessment 2005</w:t>
      </w:r>
      <w:r>
        <w:rPr>
          <w:rFonts w:ascii="Times New Roman" w:hAnsi="Times New Roman" w:cs="Times New Roman"/>
          <w:sz w:val="20"/>
          <w:szCs w:val="20"/>
        </w:rPr>
        <w:t xml:space="preserve"> – SEC(2005) 435 of 6/04/2005, p. 57.</w:t>
      </w:r>
    </w:p>
  </w:footnote>
  <w:footnote w:id="14">
    <w:p w:rsidR="007013FD" w:rsidRDefault="005E3FDE">
      <w:pPr>
        <w:spacing w:after="0" w:line="240" w:lineRule="auto"/>
        <w:ind w:left="360" w:hanging="360"/>
        <w:jc w:val="both"/>
        <w:rPr>
          <w:rFonts w:ascii="Times New Roman" w:eastAsia="Times New Roman" w:hAnsi="Times New Roman" w:cs="Times New Roman"/>
          <w:i/>
          <w:sz w:val="20"/>
          <w:szCs w:val="20"/>
          <w:lang w:val="en-GB"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 xml:space="preserve">Return decisions: </w:t>
      </w:r>
      <w:r>
        <w:rPr>
          <w:rFonts w:ascii="Times New Roman" w:eastAsia="Times New Roman" w:hAnsi="Times New Roman" w:cs="Times New Roman"/>
          <w:sz w:val="20"/>
          <w:szCs w:val="20"/>
          <w:lang w:val="en-GB" w:eastAsia="en-GB"/>
        </w:rPr>
        <w:t xml:space="preserve">Administrative or judicial decision or act, stating or declaring the illegality of </w:t>
      </w:r>
      <w:r>
        <w:rPr>
          <w:rFonts w:ascii="Times New Roman" w:eastAsia="Times New Roman" w:hAnsi="Times New Roman" w:cs="Times New Roman"/>
          <w:sz w:val="20"/>
          <w:szCs w:val="20"/>
          <w:lang w:val="en-GB" w:eastAsia="en-GB"/>
        </w:rPr>
        <w:t>stay of a third country national and imposing an obligation to leave the territory of the Member State concerned.</w:t>
      </w:r>
    </w:p>
  </w:footnote>
  <w:footnote w:id="1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Data provided by the Member States and complemented by estimates made by the European Commission when necessary. See </w:t>
      </w:r>
      <w:r>
        <w:rPr>
          <w:rFonts w:ascii="Times New Roman" w:hAnsi="Times New Roman" w:cs="Times New Roman"/>
          <w:i/>
          <w:sz w:val="20"/>
          <w:szCs w:val="20"/>
        </w:rPr>
        <w:t>Annex to the General P</w:t>
      </w:r>
      <w:r>
        <w:rPr>
          <w:rFonts w:ascii="Times New Roman" w:hAnsi="Times New Roman" w:cs="Times New Roman"/>
          <w:i/>
          <w:sz w:val="20"/>
          <w:szCs w:val="20"/>
        </w:rPr>
        <w:t>rogramme Solidarity and Management of Migration Flows – Extended impact assessment 2005</w:t>
      </w:r>
      <w:r>
        <w:rPr>
          <w:rFonts w:ascii="Times New Roman" w:hAnsi="Times New Roman" w:cs="Times New Roman"/>
          <w:sz w:val="20"/>
          <w:szCs w:val="20"/>
        </w:rPr>
        <w:t xml:space="preserve"> – SEC(2005) 435 of 6/04/2005, p. 58.</w:t>
      </w:r>
    </w:p>
  </w:footnote>
  <w:footnote w:id="1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Annex to the General Programme Solidarity and Management of Migration Flows – Extended impact assessment 2005</w:t>
      </w:r>
      <w:r>
        <w:rPr>
          <w:rFonts w:ascii="Times New Roman" w:hAnsi="Times New Roman" w:cs="Times New Roman"/>
          <w:sz w:val="20"/>
          <w:szCs w:val="20"/>
        </w:rPr>
        <w:t xml:space="preserve"> – SEC(2005) 435 of</w:t>
      </w:r>
      <w:r>
        <w:rPr>
          <w:rFonts w:ascii="Times New Roman" w:hAnsi="Times New Roman" w:cs="Times New Roman"/>
          <w:sz w:val="20"/>
          <w:szCs w:val="20"/>
        </w:rPr>
        <w:t xml:space="preserve"> 6/04/2005.</w:t>
      </w:r>
    </w:p>
  </w:footnote>
  <w:footnote w:id="1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title 5 for definition. </w:t>
      </w:r>
    </w:p>
  </w:footnote>
  <w:footnote w:id="1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Directive 2008/115/EC of the European Parliament and of the Council of 16 December 2008 on common standards and procedures in Member States for returning illegally staying third-country nationals.</w:t>
      </w:r>
    </w:p>
  </w:footnote>
  <w:footnote w:id="1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Front</w:t>
      </w:r>
      <w:r>
        <w:rPr>
          <w:rFonts w:ascii="Times New Roman" w:hAnsi="Times New Roman" w:cs="Times New Roman"/>
          <w:sz w:val="20"/>
          <w:szCs w:val="20"/>
        </w:rPr>
        <w:t>ex, Annual Risk Analysis, 2012, p.15.</w:t>
      </w:r>
    </w:p>
  </w:footnote>
  <w:footnote w:id="2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Frontex, Annual Risk Analysis, 2014, p. 7.</w:t>
      </w:r>
    </w:p>
  </w:footnote>
  <w:footnote w:id="2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Article 2 of Decision 575/2007/EC.</w:t>
      </w:r>
    </w:p>
  </w:footnote>
  <w:footnote w:id="2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Article 3 of Decision 575/2007/EC.</w:t>
      </w:r>
    </w:p>
  </w:footnote>
  <w:footnote w:id="23">
    <w:p w:rsidR="007013FD" w:rsidRDefault="005E3FDE">
      <w:pPr>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Article 3.2 of Decision 575/2007/EC: Integrated return plans: (a) are based on a comprehensive assessment of the situation in the Member State with respect to the targeted population or a targeted specific issue concerning return and the challenges wit</w:t>
      </w:r>
      <w:r>
        <w:rPr>
          <w:rFonts w:ascii="Times New Roman" w:hAnsi="Times New Roman" w:cs="Times New Roman"/>
          <w:sz w:val="20"/>
          <w:szCs w:val="20"/>
          <w:lang w:val="en-GB"/>
        </w:rPr>
        <w:t>h respect to the operations envisaged (such as those related to obtaining travel documents and other practical obstacles to return), taking into account, where appropriate, the relevant caseload. The comprehensive assessment shall be drawn up in cooperatio</w:t>
      </w:r>
      <w:r>
        <w:rPr>
          <w:rFonts w:ascii="Times New Roman" w:hAnsi="Times New Roman" w:cs="Times New Roman"/>
          <w:sz w:val="20"/>
          <w:szCs w:val="20"/>
          <w:lang w:val="en-GB"/>
        </w:rPr>
        <w:t>n with all relevant authorities and partners; (b) aim to achieve a wide set of measures encouraging voluntary return schemes of third-country nationals, in particular for those who do not or no longer fulfil the conditions for entry and stay on its territo</w:t>
      </w:r>
      <w:r>
        <w:rPr>
          <w:rFonts w:ascii="Times New Roman" w:hAnsi="Times New Roman" w:cs="Times New Roman"/>
          <w:sz w:val="20"/>
          <w:szCs w:val="20"/>
          <w:lang w:val="en-GB"/>
        </w:rPr>
        <w:t>ries and, where necessary, implementing enforced return operations with respect to such persons, in full compliance with humanitarian principles and respect for their dignity; (c) include a plan and/or time table and, where appropriate, provide for a perio</w:t>
      </w:r>
      <w:r>
        <w:rPr>
          <w:rFonts w:ascii="Times New Roman" w:hAnsi="Times New Roman" w:cs="Times New Roman"/>
          <w:sz w:val="20"/>
          <w:szCs w:val="20"/>
          <w:lang w:val="en-GB"/>
        </w:rPr>
        <w:t>dic evaluation mechanism allowing for adjustment of the plan and assessment of the impact of the plan in practice; and (d) include, where Member States consider it appropriate, measures to facilitate cooperation between the competent administrative, law en</w:t>
      </w:r>
      <w:r>
        <w:rPr>
          <w:rFonts w:ascii="Times New Roman" w:hAnsi="Times New Roman" w:cs="Times New Roman"/>
          <w:sz w:val="20"/>
          <w:szCs w:val="20"/>
          <w:lang w:val="en-GB"/>
        </w:rPr>
        <w:t>forcement and judicial bodies, where appropriate at different levels of government.</w:t>
      </w:r>
    </w:p>
  </w:footnote>
  <w:footnote w:id="24">
    <w:p w:rsidR="007013FD" w:rsidRDefault="005E3FDE">
      <w:pPr>
        <w:pStyle w:val="FootnoteText"/>
        <w:spacing w:after="0"/>
        <w:ind w:left="360" w:hanging="36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IE"/>
        </w:rPr>
        <w:tab/>
        <w:t>For examples of actions, see Article 4(2).</w:t>
      </w:r>
    </w:p>
  </w:footnote>
  <w:footnote w:id="25">
    <w:p w:rsidR="007013FD" w:rsidRDefault="005E3FDE">
      <w:pPr>
        <w:pStyle w:val="FootnoteText"/>
        <w:spacing w:after="0"/>
        <w:ind w:left="360" w:hanging="36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IE"/>
        </w:rPr>
        <w:tab/>
        <w:t>For examples of actions, see Article 4(3).</w:t>
      </w:r>
    </w:p>
  </w:footnote>
  <w:footnote w:id="2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Article 4 of Decision 575/2007/EC. </w:t>
      </w:r>
    </w:p>
  </w:footnote>
  <w:footnote w:id="2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18 of Decision 575/2007/EC.</w:t>
      </w:r>
    </w:p>
  </w:footnote>
  <w:footnote w:id="2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Decision of 30 November 2007 implementing Decision 575/2007/EC of the European Parliament and of the Council as regards the adoption of strategic guidelines for 2008 to 2013 (notified under document number C (2007) 5822).</w:t>
      </w:r>
    </w:p>
  </w:footnote>
  <w:footnote w:id="2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15.4 of De</w:t>
      </w:r>
      <w:r>
        <w:rPr>
          <w:rFonts w:ascii="Times New Roman" w:hAnsi="Times New Roman" w:cs="Times New Roman"/>
          <w:sz w:val="20"/>
          <w:szCs w:val="20"/>
        </w:rPr>
        <w:t>cision 575/2007/EC.</w:t>
      </w:r>
    </w:p>
  </w:footnote>
  <w:footnote w:id="3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Six case studies were carried out, focusing on HU, IT, MT, NL, RO and UK. The MSs selected for the case studies were chosen following an assessment made by the consulting firm carrying out the supporting evaluation study and the Dire</w:t>
      </w:r>
      <w:r>
        <w:rPr>
          <w:rFonts w:ascii="Times New Roman" w:hAnsi="Times New Roman" w:cs="Times New Roman"/>
          <w:sz w:val="20"/>
          <w:szCs w:val="20"/>
        </w:rPr>
        <w:t>ctorate-General Migration and Home Affairs (DG HOME) which sought to ensure a good representation in terms of MS geographical location and size.</w:t>
      </w:r>
    </w:p>
  </w:footnote>
  <w:footnote w:id="3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System for Fund Management 2007 (SFC) is an online monitoring tool managed by the Commission services and us</w:t>
      </w:r>
      <w:r>
        <w:rPr>
          <w:rFonts w:ascii="Times New Roman" w:hAnsi="Times New Roman" w:cs="Times New Roman"/>
          <w:sz w:val="20"/>
          <w:szCs w:val="20"/>
        </w:rPr>
        <w:t>ed for certain funding programmes, where Member States can upload implementation reports and financial information.</w:t>
      </w:r>
    </w:p>
  </w:footnote>
  <w:footnote w:id="3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ABAC is the Commission’s accrual-based online accounting system.</w:t>
      </w:r>
    </w:p>
  </w:footnote>
  <w:footnote w:id="3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is explained by the fact that the Better Regulation agenda, whic</w:t>
      </w:r>
      <w:r>
        <w:rPr>
          <w:rFonts w:ascii="Times New Roman" w:hAnsi="Times New Roman" w:cs="Times New Roman"/>
          <w:sz w:val="20"/>
          <w:szCs w:val="20"/>
        </w:rPr>
        <w:t>h formalised the criteria of the evaluations to be carried out by the Commission, was adopted after the RF was established.</w:t>
      </w:r>
    </w:p>
  </w:footnote>
  <w:footnote w:id="3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An example is provided under the section devoted to Unit Costs in section 8.3.</w:t>
      </w:r>
    </w:p>
  </w:footnote>
  <w:footnote w:id="3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Some Member States recorded the total compound </w:t>
      </w:r>
      <w:r>
        <w:rPr>
          <w:rFonts w:ascii="Times New Roman" w:hAnsi="Times New Roman" w:cs="Times New Roman"/>
          <w:sz w:val="20"/>
          <w:szCs w:val="20"/>
        </w:rPr>
        <w:t>number relating to an indicator in a given year (i.e. the total for the year in question and all the previous ones), while others provided only the additional number for that year (i.e. the change in the number). In addition some were not consistent in the</w:t>
      </w:r>
      <w:r>
        <w:rPr>
          <w:rFonts w:ascii="Times New Roman" w:hAnsi="Times New Roman" w:cs="Times New Roman"/>
          <w:sz w:val="20"/>
          <w:szCs w:val="20"/>
        </w:rPr>
        <w:t xml:space="preserve"> units used for the indicators.</w:t>
      </w:r>
    </w:p>
  </w:footnote>
  <w:footnote w:id="3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Commission Delegated regulation (EU) No 2017/207 of 3 October 2016 on the common monitoring and evaluation framework provided for in Regulation (EU) No 514/2014 of the European Parliament and of the Council laying down </w:t>
      </w:r>
      <w:r>
        <w:rPr>
          <w:rFonts w:ascii="Times New Roman" w:hAnsi="Times New Roman" w:cs="Times New Roman"/>
          <w:sz w:val="20"/>
          <w:szCs w:val="20"/>
        </w:rPr>
        <w:t>general provisions on the Asylum, Migration and Integration Fund and on the instrument for financial support for police cooperation, preventing and combating crime, and crisis management, OJ L33, 8.02.2017, p. 1.</w:t>
      </w:r>
    </w:p>
  </w:footnote>
  <w:footnote w:id="3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Guidance on the Common Monitoring an</w:t>
      </w:r>
      <w:r>
        <w:rPr>
          <w:rFonts w:ascii="Times New Roman" w:hAnsi="Times New Roman" w:cs="Times New Roman"/>
          <w:sz w:val="20"/>
          <w:szCs w:val="20"/>
        </w:rPr>
        <w:t>d Evaluation Framework was developed in the framework of the evaluation network. It is a living document which is regularly updated, following discussions with Member State authorities and other stakeholders which are held during working group and evaluati</w:t>
      </w:r>
      <w:r>
        <w:rPr>
          <w:rFonts w:ascii="Times New Roman" w:hAnsi="Times New Roman" w:cs="Times New Roman"/>
          <w:sz w:val="20"/>
          <w:szCs w:val="20"/>
        </w:rPr>
        <w:t>on network meetings. It is available to the Member States.</w:t>
      </w:r>
    </w:p>
  </w:footnote>
  <w:footnote w:id="3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Decision No 575/2007/EC, Article 14. </w:t>
      </w:r>
    </w:p>
  </w:footnote>
  <w:footnote w:id="3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footnote 13 for a definition.</w:t>
      </w:r>
    </w:p>
  </w:footnote>
  <w:footnote w:id="4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footnote 11 for a definition. </w:t>
      </w:r>
    </w:p>
  </w:footnote>
  <w:footnote w:id="4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575/2007/EC, Article 21.2</w:t>
      </w:r>
    </w:p>
  </w:footnote>
  <w:footnote w:id="4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Communication from the </w:t>
      </w:r>
      <w:r>
        <w:rPr>
          <w:rFonts w:ascii="Times New Roman" w:hAnsi="Times New Roman" w:cs="Times New Roman"/>
          <w:sz w:val="20"/>
          <w:szCs w:val="20"/>
        </w:rPr>
        <w:t>Commission to the European Parliament, the Council, the Economic and Social Committee and the Committee of the Regions - The application of the criteria for the distribution of resources among the Member States under the External Borders Fund, the European</w:t>
      </w:r>
      <w:r>
        <w:rPr>
          <w:rFonts w:ascii="Times New Roman" w:hAnsi="Times New Roman" w:cs="Times New Roman"/>
          <w:sz w:val="20"/>
          <w:szCs w:val="20"/>
        </w:rPr>
        <w:t xml:space="preserve"> Fund for the Integration of third-country nationals and the European Return Fund, 20 July 2011, COM(2011)448, point 3.3.3.</w:t>
      </w:r>
    </w:p>
  </w:footnote>
  <w:footnote w:id="4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575/2007/EC, Article 7.</w:t>
      </w:r>
    </w:p>
  </w:footnote>
  <w:footnote w:id="4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Decision No 575/2007/EC, Article 15.4. </w:t>
      </w:r>
    </w:p>
  </w:footnote>
  <w:footnote w:id="4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575/2007/EC, Article 17.</w:t>
      </w:r>
    </w:p>
  </w:footnote>
  <w:footnote w:id="4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Assisted Voluntary Return = Voluntary return or voluntary departure supported by logistical, financial and/or other material assistance (European Commission, Communication on an EU Action Plan on Return, COM(2015) 453 final, 9 September 2015, p. 3).</w:t>
      </w:r>
    </w:p>
  </w:footnote>
  <w:footnote w:id="47">
    <w:p w:rsidR="007013FD" w:rsidRDefault="005E3FDE">
      <w:pPr>
        <w:pStyle w:val="BodyText"/>
        <w:spacing w:after="0"/>
        <w:ind w:left="360" w:hanging="360"/>
        <w:rPr>
          <w:sz w:val="20"/>
        </w:rPr>
      </w:pPr>
      <w:r>
        <w:rPr>
          <w:rStyle w:val="FootnoteReference"/>
          <w:sz w:val="20"/>
        </w:rPr>
        <w:footnoteRef/>
      </w:r>
      <w:r>
        <w:rPr>
          <w:sz w:val="20"/>
        </w:rPr>
        <w:t xml:space="preserve">  </w:t>
      </w:r>
      <w:r>
        <w:rPr>
          <w:sz w:val="20"/>
        </w:rPr>
        <w:tab/>
        <w:t>Th</w:t>
      </w:r>
      <w:r>
        <w:rPr>
          <w:sz w:val="20"/>
        </w:rPr>
        <w:t>e data used was updated in December 2016. Given that some programmes were still open at the time of the  evaluation, both open and closed programmes are taken into consideration.</w:t>
      </w:r>
    </w:p>
  </w:footnote>
  <w:footnote w:id="4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includes EUR 4,129,915 which is the estimated expenditure for a proje</w:t>
      </w:r>
      <w:r>
        <w:rPr>
          <w:rFonts w:ascii="Times New Roman" w:hAnsi="Times New Roman" w:cs="Times New Roman"/>
          <w:sz w:val="20"/>
          <w:szCs w:val="20"/>
        </w:rPr>
        <w:t>ct under emergency actions which started in 2012 and was not yet closed at the time of writing.</w:t>
      </w:r>
    </w:p>
  </w:footnote>
  <w:footnote w:id="49">
    <w:p w:rsidR="007013FD" w:rsidRDefault="005E3FDE">
      <w:pPr>
        <w:pStyle w:val="BodyText"/>
        <w:spacing w:after="0"/>
        <w:ind w:left="360" w:hanging="360"/>
        <w:rPr>
          <w:sz w:val="20"/>
        </w:rPr>
      </w:pPr>
      <w:r>
        <w:rPr>
          <w:rStyle w:val="FootnoteReference"/>
          <w:sz w:val="20"/>
        </w:rPr>
        <w:footnoteRef/>
      </w:r>
      <w:r>
        <w:rPr>
          <w:sz w:val="20"/>
        </w:rPr>
        <w:t xml:space="preserve">  </w:t>
      </w:r>
      <w:r>
        <w:rPr>
          <w:sz w:val="20"/>
        </w:rPr>
        <w:tab/>
        <w:t>These figures are the sum of the shared management programmed EU contribution and the direct    management   programmed EU contribution.</w:t>
      </w:r>
    </w:p>
  </w:footnote>
  <w:footnote w:id="5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System for Fund </w:t>
      </w:r>
      <w:r>
        <w:rPr>
          <w:rFonts w:ascii="Times New Roman" w:hAnsi="Times New Roman" w:cs="Times New Roman"/>
          <w:sz w:val="20"/>
          <w:szCs w:val="20"/>
        </w:rPr>
        <w:t>Management 2007 (SFC) is an online monitoring tool managed by the Commission services and used for certain funding programmes, where Member States can upload implementation reports and financial information. These data were aggregated manually.</w:t>
      </w:r>
    </w:p>
  </w:footnote>
  <w:footnote w:id="5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nega</w:t>
      </w:r>
      <w:r>
        <w:rPr>
          <w:rFonts w:ascii="Times New Roman" w:hAnsi="Times New Roman" w:cs="Times New Roman"/>
          <w:sz w:val="20"/>
          <w:szCs w:val="20"/>
        </w:rPr>
        <w:t>tive percentages reflect the fact that these Member States had lower implementation rates in 2011-2013 compared to the 2008-2010 period.</w:t>
      </w:r>
    </w:p>
  </w:footnote>
  <w:footnote w:id="5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This was the case for Malta and Romania, which experienced a peak in effected returns in 2011 and 2012 respectively </w:t>
      </w:r>
      <w:r>
        <w:rPr>
          <w:rFonts w:ascii="Times New Roman" w:hAnsi="Times New Roman" w:cs="Times New Roman"/>
          <w:sz w:val="20"/>
          <w:szCs w:val="20"/>
        </w:rPr>
        <w:t xml:space="preserve">and then saw a decrease in 2012 and 2013, given lower numbers of arrivals. See European Commission (2017) </w:t>
      </w:r>
      <w:r>
        <w:rPr>
          <w:rFonts w:ascii="Times New Roman" w:hAnsi="Times New Roman" w:cs="Times New Roman"/>
          <w:i/>
          <w:sz w:val="20"/>
          <w:szCs w:val="20"/>
        </w:rPr>
        <w:t>External Ex-post evaluation of the European Return Fund 2011-2013</w:t>
      </w:r>
      <w:r>
        <w:rPr>
          <w:rFonts w:ascii="Times New Roman" w:hAnsi="Times New Roman" w:cs="Times New Roman"/>
          <w:sz w:val="20"/>
          <w:szCs w:val="20"/>
        </w:rPr>
        <w:t>, Annex A: Case Study Reports.</w:t>
      </w:r>
    </w:p>
  </w:footnote>
  <w:footnote w:id="5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data were aggregated manually.</w:t>
      </w:r>
    </w:p>
  </w:footnote>
  <w:footnote w:id="5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EL (22.5%</w:t>
      </w:r>
      <w:r>
        <w:rPr>
          <w:rFonts w:ascii="Times New Roman" w:hAnsi="Times New Roman" w:cs="Times New Roman"/>
          <w:sz w:val="20"/>
          <w:szCs w:val="20"/>
        </w:rPr>
        <w:t>), ES (12.4%), FR (10.8%), UK (15.9%).</w:t>
      </w:r>
    </w:p>
  </w:footnote>
  <w:footnote w:id="5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provided by Article 19 of Decision 2008/458/EC, amended by Decision 2011/177/EU.</w:t>
      </w:r>
    </w:p>
  </w:footnote>
  <w:footnote w:id="5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Priorities (1) Support for the development of a strategic approach to return management by Member States; (2) Support for the </w:t>
      </w:r>
      <w:r>
        <w:rPr>
          <w:rFonts w:ascii="Times New Roman" w:hAnsi="Times New Roman" w:cs="Times New Roman"/>
          <w:sz w:val="20"/>
          <w:szCs w:val="20"/>
        </w:rPr>
        <w:t>cooperation between Member States in return management; (3) Support for specific innovative (inter)national tools for return management; (4) Support for Community standards and best practices on return management.</w:t>
      </w:r>
    </w:p>
  </w:footnote>
  <w:footnote w:id="5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data were aggregated manually.</w:t>
      </w:r>
    </w:p>
  </w:footnote>
  <w:footnote w:id="5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IOM was the beneficiary of both of these actions. As the projects were not yet closed at the time of writing   the report, the implementation rate is not available.</w:t>
      </w:r>
    </w:p>
  </w:footnote>
  <w:footnote w:id="5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provided in Article 168(1) of the Rules of Application (Regulation No 2342/2002).</w:t>
      </w:r>
    </w:p>
  </w:footnote>
  <w:footnote w:id="60">
    <w:p w:rsidR="007013FD" w:rsidRDefault="005E3FDE">
      <w:pPr>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The lower implementation rate of this project is due to the fact that the initial allocated budget was under     spent. The initial planned number of UAMs to be returned by the project was not met (only 5 UAMs out of the 50 initially foreseen wished to</w:t>
      </w:r>
      <w:r>
        <w:rPr>
          <w:rFonts w:ascii="Times New Roman" w:hAnsi="Times New Roman" w:cs="Times New Roman"/>
          <w:sz w:val="20"/>
          <w:szCs w:val="20"/>
          <w:lang w:val="en-GB"/>
        </w:rPr>
        <w:t xml:space="preserve"> return voluntarily); this meant that the reintegration grants budget line was not used and that the fees linked to the reintegration monitoring of assisted UAMs were not spent. The funding allocated for the service fees for the contribution of partner org</w:t>
      </w:r>
      <w:r>
        <w:rPr>
          <w:rFonts w:ascii="Times New Roman" w:hAnsi="Times New Roman" w:cs="Times New Roman"/>
          <w:sz w:val="20"/>
          <w:szCs w:val="20"/>
          <w:lang w:val="en-GB"/>
        </w:rPr>
        <w:t>anisations to national reports on family tracing was also largely under spent.</w:t>
      </w:r>
    </w:p>
  </w:footnote>
  <w:footnote w:id="6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CY, CZ, DE, EE, ES, FI, FR, HR, IE, LT, NL, PL, PT, RO, SI, SK.</w:t>
      </w:r>
    </w:p>
  </w:footnote>
  <w:footnote w:id="6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 xml:space="preserve">Ex-post evaluation of the European Return Fund </w:t>
      </w:r>
      <w:r>
        <w:rPr>
          <w:rFonts w:ascii="Times New Roman" w:hAnsi="Times New Roman" w:cs="Times New Roman"/>
          <w:i/>
          <w:sz w:val="20"/>
          <w:szCs w:val="20"/>
        </w:rPr>
        <w:t>2011-2013</w:t>
      </w:r>
      <w:r>
        <w:rPr>
          <w:rFonts w:ascii="Times New Roman" w:hAnsi="Times New Roman" w:cs="Times New Roman"/>
          <w:sz w:val="20"/>
          <w:szCs w:val="20"/>
        </w:rPr>
        <w:t>, Annex C.</w:t>
      </w:r>
    </w:p>
  </w:footnote>
  <w:footnote w:id="6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100% of respondents to a survey considered that project objectives were relevant to the needs of their specific MS, while 88% found them relevant to the needs of the EU as a whole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w:t>
      </w:r>
      <w:r>
        <w:rPr>
          <w:rFonts w:ascii="Times New Roman" w:hAnsi="Times New Roman" w:cs="Times New Roman"/>
          <w:i/>
          <w:sz w:val="20"/>
          <w:szCs w:val="20"/>
        </w:rPr>
        <w:t>tion of the European Return Fund 2011-2013</w:t>
      </w:r>
      <w:r>
        <w:rPr>
          <w:rFonts w:ascii="Times New Roman" w:hAnsi="Times New Roman" w:cs="Times New Roman"/>
          <w:sz w:val="20"/>
          <w:szCs w:val="20"/>
        </w:rPr>
        <w:t>, Annex C).</w:t>
      </w:r>
    </w:p>
  </w:footnote>
  <w:footnote w:id="6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Indeed, 63% of all projects under the RF were implemented under this Priority.</w:t>
      </w:r>
    </w:p>
  </w:footnote>
  <w:footnote w:id="65">
    <w:p w:rsidR="007013FD" w:rsidRDefault="005E3FD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BG, CY, EE, HU, LT, PL, SK.</w:t>
      </w:r>
    </w:p>
  </w:footnote>
  <w:footnote w:id="66">
    <w:p w:rsidR="007013FD" w:rsidRDefault="005E3FD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BG, CY, CZ, DE, FR, HU, LU, MT, PT, SK, UK.</w:t>
      </w:r>
    </w:p>
  </w:footnote>
  <w:footnote w:id="6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88% of the stakeholders </w:t>
      </w:r>
      <w:r>
        <w:rPr>
          <w:rFonts w:ascii="Times New Roman" w:hAnsi="Times New Roman" w:cs="Times New Roman"/>
          <w:sz w:val="20"/>
          <w:szCs w:val="20"/>
        </w:rPr>
        <w:t>consulted through the survey also mentioned the need to facilitate voluntary return through AVR(R) programmes or reintegration measures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w:t>
      </w:r>
    </w:p>
  </w:footnote>
  <w:footnote w:id="68">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CY, CZ</w:t>
      </w:r>
      <w:r>
        <w:rPr>
          <w:rFonts w:ascii="Times New Roman" w:hAnsi="Times New Roman" w:cs="Times New Roman"/>
          <w:sz w:val="20"/>
          <w:szCs w:val="20"/>
          <w:lang w:val="es-ES"/>
        </w:rPr>
        <w:t>, DE, EE, EL, ES, FI, LT, LU, MT, NL, PL, PT, RO, SE, SI, SK.</w:t>
      </w:r>
    </w:p>
  </w:footnote>
  <w:footnote w:id="6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the Benelux countries preferred to negotiate multilateral readmission agreements.</w:t>
      </w:r>
    </w:p>
  </w:footnote>
  <w:footnote w:id="7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 and AT. </w:t>
      </w:r>
    </w:p>
  </w:footnote>
  <w:footnote w:id="7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CY, LT.</w:t>
      </w:r>
    </w:p>
  </w:footnote>
  <w:footnote w:id="72">
    <w:p w:rsidR="007013FD" w:rsidRDefault="005E3FD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In 2012 the purchase, construction or renovation of deten</w:t>
      </w:r>
      <w:r>
        <w:rPr>
          <w:rFonts w:ascii="Times New Roman" w:hAnsi="Times New Roman" w:cs="Times New Roman"/>
          <w:sz w:val="20"/>
          <w:szCs w:val="20"/>
        </w:rPr>
        <w:t xml:space="preserve">tion centres became eligible under the RF, see Article 1 of </w:t>
      </w:r>
      <w:r>
        <w:rPr>
          <w:rFonts w:ascii="Times New Roman" w:hAnsi="Times New Roman" w:cs="Times New Roman"/>
          <w:bCs/>
          <w:sz w:val="20"/>
          <w:szCs w:val="20"/>
        </w:rPr>
        <w:t>Commission Implementing Decision (EU) No. 2012/718 of 20 September 2012 amending Decision 2008/458/EC laying down rules for the implementation of Decision No 575/2007/EC of the European Parliament</w:t>
      </w:r>
      <w:r>
        <w:rPr>
          <w:rFonts w:ascii="Times New Roman" w:hAnsi="Times New Roman" w:cs="Times New Roman"/>
          <w:bCs/>
          <w:sz w:val="20"/>
          <w:szCs w:val="20"/>
        </w:rPr>
        <w:t xml:space="preserve"> and of the Council establishing the European Return Fund for the period 2008 to 2013 as part of the General programme Solidarity and Management of Migration Flows as regards Member States’ management and control systems, the rules for administrative and f</w:t>
      </w:r>
      <w:r>
        <w:rPr>
          <w:rFonts w:ascii="Times New Roman" w:hAnsi="Times New Roman" w:cs="Times New Roman"/>
          <w:bCs/>
          <w:sz w:val="20"/>
          <w:szCs w:val="20"/>
        </w:rPr>
        <w:t>inancial management and the eligibility of expenditure on projects co-financed by the Fund, OJ L 326, 24.11.2012, p. 17–18</w:t>
      </w:r>
    </w:p>
  </w:footnote>
  <w:footnote w:id="7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11(f) of Regulation (EU) No 516/2014.</w:t>
      </w:r>
    </w:p>
  </w:footnote>
  <w:footnote w:id="7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11(g) of Regulation (EU) No 516/2014.</w:t>
      </w:r>
    </w:p>
  </w:footnote>
  <w:footnote w:id="7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BE, BG, CY, CZ, DE, </w:t>
      </w:r>
      <w:r>
        <w:rPr>
          <w:rFonts w:ascii="Times New Roman" w:hAnsi="Times New Roman" w:cs="Times New Roman"/>
          <w:sz w:val="20"/>
          <w:szCs w:val="20"/>
        </w:rPr>
        <w:t>EE, ES, FI, HR, HU, IE, IT, LT, MT, NL, PL, PT, RO, SE, SI, SK, UK</w:t>
      </w:r>
    </w:p>
  </w:footnote>
  <w:footnote w:id="7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w:t>
      </w:r>
    </w:p>
  </w:footnote>
  <w:footnote w:id="7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CY, DE, EE, FR, HU, IE, IT, MT, PL, RO, SI, SK and UK.</w:t>
      </w:r>
    </w:p>
  </w:footnote>
  <w:footnote w:id="7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For ins</w:t>
      </w:r>
      <w:r>
        <w:rPr>
          <w:rFonts w:ascii="Times New Roman" w:hAnsi="Times New Roman" w:cs="Times New Roman"/>
          <w:sz w:val="20"/>
          <w:szCs w:val="20"/>
        </w:rPr>
        <w:t>tance, in HU the MAP drafted for the purpose of implementing the RF at the start of the funding   period had, to a high extent, played the role of an integrated return management plan.</w:t>
      </w:r>
    </w:p>
  </w:footnote>
  <w:footnote w:id="7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BG, CZ.</w:t>
      </w:r>
    </w:p>
  </w:footnote>
  <w:footnote w:id="8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AT, BE, DE, FI, HU, IT, MT, PL, UK.</w:t>
      </w:r>
    </w:p>
  </w:footnote>
  <w:footnote w:id="8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a definition o</w:t>
      </w:r>
      <w:r>
        <w:rPr>
          <w:rFonts w:ascii="Times New Roman" w:hAnsi="Times New Roman" w:cs="Times New Roman"/>
          <w:sz w:val="20"/>
          <w:szCs w:val="20"/>
        </w:rPr>
        <w:t>f integrated return management and of its components, see Article 3(2) of Decision No 575/2007/EC of the European Parliament and of the Council of 23 May 2007 establishing the European Return Fund for the period 2008 to 2013 as part of the General Programm</w:t>
      </w:r>
      <w:r>
        <w:rPr>
          <w:rFonts w:ascii="Times New Roman" w:hAnsi="Times New Roman" w:cs="Times New Roman"/>
          <w:sz w:val="20"/>
          <w:szCs w:val="20"/>
        </w:rPr>
        <w:t>e ‘Solidarity and Management of Migration Flows’.</w:t>
      </w:r>
    </w:p>
  </w:footnote>
  <w:footnote w:id="8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(COM(2015)453).</w:t>
      </w:r>
    </w:p>
  </w:footnote>
  <w:footnote w:id="8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For the wider return area spending on forced return accounted for a higher ratio than spending on voluntary return (33% versus 20% respectively). </w:t>
      </w:r>
    </w:p>
  </w:footnote>
  <w:footnote w:id="8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the RF, allocated spendin</w:t>
      </w:r>
      <w:r>
        <w:rPr>
          <w:rFonts w:ascii="Times New Roman" w:hAnsi="Times New Roman" w:cs="Times New Roman"/>
          <w:sz w:val="20"/>
          <w:szCs w:val="20"/>
        </w:rPr>
        <w:t>g on voluntary returns was slightly higher than on forced return (36% versus 32% respectively).</w:t>
      </w:r>
    </w:p>
  </w:footnote>
  <w:footnote w:id="8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Overall, the number of persons returned voluntarily gradually doubled over the years, from 21,057 in 2011 to 45,077 in 2013. Data taken from the National Eva</w:t>
      </w:r>
      <w:r>
        <w:rPr>
          <w:rFonts w:ascii="Times New Roman" w:hAnsi="Times New Roman" w:cs="Times New Roman"/>
          <w:sz w:val="20"/>
          <w:szCs w:val="20"/>
        </w:rPr>
        <w:t>luation Reports, see also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B. Data was not available for CY, HR, and SE.</w:t>
      </w:r>
    </w:p>
  </w:footnote>
  <w:footnote w:id="8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does not include Croatia, as it only participated from 2013 onwards, upon ac</w:t>
      </w:r>
      <w:r>
        <w:rPr>
          <w:rFonts w:ascii="Times New Roman" w:hAnsi="Times New Roman" w:cs="Times New Roman"/>
          <w:sz w:val="20"/>
          <w:szCs w:val="20"/>
        </w:rPr>
        <w:t>cession to the European Union.</w:t>
      </w:r>
    </w:p>
  </w:footnote>
  <w:footnote w:id="8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CZ, EE, ES, MT and the UK.</w:t>
      </w:r>
    </w:p>
  </w:footnote>
  <w:footnote w:id="8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Data was not available for BG, CY, DE, IE, SE. 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B.</w:t>
      </w:r>
    </w:p>
  </w:footnote>
  <w:footnote w:id="89">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EL, ES, LU, PL and UK.</w:t>
      </w:r>
    </w:p>
  </w:footnote>
  <w:footnote w:id="9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Article 12 of the AMIF Regulation provides that actions on AVR(R) and removal operations should receive support, with an emphasis on the standards laid down in EU law. It excludes the funding of coercive equipment.</w:t>
      </w:r>
    </w:p>
  </w:footnote>
  <w:footnote w:id="9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European Commission (2016) </w:t>
      </w:r>
      <w:r>
        <w:rPr>
          <w:rFonts w:ascii="Times New Roman" w:hAnsi="Times New Roman" w:cs="Times New Roman"/>
          <w:i/>
          <w:sz w:val="20"/>
          <w:szCs w:val="20"/>
        </w:rPr>
        <w:t>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B, Figure 41.</w:t>
      </w:r>
    </w:p>
  </w:footnote>
  <w:footnote w:id="9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details regarding these success stories, see i</w:t>
      </w:r>
      <w:r>
        <w:rPr>
          <w:rFonts w:ascii="Times New Roman" w:hAnsi="Times New Roman" w:cs="Times New Roman"/>
          <w:i/>
          <w:sz w:val="20"/>
          <w:szCs w:val="20"/>
        </w:rPr>
        <w:t>bid</w:t>
      </w:r>
      <w:r>
        <w:rPr>
          <w:rFonts w:ascii="Times New Roman" w:hAnsi="Times New Roman" w:cs="Times New Roman"/>
          <w:sz w:val="20"/>
          <w:szCs w:val="20"/>
        </w:rPr>
        <w:t>, pp. 50-51.</w:t>
      </w:r>
    </w:p>
  </w:footnote>
  <w:footnote w:id="9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Belgium, for instance, only managed to assist one unaccompanied minor (UAM) in returning to </w:t>
      </w:r>
      <w:r>
        <w:rPr>
          <w:rFonts w:ascii="Times New Roman" w:hAnsi="Times New Roman" w:cs="Times New Roman"/>
          <w:sz w:val="20"/>
          <w:szCs w:val="20"/>
        </w:rPr>
        <w:t xml:space="preserve">Morocco in 2011-2013, instead of the ten initially planned, under a project implemented by IOM. Another UAM-related project (STAVR(R)), implemented by Caritas, also failed to achieve its set targets as the preparatory work of a case was underestimated and </w:t>
      </w:r>
      <w:r>
        <w:rPr>
          <w:rFonts w:ascii="Times New Roman" w:hAnsi="Times New Roman" w:cs="Times New Roman"/>
          <w:sz w:val="20"/>
          <w:szCs w:val="20"/>
        </w:rPr>
        <w:t>the project period proved to be too short.</w:t>
      </w:r>
    </w:p>
  </w:footnote>
  <w:footnote w:id="9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Estonia, the number of vulnerable persons assisted in their return was three in 2011 but zero in both 2012 and 2013 due to the fact that no vulnerable persons applied for support.</w:t>
      </w:r>
    </w:p>
  </w:footnote>
  <w:footnote w:id="95">
    <w:p w:rsidR="007013FD" w:rsidRDefault="005E3FDE">
      <w:pPr>
        <w:pStyle w:val="FootnoteText1"/>
        <w:spacing w:after="0"/>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rPr>
        <w:t>Interview with the Frenc</w:t>
      </w:r>
      <w:r>
        <w:rPr>
          <w:rFonts w:ascii="Times New Roman" w:hAnsi="Times New Roman"/>
          <w:sz w:val="20"/>
        </w:rPr>
        <w:t>h RA.</w:t>
      </w:r>
    </w:p>
  </w:footnote>
  <w:footnote w:id="9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Other types of Specific Actions, as outlined in Annex II to the AMIF Regulation, also include 'Joint return operations' and 'Joint reintegration projects in the countries of origin with a view to sustainable return, as well as joint actions to str</w:t>
      </w:r>
      <w:r>
        <w:rPr>
          <w:rFonts w:ascii="Times New Roman" w:hAnsi="Times New Roman" w:cs="Times New Roman"/>
          <w:sz w:val="20"/>
          <w:szCs w:val="20"/>
        </w:rPr>
        <w:t>engthen third countries' capacities to implement Union readmission agreements'.</w:t>
      </w:r>
    </w:p>
  </w:footnote>
  <w:footnote w:id="97">
    <w:p w:rsidR="007013FD" w:rsidRDefault="005E3FDE">
      <w:pPr>
        <w:pStyle w:val="FootnoteText1"/>
        <w:spacing w:after="0"/>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Project HOME/2011/RFXX/CA/EA/4002.</w:t>
      </w:r>
    </w:p>
  </w:footnote>
  <w:footnote w:id="98">
    <w:p w:rsidR="007013FD" w:rsidRDefault="005E3FDE">
      <w:pPr>
        <w:pStyle w:val="FootnoteText1"/>
        <w:spacing w:after="0" w:line="240" w:lineRule="auto"/>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Project HOME/2011/RFXX/CA/1004.</w:t>
      </w:r>
    </w:p>
  </w:footnote>
  <w:footnote w:id="99">
    <w:p w:rsidR="007013FD" w:rsidRDefault="005E3FDE">
      <w:pPr>
        <w:pStyle w:val="FootnoteText1"/>
        <w:spacing w:after="0" w:line="240" w:lineRule="auto"/>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rPr>
        <w:t>Project HOME/2011/RFXX/CA/1007.</w:t>
      </w:r>
    </w:p>
  </w:footnote>
  <w:footnote w:id="100">
    <w:p w:rsidR="007013FD" w:rsidRDefault="005E3FDE">
      <w:pPr>
        <w:pStyle w:val="FootnoteText1"/>
        <w:spacing w:after="0" w:line="240" w:lineRule="auto"/>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Project HOME/2011/RFXX/CA/1014.</w:t>
      </w:r>
    </w:p>
  </w:footnote>
  <w:footnote w:id="101">
    <w:p w:rsidR="007013FD" w:rsidRDefault="005E3FDE">
      <w:pPr>
        <w:pStyle w:val="FootnoteText1"/>
        <w:spacing w:after="0" w:line="240" w:lineRule="auto"/>
        <w:ind w:left="360" w:hanging="360"/>
        <w:rPr>
          <w:rFonts w:ascii="Times New Roman" w:hAnsi="Times New Roman"/>
          <w:sz w:val="20"/>
        </w:rPr>
      </w:pPr>
      <w:r>
        <w:rPr>
          <w:rStyle w:val="FootnoteCharacters"/>
          <w:rFonts w:ascii="Times New Roman" w:hAnsi="Times New Roman"/>
          <w:sz w:val="20"/>
          <w:vertAlign w:val="superscript"/>
        </w:rPr>
        <w:footnoteRef/>
      </w:r>
      <w:r>
        <w:rPr>
          <w:rFonts w:ascii="Times New Roman" w:hAnsi="Times New Roman"/>
          <w:sz w:val="20"/>
        </w:rPr>
        <w:t xml:space="preserve">  </w:t>
      </w:r>
      <w:r>
        <w:rPr>
          <w:rFonts w:ascii="Times New Roman" w:hAnsi="Times New Roman"/>
          <w:sz w:val="20"/>
        </w:rPr>
        <w:tab/>
        <w:t>Project HOME/2012/RFXX/CA</w:t>
      </w:r>
      <w:r>
        <w:rPr>
          <w:rFonts w:ascii="Times New Roman" w:hAnsi="Times New Roman"/>
          <w:sz w:val="20"/>
        </w:rPr>
        <w:t>/1015.</w:t>
      </w:r>
    </w:p>
  </w:footnote>
  <w:footnote w:id="102">
    <w:p w:rsidR="007013FD" w:rsidRDefault="005E3FD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AT, BE, EL, EE, ES, HU, IT, NL, PT, SK, SI.</w:t>
      </w:r>
    </w:p>
  </w:footnote>
  <w:footnote w:id="10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xml:space="preserve">, Annex B, Figure 40. Data is not available for 11 Member States (BG, CY, CZ, DE, FI, HR, IE, LT, LU, </w:t>
      </w:r>
      <w:r>
        <w:rPr>
          <w:rFonts w:ascii="Times New Roman" w:hAnsi="Times New Roman" w:cs="Times New Roman"/>
          <w:sz w:val="20"/>
          <w:szCs w:val="20"/>
        </w:rPr>
        <w:t>LV, SE).</w:t>
      </w:r>
    </w:p>
  </w:footnote>
  <w:footnote w:id="10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BG, CY, FU, DE, IT, MT, NL, PL, PT, RO and SE.</w:t>
      </w:r>
    </w:p>
  </w:footnote>
  <w:footnote w:id="10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EURINT</w:t>
      </w:r>
      <w:r>
        <w:rPr>
          <w:rFonts w:ascii="Times New Roman" w:hAnsi="Times New Roman" w:cs="Times New Roman"/>
          <w:b/>
          <w:sz w:val="20"/>
          <w:szCs w:val="20"/>
        </w:rPr>
        <w:t xml:space="preserve"> </w:t>
      </w:r>
      <w:r>
        <w:rPr>
          <w:rFonts w:ascii="Times New Roman" w:hAnsi="Times New Roman" w:cs="Times New Roman"/>
          <w:sz w:val="20"/>
          <w:szCs w:val="20"/>
        </w:rPr>
        <w:t>sought to contribute to the development and sharing of Member State best practices in the area of return</w:t>
      </w:r>
      <w:r>
        <w:rPr>
          <w:rFonts w:ascii="Times New Roman" w:hAnsi="Times New Roman" w:cs="Times New Roman"/>
          <w:b/>
          <w:sz w:val="20"/>
          <w:szCs w:val="20"/>
        </w:rPr>
        <w:t>.</w:t>
      </w:r>
    </w:p>
  </w:footnote>
  <w:footnote w:id="10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EURLO aimed to foster operational cooperation with countries of origin </w:t>
      </w:r>
      <w:r>
        <w:rPr>
          <w:rFonts w:ascii="Times New Roman" w:hAnsi="Times New Roman" w:cs="Times New Roman"/>
          <w:sz w:val="20"/>
          <w:szCs w:val="20"/>
        </w:rPr>
        <w:t>through the appointment of Return Liaison Officers in key countries.</w:t>
      </w:r>
    </w:p>
  </w:footnote>
  <w:footnote w:id="107">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EL, FI, MT, NL, PT, SE and UK.</w:t>
      </w:r>
    </w:p>
  </w:footnote>
  <w:footnote w:id="10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AMIF, according to Regulation (EU) No 516/2014 Article 15(1)(b), EUR 360 million, may be allocated to Member States wanting to implement actions</w:t>
      </w:r>
      <w:r>
        <w:rPr>
          <w:rFonts w:ascii="Times New Roman" w:hAnsi="Times New Roman" w:cs="Times New Roman"/>
          <w:sz w:val="20"/>
          <w:szCs w:val="20"/>
        </w:rPr>
        <w:t xml:space="preserve"> in the area of return which entail intra-EU cooperation.</w:t>
      </w:r>
    </w:p>
  </w:footnote>
  <w:footnote w:id="10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4.1 d) of RF Decision.</w:t>
      </w:r>
    </w:p>
  </w:footnote>
  <w:footnote w:id="11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 Figure 88.</w:t>
      </w:r>
    </w:p>
  </w:footnote>
  <w:footnote w:id="11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ES, FI, FR, HR, HU, LU, SE, SK and UK.</w:t>
      </w:r>
    </w:p>
  </w:footnote>
  <w:footnote w:id="11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BG, DE, EE, IE, IT, NL, PL and SI.</w:t>
      </w:r>
    </w:p>
  </w:footnote>
  <w:footnote w:id="11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B. It should be noted that the NERs do not specify whether the data includes or excludes Frontex Joint Retur</w:t>
      </w:r>
      <w:r>
        <w:rPr>
          <w:rFonts w:ascii="Times New Roman" w:hAnsi="Times New Roman" w:cs="Times New Roman"/>
          <w:sz w:val="20"/>
          <w:szCs w:val="20"/>
        </w:rPr>
        <w:t>n Operations and that data is not available for 12 Member States (CY, CZ, DE, ES, FR, EL, HR, LT, LU, LV, SE, UK). Data from Italy has been considered not reliable and disregarded.</w:t>
      </w:r>
    </w:p>
  </w:footnote>
  <w:footnote w:id="11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Ibid</w:t>
      </w:r>
      <w:r>
        <w:rPr>
          <w:rFonts w:ascii="Times New Roman" w:hAnsi="Times New Roman" w:cs="Times New Roman"/>
          <w:sz w:val="20"/>
          <w:szCs w:val="20"/>
        </w:rPr>
        <w:t>. Data is not available for Member States that indicated N/A and 0 f</w:t>
      </w:r>
      <w:r>
        <w:rPr>
          <w:rFonts w:ascii="Times New Roman" w:hAnsi="Times New Roman" w:cs="Times New Roman"/>
          <w:sz w:val="20"/>
          <w:szCs w:val="20"/>
        </w:rPr>
        <w:t>or the reference period 2011-2015 (MS missing: AT, BG, CY, DE, EE, ES, HR, IE, LT, LU, LV NL, PT, SI, SK, UK). Therefore the data reflects the evolution in 11 Member States.</w:t>
      </w:r>
    </w:p>
  </w:footnote>
  <w:footnote w:id="11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ES, FI, HR, HU, RO, SI, SK and UK.</w:t>
      </w:r>
    </w:p>
  </w:footnote>
  <w:footnote w:id="11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Information  taken from  </w:t>
      </w:r>
      <w:r>
        <w:rPr>
          <w:rFonts w:ascii="Times New Roman" w:hAnsi="Times New Roman" w:cs="Times New Roman"/>
          <w:sz w:val="20"/>
          <w:szCs w:val="20"/>
        </w:rPr>
        <w:t>interviews with the RAs of Bulgaria, Malta, Romania and Slovenia, from the United Kingdom case study and from France's ex-post evaluation report.</w:t>
      </w:r>
    </w:p>
  </w:footnote>
  <w:footnote w:id="11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footnote 104.</w:t>
      </w:r>
    </w:p>
  </w:footnote>
  <w:footnote w:id="11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Regulation (EU) No 516/2014 Article 15(1)(b) and Annex II. </w:t>
      </w:r>
    </w:p>
  </w:footnote>
  <w:footnote w:id="11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CY, CZ, ES, IE and </w:t>
      </w:r>
      <w:r>
        <w:rPr>
          <w:rFonts w:ascii="Times New Roman" w:hAnsi="Times New Roman" w:cs="Times New Roman"/>
          <w:sz w:val="20"/>
          <w:szCs w:val="20"/>
        </w:rPr>
        <w:t>UK.</w:t>
      </w:r>
    </w:p>
  </w:footnote>
  <w:footnote w:id="12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BG, DE, EE, EL, FI, HR, HU, IE, IT, LT, LV, LU, MT, PL, RO, SE, SI, SK (views expressed in Member State ex-post evaluation reports or interviews with RAs).</w:t>
      </w:r>
    </w:p>
  </w:footnote>
  <w:footnote w:id="12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There were a total of 24 respondents to this survey, most from non-governmental or civ</w:t>
      </w:r>
      <w:r>
        <w:rPr>
          <w:rFonts w:ascii="Times New Roman" w:hAnsi="Times New Roman" w:cs="Times New Roman"/>
          <w:sz w:val="20"/>
          <w:szCs w:val="20"/>
        </w:rPr>
        <w:t>il society organisations and international organisations.</w:t>
      </w:r>
    </w:p>
  </w:footnote>
  <w:footnote w:id="12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w:t>
      </w:r>
    </w:p>
  </w:footnote>
  <w:footnote w:id="12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Particularly in BE, CZ, HU and SI.</w:t>
      </w:r>
    </w:p>
  </w:footnote>
  <w:footnote w:id="12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w:t>
      </w:r>
    </w:p>
  </w:footnote>
  <w:footnote w:id="12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Particularly in EE, FI and PL.</w:t>
      </w:r>
    </w:p>
  </w:footnote>
  <w:footnote w:id="12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sz w:val="20"/>
          <w:szCs w:val="20"/>
        </w:rPr>
        <w:t>Particularly in EE, HU, IT, LV and SE.</w:t>
      </w:r>
    </w:p>
  </w:footnote>
  <w:footnote w:id="12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Particularly AT, BE, EL, HU and LU.</w:t>
      </w:r>
    </w:p>
  </w:footnote>
  <w:footnote w:id="12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516/2014, Article 11.</w:t>
      </w:r>
    </w:p>
  </w:footnote>
  <w:footnote w:id="12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516/2014, Article 12(c) and Article 12(d).</w:t>
      </w:r>
    </w:p>
  </w:footnote>
  <w:footnote w:id="13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Communication from the Commission to the European Parliament, the</w:t>
      </w:r>
      <w:r>
        <w:rPr>
          <w:rFonts w:ascii="Times New Roman" w:hAnsi="Times New Roman" w:cs="Times New Roman"/>
          <w:sz w:val="20"/>
          <w:szCs w:val="20"/>
        </w:rPr>
        <w:t xml:space="preserve"> Council, the Economic and Social Committee and the Committee of the Regions "The application of the criteria for the distribution of resources among the Member States under the External Borders Fund, the European Fund for the Integration of third-country </w:t>
      </w:r>
      <w:r>
        <w:rPr>
          <w:rFonts w:ascii="Times New Roman" w:hAnsi="Times New Roman" w:cs="Times New Roman"/>
          <w:sz w:val="20"/>
          <w:szCs w:val="20"/>
        </w:rPr>
        <w:t>nationals and the European Return Fund", COM (2011) 448.</w:t>
      </w:r>
    </w:p>
  </w:footnote>
  <w:footnote w:id="13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EMAS grant of 543 589 EUR while the 2013 AP allocation was 841.694 EUR.</w:t>
      </w:r>
    </w:p>
  </w:footnote>
  <w:footnote w:id="13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one year grant (January 2014 to December 2014) allocated to the International Organisation for Migration (IOM) aim</w:t>
      </w:r>
      <w:r>
        <w:rPr>
          <w:rFonts w:ascii="Times New Roman" w:hAnsi="Times New Roman" w:cs="Times New Roman"/>
          <w:sz w:val="20"/>
          <w:szCs w:val="20"/>
        </w:rPr>
        <w:t xml:space="preserve">ed at developing and implementing a programme facilitating the voluntary return of TCNs to the countries or origin. </w:t>
      </w:r>
    </w:p>
  </w:footnote>
  <w:footnote w:id="13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European Commission (2016) </w:t>
      </w:r>
      <w:r>
        <w:rPr>
          <w:rFonts w:ascii="Times New Roman" w:hAnsi="Times New Roman" w:cs="Times New Roman"/>
          <w:i/>
          <w:sz w:val="20"/>
          <w:szCs w:val="20"/>
        </w:rPr>
        <w:t>External Ex-post evaluation of the European Return Fund 2011-2013</w:t>
      </w:r>
      <w:r>
        <w:rPr>
          <w:rFonts w:ascii="Times New Roman" w:hAnsi="Times New Roman" w:cs="Times New Roman"/>
          <w:sz w:val="20"/>
          <w:szCs w:val="20"/>
        </w:rPr>
        <w:t xml:space="preserve">, see section 6.1.8 for an overview of </w:t>
      </w:r>
      <w:r>
        <w:rPr>
          <w:rFonts w:ascii="Times New Roman" w:hAnsi="Times New Roman" w:cs="Times New Roman"/>
          <w:sz w:val="20"/>
          <w:szCs w:val="20"/>
        </w:rPr>
        <w:t>emergency assistance projects funded under RF 2011-2013.</w:t>
      </w:r>
    </w:p>
  </w:footnote>
  <w:footnote w:id="13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project notably aimed at developing 350 individual reintegration plans for UAMs but only 133 could be achieved. This is due to several factors such as the difficulty to identify UAMs, securi</w:t>
      </w:r>
      <w:r>
        <w:rPr>
          <w:rFonts w:ascii="Times New Roman" w:hAnsi="Times New Roman" w:cs="Times New Roman"/>
          <w:sz w:val="20"/>
          <w:szCs w:val="20"/>
        </w:rPr>
        <w:t xml:space="preserve">ty restrictions for IOM staff in the areas in the country of origin to conduct effective family tracing exercises and lack of cooperation from the family regarding the return of the minor. </w:t>
      </w:r>
    </w:p>
  </w:footnote>
  <w:footnote w:id="13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Reported in an interview with the Spanish RA.</w:t>
      </w:r>
    </w:p>
  </w:footnote>
  <w:footnote w:id="13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Regulation (</w:t>
      </w:r>
      <w:r>
        <w:rPr>
          <w:rFonts w:ascii="Times New Roman" w:hAnsi="Times New Roman" w:cs="Times New Roman"/>
          <w:sz w:val="20"/>
          <w:szCs w:val="20"/>
        </w:rPr>
        <w:t xml:space="preserve">EU) No 516/2014, Article 20(b) includes under 'Union actions' linked to innovation, such as 'the setting-up of transnational cooperation networks and pilot projects, including innovative projects, based on transnational partnerships between bodies located </w:t>
      </w:r>
      <w:r>
        <w:rPr>
          <w:rFonts w:ascii="Times New Roman" w:hAnsi="Times New Roman" w:cs="Times New Roman"/>
          <w:sz w:val="20"/>
          <w:szCs w:val="20"/>
        </w:rPr>
        <w:t>in two or more Member States designed to stimulate innovation and to facilitate exchanges of experiences and best practices'.</w:t>
      </w:r>
    </w:p>
  </w:footnote>
  <w:footnote w:id="13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EE, HR, LV, PT and UK.</w:t>
      </w:r>
    </w:p>
  </w:footnote>
  <w:footnote w:id="13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FI, FR, IE, IT, MT, NL and SE.</w:t>
      </w:r>
    </w:p>
  </w:footnote>
  <w:footnote w:id="13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NL, SE.</w:t>
      </w:r>
    </w:p>
  </w:footnote>
  <w:footnote w:id="14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w:t>
      </w:r>
      <w:r>
        <w:rPr>
          <w:rFonts w:ascii="Times New Roman" w:hAnsi="Times New Roman" w:cs="Times New Roman"/>
          <w:i/>
          <w:sz w:val="20"/>
          <w:szCs w:val="20"/>
        </w:rPr>
        <w:t>European Commission (2016) External</w:t>
      </w:r>
      <w:r>
        <w:rPr>
          <w:rFonts w:ascii="Times New Roman" w:hAnsi="Times New Roman" w:cs="Times New Roman"/>
          <w:sz w:val="20"/>
          <w:szCs w:val="20"/>
        </w:rPr>
        <w:t xml:space="preserve"> </w:t>
      </w:r>
      <w:r>
        <w:rPr>
          <w:rFonts w:ascii="Times New Roman" w:hAnsi="Times New Roman" w:cs="Times New Roman"/>
          <w:i/>
          <w:sz w:val="20"/>
          <w:szCs w:val="20"/>
        </w:rPr>
        <w:t xml:space="preserve">Ex-post </w:t>
      </w:r>
      <w:r>
        <w:rPr>
          <w:rFonts w:ascii="Times New Roman" w:hAnsi="Times New Roman" w:cs="Times New Roman"/>
          <w:i/>
          <w:sz w:val="20"/>
          <w:szCs w:val="20"/>
        </w:rPr>
        <w:t>evaluation of the European Return Fund 2011-2013</w:t>
      </w:r>
      <w:r>
        <w:rPr>
          <w:rFonts w:ascii="Times New Roman" w:hAnsi="Times New Roman" w:cs="Times New Roman"/>
          <w:sz w:val="20"/>
          <w:szCs w:val="20"/>
        </w:rPr>
        <w:t>, Annex B. Data is not available for BG, CY, DE, ES, FR, HR, IE, and LU.</w:t>
      </w:r>
    </w:p>
  </w:footnote>
  <w:footnote w:id="14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w:t>
      </w:r>
      <w:r>
        <w:rPr>
          <w:rFonts w:ascii="Times New Roman" w:hAnsi="Times New Roman" w:cs="Times New Roman"/>
          <w:i/>
          <w:sz w:val="20"/>
          <w:szCs w:val="20"/>
        </w:rPr>
        <w:t>European Commission (2016)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B, Figure 53. Data is not av</w:t>
      </w:r>
      <w:r>
        <w:rPr>
          <w:rFonts w:ascii="Times New Roman" w:hAnsi="Times New Roman" w:cs="Times New Roman"/>
          <w:sz w:val="20"/>
          <w:szCs w:val="20"/>
        </w:rPr>
        <w:t>ailable for BG, CY, DE, ES, FR, HR, IE, LU, and LV.</w:t>
      </w:r>
    </w:p>
  </w:footnote>
  <w:footnote w:id="14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reported for projects implemented by ES, HU, LT, RO.</w:t>
      </w:r>
    </w:p>
  </w:footnote>
  <w:footnote w:id="14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a project aiming to better inform on durable solutions and protection for children (project reference HOME/2012/RFXX/CA/1004).</w:t>
      </w:r>
    </w:p>
  </w:footnote>
  <w:footnote w:id="14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a project addressing the needs of UAMs in Greece (project reference HOME/2011/RFXX/CA/EA/4002).</w:t>
      </w:r>
    </w:p>
  </w:footnote>
  <w:footnote w:id="14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Regulation (EU) No 516/2014, Article 20(b) includes under 'Union actions' linked to innovation, such as 'the setting-up of transnational </w:t>
      </w:r>
      <w:r>
        <w:rPr>
          <w:rFonts w:ascii="Times New Roman" w:hAnsi="Times New Roman" w:cs="Times New Roman"/>
          <w:sz w:val="20"/>
          <w:szCs w:val="20"/>
        </w:rPr>
        <w:t>cooperation networks and pilot projects, including innovative projects, based on transnational partnerships between bodies located in two or more Member States designed to stimulate innovation and to facilitate exchanges of experiences and best practices'.</w:t>
      </w:r>
    </w:p>
  </w:footnote>
  <w:footnote w:id="14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quantitative assessment was carried out on the basis of the financial information presented in the National Evaluation Reports of the Return Fund and additional clarifications received from Member States following a request made by the evaluation </w:t>
      </w:r>
      <w:r>
        <w:rPr>
          <w:rFonts w:ascii="Times New Roman" w:hAnsi="Times New Roman" w:cs="Times New Roman"/>
          <w:sz w:val="20"/>
          <w:szCs w:val="20"/>
        </w:rPr>
        <w:t>team.</w:t>
      </w:r>
    </w:p>
  </w:footnote>
  <w:footnote w:id="14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qualitative assessment is based on the evidence from the National Evaluation Report’s information in response to questions on efficiency, interviews with key stakeholders and as well as the survey of beneficiaries.</w:t>
      </w:r>
    </w:p>
  </w:footnote>
  <w:footnote w:id="14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20 Member States provi</w:t>
      </w:r>
      <w:r>
        <w:rPr>
          <w:rFonts w:ascii="Times New Roman" w:hAnsi="Times New Roman" w:cs="Times New Roman"/>
          <w:sz w:val="20"/>
          <w:szCs w:val="20"/>
        </w:rPr>
        <w:t>ded information on management costs of actions. No data was provided in National Evaluation Reports (NERs) for EE, ES, FI, IE, PT, SE and SI.</w:t>
      </w:r>
    </w:p>
  </w:footnote>
  <w:footnote w:id="14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CZ, DE, EE, EL, ES, FI, FR, HR, HU, IE, LT, LU, MT, PL, PT, RO, SI, SK, UK.</w:t>
      </w:r>
    </w:p>
  </w:footnote>
  <w:footnote w:id="15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w:t>
      </w:r>
      <w:r>
        <w:rPr>
          <w:rFonts w:ascii="Times New Roman" w:hAnsi="Times New Roman" w:cs="Times New Roman"/>
          <w:sz w:val="20"/>
          <w:szCs w:val="20"/>
        </w:rPr>
        <w:t>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 for an analysis of the survey results.</w:t>
      </w:r>
    </w:p>
  </w:footnote>
  <w:footnote w:id="15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(2016)</w:t>
      </w:r>
      <w:r>
        <w:rPr>
          <w:rFonts w:ascii="Times New Roman" w:hAnsi="Times New Roman" w:cs="Times New Roman"/>
          <w:i/>
          <w:sz w:val="20"/>
          <w:szCs w:val="20"/>
        </w:rPr>
        <w:t xml:space="preserve"> External</w:t>
      </w:r>
      <w:r>
        <w:rPr>
          <w:rFonts w:ascii="Times New Roman" w:hAnsi="Times New Roman" w:cs="Times New Roman"/>
          <w:sz w:val="20"/>
          <w:szCs w:val="20"/>
        </w:rPr>
        <w:t xml:space="preserve"> </w:t>
      </w:r>
      <w:r>
        <w:rPr>
          <w:rFonts w:ascii="Times New Roman" w:hAnsi="Times New Roman" w:cs="Times New Roman"/>
          <w:i/>
          <w:sz w:val="20"/>
          <w:szCs w:val="20"/>
        </w:rPr>
        <w:t>Ex-post evaluation of the European Return Fund 2011-2013</w:t>
      </w:r>
      <w:r>
        <w:rPr>
          <w:rFonts w:ascii="Times New Roman" w:hAnsi="Times New Roman" w:cs="Times New Roman"/>
          <w:sz w:val="20"/>
          <w:szCs w:val="20"/>
        </w:rPr>
        <w:t>, Annex C for an analysis of the</w:t>
      </w:r>
      <w:r>
        <w:rPr>
          <w:rFonts w:ascii="Times New Roman" w:hAnsi="Times New Roman" w:cs="Times New Roman"/>
          <w:sz w:val="20"/>
          <w:szCs w:val="20"/>
        </w:rPr>
        <w:t xml:space="preserve"> survey results.</w:t>
      </w:r>
    </w:p>
  </w:footnote>
  <w:footnote w:id="15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NL, EL, AT, BG, IT, LV and the UK.</w:t>
      </w:r>
    </w:p>
  </w:footnote>
  <w:footnote w:id="153">
    <w:p w:rsidR="007013FD" w:rsidRDefault="005E3FDE">
      <w:pPr>
        <w:pStyle w:val="FootnoteText"/>
        <w:spacing w:after="0"/>
        <w:ind w:left="360" w:hanging="360"/>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CY, HU, LT, CZ, MT.</w:t>
      </w:r>
    </w:p>
  </w:footnote>
  <w:footnote w:id="15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Administrative burden includes costs related to planning, programming and reporting on the actions implemented.</w:t>
      </w:r>
    </w:p>
  </w:footnote>
  <w:footnote w:id="15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EE, ES, and SE NERs.</w:t>
      </w:r>
    </w:p>
  </w:footnote>
  <w:footnote w:id="15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main factors influencing the</w:t>
      </w:r>
      <w:r>
        <w:rPr>
          <w:rFonts w:ascii="Times New Roman" w:hAnsi="Times New Roman" w:cs="Times New Roman"/>
          <w:sz w:val="20"/>
          <w:szCs w:val="20"/>
        </w:rPr>
        <w:t xml:space="preserve"> cost of voluntary and forced return were the number of returnees; the accessibility of the destination country of return; the number of countries collaborating in return operations; and the amount of financial assistance provided to returnees.</w:t>
      </w:r>
    </w:p>
  </w:footnote>
  <w:footnote w:id="15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was</w:t>
      </w:r>
      <w:r>
        <w:rPr>
          <w:rFonts w:ascii="Times New Roman" w:hAnsi="Times New Roman" w:cs="Times New Roman"/>
          <w:sz w:val="20"/>
          <w:szCs w:val="20"/>
        </w:rPr>
        <w:t xml:space="preserve"> found to be the case for MT, RO and UK.</w:t>
      </w:r>
    </w:p>
  </w:footnote>
  <w:footnote w:id="158">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Portugal, for example reported that only one air carrier offered charter flights to Brazil, the country to which it implemented most of its returns; this made return costs very high for this Member State. Estonia</w:t>
      </w:r>
      <w:r>
        <w:rPr>
          <w:rFonts w:ascii="Times New Roman" w:hAnsi="Times New Roman" w:cs="Times New Roman"/>
          <w:sz w:val="20"/>
          <w:szCs w:val="20"/>
        </w:rPr>
        <w:t>, on the other hand, reported that the use of the IOM network has provided opportunities to reduce costs, as IOM has contracts with travel companies that offer flexible flights at significantly cheaper prices than the common market prices.</w:t>
      </w:r>
    </w:p>
  </w:footnote>
  <w:footnote w:id="159">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ES, HU, U</w:t>
      </w:r>
      <w:r>
        <w:rPr>
          <w:rFonts w:ascii="Times New Roman" w:hAnsi="Times New Roman" w:cs="Times New Roman"/>
          <w:sz w:val="20"/>
          <w:szCs w:val="20"/>
        </w:rPr>
        <w:t>K.</w:t>
      </w:r>
    </w:p>
  </w:footnote>
  <w:footnote w:id="160">
    <w:p w:rsidR="007013FD" w:rsidRDefault="005E3FDE">
      <w:pPr>
        <w:pStyle w:val="000"/>
        <w:spacing w:after="0" w:line="0" w:lineRule="atLeast"/>
        <w:ind w:left="360" w:hanging="360"/>
        <w:rPr>
          <w:sz w:val="20"/>
          <w:szCs w:val="20"/>
          <w:lang w:val="en-GB"/>
        </w:rPr>
      </w:pPr>
      <w:r>
        <w:rPr>
          <w:rStyle w:val="FootnoteReference"/>
          <w:sz w:val="20"/>
          <w:szCs w:val="20"/>
        </w:rPr>
        <w:footnoteRef/>
      </w:r>
      <w:r>
        <w:rPr>
          <w:sz w:val="20"/>
          <w:szCs w:val="20"/>
          <w:lang w:val="en-GB"/>
        </w:rPr>
        <w:t xml:space="preserve"> </w:t>
      </w:r>
      <w:r>
        <w:rPr>
          <w:sz w:val="20"/>
          <w:szCs w:val="20"/>
          <w:lang w:val="en-GB"/>
        </w:rPr>
        <w:tab/>
        <w:t>Among the Member States for which data were available, Portugal was the only one to report that forced return is less expensive per returnee.</w:t>
      </w:r>
    </w:p>
  </w:footnote>
  <w:footnote w:id="161">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in the United Kingdom around GBP 750 - GBP 1,500 are provided per person for Facilitated Ret</w:t>
      </w:r>
      <w:r>
        <w:rPr>
          <w:rFonts w:ascii="Times New Roman" w:hAnsi="Times New Roman" w:cs="Times New Roman"/>
          <w:sz w:val="20"/>
          <w:szCs w:val="20"/>
        </w:rPr>
        <w:t>urn Schemes (FRS) and up to GBP 2,000 for AVR, while Bulgaria provides EUR 100 per voluntary return, and Belgium provides EUR 700 per adult and EUR 350 per minor with EUR 500 complementary assistance for a vulnerable person.</w:t>
      </w:r>
    </w:p>
  </w:footnote>
  <w:footnote w:id="162">
    <w:p w:rsidR="007013FD" w:rsidRDefault="005E3FDE">
      <w:pPr>
        <w:pStyle w:val="NoSpacing"/>
        <w:ind w:left="360" w:hanging="36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ab/>
      </w:r>
      <w:r>
        <w:rPr>
          <w:rFonts w:ascii="Times New Roman" w:hAnsi="Times New Roman" w:cs="Times New Roman"/>
          <w:sz w:val="20"/>
          <w:szCs w:val="20"/>
        </w:rPr>
        <w:t xml:space="preserve">Commission Delegated </w:t>
      </w:r>
      <w:r>
        <w:rPr>
          <w:rFonts w:ascii="Times New Roman" w:hAnsi="Times New Roman" w:cs="Times New Roman"/>
          <w:sz w:val="20"/>
          <w:szCs w:val="20"/>
        </w:rPr>
        <w:t>Regulation (EU) 2017/207 on the common monitoring and evaluation framework provided for in Regulation (EU) No 514/2014 of the European Parliament and of the Council laying down general provisions on the Asylum, Migration and Integration Fund and on the ins</w:t>
      </w:r>
      <w:r>
        <w:rPr>
          <w:rFonts w:ascii="Times New Roman" w:hAnsi="Times New Roman" w:cs="Times New Roman"/>
          <w:sz w:val="20"/>
          <w:szCs w:val="20"/>
        </w:rPr>
        <w:t>trument for financial support for police cooperation, preventing and combating crime, and crisis management.</w:t>
      </w:r>
    </w:p>
  </w:footnote>
  <w:footnote w:id="163">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DE, ES, FI, FR, HU, LT, LU, MT, PL, PT, SE, SI, SK, UK.</w:t>
      </w:r>
    </w:p>
  </w:footnote>
  <w:footnote w:id="164">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EE, IT, LT, MT, PL, SK. For example, EE indicated that the majority of tr</w:t>
      </w:r>
      <w:r>
        <w:rPr>
          <w:rFonts w:ascii="Times New Roman" w:hAnsi="Times New Roman" w:cs="Times New Roman"/>
          <w:sz w:val="20"/>
          <w:szCs w:val="20"/>
        </w:rPr>
        <w:t>ained officials were still employed in the relevant organisations where they continued to apply their acquired skills. The latter was put forward as a good indication of sustainability.</w:t>
      </w:r>
    </w:p>
  </w:footnote>
  <w:footnote w:id="165">
    <w:p w:rsidR="007013FD" w:rsidRDefault="005E3FDE">
      <w:pPr>
        <w:pStyle w:val="NoSpacing"/>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For instance, CY and SE created new bodies and /or organisational st</w:t>
      </w:r>
      <w:r>
        <w:rPr>
          <w:rFonts w:ascii="Times New Roman" w:hAnsi="Times New Roman" w:cs="Times New Roman"/>
          <w:sz w:val="20"/>
          <w:szCs w:val="20"/>
        </w:rPr>
        <w:t xml:space="preserve">ructures which were expected to be maintained in the years following the end of the project. </w:t>
      </w:r>
    </w:p>
  </w:footnote>
  <w:footnote w:id="16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ES, FR, LT, PL reported having continued to use and maintain purchased equipment such as cars, computers, software, the development of information systems</w:t>
      </w:r>
      <w:r>
        <w:rPr>
          <w:rFonts w:ascii="Times New Roman" w:hAnsi="Times New Roman" w:cs="Times New Roman"/>
          <w:sz w:val="20"/>
          <w:szCs w:val="20"/>
        </w:rPr>
        <w:t>, websites, reports, leaflets, etc. after the closure of the project.</w:t>
      </w:r>
    </w:p>
  </w:footnote>
  <w:footnote w:id="16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Examples of success stories in these areas were provided by DE, NL, PL, RO, and SE.</w:t>
      </w:r>
    </w:p>
  </w:footnote>
  <w:footnote w:id="16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EE, IT, MT and SK stated that it was unlikely that their AVR(R) programme would continue in</w:t>
      </w:r>
      <w:r>
        <w:rPr>
          <w:rFonts w:ascii="Times New Roman" w:hAnsi="Times New Roman" w:cs="Times New Roman"/>
          <w:sz w:val="20"/>
          <w:szCs w:val="20"/>
        </w:rPr>
        <w:t xml:space="preserve"> the existing format and volume without EU funding.</w:t>
      </w:r>
    </w:p>
  </w:footnote>
  <w:footnote w:id="16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LT, SK. Slovakia, for example, found the sustainability of the provision of services (i.e. legal, social and psychological help) to be weak, as it was not able to sustain such activities without </w:t>
      </w:r>
      <w:r>
        <w:rPr>
          <w:rFonts w:ascii="Times New Roman" w:hAnsi="Times New Roman" w:cs="Times New Roman"/>
          <w:sz w:val="20"/>
          <w:szCs w:val="20"/>
        </w:rPr>
        <w:t>additional funding (</w:t>
      </w:r>
      <w:r>
        <w:rPr>
          <w:rFonts w:ascii="Times New Roman" w:hAnsi="Times New Roman" w:cs="Times New Roman"/>
          <w:i/>
          <w:sz w:val="20"/>
          <w:szCs w:val="20"/>
        </w:rPr>
        <w:t>Ex-Post Evaluation of Actions co-financed by the European Return Fund under the 2011-2013 Annual Programmes for the Slovak Republic</w:t>
      </w:r>
      <w:r>
        <w:rPr>
          <w:rFonts w:ascii="Times New Roman" w:hAnsi="Times New Roman" w:cs="Times New Roman"/>
          <w:sz w:val="20"/>
          <w:szCs w:val="20"/>
        </w:rPr>
        <w:t>, p. 27).</w:t>
      </w:r>
    </w:p>
  </w:footnote>
  <w:footnote w:id="17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 NL, SK, UK reported having carried out successful transfers of outputs into, for example</w:t>
      </w:r>
      <w:r>
        <w:rPr>
          <w:rFonts w:ascii="Times New Roman" w:hAnsi="Times New Roman" w:cs="Times New Roman"/>
          <w:sz w:val="20"/>
          <w:szCs w:val="20"/>
        </w:rPr>
        <w:t>, national legislation, national policy, and procedures.</w:t>
      </w:r>
    </w:p>
  </w:footnote>
  <w:footnote w:id="17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Commission Delegated Regulation (EU) 2017/207 of 3 October 2016 on the common monitoring and evaluation framework provided for in Regulation (EU) No 514/2014 of the European Parliament and of the </w:t>
      </w:r>
      <w:r>
        <w:rPr>
          <w:rFonts w:ascii="Times New Roman" w:hAnsi="Times New Roman" w:cs="Times New Roman"/>
          <w:sz w:val="20"/>
          <w:szCs w:val="20"/>
        </w:rPr>
        <w:t>Council laying down general provisions on the Asylum, Migration and Integration Fund and on the instrument for financial support for police cooperation, preventing and combating crime, and crisis management, OJ 33, 8.2.2017, p. 1.</w:t>
      </w:r>
    </w:p>
  </w:footnote>
  <w:footnote w:id="17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Delegated R</w:t>
      </w:r>
      <w:r>
        <w:rPr>
          <w:rFonts w:ascii="Times New Roman" w:hAnsi="Times New Roman" w:cs="Times New Roman"/>
          <w:sz w:val="20"/>
          <w:szCs w:val="20"/>
        </w:rPr>
        <w:t>egulation (EU) 2017/207.</w:t>
      </w:r>
    </w:p>
  </w:footnote>
  <w:footnote w:id="17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AT, BE, BG, CY, CZ, EE, EL, NL, PL, PT, RO, SI.</w:t>
      </w:r>
    </w:p>
  </w:footnote>
  <w:footnote w:id="17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CZ, FI, PL, PT, RO, SE.</w:t>
      </w:r>
    </w:p>
  </w:footnote>
  <w:footnote w:id="17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CY, EE, EL, FI, FR, IT, NL, PL, PT, UK.</w:t>
      </w:r>
    </w:p>
  </w:footnote>
  <w:footnote w:id="17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included EEA grants (BG, EL, RO), the Schengen and the Transition Facility (RO, BG, HR), and the</w:t>
      </w:r>
      <w:r>
        <w:rPr>
          <w:rFonts w:ascii="Times New Roman" w:hAnsi="Times New Roman" w:cs="Times New Roman"/>
          <w:sz w:val="20"/>
          <w:szCs w:val="20"/>
        </w:rPr>
        <w:t xml:space="preserve"> European Social Fund (EL, RO).</w:t>
      </w:r>
    </w:p>
  </w:footnote>
  <w:footnote w:id="177">
    <w:p w:rsidR="007013FD" w:rsidRDefault="005E3FD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BG, HR, HU, FR, MT, SK, UK.</w:t>
      </w:r>
    </w:p>
  </w:footnote>
  <w:footnote w:id="17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DE.</w:t>
      </w:r>
    </w:p>
  </w:footnote>
  <w:footnote w:id="179">
    <w:p w:rsidR="007013FD" w:rsidRDefault="005E3FDE">
      <w:pPr>
        <w:pStyle w:val="Default"/>
        <w:ind w:left="360" w:hanging="360"/>
        <w:rPr>
          <w:sz w:val="20"/>
          <w:szCs w:val="20"/>
        </w:rPr>
      </w:pPr>
      <w:r>
        <w:rPr>
          <w:rStyle w:val="FootnoteReference"/>
          <w:sz w:val="20"/>
          <w:szCs w:val="20"/>
        </w:rPr>
        <w:footnoteRef/>
      </w:r>
      <w:r>
        <w:rPr>
          <w:sz w:val="20"/>
          <w:szCs w:val="20"/>
        </w:rPr>
        <w:t xml:space="preserve"> </w:t>
      </w:r>
      <w:r>
        <w:rPr>
          <w:sz w:val="20"/>
          <w:szCs w:val="20"/>
        </w:rPr>
        <w:tab/>
        <w:t xml:space="preserve">European Parliament (2015) </w:t>
      </w:r>
      <w:r>
        <w:rPr>
          <w:i/>
          <w:sz w:val="20"/>
          <w:szCs w:val="20"/>
        </w:rPr>
        <w:t>Working Document on EU internal and external funding related to its migration and asylum policy</w:t>
      </w:r>
      <w:r>
        <w:rPr>
          <w:sz w:val="20"/>
          <w:szCs w:val="20"/>
        </w:rPr>
        <w:t xml:space="preserve">, available at: </w:t>
      </w:r>
      <w:r>
        <w:rPr>
          <w:sz w:val="20"/>
          <w:szCs w:val="20"/>
        </w:rPr>
        <w:t>http://www.europarl.europa.eu/sides/getDoc.do?pubRef=-%2F%2FEP%2F%2FNONSGML%2BCOMPARL%2BPE-571.741%2B02%2BDOC%2BPDF%2BV0%2F%2FEN.</w:t>
      </w:r>
    </w:p>
  </w:footnote>
  <w:footnote w:id="18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Delegated Regulation (EU) 2017/207.</w:t>
      </w:r>
    </w:p>
  </w:footnote>
  <w:footnote w:id="18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3(2), Regulation (EU) No 514/2014 provides that the Commission</w:t>
      </w:r>
      <w:r>
        <w:rPr>
          <w:rFonts w:ascii="Times New Roman" w:hAnsi="Times New Roman" w:cs="Times New Roman"/>
          <w:sz w:val="20"/>
          <w:szCs w:val="20"/>
        </w:rPr>
        <w:t xml:space="preserve"> and the Member States 'shall ensure that the support provided under the Specific Regulations and by the Member States is consistent with the relevant activities, policies and priorities of the Union and is complementary to other Union instruments, while t</w:t>
      </w:r>
      <w:r>
        <w:rPr>
          <w:rFonts w:ascii="Times New Roman" w:hAnsi="Times New Roman" w:cs="Times New Roman"/>
          <w:sz w:val="20"/>
          <w:szCs w:val="20"/>
        </w:rPr>
        <w:t xml:space="preserve">aking into account the specific context of each Member State'. </w:t>
      </w:r>
    </w:p>
  </w:footnote>
  <w:footnote w:id="18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Recital 8 of Regulation (EU) No 514/2014 states that measures taken in relation to third countries which are supported by the AMIF fund 'should be taken in synergy and coherence with other</w:t>
      </w:r>
      <w:r>
        <w:rPr>
          <w:rFonts w:ascii="Times New Roman" w:hAnsi="Times New Roman" w:cs="Times New Roman"/>
          <w:sz w:val="20"/>
          <w:szCs w:val="20"/>
        </w:rPr>
        <w:t xml:space="preserve"> actions outside the Union supported through Union external assistance instruments' and that when such actions are implemented 'full coherence should be sought with the principles and general objectives of the Union's external action and foreign policy rel</w:t>
      </w:r>
      <w:r>
        <w:rPr>
          <w:rFonts w:ascii="Times New Roman" w:hAnsi="Times New Roman" w:cs="Times New Roman"/>
          <w:sz w:val="20"/>
          <w:szCs w:val="20"/>
        </w:rPr>
        <w:t>ated to the country or region in question'. It further provides that measures under AMIF should, when appropriate, complement financial assistance provided through external aid instruments and that emergency assistance provided should be consistent and com</w:t>
      </w:r>
      <w:r>
        <w:rPr>
          <w:rFonts w:ascii="Times New Roman" w:hAnsi="Times New Roman" w:cs="Times New Roman"/>
          <w:sz w:val="20"/>
          <w:szCs w:val="20"/>
        </w:rPr>
        <w:t>plimentary to Union humanitarian policy. Recital 35 of Regulation (EU) No 516/2014 makes similar provisions.</w:t>
      </w:r>
    </w:p>
  </w:footnote>
  <w:footnote w:id="18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However these last types of actions were found to have had a moderate impact (effectiveness) given the relatively low amount of funding and low </w:t>
      </w:r>
      <w:r>
        <w:rPr>
          <w:rFonts w:ascii="Times New Roman" w:hAnsi="Times New Roman" w:cs="Times New Roman"/>
          <w:sz w:val="20"/>
          <w:szCs w:val="20"/>
        </w:rPr>
        <w:t xml:space="preserve">number of actions carried out under this specific objective compared to actions under other specific objectives. </w:t>
      </w:r>
    </w:p>
  </w:footnote>
  <w:footnote w:id="18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addition a survey conducted among beneficiaries of RF funding shows that 100% of the respondents agreed or strongly agreed with the cla</w:t>
      </w:r>
      <w:r>
        <w:rPr>
          <w:rFonts w:ascii="Times New Roman" w:hAnsi="Times New Roman" w:cs="Times New Roman"/>
          <w:sz w:val="20"/>
          <w:szCs w:val="20"/>
        </w:rPr>
        <w:t>im that the results of their projects, specifically in terms of return operations carried out, would have not been possible without the RF. However, the response rate was very low, and therefore the conclusions were not very robust.</w:t>
      </w:r>
    </w:p>
  </w:footnote>
  <w:footnote w:id="185">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EL, FR (on reint</w:t>
      </w:r>
      <w:r>
        <w:rPr>
          <w:rFonts w:ascii="Times New Roman" w:hAnsi="Times New Roman" w:cs="Times New Roman"/>
          <w:sz w:val="20"/>
          <w:szCs w:val="20"/>
          <w:lang w:val="es-ES"/>
        </w:rPr>
        <w:t>egration), LT, SI, UK.</w:t>
      </w:r>
    </w:p>
  </w:footnote>
  <w:footnote w:id="186">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ab/>
        <w:t>CZ, DE, EE, EL, ES, HU, IE, IT, PL, PT, SK.</w:t>
      </w:r>
    </w:p>
  </w:footnote>
  <w:footnote w:id="187">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ab/>
        <w:t>AT, EE, EL, FI, FR, HU, IE, IT, MT, PL, PT, SK.</w:t>
      </w:r>
    </w:p>
  </w:footnote>
  <w:footnote w:id="188">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DE, FR, HU, PL, RO.</w:t>
      </w:r>
    </w:p>
  </w:footnote>
  <w:footnote w:id="189">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BE, BG, DE, EE, FI, HR, HU, IT, LT, LV, MT, RO, SE, SI, SK</w:t>
      </w:r>
    </w:p>
  </w:footnote>
  <w:footnote w:id="190">
    <w:p w:rsidR="007013FD" w:rsidRDefault="005E3FDE">
      <w:pPr>
        <w:pStyle w:val="FootnoteText"/>
        <w:spacing w:after="0"/>
        <w:ind w:left="360" w:hanging="36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Directive 2008/115/EC of the European Parliament</w:t>
      </w:r>
      <w:r>
        <w:rPr>
          <w:rFonts w:ascii="Times New Roman" w:hAnsi="Times New Roman" w:cs="Times New Roman"/>
          <w:sz w:val="20"/>
          <w:szCs w:val="20"/>
        </w:rPr>
        <w:t xml:space="preserve"> and of the Council of 16 December 2008 on common standards and procedures in Member States for returning illegally staying third-country nationals.</w:t>
      </w:r>
    </w:p>
  </w:footnote>
  <w:footnote w:id="19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Article 12 of Council decision 575/2007/EC. </w:t>
      </w:r>
    </w:p>
  </w:footnote>
  <w:footnote w:id="192">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FI, FR, HU, IE, IT.</w:t>
      </w:r>
    </w:p>
  </w:footnote>
  <w:footnote w:id="193">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MAGNET was an IOM pilot project desi</w:t>
      </w:r>
      <w:r>
        <w:rPr>
          <w:rFonts w:ascii="Times New Roman" w:hAnsi="Times New Roman" w:cs="Times New Roman"/>
          <w:sz w:val="20"/>
          <w:szCs w:val="20"/>
        </w:rPr>
        <w:t>gned to provide Iraqi returnees with information on existing potential job opportunities as well as to liaise with employers in the Kurdistan region of Iraq. After the successful completion of the pilot phase in 2012–2013, MAGNET II was launched in 2014. T</w:t>
      </w:r>
      <w:r>
        <w:rPr>
          <w:rFonts w:ascii="Times New Roman" w:hAnsi="Times New Roman" w:cs="Times New Roman"/>
          <w:sz w:val="20"/>
          <w:szCs w:val="20"/>
        </w:rPr>
        <w:t>he overall objective of MAGNET II was to contribute to the establishment of a common approach for the reintegration of rejected asylum-seekers – and irregular migrants when applicable – returning to the Kurdistan Region of Iraq from Belgium, Finland, Franc</w:t>
      </w:r>
      <w:r>
        <w:rPr>
          <w:rFonts w:ascii="Times New Roman" w:hAnsi="Times New Roman" w:cs="Times New Roman"/>
          <w:sz w:val="20"/>
          <w:szCs w:val="20"/>
        </w:rPr>
        <w:t>e, Germany, the Netherlands and the United Kingdom of Great Britain and Northern Ireland.</w:t>
      </w:r>
    </w:p>
  </w:footnote>
  <w:footnote w:id="194">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ERI, ERIN and MAGNET encouraged cooperation between Member States on voluntary return and reintegration; FReM and EURLO fostered cooperation between Member States </w:t>
      </w:r>
      <w:r>
        <w:rPr>
          <w:rFonts w:ascii="Times New Roman" w:hAnsi="Times New Roman" w:cs="Times New Roman"/>
          <w:sz w:val="20"/>
          <w:szCs w:val="20"/>
        </w:rPr>
        <w:t>on forced return; the creation of networks under EURINT and EURLO also gave Member States more influence in their cooperation with third countries, particularly those Member States with limited diplomatic and consular networks.</w:t>
      </w:r>
    </w:p>
  </w:footnote>
  <w:footnote w:id="195">
    <w:p w:rsidR="007013FD" w:rsidRDefault="005E3FDE">
      <w:pPr>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 xml:space="preserve">Poland noted that the </w:t>
      </w:r>
      <w:r>
        <w:rPr>
          <w:rFonts w:ascii="Times New Roman" w:hAnsi="Times New Roman" w:cs="Times New Roman"/>
          <w:sz w:val="20"/>
          <w:szCs w:val="20"/>
          <w:lang w:val="en-GB"/>
        </w:rPr>
        <w:t>efficiency of forced return increased thanks to the joint return flights organised in    cooperation with other Member States financed by the RF.</w:t>
      </w:r>
    </w:p>
  </w:footnote>
  <w:footnote w:id="19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AMIF, according to Regulation (EU) No 516/2014 Article 15(1)(b), EUR 360 million, may be allocated t</w:t>
      </w:r>
      <w:r>
        <w:rPr>
          <w:rFonts w:ascii="Times New Roman" w:hAnsi="Times New Roman" w:cs="Times New Roman"/>
          <w:sz w:val="20"/>
          <w:szCs w:val="20"/>
        </w:rPr>
        <w:t>o Member States wanting to implement actions in the area of return which entail intra-EU cooperation. The types of Specific Actions, as outlined in Annex II to the AMIF Regulation, include, 'Joint return operations', 'Joint reintegration projects in the co</w:t>
      </w:r>
      <w:r>
        <w:rPr>
          <w:rFonts w:ascii="Times New Roman" w:hAnsi="Times New Roman" w:cs="Times New Roman"/>
          <w:sz w:val="20"/>
          <w:szCs w:val="20"/>
        </w:rPr>
        <w:t>untries of origin with a view to sustainable return, as well as joint actions to strengthen third countries' capacities to implement Union readmission agreements', and 'Joint initiatives aimed at restoring family unity and reintegration of unaccompanied mi</w:t>
      </w:r>
      <w:r>
        <w:rPr>
          <w:rFonts w:ascii="Times New Roman" w:hAnsi="Times New Roman" w:cs="Times New Roman"/>
          <w:sz w:val="20"/>
          <w:szCs w:val="20"/>
        </w:rPr>
        <w:t>nors in their countries of origin' (Regulation 516/2014, Annex II articles 5).</w:t>
      </w:r>
    </w:p>
  </w:footnote>
  <w:footnote w:id="19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The Guidance on the Common Monitoring and Evaluation Framework was developed in the framework of the evaluation network. It is a living document which is regularly updated, fo</w:t>
      </w:r>
      <w:r>
        <w:rPr>
          <w:rFonts w:ascii="Times New Roman" w:hAnsi="Times New Roman" w:cs="Times New Roman"/>
          <w:sz w:val="20"/>
          <w:szCs w:val="20"/>
        </w:rPr>
        <w:t>llowing discussions with Member State authorities and other stakeholders which are held during working group and evaluation network meetings. It is available to the Member States.</w:t>
      </w:r>
    </w:p>
  </w:footnote>
  <w:footnote w:id="19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Administrative burden includes costs related to planning, programming and</w:t>
      </w:r>
      <w:r>
        <w:rPr>
          <w:rFonts w:ascii="Times New Roman" w:hAnsi="Times New Roman" w:cs="Times New Roman"/>
          <w:sz w:val="20"/>
          <w:szCs w:val="20"/>
        </w:rPr>
        <w:t xml:space="preserve"> reporting on the actions implemented.</w:t>
      </w:r>
    </w:p>
  </w:footnote>
  <w:footnote w:id="19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Interviews were carried out with RAs from At, BG, CY, CZ, DE, EE, EL, ES, HR, HU, IE, IT, MT, NL, PL, PT, RO, SE, SI, SK, UK.</w:t>
      </w:r>
    </w:p>
  </w:footnote>
  <w:footnote w:id="200">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HU, IT, MT, NL, RO, UK.</w:t>
      </w:r>
    </w:p>
  </w:footnote>
  <w:footnote w:id="201">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CY, CZ, DE, EE, ES, FI, FR, HR, IE, LT, NL, PL,</w:t>
      </w:r>
      <w:r>
        <w:rPr>
          <w:rFonts w:ascii="Times New Roman" w:hAnsi="Times New Roman" w:cs="Times New Roman"/>
          <w:sz w:val="20"/>
          <w:szCs w:val="20"/>
        </w:rPr>
        <w:t xml:space="preserve"> PT, RO, SI, SK.</w:t>
      </w:r>
    </w:p>
  </w:footnote>
  <w:footnote w:id="202">
    <w:p w:rsidR="007013FD" w:rsidRDefault="005E3FD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BG, CY, EE, HU, LT, PL, SK.</w:t>
      </w:r>
    </w:p>
  </w:footnote>
  <w:footnote w:id="203">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UK.</w:t>
      </w:r>
    </w:p>
  </w:footnote>
  <w:footnote w:id="204">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EL, FR, HU, IT, LU, PL, RO, SE, SI, SK.</w:t>
      </w:r>
    </w:p>
  </w:footnote>
  <w:footnote w:id="205">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BE, BG, CY, CZ, DE, EE, ES, FI, HR, HU, IE, IT, LT, MT, NL, PL, PT, RO, SE, SI, SK, UK.</w:t>
      </w:r>
    </w:p>
  </w:footnote>
  <w:footnote w:id="206">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 xml:space="preserve">AT, BE, CY, DE, EE, FR, HU, IE, IT, LU, NL, MT, PL, </w:t>
      </w:r>
      <w:r>
        <w:rPr>
          <w:rFonts w:ascii="Times New Roman" w:hAnsi="Times New Roman" w:cs="Times New Roman"/>
          <w:sz w:val="20"/>
          <w:szCs w:val="20"/>
          <w:lang w:val="es-ES"/>
        </w:rPr>
        <w:t>RO, SI, UK.</w:t>
      </w:r>
    </w:p>
  </w:footnote>
  <w:footnote w:id="207">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BE, BG, CY, CZ, DE, EE, FR, HU, IE, IT, MT, PL, RO, SI, SK, UK.</w:t>
      </w:r>
    </w:p>
  </w:footnote>
  <w:footnote w:id="20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BG, CY, FU, DE, IT, MT, NL, PL, PT, RO, SE.</w:t>
      </w:r>
    </w:p>
  </w:footnote>
  <w:footnote w:id="209">
    <w:p w:rsidR="007013FD" w:rsidRDefault="005E3FD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CY, EL, ES, LU, PL, UK.</w:t>
      </w:r>
    </w:p>
  </w:footnote>
  <w:footnote w:id="210">
    <w:p w:rsidR="007013FD" w:rsidRDefault="005E3FD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FI, EL, UK.</w:t>
      </w:r>
    </w:p>
  </w:footnote>
  <w:footnote w:id="211">
    <w:p w:rsidR="007013FD" w:rsidRDefault="005E3FD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CY.</w:t>
      </w:r>
    </w:p>
  </w:footnote>
  <w:footnote w:id="212">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BG, CY, CZ, DE, EE, EL, E</w:t>
      </w:r>
      <w:r>
        <w:rPr>
          <w:rFonts w:ascii="Times New Roman" w:hAnsi="Times New Roman" w:cs="Times New Roman"/>
          <w:sz w:val="20"/>
          <w:szCs w:val="20"/>
          <w:lang w:val="es-ES"/>
        </w:rPr>
        <w:t xml:space="preserve">S, FI, FR, HR, HU, IE, LT, LU, MT, PL, PT, </w:t>
      </w:r>
      <w:r>
        <w:rPr>
          <w:rFonts w:ascii="Times New Roman" w:hAnsi="Times New Roman" w:cs="Times New Roman"/>
          <w:sz w:val="20"/>
          <w:szCs w:val="20"/>
          <w:lang w:val="es-ES"/>
        </w:rPr>
        <w:t>RO, SI, SK, UK.</w:t>
      </w:r>
    </w:p>
  </w:footnote>
  <w:footnote w:id="213">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BG, CZ, EE, ES, NL, SE.</w:t>
      </w:r>
    </w:p>
  </w:footnote>
  <w:footnote w:id="214">
    <w:p w:rsidR="007013FD" w:rsidRDefault="005E3FD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CY, DE, ES, FI, FR, HU, LT, LU, MT, PL, PT, SE, SI, SK, UK.</w:t>
      </w:r>
    </w:p>
  </w:footnote>
  <w:footnote w:id="215">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EE, IT, MT, SK.</w:t>
      </w:r>
    </w:p>
  </w:footnote>
  <w:footnote w:id="216">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AT, CY, EE, EL, FI, FR, IT, NL, PL, PT, UK.</w:t>
      </w:r>
    </w:p>
  </w:footnote>
  <w:footnote w:id="217">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CY, EE, EL IT.</w:t>
      </w:r>
    </w:p>
  </w:footnote>
  <w:footnote w:id="218">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EL, FR (on reintegration), LT, SI, UK.</w:t>
      </w:r>
    </w:p>
  </w:footnote>
  <w:footnote w:id="219">
    <w:p w:rsidR="007013FD" w:rsidRDefault="005E3FD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Actions supported under the 2008-2010 RF programmes of the Member States should be outside the scope of the evaluation. However, they were considered when deemed relevant to the evaluation, in particular within the context of the analysis of the complement</w:t>
      </w:r>
      <w:r>
        <w:rPr>
          <w:rFonts w:ascii="Times New Roman" w:hAnsi="Times New Roman" w:cs="Times New Roman"/>
          <w:sz w:val="20"/>
          <w:szCs w:val="20"/>
        </w:rPr>
        <w:t>arity and coherence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E" w:rsidRPr="005E3FDE" w:rsidRDefault="005E3FDE" w:rsidP="005E3FD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FD" w:rsidRDefault="00701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06"/>
    <w:multiLevelType w:val="multilevel"/>
    <w:tmpl w:val="8F320F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pStyle w:val="TableTitl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4C419E"/>
    <w:multiLevelType w:val="hybridMultilevel"/>
    <w:tmpl w:val="E98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620EF"/>
    <w:multiLevelType w:val="hybridMultilevel"/>
    <w:tmpl w:val="4240F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F560F0"/>
    <w:multiLevelType w:val="hybridMultilevel"/>
    <w:tmpl w:val="7A023978"/>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432E8"/>
    <w:multiLevelType w:val="hybridMultilevel"/>
    <w:tmpl w:val="F46C67C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D745BB"/>
    <w:multiLevelType w:val="hybridMultilevel"/>
    <w:tmpl w:val="A998C5DA"/>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808CB"/>
    <w:multiLevelType w:val="multilevel"/>
    <w:tmpl w:val="9B0ED194"/>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pStyle w:val="FigureTitl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48275ED"/>
    <w:multiLevelType w:val="hybridMultilevel"/>
    <w:tmpl w:val="3D6E1AE8"/>
    <w:lvl w:ilvl="0" w:tplc="41165DA4">
      <w:start w:val="1"/>
      <w:numFmt w:val="bullet"/>
      <w:pStyle w:val="Bullet1"/>
      <w:lvlText w:val="►"/>
      <w:lvlJc w:val="left"/>
      <w:pPr>
        <w:ind w:left="360" w:hanging="360"/>
      </w:pPr>
      <w:rPr>
        <w:rFonts w:ascii="Arial" w:hAnsi="Arial" w:cs="Times New Roman" w:hint="default"/>
        <w:b w:val="0"/>
        <w:i w:val="0"/>
        <w:color w:val="FFCC00"/>
        <w:sz w:val="16"/>
        <w:szCs w:val="16"/>
        <w:u w:color="808080"/>
        <w:lang w:val="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CB5C76"/>
    <w:multiLevelType w:val="hybridMultilevel"/>
    <w:tmpl w:val="EE34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1A3E93"/>
    <w:multiLevelType w:val="hybridMultilevel"/>
    <w:tmpl w:val="7E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210AB3"/>
    <w:multiLevelType w:val="hybridMultilevel"/>
    <w:tmpl w:val="7336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B4670"/>
    <w:multiLevelType w:val="hybridMultilevel"/>
    <w:tmpl w:val="0328532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E83134"/>
    <w:multiLevelType w:val="hybridMultilevel"/>
    <w:tmpl w:val="BB9E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DF47EC"/>
    <w:multiLevelType w:val="hybridMultilevel"/>
    <w:tmpl w:val="69F2C00A"/>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8C37CF"/>
    <w:multiLevelType w:val="hybridMultilevel"/>
    <w:tmpl w:val="9B0204E6"/>
    <w:lvl w:ilvl="0" w:tplc="21C2988E">
      <w:start w:val="1"/>
      <w:numFmt w:val="bullet"/>
      <w:lvlText w:val="►"/>
      <w:lvlJc w:val="left"/>
      <w:pPr>
        <w:ind w:left="720" w:hanging="360"/>
      </w:pPr>
      <w:rPr>
        <w:rFonts w:ascii="Arial" w:hAnsi="Arial" w:cs="Times New Roman" w:hint="default"/>
        <w:b w:val="0"/>
        <w:i w:val="0"/>
        <w:color w:val="FFCC00"/>
        <w:sz w:val="16"/>
        <w:szCs w:val="16"/>
        <w:u w:color="808080"/>
        <w:lang w:val="en-US"/>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0B4C38"/>
    <w:multiLevelType w:val="hybridMultilevel"/>
    <w:tmpl w:val="7D64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DD5B04"/>
    <w:multiLevelType w:val="hybridMultilevel"/>
    <w:tmpl w:val="F852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674F31"/>
    <w:multiLevelType w:val="hybridMultilevel"/>
    <w:tmpl w:val="C1FA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F05A9A"/>
    <w:multiLevelType w:val="hybridMultilevel"/>
    <w:tmpl w:val="BB9E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CF45DC"/>
    <w:multiLevelType w:val="hybridMultilevel"/>
    <w:tmpl w:val="8BE2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6A1A54"/>
    <w:multiLevelType w:val="hybridMultilevel"/>
    <w:tmpl w:val="69E4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21086C"/>
    <w:multiLevelType w:val="hybridMultilevel"/>
    <w:tmpl w:val="0682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144BD4"/>
    <w:multiLevelType w:val="hybridMultilevel"/>
    <w:tmpl w:val="FFAE75A2"/>
    <w:lvl w:ilvl="0" w:tplc="475E5210">
      <w:start w:val="1"/>
      <w:numFmt w:val="bullet"/>
      <w:pStyle w:val="bullet"/>
      <w:lvlText w:val=""/>
      <w:lvlJc w:val="left"/>
      <w:pPr>
        <w:ind w:left="2136" w:hanging="360"/>
      </w:pPr>
      <w:rPr>
        <w:rFonts w:ascii="Symbol" w:hAnsi="Symbol" w:cs="Symbol" w:hint="default"/>
        <w:color w:val="auto"/>
      </w:rPr>
    </w:lvl>
    <w:lvl w:ilvl="1" w:tplc="E5CA32CC">
      <w:start w:val="1"/>
      <w:numFmt w:val="bullet"/>
      <w:lvlText w:val="-"/>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cs="Wingdings" w:hint="default"/>
      </w:rPr>
    </w:lvl>
    <w:lvl w:ilvl="3" w:tplc="08090001" w:tentative="1">
      <w:start w:val="1"/>
      <w:numFmt w:val="bullet"/>
      <w:lvlText w:val=""/>
      <w:lvlJc w:val="left"/>
      <w:pPr>
        <w:ind w:left="4296" w:hanging="360"/>
      </w:pPr>
      <w:rPr>
        <w:rFonts w:ascii="Symbol" w:hAnsi="Symbol" w:cs="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cs="Wingdings" w:hint="default"/>
      </w:rPr>
    </w:lvl>
    <w:lvl w:ilvl="6" w:tplc="08090001" w:tentative="1">
      <w:start w:val="1"/>
      <w:numFmt w:val="bullet"/>
      <w:lvlText w:val=""/>
      <w:lvlJc w:val="left"/>
      <w:pPr>
        <w:ind w:left="6456" w:hanging="360"/>
      </w:pPr>
      <w:rPr>
        <w:rFonts w:ascii="Symbol" w:hAnsi="Symbol" w:cs="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cs="Wingdings" w:hint="default"/>
      </w:rPr>
    </w:lvl>
  </w:abstractNum>
  <w:abstractNum w:abstractNumId="23">
    <w:nsid w:val="399C5AEE"/>
    <w:multiLevelType w:val="hybridMultilevel"/>
    <w:tmpl w:val="4EF4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241F6A"/>
    <w:multiLevelType w:val="hybridMultilevel"/>
    <w:tmpl w:val="ABF42F76"/>
    <w:lvl w:ilvl="0" w:tplc="5FF0E1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EF0A28"/>
    <w:multiLevelType w:val="hybridMultilevel"/>
    <w:tmpl w:val="90C2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B92A87"/>
    <w:multiLevelType w:val="multilevel"/>
    <w:tmpl w:val="D2D8303A"/>
    <w:styleLink w:val="Bullets"/>
    <w:lvl w:ilvl="0">
      <w:start w:val="1"/>
      <w:numFmt w:val="bullet"/>
      <w:lvlText w:val=""/>
      <w:lvlJc w:val="left"/>
      <w:pPr>
        <w:tabs>
          <w:tab w:val="num" w:pos="680"/>
        </w:tabs>
        <w:ind w:left="680" w:hanging="340"/>
      </w:pPr>
      <w:rPr>
        <w:rFonts w:ascii="Wingdings" w:hAnsi="Wingdings" w:hint="default"/>
        <w:color w:val="002395"/>
        <w:sz w:val="24"/>
      </w:rPr>
    </w:lvl>
    <w:lvl w:ilvl="1">
      <w:start w:val="1"/>
      <w:numFmt w:val="bullet"/>
      <w:lvlText w:val="-"/>
      <w:lvlJc w:val="left"/>
      <w:pPr>
        <w:tabs>
          <w:tab w:val="num" w:pos="1021"/>
        </w:tabs>
        <w:ind w:left="102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27">
    <w:nsid w:val="3E1F7101"/>
    <w:multiLevelType w:val="hybridMultilevel"/>
    <w:tmpl w:val="ED6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A8278E"/>
    <w:multiLevelType w:val="hybridMultilevel"/>
    <w:tmpl w:val="A25AE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295FA8"/>
    <w:multiLevelType w:val="hybridMultilevel"/>
    <w:tmpl w:val="F95CD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F1016A"/>
    <w:multiLevelType w:val="hybridMultilevel"/>
    <w:tmpl w:val="FD009BF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08091A"/>
    <w:multiLevelType w:val="hybridMultilevel"/>
    <w:tmpl w:val="B88A0FA6"/>
    <w:lvl w:ilvl="0" w:tplc="E4B6C51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44111B3"/>
    <w:multiLevelType w:val="hybridMultilevel"/>
    <w:tmpl w:val="7E68FD36"/>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324C3A"/>
    <w:multiLevelType w:val="hybridMultilevel"/>
    <w:tmpl w:val="384E8DE2"/>
    <w:lvl w:ilvl="0" w:tplc="5FF0E1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6E18AA"/>
    <w:multiLevelType w:val="hybridMultilevel"/>
    <w:tmpl w:val="BE7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594165"/>
    <w:multiLevelType w:val="hybridMultilevel"/>
    <w:tmpl w:val="0682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6D15D4"/>
    <w:multiLevelType w:val="hybridMultilevel"/>
    <w:tmpl w:val="1BCA6D22"/>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nsid w:val="611F1D10"/>
    <w:multiLevelType w:val="hybridMultilevel"/>
    <w:tmpl w:val="B2BC8CE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4265A7"/>
    <w:multiLevelType w:val="hybridMultilevel"/>
    <w:tmpl w:val="1502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7586F"/>
    <w:multiLevelType w:val="multilevel"/>
    <w:tmpl w:val="E1E822F2"/>
    <w:lvl w:ilvl="0">
      <w:start w:val="1"/>
      <w:numFmt w:val="decimal"/>
      <w:pStyle w:val="Heading1"/>
      <w:lvlText w:val="%1"/>
      <w:lvlJc w:val="left"/>
      <w:pPr>
        <w:ind w:left="432" w:hanging="432"/>
      </w:pPr>
      <w:rPr>
        <w:rFonts w:hint="default"/>
        <w:b w:val="0"/>
        <w:i w:val="0"/>
        <w:iCs w:val="0"/>
        <w:sz w:val="22"/>
        <w:szCs w:val="22"/>
      </w:rPr>
    </w:lvl>
    <w:lvl w:ilvl="1">
      <w:start w:val="1"/>
      <w:numFmt w:val="decimal"/>
      <w:pStyle w:val="Heading2"/>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6C9A1F96"/>
    <w:multiLevelType w:val="hybridMultilevel"/>
    <w:tmpl w:val="01FA2DDC"/>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1F13C7"/>
    <w:multiLevelType w:val="hybridMultilevel"/>
    <w:tmpl w:val="83B2C828"/>
    <w:lvl w:ilvl="0" w:tplc="E4B6C514">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nsid w:val="751569AE"/>
    <w:multiLevelType w:val="hybridMultilevel"/>
    <w:tmpl w:val="FC24AD0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3">
    <w:nsid w:val="767117A9"/>
    <w:multiLevelType w:val="hybridMultilevel"/>
    <w:tmpl w:val="C72E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5179D0"/>
    <w:multiLevelType w:val="hybridMultilevel"/>
    <w:tmpl w:val="DACAFF42"/>
    <w:lvl w:ilvl="0" w:tplc="E4B6C5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7"/>
  </w:num>
  <w:num w:numId="4">
    <w:abstractNumId w:val="10"/>
  </w:num>
  <w:num w:numId="5">
    <w:abstractNumId w:val="15"/>
  </w:num>
  <w:num w:numId="6">
    <w:abstractNumId w:val="1"/>
  </w:num>
  <w:num w:numId="7">
    <w:abstractNumId w:val="27"/>
  </w:num>
  <w:num w:numId="8">
    <w:abstractNumId w:val="25"/>
  </w:num>
  <w:num w:numId="9">
    <w:abstractNumId w:val="11"/>
  </w:num>
  <w:num w:numId="10">
    <w:abstractNumId w:val="36"/>
  </w:num>
  <w:num w:numId="11">
    <w:abstractNumId w:val="8"/>
  </w:num>
  <w:num w:numId="12">
    <w:abstractNumId w:val="43"/>
  </w:num>
  <w:num w:numId="13">
    <w:abstractNumId w:val="28"/>
  </w:num>
  <w:num w:numId="14">
    <w:abstractNumId w:val="14"/>
  </w:num>
  <w:num w:numId="15">
    <w:abstractNumId w:val="23"/>
  </w:num>
  <w:num w:numId="16">
    <w:abstractNumId w:val="24"/>
  </w:num>
  <w:num w:numId="17">
    <w:abstractNumId w:val="33"/>
  </w:num>
  <w:num w:numId="18">
    <w:abstractNumId w:val="35"/>
  </w:num>
  <w:num w:numId="19">
    <w:abstractNumId w:val="12"/>
  </w:num>
  <w:num w:numId="20">
    <w:abstractNumId w:val="9"/>
  </w:num>
  <w:num w:numId="21">
    <w:abstractNumId w:val="18"/>
  </w:num>
  <w:num w:numId="22">
    <w:abstractNumId w:val="34"/>
  </w:num>
  <w:num w:numId="23">
    <w:abstractNumId w:val="29"/>
  </w:num>
  <w:num w:numId="24">
    <w:abstractNumId w:val="2"/>
  </w:num>
  <w:num w:numId="25">
    <w:abstractNumId w:val="21"/>
  </w:num>
  <w:num w:numId="26">
    <w:abstractNumId w:val="26"/>
  </w:num>
  <w:num w:numId="27">
    <w:abstractNumId w:val="16"/>
  </w:num>
  <w:num w:numId="28">
    <w:abstractNumId w:val="38"/>
  </w:num>
  <w:num w:numId="29">
    <w:abstractNumId w:val="22"/>
  </w:num>
  <w:num w:numId="30">
    <w:abstractNumId w:val="0"/>
  </w:num>
  <w:num w:numId="31">
    <w:abstractNumId w:val="6"/>
  </w:num>
  <w:num w:numId="32">
    <w:abstractNumId w:val="6"/>
    <w:lvlOverride w:ilvl="0">
      <w:lvl w:ilvl="0">
        <w:start w:val="1"/>
        <w:numFmt w:val="decimal"/>
        <w:pStyle w:val="FigureTitle"/>
        <w:lvlText w:val="Figure %1."/>
        <w:lvlJc w:val="left"/>
        <w:pPr>
          <w:tabs>
            <w:tab w:val="num" w:pos="1077"/>
          </w:tabs>
          <w:ind w:left="1077" w:hanging="1077"/>
        </w:pPr>
        <w:rPr>
          <w:rFonts w:hint="default"/>
        </w:rPr>
      </w:lvl>
    </w:lvlOverride>
  </w:num>
  <w:num w:numId="33">
    <w:abstractNumId w:val="20"/>
  </w:num>
  <w:num w:numId="34">
    <w:abstractNumId w:val="45"/>
  </w:num>
  <w:num w:numId="35">
    <w:abstractNumId w:val="30"/>
  </w:num>
  <w:num w:numId="36">
    <w:abstractNumId w:val="44"/>
  </w:num>
  <w:num w:numId="37">
    <w:abstractNumId w:val="32"/>
  </w:num>
  <w:num w:numId="38">
    <w:abstractNumId w:val="31"/>
  </w:num>
  <w:num w:numId="39">
    <w:abstractNumId w:val="17"/>
  </w:num>
  <w:num w:numId="40">
    <w:abstractNumId w:val="19"/>
  </w:num>
  <w:num w:numId="41">
    <w:abstractNumId w:val="42"/>
  </w:num>
  <w:num w:numId="42">
    <w:abstractNumId w:val="4"/>
  </w:num>
  <w:num w:numId="43">
    <w:abstractNumId w:val="13"/>
  </w:num>
  <w:num w:numId="44">
    <w:abstractNumId w:val="3"/>
  </w:num>
  <w:num w:numId="45">
    <w:abstractNumId w:val="40"/>
  </w:num>
  <w:num w:numId="46">
    <w:abstractNumId w:val="5"/>
  </w:num>
  <w:num w:numId="47">
    <w:abstractNumId w:val="41"/>
  </w:num>
  <w:num w:numId="48">
    <w:abstractNumId w:val="3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628BE7D-3577-47E1-B54A-E81C715279C8"/>
    <w:docVar w:name="LW_COVERPAGE_TYPE" w:val="1"/>
    <w:docVar w:name="LW_CROSSREFERENCE" w:val="{COM(2018) 456 final}_x000d__x000a_{SWD(2018) 333 final}_x000d__x000a_{SWD(2018) 334 final}_x000d__x000a_{SWD(2018) 336 final}"/>
    <w:docVar w:name="LW_DocType" w:val="NORMAL"/>
    <w:docVar w:name="LW_EMISSION" w:val="12.6.2018"/>
    <w:docVar w:name="LW_EMISSION_ISODATE" w:val="2018-06-12"/>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reports for the period 2011 to 2013 of actions co-financed by the four Funds under the framework programme 'Solidarity and Management of Migration Flows'"/>
    <w:docVar w:name="LW_PART_NBR" w:val="1"/>
    <w:docVar w:name="LW_PART_NBR_TOTAL" w:val="1"/>
    <w:docVar w:name="LW_REF.INST.NEW" w:val="SWD"/>
    <w:docVar w:name="LW_REF.INST.NEW_ADOPTED" w:val="final"/>
    <w:docVar w:name="LW_REF.INST.NEW_TEXT" w:val="(2018) 3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 Post Evaluation of the European Return Fund 2011-2013"/>
    <w:docVar w:name="LW_TYPE.DOC.CP" w:val="COMMISSION STAFF WORKING DOCUMENT"/>
    <w:docVar w:name="LW_TYPEACTEPRINCIPAL.CP" w:val="Report from the Commission to the European Parliament, the Council, the European Economic and Social Committee and the Committee of the Regions "/>
  </w:docVars>
  <w:rsids>
    <w:rsidRoot w:val="007013FD"/>
    <w:rsid w:val="005E3FDE"/>
    <w:rsid w:val="007013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after="240" w:line="240" w:lineRule="auto"/>
      <w:jc w:val="both"/>
      <w:outlineLvl w:val="0"/>
    </w:pPr>
    <w:rPr>
      <w:rFonts w:ascii="Times New Roman" w:eastAsiaTheme="majorEastAsia" w:hAnsi="Times New Roman" w:cs="Times New Roman"/>
      <w:b/>
      <w:bCs/>
      <w:sz w:val="24"/>
      <w:szCs w:val="24"/>
      <w:lang w:val="en-GB"/>
    </w:rPr>
  </w:style>
  <w:style w:type="paragraph" w:styleId="Heading2">
    <w:name w:val="heading 2"/>
    <w:basedOn w:val="Normal"/>
    <w:next w:val="Normal"/>
    <w:link w:val="Heading2Char"/>
    <w:uiPriority w:val="9"/>
    <w:qFormat/>
    <w:pPr>
      <w:keepNext/>
      <w:numPr>
        <w:ilvl w:val="1"/>
        <w:numId w:val="2"/>
      </w:numPr>
      <w:spacing w:after="240" w:line="240" w:lineRule="auto"/>
      <w:jc w:val="both"/>
      <w:outlineLvl w:val="1"/>
    </w:pPr>
    <w:rPr>
      <w:rFonts w:ascii="Verdana" w:eastAsia="Times New Roman" w:hAnsi="Verdana" w:cs="Verdana"/>
      <w:b/>
      <w:bCs/>
      <w:sz w:val="20"/>
      <w:szCs w:val="20"/>
      <w:lang w:val="fr-FR"/>
    </w:rPr>
  </w:style>
  <w:style w:type="paragraph" w:styleId="Heading3">
    <w:name w:val="heading 3"/>
    <w:basedOn w:val="Normal"/>
    <w:next w:val="Normal"/>
    <w:link w:val="Heading3Char"/>
    <w:uiPriority w:val="9"/>
    <w:qFormat/>
    <w:pPr>
      <w:keepNext/>
      <w:numPr>
        <w:ilvl w:val="2"/>
        <w:numId w:val="2"/>
      </w:numPr>
      <w:spacing w:after="240" w:line="240" w:lineRule="auto"/>
      <w:jc w:val="both"/>
      <w:outlineLvl w:val="2"/>
    </w:pPr>
    <w:rPr>
      <w:rFonts w:ascii="Verdana" w:eastAsia="Times New Roman" w:hAnsi="Verdana" w:cs="Verdana"/>
      <w:i/>
      <w:iCs/>
      <w:sz w:val="20"/>
      <w:szCs w:val="20"/>
      <w:lang w:val="en-GB"/>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en-GB"/>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Verdana" w:eastAsia="Times New Roman" w:hAnsi="Verdana" w:cs="Verdana"/>
      <w:b/>
      <w:bCs/>
      <w:sz w:val="20"/>
      <w:szCs w:val="20"/>
      <w:lang w:val="fr-FR"/>
    </w:rPr>
  </w:style>
  <w:style w:type="character" w:customStyle="1" w:styleId="Heading3Char">
    <w:name w:val="Heading 3 Char"/>
    <w:basedOn w:val="DefaultParagraphFont"/>
    <w:link w:val="Heading3"/>
    <w:uiPriority w:val="9"/>
    <w:rPr>
      <w:rFonts w:ascii="Verdana" w:eastAsia="Times New Roman" w:hAnsi="Verdana" w:cs="Verdana"/>
      <w:i/>
      <w:iCs/>
      <w:sz w:val="20"/>
      <w:szCs w:val="20"/>
      <w:lang w:val="en-GB"/>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
    <w:basedOn w:val="Normal"/>
    <w:link w:val="FootnoteTextChar"/>
    <w:uiPriority w:val="99"/>
    <w:qFormat/>
    <w:pPr>
      <w:spacing w:after="60" w:line="240" w:lineRule="auto"/>
      <w:ind w:left="357" w:hanging="357"/>
      <w:jc w:val="both"/>
    </w:pPr>
    <w:rPr>
      <w:rFonts w:ascii="Verdana" w:eastAsia="Times New Roman" w:hAnsi="Verdana" w:cs="Verdana"/>
      <w:sz w:val="16"/>
      <w:szCs w:val="16"/>
      <w:lang w:val="en-GB"/>
    </w:rPr>
  </w:style>
  <w:style w:type="character" w:customStyle="1" w:styleId="FootnoteTextChar">
    <w:name w:val="Footnote Text Char"/>
    <w:aliases w:val="Footnote Text Char Char1 Char,Footnote Text Char Char Char Char Carácter Carácter Char,Footnote Text Char Char1 Char Car Carácter Carácter Char,Footnote Char1,Footnote1 Char,Footnote2 Char,Footnote3 Char,Footnote4 Char,Footnote5 Char"/>
    <w:basedOn w:val="DefaultParagraphFont"/>
    <w:link w:val="FootnoteText"/>
    <w:uiPriority w:val="99"/>
    <w:rPr>
      <w:rFonts w:ascii="Verdana" w:eastAsia="Times New Roman" w:hAnsi="Verdana" w:cs="Verdana"/>
      <w:sz w:val="16"/>
      <w:szCs w:val="16"/>
      <w:lang w:val="en-GB"/>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9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Bulletpoint1">
    <w:name w:val="Bullet point1"/>
    <w:basedOn w:val="NormalIndent"/>
    <w:link w:val="Bulletpoint1Char"/>
    <w:uiPriority w:val="99"/>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val="en-GB"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val="en-GB"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lang w:val="en-GB"/>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99"/>
    <w:qFormat/>
    <w:pPr>
      <w:spacing w:after="0" w:line="240" w:lineRule="atLeast"/>
      <w:ind w:left="720"/>
      <w:contextualSpacing/>
    </w:pPr>
    <w:rPr>
      <w:rFonts w:ascii="Verdana" w:eastAsia="Times New Roman" w:hAnsi="Verdana" w:cs="Times New Roman"/>
      <w:sz w:val="18"/>
      <w:szCs w:val="24"/>
      <w:lang w:val="en-GB"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lang w:val="en-GB"/>
    </w:rPr>
  </w:style>
  <w:style w:type="character" w:customStyle="1" w:styleId="HeadingChar">
    <w:name w:val="Heading Char"/>
    <w:link w:val="Heading"/>
    <w:uiPriority w:val="99"/>
    <w:rPr>
      <w:rFonts w:ascii="Verdana" w:eastAsia="Times New Roman" w:hAnsi="Verdana" w:cs="Times New Roman"/>
      <w:b/>
      <w:bCs/>
      <w:caps/>
      <w:lang w:val="en-GB"/>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qFormat/>
    <w:pPr>
      <w:spacing w:after="0" w:line="240" w:lineRule="auto"/>
    </w:pPr>
    <w:rPr>
      <w:lang w:val="en-GB"/>
    </w:rPr>
  </w:style>
  <w:style w:type="paragraph" w:styleId="TOC3">
    <w:name w:val="toc 3"/>
    <w:basedOn w:val="Normal"/>
    <w:next w:val="Normal"/>
    <w:autoRedefine/>
    <w:uiPriority w:val="39"/>
    <w:unhideWhenUsed/>
    <w:pPr>
      <w:spacing w:after="100"/>
      <w:ind w:left="440"/>
    </w:pPr>
    <w:rPr>
      <w:lang w:val="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paragraph" w:customStyle="1" w:styleId="EYTabletextbold">
    <w:name w:val="EY Table text bold"/>
    <w:basedOn w:val="Normal"/>
    <w:next w:val="Normal"/>
    <w:pPr>
      <w:spacing w:before="20" w:after="20" w:line="240" w:lineRule="auto"/>
    </w:pPr>
    <w:rPr>
      <w:rFonts w:ascii="EYInterstate Regular" w:eastAsia="Times New Roman" w:hAnsi="EYInterstate Regular" w:cs="Times New Roman"/>
      <w:b/>
      <w:i/>
      <w:sz w:val="20"/>
      <w:szCs w:val="24"/>
      <w:lang w:val="en-GB"/>
    </w:rPr>
  </w:style>
  <w:style w:type="paragraph" w:customStyle="1" w:styleId="Bullet1">
    <w:name w:val="Bullet 1"/>
    <w:aliases w:val="Bullet1,BTBullet1"/>
    <w:basedOn w:val="Normal"/>
    <w:next w:val="Normal"/>
    <w:link w:val="Bullet1Char"/>
    <w:uiPriority w:val="9"/>
    <w:qFormat/>
    <w:pPr>
      <w:numPr>
        <w:numId w:val="3"/>
      </w:numPr>
      <w:spacing w:after="120" w:line="240" w:lineRule="auto"/>
      <w:jc w:val="both"/>
    </w:pPr>
    <w:rPr>
      <w:rFonts w:ascii="Arial" w:hAnsi="Arial" w:cs="Arial"/>
      <w:sz w:val="20"/>
      <w:lang w:val="en-US"/>
    </w:rPr>
  </w:style>
  <w:style w:type="character" w:customStyle="1" w:styleId="Bullet1Char">
    <w:name w:val="Bullet 1 Char"/>
    <w:basedOn w:val="DefaultParagraphFont"/>
    <w:link w:val="Bullet1"/>
    <w:uiPriority w:val="9"/>
    <w:rPr>
      <w:rFonts w:ascii="Arial" w:hAnsi="Arial" w:cs="Arial"/>
      <w:sz w:val="20"/>
      <w:lang w:val="en-US"/>
    </w:r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standaardCharChar"/>
    <w:autoRedefine/>
    <w:qFormat/>
    <w:pPr>
      <w:overflowPunct w:val="0"/>
      <w:autoSpaceDE w:val="0"/>
      <w:autoSpaceDN w:val="0"/>
      <w:adjustRightInd w:val="0"/>
      <w:spacing w:after="120" w:line="260" w:lineRule="atLeast"/>
      <w:textAlignment w:val="baseline"/>
    </w:pPr>
    <w:rPr>
      <w:rFonts w:ascii="Times New Roman" w:eastAsia="Times New Roman" w:hAnsi="Times New Roman" w:cs="Times New Roman"/>
      <w:color w:val="000000" w:themeColor="text1"/>
      <w:sz w:val="16"/>
      <w:szCs w:val="16"/>
      <w:lang w:val="nl-NL"/>
    </w:rPr>
  </w:style>
  <w:style w:type="character" w:customStyle="1" w:styleId="000standaardCharChar">
    <w:name w:val="000.standaard Char Char"/>
    <w:basedOn w:val="DefaultParagraphFont"/>
    <w:link w:val="000"/>
    <w:rPr>
      <w:rFonts w:ascii="Times New Roman" w:eastAsia="Times New Roman" w:hAnsi="Times New Roman" w:cs="Times New Roman"/>
      <w:color w:val="000000" w:themeColor="text1"/>
      <w:sz w:val="16"/>
      <w:szCs w:val="16"/>
      <w:lang w:val="nl-NL"/>
    </w:rPr>
  </w:style>
  <w:style w:type="character" w:customStyle="1" w:styleId="NoSpacingChar">
    <w:name w:val="No Spacing Char"/>
    <w:basedOn w:val="DefaultParagraphFont"/>
    <w:link w:val="NoSpacing"/>
    <w:rPr>
      <w:lang w:val="en-GB"/>
    </w:rPr>
  </w:style>
  <w:style w:type="character" w:customStyle="1" w:styleId="FootnoteCharacters">
    <w:name w:val="Footnote Characters"/>
  </w:style>
  <w:style w:type="paragraph" w:customStyle="1" w:styleId="FootnoteText1">
    <w:name w:val="Footnote Text1"/>
    <w:basedOn w:val="Normal"/>
    <w:pPr>
      <w:suppressAutoHyphens/>
      <w:spacing w:after="60" w:line="100" w:lineRule="atLeast"/>
      <w:jc w:val="both"/>
    </w:pPr>
    <w:rPr>
      <w:rFonts w:eastAsia="SimSun" w:cs="Times New Roman"/>
      <w:sz w:val="18"/>
      <w:szCs w:val="20"/>
      <w:lang w:val="en-GB" w:eastAsia="ar-SA"/>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lang w:val="en-GB"/>
    </w:rPr>
  </w:style>
  <w:style w:type="numbering" w:customStyle="1" w:styleId="Bullets">
    <w:name w:val="Bullets"/>
    <w:aliases w:val="NumbLstBTBullet,NumbLstBullet"/>
    <w:uiPriority w:val="99"/>
    <w:pPr>
      <w:numPr>
        <w:numId w:val="26"/>
      </w:numPr>
    </w:pPr>
  </w:style>
  <w:style w:type="paragraph" w:customStyle="1" w:styleId="Bullet2">
    <w:name w:val="Bullet 2"/>
    <w:aliases w:val="Bullet2,BTBullet2"/>
    <w:basedOn w:val="Normal"/>
    <w:uiPriority w:val="10"/>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lang w:val="en-GB"/>
    </w:rPr>
  </w:style>
  <w:style w:type="paragraph" w:customStyle="1" w:styleId="Bullet1Space">
    <w:name w:val="Bullet 1 Space"/>
    <w:aliases w:val="Bullet1Last,BTBullet1Last"/>
    <w:basedOn w:val="Bullet1"/>
    <w:uiPriority w:val="6"/>
    <w:qFormat/>
    <w:pPr>
      <w:numPr>
        <w:numId w:val="0"/>
      </w:numPr>
      <w:spacing w:before="120"/>
      <w:ind w:left="720" w:hanging="360"/>
      <w:jc w:val="left"/>
    </w:pPr>
    <w:rPr>
      <w:rFonts w:ascii="Verdana" w:hAnsi="Verdana" w:cstheme="minorBidi"/>
      <w:color w:val="000000" w:themeColor="text1"/>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itle">
    <w:name w:val="TableTitle"/>
    <w:aliases w:val="Table,AnnexTable,AnnexFigure,Figure,ESTable,ESTableLeft,TableSimpleNo,TableLeft,ESFigure,ESFigureLeft"/>
    <w:basedOn w:val="Heading3"/>
    <w:link w:val="TableChar"/>
    <w:uiPriority w:val="11"/>
    <w:qFormat/>
    <w:pPr>
      <w:keepLines/>
      <w:numPr>
        <w:numId w:val="30"/>
      </w:numPr>
      <w:spacing w:before="120" w:after="120"/>
      <w:jc w:val="left"/>
    </w:pPr>
    <w:rPr>
      <w:rFonts w:eastAsiaTheme="majorEastAsia" w:cstheme="majorBidi"/>
      <w:bCs/>
      <w:iCs w:val="0"/>
      <w:szCs w:val="22"/>
    </w:rPr>
  </w:style>
  <w:style w:type="paragraph" w:customStyle="1" w:styleId="TableHeading">
    <w:name w:val="TableHeading"/>
    <w:aliases w:val="TableHeadingWhite"/>
    <w:basedOn w:val="Normal"/>
    <w:uiPriority w:val="30"/>
    <w:qFormat/>
    <w:pPr>
      <w:spacing w:before="120" w:after="0" w:line="240" w:lineRule="auto"/>
      <w:ind w:left="113"/>
    </w:pPr>
    <w:rPr>
      <w:rFonts w:ascii="Verdana" w:hAnsi="Verdana"/>
      <w:b/>
      <w:color w:val="FFFFFF" w:themeColor="background1"/>
      <w:sz w:val="20"/>
      <w:lang w:val="en-GB"/>
    </w:rPr>
  </w:style>
  <w:style w:type="numbering" w:customStyle="1" w:styleId="NumblistTables">
    <w:name w:val="Numblist Tables"/>
    <w:uiPriority w:val="99"/>
    <w:pPr>
      <w:numPr>
        <w:numId w:val="30"/>
      </w:numPr>
    </w:pPr>
  </w:style>
  <w:style w:type="character" w:customStyle="1" w:styleId="TableChar">
    <w:name w:val="Table Char"/>
    <w:basedOn w:val="DefaultParagraphFont"/>
    <w:link w:val="TableTitle"/>
    <w:uiPriority w:val="11"/>
    <w:rPr>
      <w:rFonts w:ascii="Verdana" w:eastAsiaTheme="majorEastAsia" w:hAnsi="Verdana" w:cstheme="majorBidi"/>
      <w:bCs/>
      <w:i/>
      <w:sz w:val="20"/>
      <w:lang w:val="en-GB"/>
    </w:rPr>
  </w:style>
  <w:style w:type="paragraph" w:customStyle="1" w:styleId="FigureTitle">
    <w:name w:val="Figure Title"/>
    <w:basedOn w:val="TableTitle"/>
    <w:uiPriority w:val="29"/>
    <w:qFormat/>
    <w:pPr>
      <w:numPr>
        <w:numId w:val="31"/>
      </w:numPr>
    </w:pPr>
  </w:style>
  <w:style w:type="numbering" w:customStyle="1" w:styleId="NumbListFigures">
    <w:name w:val="NumbList Figures"/>
    <w:uiPriority w:val="99"/>
    <w:pPr>
      <w:numPr>
        <w:numId w:val="3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after="240" w:line="240" w:lineRule="auto"/>
      <w:jc w:val="both"/>
      <w:outlineLvl w:val="0"/>
    </w:pPr>
    <w:rPr>
      <w:rFonts w:ascii="Times New Roman" w:eastAsiaTheme="majorEastAsia" w:hAnsi="Times New Roman" w:cs="Times New Roman"/>
      <w:b/>
      <w:bCs/>
      <w:sz w:val="24"/>
      <w:szCs w:val="24"/>
      <w:lang w:val="en-GB"/>
    </w:rPr>
  </w:style>
  <w:style w:type="paragraph" w:styleId="Heading2">
    <w:name w:val="heading 2"/>
    <w:basedOn w:val="Normal"/>
    <w:next w:val="Normal"/>
    <w:link w:val="Heading2Char"/>
    <w:uiPriority w:val="9"/>
    <w:qFormat/>
    <w:pPr>
      <w:keepNext/>
      <w:numPr>
        <w:ilvl w:val="1"/>
        <w:numId w:val="2"/>
      </w:numPr>
      <w:spacing w:after="240" w:line="240" w:lineRule="auto"/>
      <w:jc w:val="both"/>
      <w:outlineLvl w:val="1"/>
    </w:pPr>
    <w:rPr>
      <w:rFonts w:ascii="Verdana" w:eastAsia="Times New Roman" w:hAnsi="Verdana" w:cs="Verdana"/>
      <w:b/>
      <w:bCs/>
      <w:sz w:val="20"/>
      <w:szCs w:val="20"/>
      <w:lang w:val="fr-FR"/>
    </w:rPr>
  </w:style>
  <w:style w:type="paragraph" w:styleId="Heading3">
    <w:name w:val="heading 3"/>
    <w:basedOn w:val="Normal"/>
    <w:next w:val="Normal"/>
    <w:link w:val="Heading3Char"/>
    <w:uiPriority w:val="9"/>
    <w:qFormat/>
    <w:pPr>
      <w:keepNext/>
      <w:numPr>
        <w:ilvl w:val="2"/>
        <w:numId w:val="2"/>
      </w:numPr>
      <w:spacing w:after="240" w:line="240" w:lineRule="auto"/>
      <w:jc w:val="both"/>
      <w:outlineLvl w:val="2"/>
    </w:pPr>
    <w:rPr>
      <w:rFonts w:ascii="Verdana" w:eastAsia="Times New Roman" w:hAnsi="Verdana" w:cs="Verdana"/>
      <w:i/>
      <w:iCs/>
      <w:sz w:val="20"/>
      <w:szCs w:val="20"/>
      <w:lang w:val="en-GB"/>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en-GB"/>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Verdana" w:eastAsia="Times New Roman" w:hAnsi="Verdana" w:cs="Verdana"/>
      <w:b/>
      <w:bCs/>
      <w:sz w:val="20"/>
      <w:szCs w:val="20"/>
      <w:lang w:val="fr-FR"/>
    </w:rPr>
  </w:style>
  <w:style w:type="character" w:customStyle="1" w:styleId="Heading3Char">
    <w:name w:val="Heading 3 Char"/>
    <w:basedOn w:val="DefaultParagraphFont"/>
    <w:link w:val="Heading3"/>
    <w:uiPriority w:val="9"/>
    <w:rPr>
      <w:rFonts w:ascii="Verdana" w:eastAsia="Times New Roman" w:hAnsi="Verdana" w:cs="Verdana"/>
      <w:i/>
      <w:iCs/>
      <w:sz w:val="20"/>
      <w:szCs w:val="20"/>
      <w:lang w:val="en-GB"/>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
    <w:basedOn w:val="Normal"/>
    <w:link w:val="FootnoteTextChar"/>
    <w:uiPriority w:val="99"/>
    <w:qFormat/>
    <w:pPr>
      <w:spacing w:after="60" w:line="240" w:lineRule="auto"/>
      <w:ind w:left="357" w:hanging="357"/>
      <w:jc w:val="both"/>
    </w:pPr>
    <w:rPr>
      <w:rFonts w:ascii="Verdana" w:eastAsia="Times New Roman" w:hAnsi="Verdana" w:cs="Verdana"/>
      <w:sz w:val="16"/>
      <w:szCs w:val="16"/>
      <w:lang w:val="en-GB"/>
    </w:rPr>
  </w:style>
  <w:style w:type="character" w:customStyle="1" w:styleId="FootnoteTextChar">
    <w:name w:val="Footnote Text Char"/>
    <w:aliases w:val="Footnote Text Char Char1 Char,Footnote Text Char Char Char Char Carácter Carácter Char,Footnote Text Char Char1 Char Car Carácter Carácter Char,Footnote Char1,Footnote1 Char,Footnote2 Char,Footnote3 Char,Footnote4 Char,Footnote5 Char"/>
    <w:basedOn w:val="DefaultParagraphFont"/>
    <w:link w:val="FootnoteText"/>
    <w:uiPriority w:val="99"/>
    <w:rPr>
      <w:rFonts w:ascii="Verdana" w:eastAsia="Times New Roman" w:hAnsi="Verdana" w:cs="Verdana"/>
      <w:sz w:val="16"/>
      <w:szCs w:val="16"/>
      <w:lang w:val="en-GB"/>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9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Bulletpoint1">
    <w:name w:val="Bullet point1"/>
    <w:basedOn w:val="NormalIndent"/>
    <w:link w:val="Bulletpoint1Char"/>
    <w:uiPriority w:val="99"/>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val="en-GB"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val="en-GB"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lang w:val="en-GB"/>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99"/>
    <w:qFormat/>
    <w:pPr>
      <w:spacing w:after="0" w:line="240" w:lineRule="atLeast"/>
      <w:ind w:left="720"/>
      <w:contextualSpacing/>
    </w:pPr>
    <w:rPr>
      <w:rFonts w:ascii="Verdana" w:eastAsia="Times New Roman" w:hAnsi="Verdana" w:cs="Times New Roman"/>
      <w:sz w:val="18"/>
      <w:szCs w:val="24"/>
      <w:lang w:val="en-GB"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lang w:val="en-GB"/>
    </w:rPr>
  </w:style>
  <w:style w:type="character" w:customStyle="1" w:styleId="HeadingChar">
    <w:name w:val="Heading Char"/>
    <w:link w:val="Heading"/>
    <w:uiPriority w:val="99"/>
    <w:rPr>
      <w:rFonts w:ascii="Verdana" w:eastAsia="Times New Roman" w:hAnsi="Verdana" w:cs="Times New Roman"/>
      <w:b/>
      <w:bCs/>
      <w:caps/>
      <w:lang w:val="en-GB"/>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qFormat/>
    <w:pPr>
      <w:spacing w:after="0" w:line="240" w:lineRule="auto"/>
    </w:pPr>
    <w:rPr>
      <w:lang w:val="en-GB"/>
    </w:rPr>
  </w:style>
  <w:style w:type="paragraph" w:styleId="TOC3">
    <w:name w:val="toc 3"/>
    <w:basedOn w:val="Normal"/>
    <w:next w:val="Normal"/>
    <w:autoRedefine/>
    <w:uiPriority w:val="39"/>
    <w:unhideWhenUsed/>
    <w:pPr>
      <w:spacing w:after="100"/>
      <w:ind w:left="440"/>
    </w:pPr>
    <w:rPr>
      <w:lang w:val="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paragraph" w:customStyle="1" w:styleId="EYTabletextbold">
    <w:name w:val="EY Table text bold"/>
    <w:basedOn w:val="Normal"/>
    <w:next w:val="Normal"/>
    <w:pPr>
      <w:spacing w:before="20" w:after="20" w:line="240" w:lineRule="auto"/>
    </w:pPr>
    <w:rPr>
      <w:rFonts w:ascii="EYInterstate Regular" w:eastAsia="Times New Roman" w:hAnsi="EYInterstate Regular" w:cs="Times New Roman"/>
      <w:b/>
      <w:i/>
      <w:sz w:val="20"/>
      <w:szCs w:val="24"/>
      <w:lang w:val="en-GB"/>
    </w:rPr>
  </w:style>
  <w:style w:type="paragraph" w:customStyle="1" w:styleId="Bullet1">
    <w:name w:val="Bullet 1"/>
    <w:aliases w:val="Bullet1,BTBullet1"/>
    <w:basedOn w:val="Normal"/>
    <w:next w:val="Normal"/>
    <w:link w:val="Bullet1Char"/>
    <w:uiPriority w:val="9"/>
    <w:qFormat/>
    <w:pPr>
      <w:numPr>
        <w:numId w:val="3"/>
      </w:numPr>
      <w:spacing w:after="120" w:line="240" w:lineRule="auto"/>
      <w:jc w:val="both"/>
    </w:pPr>
    <w:rPr>
      <w:rFonts w:ascii="Arial" w:hAnsi="Arial" w:cs="Arial"/>
      <w:sz w:val="20"/>
      <w:lang w:val="en-US"/>
    </w:rPr>
  </w:style>
  <w:style w:type="character" w:customStyle="1" w:styleId="Bullet1Char">
    <w:name w:val="Bullet 1 Char"/>
    <w:basedOn w:val="DefaultParagraphFont"/>
    <w:link w:val="Bullet1"/>
    <w:uiPriority w:val="9"/>
    <w:rPr>
      <w:rFonts w:ascii="Arial" w:hAnsi="Arial" w:cs="Arial"/>
      <w:sz w:val="20"/>
      <w:lang w:val="en-US"/>
    </w:r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standaardCharChar"/>
    <w:autoRedefine/>
    <w:qFormat/>
    <w:pPr>
      <w:overflowPunct w:val="0"/>
      <w:autoSpaceDE w:val="0"/>
      <w:autoSpaceDN w:val="0"/>
      <w:adjustRightInd w:val="0"/>
      <w:spacing w:after="120" w:line="260" w:lineRule="atLeast"/>
      <w:textAlignment w:val="baseline"/>
    </w:pPr>
    <w:rPr>
      <w:rFonts w:ascii="Times New Roman" w:eastAsia="Times New Roman" w:hAnsi="Times New Roman" w:cs="Times New Roman"/>
      <w:color w:val="000000" w:themeColor="text1"/>
      <w:sz w:val="16"/>
      <w:szCs w:val="16"/>
      <w:lang w:val="nl-NL"/>
    </w:rPr>
  </w:style>
  <w:style w:type="character" w:customStyle="1" w:styleId="000standaardCharChar">
    <w:name w:val="000.standaard Char Char"/>
    <w:basedOn w:val="DefaultParagraphFont"/>
    <w:link w:val="000"/>
    <w:rPr>
      <w:rFonts w:ascii="Times New Roman" w:eastAsia="Times New Roman" w:hAnsi="Times New Roman" w:cs="Times New Roman"/>
      <w:color w:val="000000" w:themeColor="text1"/>
      <w:sz w:val="16"/>
      <w:szCs w:val="16"/>
      <w:lang w:val="nl-NL"/>
    </w:rPr>
  </w:style>
  <w:style w:type="character" w:customStyle="1" w:styleId="NoSpacingChar">
    <w:name w:val="No Spacing Char"/>
    <w:basedOn w:val="DefaultParagraphFont"/>
    <w:link w:val="NoSpacing"/>
    <w:rPr>
      <w:lang w:val="en-GB"/>
    </w:rPr>
  </w:style>
  <w:style w:type="character" w:customStyle="1" w:styleId="FootnoteCharacters">
    <w:name w:val="Footnote Characters"/>
  </w:style>
  <w:style w:type="paragraph" w:customStyle="1" w:styleId="FootnoteText1">
    <w:name w:val="Footnote Text1"/>
    <w:basedOn w:val="Normal"/>
    <w:pPr>
      <w:suppressAutoHyphens/>
      <w:spacing w:after="60" w:line="100" w:lineRule="atLeast"/>
      <w:jc w:val="both"/>
    </w:pPr>
    <w:rPr>
      <w:rFonts w:eastAsia="SimSun" w:cs="Times New Roman"/>
      <w:sz w:val="18"/>
      <w:szCs w:val="20"/>
      <w:lang w:val="en-GB" w:eastAsia="ar-SA"/>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lang w:val="en-GB"/>
    </w:rPr>
  </w:style>
  <w:style w:type="numbering" w:customStyle="1" w:styleId="Bullets">
    <w:name w:val="Bullets"/>
    <w:aliases w:val="NumbLstBTBullet,NumbLstBullet"/>
    <w:uiPriority w:val="99"/>
    <w:pPr>
      <w:numPr>
        <w:numId w:val="26"/>
      </w:numPr>
    </w:pPr>
  </w:style>
  <w:style w:type="paragraph" w:customStyle="1" w:styleId="Bullet2">
    <w:name w:val="Bullet 2"/>
    <w:aliases w:val="Bullet2,BTBullet2"/>
    <w:basedOn w:val="Normal"/>
    <w:uiPriority w:val="10"/>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lang w:val="en-GB"/>
    </w:rPr>
  </w:style>
  <w:style w:type="paragraph" w:customStyle="1" w:styleId="Bullet1Space">
    <w:name w:val="Bullet 1 Space"/>
    <w:aliases w:val="Bullet1Last,BTBullet1Last"/>
    <w:basedOn w:val="Bullet1"/>
    <w:uiPriority w:val="6"/>
    <w:qFormat/>
    <w:pPr>
      <w:numPr>
        <w:numId w:val="0"/>
      </w:numPr>
      <w:spacing w:before="120"/>
      <w:ind w:left="720" w:hanging="360"/>
      <w:jc w:val="left"/>
    </w:pPr>
    <w:rPr>
      <w:rFonts w:ascii="Verdana" w:hAnsi="Verdana" w:cstheme="minorBidi"/>
      <w:color w:val="000000" w:themeColor="text1"/>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itle">
    <w:name w:val="TableTitle"/>
    <w:aliases w:val="Table,AnnexTable,AnnexFigure,Figure,ESTable,ESTableLeft,TableSimpleNo,TableLeft,ESFigure,ESFigureLeft"/>
    <w:basedOn w:val="Heading3"/>
    <w:link w:val="TableChar"/>
    <w:uiPriority w:val="11"/>
    <w:qFormat/>
    <w:pPr>
      <w:keepLines/>
      <w:numPr>
        <w:numId w:val="30"/>
      </w:numPr>
      <w:spacing w:before="120" w:after="120"/>
      <w:jc w:val="left"/>
    </w:pPr>
    <w:rPr>
      <w:rFonts w:eastAsiaTheme="majorEastAsia" w:cstheme="majorBidi"/>
      <w:bCs/>
      <w:iCs w:val="0"/>
      <w:szCs w:val="22"/>
    </w:rPr>
  </w:style>
  <w:style w:type="paragraph" w:customStyle="1" w:styleId="TableHeading">
    <w:name w:val="TableHeading"/>
    <w:aliases w:val="TableHeadingWhite"/>
    <w:basedOn w:val="Normal"/>
    <w:uiPriority w:val="30"/>
    <w:qFormat/>
    <w:pPr>
      <w:spacing w:before="120" w:after="0" w:line="240" w:lineRule="auto"/>
      <w:ind w:left="113"/>
    </w:pPr>
    <w:rPr>
      <w:rFonts w:ascii="Verdana" w:hAnsi="Verdana"/>
      <w:b/>
      <w:color w:val="FFFFFF" w:themeColor="background1"/>
      <w:sz w:val="20"/>
      <w:lang w:val="en-GB"/>
    </w:rPr>
  </w:style>
  <w:style w:type="numbering" w:customStyle="1" w:styleId="NumblistTables">
    <w:name w:val="Numblist Tables"/>
    <w:uiPriority w:val="99"/>
    <w:pPr>
      <w:numPr>
        <w:numId w:val="30"/>
      </w:numPr>
    </w:pPr>
  </w:style>
  <w:style w:type="character" w:customStyle="1" w:styleId="TableChar">
    <w:name w:val="Table Char"/>
    <w:basedOn w:val="DefaultParagraphFont"/>
    <w:link w:val="TableTitle"/>
    <w:uiPriority w:val="11"/>
    <w:rPr>
      <w:rFonts w:ascii="Verdana" w:eastAsiaTheme="majorEastAsia" w:hAnsi="Verdana" w:cstheme="majorBidi"/>
      <w:bCs/>
      <w:i/>
      <w:sz w:val="20"/>
      <w:lang w:val="en-GB"/>
    </w:rPr>
  </w:style>
  <w:style w:type="paragraph" w:customStyle="1" w:styleId="FigureTitle">
    <w:name w:val="Figure Title"/>
    <w:basedOn w:val="TableTitle"/>
    <w:uiPriority w:val="29"/>
    <w:qFormat/>
    <w:pPr>
      <w:numPr>
        <w:numId w:val="31"/>
      </w:numPr>
    </w:pPr>
  </w:style>
  <w:style w:type="numbering" w:customStyle="1" w:styleId="NumbListFigures">
    <w:name w:val="NumbList Figures"/>
    <w:uiPriority w:val="99"/>
    <w:pPr>
      <w:numPr>
        <w:numId w:val="3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6774">
      <w:bodyDiv w:val="1"/>
      <w:marLeft w:val="0"/>
      <w:marRight w:val="0"/>
      <w:marTop w:val="0"/>
      <w:marBottom w:val="0"/>
      <w:divBdr>
        <w:top w:val="none" w:sz="0" w:space="0" w:color="auto"/>
        <w:left w:val="none" w:sz="0" w:space="0" w:color="auto"/>
        <w:bottom w:val="none" w:sz="0" w:space="0" w:color="auto"/>
        <w:right w:val="none" w:sz="0" w:space="0" w:color="auto"/>
      </w:divBdr>
    </w:div>
    <w:div w:id="437603790">
      <w:bodyDiv w:val="1"/>
      <w:marLeft w:val="0"/>
      <w:marRight w:val="0"/>
      <w:marTop w:val="0"/>
      <w:marBottom w:val="0"/>
      <w:divBdr>
        <w:top w:val="none" w:sz="0" w:space="0" w:color="auto"/>
        <w:left w:val="none" w:sz="0" w:space="0" w:color="auto"/>
        <w:bottom w:val="none" w:sz="0" w:space="0" w:color="auto"/>
        <w:right w:val="none" w:sz="0" w:space="0" w:color="auto"/>
      </w:divBdr>
    </w:div>
    <w:div w:id="502084420">
      <w:bodyDiv w:val="1"/>
      <w:marLeft w:val="0"/>
      <w:marRight w:val="0"/>
      <w:marTop w:val="0"/>
      <w:marBottom w:val="0"/>
      <w:divBdr>
        <w:top w:val="none" w:sz="0" w:space="0" w:color="auto"/>
        <w:left w:val="none" w:sz="0" w:space="0" w:color="auto"/>
        <w:bottom w:val="none" w:sz="0" w:space="0" w:color="auto"/>
        <w:right w:val="none" w:sz="0" w:space="0" w:color="auto"/>
      </w:divBdr>
    </w:div>
    <w:div w:id="520122303">
      <w:bodyDiv w:val="1"/>
      <w:marLeft w:val="0"/>
      <w:marRight w:val="0"/>
      <w:marTop w:val="0"/>
      <w:marBottom w:val="0"/>
      <w:divBdr>
        <w:top w:val="none" w:sz="0" w:space="0" w:color="auto"/>
        <w:left w:val="none" w:sz="0" w:space="0" w:color="auto"/>
        <w:bottom w:val="none" w:sz="0" w:space="0" w:color="auto"/>
        <w:right w:val="none" w:sz="0" w:space="0" w:color="auto"/>
      </w:divBdr>
    </w:div>
    <w:div w:id="579949477">
      <w:bodyDiv w:val="1"/>
      <w:marLeft w:val="0"/>
      <w:marRight w:val="0"/>
      <w:marTop w:val="0"/>
      <w:marBottom w:val="0"/>
      <w:divBdr>
        <w:top w:val="none" w:sz="0" w:space="0" w:color="auto"/>
        <w:left w:val="none" w:sz="0" w:space="0" w:color="auto"/>
        <w:bottom w:val="none" w:sz="0" w:space="0" w:color="auto"/>
        <w:right w:val="none" w:sz="0" w:space="0" w:color="auto"/>
      </w:divBdr>
    </w:div>
    <w:div w:id="591940102">
      <w:bodyDiv w:val="1"/>
      <w:marLeft w:val="0"/>
      <w:marRight w:val="0"/>
      <w:marTop w:val="0"/>
      <w:marBottom w:val="0"/>
      <w:divBdr>
        <w:top w:val="none" w:sz="0" w:space="0" w:color="auto"/>
        <w:left w:val="none" w:sz="0" w:space="0" w:color="auto"/>
        <w:bottom w:val="none" w:sz="0" w:space="0" w:color="auto"/>
        <w:right w:val="none" w:sz="0" w:space="0" w:color="auto"/>
      </w:divBdr>
    </w:div>
    <w:div w:id="828255160">
      <w:bodyDiv w:val="1"/>
      <w:marLeft w:val="0"/>
      <w:marRight w:val="0"/>
      <w:marTop w:val="0"/>
      <w:marBottom w:val="0"/>
      <w:divBdr>
        <w:top w:val="none" w:sz="0" w:space="0" w:color="auto"/>
        <w:left w:val="none" w:sz="0" w:space="0" w:color="auto"/>
        <w:bottom w:val="none" w:sz="0" w:space="0" w:color="auto"/>
        <w:right w:val="none" w:sz="0" w:space="0" w:color="auto"/>
      </w:divBdr>
    </w:div>
    <w:div w:id="1079866143">
      <w:bodyDiv w:val="1"/>
      <w:marLeft w:val="0"/>
      <w:marRight w:val="0"/>
      <w:marTop w:val="0"/>
      <w:marBottom w:val="0"/>
      <w:divBdr>
        <w:top w:val="none" w:sz="0" w:space="0" w:color="auto"/>
        <w:left w:val="none" w:sz="0" w:space="0" w:color="auto"/>
        <w:bottom w:val="none" w:sz="0" w:space="0" w:color="auto"/>
        <w:right w:val="none" w:sz="0" w:space="0" w:color="auto"/>
      </w:divBdr>
    </w:div>
    <w:div w:id="1587306330">
      <w:bodyDiv w:val="1"/>
      <w:marLeft w:val="0"/>
      <w:marRight w:val="0"/>
      <w:marTop w:val="0"/>
      <w:marBottom w:val="0"/>
      <w:divBdr>
        <w:top w:val="none" w:sz="0" w:space="0" w:color="auto"/>
        <w:left w:val="none" w:sz="0" w:space="0" w:color="auto"/>
        <w:bottom w:val="none" w:sz="0" w:space="0" w:color="auto"/>
        <w:right w:val="none" w:sz="0" w:space="0" w:color="auto"/>
      </w:divBdr>
    </w:div>
    <w:div w:id="1668899896">
      <w:bodyDiv w:val="1"/>
      <w:marLeft w:val="0"/>
      <w:marRight w:val="0"/>
      <w:marTop w:val="0"/>
      <w:marBottom w:val="0"/>
      <w:divBdr>
        <w:top w:val="none" w:sz="0" w:space="0" w:color="auto"/>
        <w:left w:val="none" w:sz="0" w:space="0" w:color="auto"/>
        <w:bottom w:val="none" w:sz="0" w:space="0" w:color="auto"/>
        <w:right w:val="none" w:sz="0" w:space="0" w:color="auto"/>
      </w:divBdr>
    </w:div>
    <w:div w:id="1685787732">
      <w:bodyDiv w:val="1"/>
      <w:marLeft w:val="0"/>
      <w:marRight w:val="0"/>
      <w:marTop w:val="0"/>
      <w:marBottom w:val="0"/>
      <w:divBdr>
        <w:top w:val="none" w:sz="0" w:space="0" w:color="auto"/>
        <w:left w:val="none" w:sz="0" w:space="0" w:color="auto"/>
        <w:bottom w:val="none" w:sz="0" w:space="0" w:color="auto"/>
        <w:right w:val="none" w:sz="0" w:space="0" w:color="auto"/>
      </w:divBdr>
    </w:div>
    <w:div w:id="1922909689">
      <w:bodyDiv w:val="1"/>
      <w:marLeft w:val="0"/>
      <w:marRight w:val="0"/>
      <w:marTop w:val="0"/>
      <w:marBottom w:val="0"/>
      <w:divBdr>
        <w:top w:val="none" w:sz="0" w:space="0" w:color="auto"/>
        <w:left w:val="none" w:sz="0" w:space="0" w:color="auto"/>
        <w:bottom w:val="none" w:sz="0" w:space="0" w:color="auto"/>
        <w:right w:val="none" w:sz="0" w:space="0" w:color="auto"/>
      </w:divBdr>
    </w:div>
    <w:div w:id="1971594668">
      <w:bodyDiv w:val="1"/>
      <w:marLeft w:val="0"/>
      <w:marRight w:val="0"/>
      <w:marTop w:val="0"/>
      <w:marBottom w:val="0"/>
      <w:divBdr>
        <w:top w:val="none" w:sz="0" w:space="0" w:color="auto"/>
        <w:left w:val="none" w:sz="0" w:space="0" w:color="auto"/>
        <w:bottom w:val="none" w:sz="0" w:space="0" w:color="auto"/>
        <w:right w:val="none" w:sz="0" w:space="0" w:color="auto"/>
      </w:divBdr>
    </w:div>
    <w:div w:id="1981837067">
      <w:bodyDiv w:val="1"/>
      <w:marLeft w:val="0"/>
      <w:marRight w:val="0"/>
      <w:marTop w:val="0"/>
      <w:marBottom w:val="0"/>
      <w:divBdr>
        <w:top w:val="none" w:sz="0" w:space="0" w:color="auto"/>
        <w:left w:val="none" w:sz="0" w:space="0" w:color="auto"/>
        <w:bottom w:val="none" w:sz="0" w:space="0" w:color="auto"/>
        <w:right w:val="none" w:sz="0" w:space="0" w:color="auto"/>
      </w:divBdr>
    </w:div>
    <w:div w:id="19836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i\Public\1.HOME%20FUNDS\1.%20Horizontal%20pts\3.%20Evaluation\08.%20SOLID%20ex-post%202011-2013\10.%20SWD\Statistics\Preparatory\4_RF\SOLID_all%20MS_RF_2011-2013_MF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i\Public\1.HOME%20FUNDS\1.%20Horizontal%20pts\3.%20Evaluation\08.%20SOLID%20ex-post%202011-2013\10.%20SWD\Statistics\Preparatory\4_RF\SOLID_all%20MS_RF_2011-2013_MF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102\ROSALMA\My%20Documents\Evaluation\Graph%20SWD%20RF%20priorities%202011-2013%20FIX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45508894721492"/>
          <c:y val="0.12244476721963153"/>
          <c:w val="0.7806938678096571"/>
          <c:h val="0.63625374926363787"/>
        </c:manualLayout>
      </c:layout>
      <c:barChart>
        <c:barDir val="col"/>
        <c:grouping val="clustered"/>
        <c:varyColors val="0"/>
        <c:ser>
          <c:idx val="0"/>
          <c:order val="0"/>
          <c:tx>
            <c:strRef>
              <c:f>'RF SWD Calculs'!$B$75</c:f>
              <c:strCache>
                <c:ptCount val="1"/>
                <c:pt idx="0">
                  <c:v>Programmed EU Contribution</c:v>
                </c:pt>
              </c:strCache>
            </c:strRef>
          </c:tx>
          <c:spPr>
            <a:solidFill>
              <a:srgbClr val="61D3FB">
                <a:alpha val="40000"/>
              </a:srgbClr>
            </a:solidFill>
            <a:ln>
              <a:solidFill>
                <a:srgbClr val="34AFFA"/>
              </a:solidFill>
            </a:ln>
          </c:spPr>
          <c:invertIfNegative val="0"/>
          <c:cat>
            <c:numRef>
              <c:f>'RF SWD Calculs'!$A$76:$A$81</c:f>
              <c:numCache>
                <c:formatCode>General</c:formatCode>
                <c:ptCount val="6"/>
                <c:pt idx="0">
                  <c:v>2008</c:v>
                </c:pt>
                <c:pt idx="1">
                  <c:v>2009</c:v>
                </c:pt>
                <c:pt idx="2">
                  <c:v>2010</c:v>
                </c:pt>
                <c:pt idx="3">
                  <c:v>2011</c:v>
                </c:pt>
                <c:pt idx="4">
                  <c:v>2012</c:v>
                </c:pt>
                <c:pt idx="5">
                  <c:v>2013</c:v>
                </c:pt>
              </c:numCache>
            </c:numRef>
          </c:cat>
          <c:val>
            <c:numRef>
              <c:f>'RF SWD Calculs'!$B$76:$B$81</c:f>
              <c:numCache>
                <c:formatCode>_(* #,##0.00_);_(* \(#,##0.00\);_(* "-"??_);_(@_)</c:formatCode>
                <c:ptCount val="6"/>
                <c:pt idx="0">
                  <c:v>55079269.969999991</c:v>
                </c:pt>
                <c:pt idx="1">
                  <c:v>61332084.719999991</c:v>
                </c:pt>
                <c:pt idx="2">
                  <c:v>81268881.689999983</c:v>
                </c:pt>
                <c:pt idx="3">
                  <c:v>108999999.84000003</c:v>
                </c:pt>
                <c:pt idx="4">
                  <c:v>151124999</c:v>
                </c:pt>
                <c:pt idx="5">
                  <c:v>175341241</c:v>
                </c:pt>
              </c:numCache>
            </c:numRef>
          </c:val>
          <c:extLst xmlns:c16r2="http://schemas.microsoft.com/office/drawing/2015/06/chart">
            <c:ext xmlns:c16="http://schemas.microsoft.com/office/drawing/2014/chart" uri="{C3380CC4-5D6E-409C-BE32-E72D297353CC}">
              <c16:uniqueId val="{00000000-3ADA-4378-A8C6-45AFCB6DF8CF}"/>
            </c:ext>
          </c:extLst>
        </c:ser>
        <c:ser>
          <c:idx val="1"/>
          <c:order val="1"/>
          <c:tx>
            <c:strRef>
              <c:f>'RF SWD Calculs'!$C$75</c:f>
              <c:strCache>
                <c:ptCount val="1"/>
                <c:pt idx="0">
                  <c:v>Final EU CONTRIBUTION</c:v>
                </c:pt>
              </c:strCache>
            </c:strRef>
          </c:tx>
          <c:spPr>
            <a:solidFill>
              <a:srgbClr val="2107BF"/>
            </a:solidFill>
          </c:spPr>
          <c:invertIfNegative val="0"/>
          <c:cat>
            <c:numRef>
              <c:f>'RF SWD Calculs'!$A$76:$A$81</c:f>
              <c:numCache>
                <c:formatCode>General</c:formatCode>
                <c:ptCount val="6"/>
                <c:pt idx="0">
                  <c:v>2008</c:v>
                </c:pt>
                <c:pt idx="1">
                  <c:v>2009</c:v>
                </c:pt>
                <c:pt idx="2">
                  <c:v>2010</c:v>
                </c:pt>
                <c:pt idx="3">
                  <c:v>2011</c:v>
                </c:pt>
                <c:pt idx="4">
                  <c:v>2012</c:v>
                </c:pt>
                <c:pt idx="5">
                  <c:v>2013</c:v>
                </c:pt>
              </c:numCache>
            </c:numRef>
          </c:cat>
          <c:val>
            <c:numRef>
              <c:f>'RF SWD Calculs'!$C$76:$C$81</c:f>
              <c:numCache>
                <c:formatCode>_(* #,##0.00_);_(* \(#,##0.00\);_(* "-"??_);_(@_)</c:formatCode>
                <c:ptCount val="6"/>
                <c:pt idx="0">
                  <c:v>32119756.559999999</c:v>
                </c:pt>
                <c:pt idx="1">
                  <c:v>46463037.959999993</c:v>
                </c:pt>
                <c:pt idx="2">
                  <c:v>59127700.20000001</c:v>
                </c:pt>
                <c:pt idx="3">
                  <c:v>90834515.409999996</c:v>
                </c:pt>
                <c:pt idx="4">
                  <c:v>129174804.38</c:v>
                </c:pt>
                <c:pt idx="5">
                  <c:v>132276725.08999999</c:v>
                </c:pt>
              </c:numCache>
            </c:numRef>
          </c:val>
          <c:extLst xmlns:c16r2="http://schemas.microsoft.com/office/drawing/2015/06/chart">
            <c:ext xmlns:c16="http://schemas.microsoft.com/office/drawing/2014/chart" uri="{C3380CC4-5D6E-409C-BE32-E72D297353CC}">
              <c16:uniqueId val="{00000001-3ADA-4378-A8C6-45AFCB6DF8CF}"/>
            </c:ext>
          </c:extLst>
        </c:ser>
        <c:dLbls>
          <c:showLegendKey val="0"/>
          <c:showVal val="0"/>
          <c:showCatName val="0"/>
          <c:showSerName val="0"/>
          <c:showPercent val="0"/>
          <c:showBubbleSize val="0"/>
        </c:dLbls>
        <c:gapWidth val="81"/>
        <c:axId val="117596928"/>
        <c:axId val="117598848"/>
      </c:barChart>
      <c:lineChart>
        <c:grouping val="standard"/>
        <c:varyColors val="0"/>
        <c:ser>
          <c:idx val="2"/>
          <c:order val="2"/>
          <c:tx>
            <c:strRef>
              <c:f>'RF SWD Calculs'!$D$75</c:f>
              <c:strCache>
                <c:ptCount val="1"/>
                <c:pt idx="0">
                  <c:v>ABSORPTION RATE</c:v>
                </c:pt>
              </c:strCache>
            </c:strRef>
          </c:tx>
          <c:spPr>
            <a:ln>
              <a:noFill/>
            </a:ln>
          </c:spPr>
          <c:marker>
            <c:symbol val="circle"/>
            <c:size val="8"/>
            <c:spPr>
              <a:solidFill>
                <a:srgbClr val="F9A7EF"/>
              </a:solidFill>
              <a:ln>
                <a:solidFill>
                  <a:srgbClr val="A76799"/>
                </a:solidFill>
              </a:ln>
            </c:spPr>
          </c:marker>
          <c:dLbls>
            <c:dLbl>
              <c:idx val="0"/>
              <c:layout>
                <c:manualLayout>
                  <c:x val="-2.4622071964485601E-2"/>
                  <c:y val="-3.50069914682870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DA-4378-A8C6-45AFCB6DF8CF}"/>
                </c:ext>
              </c:extLst>
            </c:dLbl>
            <c:dLbl>
              <c:idx val="1"/>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ADA-4378-A8C6-45AFCB6DF8CF}"/>
                </c:ext>
              </c:extLst>
            </c:dLbl>
            <c:dLbl>
              <c:idx val="2"/>
              <c:layout>
                <c:manualLayout>
                  <c:x val="4.464717505146947E-4"/>
                  <c:y val="-2.11181056172122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ADA-4378-A8C6-45AFCB6DF8CF}"/>
                </c:ext>
              </c:extLst>
            </c:dLbl>
            <c:dLbl>
              <c:idx val="5"/>
              <c:layout>
                <c:manualLayout>
                  <c:x val="-4.3086559510156705E-3"/>
                  <c:y val="-7.569442788835785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ADA-4378-A8C6-45AFCB6DF8CF}"/>
                </c:ext>
              </c:extLst>
            </c:dLbl>
            <c:spPr>
              <a:noFill/>
              <a:ln>
                <a:noFill/>
              </a:ln>
              <a:effectLst/>
            </c:spPr>
            <c:txPr>
              <a:bodyPr/>
              <a:lstStyle/>
              <a:p>
                <a:pPr>
                  <a:defRPr sz="900" b="0">
                    <a:solidFill>
                      <a:srgbClr val="0070C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'RF SWD Calculs'!$A$76:$A$81</c:f>
              <c:numCache>
                <c:formatCode>General</c:formatCode>
                <c:ptCount val="6"/>
                <c:pt idx="0">
                  <c:v>2008</c:v>
                </c:pt>
                <c:pt idx="1">
                  <c:v>2009</c:v>
                </c:pt>
                <c:pt idx="2">
                  <c:v>2010</c:v>
                </c:pt>
                <c:pt idx="3">
                  <c:v>2011</c:v>
                </c:pt>
                <c:pt idx="4">
                  <c:v>2012</c:v>
                </c:pt>
                <c:pt idx="5">
                  <c:v>2013</c:v>
                </c:pt>
              </c:numCache>
            </c:numRef>
          </c:cat>
          <c:val>
            <c:numRef>
              <c:f>'RF SWD Calculs'!$D$76:$D$81</c:f>
              <c:numCache>
                <c:formatCode>0.0%</c:formatCode>
                <c:ptCount val="6"/>
                <c:pt idx="0">
                  <c:v>0.58315508861128074</c:v>
                </c:pt>
                <c:pt idx="1">
                  <c:v>0.75756495433211157</c:v>
                </c:pt>
                <c:pt idx="2">
                  <c:v>0.72755646405400931</c:v>
                </c:pt>
                <c:pt idx="3">
                  <c:v>0.83334417929665172</c:v>
                </c:pt>
                <c:pt idx="4">
                  <c:v>0.85475470792228092</c:v>
                </c:pt>
                <c:pt idx="5">
                  <c:v>0.75439596717579971</c:v>
                </c:pt>
              </c:numCache>
            </c:numRef>
          </c:val>
          <c:smooth val="0"/>
          <c:extLst xmlns:c16r2="http://schemas.microsoft.com/office/drawing/2015/06/chart">
            <c:ext xmlns:c16="http://schemas.microsoft.com/office/drawing/2014/chart" uri="{C3380CC4-5D6E-409C-BE32-E72D297353CC}">
              <c16:uniqueId val="{00000006-3ADA-4378-A8C6-45AFCB6DF8CF}"/>
            </c:ext>
          </c:extLst>
        </c:ser>
        <c:ser>
          <c:idx val="4"/>
          <c:order val="3"/>
          <c:tx>
            <c:strRef>
              <c:f>'RF SWD Calculs'!$E$75</c:f>
              <c:strCache>
                <c:ptCount val="1"/>
                <c:pt idx="0">
                  <c:v>MEAN ABSORPTION 2008-2010</c:v>
                </c:pt>
              </c:strCache>
            </c:strRef>
          </c:tx>
          <c:spPr>
            <a:ln w="25400" cmpd="sng">
              <a:solidFill>
                <a:srgbClr val="88147A"/>
              </a:solidFill>
              <a:prstDash val="dash"/>
            </a:ln>
          </c:spPr>
          <c:marker>
            <c:symbol val="none"/>
          </c:marker>
          <c:val>
            <c:numRef>
              <c:f>'RF SWD Calculs'!$E$76:$E$82</c:f>
              <c:numCache>
                <c:formatCode>0.0%</c:formatCode>
                <c:ptCount val="7"/>
                <c:pt idx="0">
                  <c:v>0.69663258827392149</c:v>
                </c:pt>
                <c:pt idx="1">
                  <c:v>0.69663258827392149</c:v>
                </c:pt>
                <c:pt idx="2">
                  <c:v>0.69663258827392149</c:v>
                </c:pt>
              </c:numCache>
            </c:numRef>
          </c:val>
          <c:smooth val="0"/>
          <c:extLst xmlns:c16r2="http://schemas.microsoft.com/office/drawing/2015/06/chart">
            <c:ext xmlns:c16="http://schemas.microsoft.com/office/drawing/2014/chart" uri="{C3380CC4-5D6E-409C-BE32-E72D297353CC}">
              <c16:uniqueId val="{00000007-3ADA-4378-A8C6-45AFCB6DF8CF}"/>
            </c:ext>
          </c:extLst>
        </c:ser>
        <c:ser>
          <c:idx val="3"/>
          <c:order val="4"/>
          <c:tx>
            <c:strRef>
              <c:f>'RF SWD Calculs'!$F$75</c:f>
              <c:strCache>
                <c:ptCount val="1"/>
                <c:pt idx="0">
                  <c:v>MEAN ABSORPTION 2011-2013</c:v>
                </c:pt>
              </c:strCache>
            </c:strRef>
          </c:tx>
          <c:spPr>
            <a:ln w="25400">
              <a:solidFill>
                <a:srgbClr val="88147A"/>
              </a:solidFill>
            </a:ln>
          </c:spPr>
          <c:marker>
            <c:symbol val="none"/>
          </c:marker>
          <c:cat>
            <c:numRef>
              <c:f>'RF SWD Calculs'!$A$76:$A$81</c:f>
              <c:numCache>
                <c:formatCode>General</c:formatCode>
                <c:ptCount val="6"/>
                <c:pt idx="0">
                  <c:v>2008</c:v>
                </c:pt>
                <c:pt idx="1">
                  <c:v>2009</c:v>
                </c:pt>
                <c:pt idx="2">
                  <c:v>2010</c:v>
                </c:pt>
                <c:pt idx="3">
                  <c:v>2011</c:v>
                </c:pt>
                <c:pt idx="4">
                  <c:v>2012</c:v>
                </c:pt>
                <c:pt idx="5">
                  <c:v>2013</c:v>
                </c:pt>
              </c:numCache>
            </c:numRef>
          </c:cat>
          <c:val>
            <c:numRef>
              <c:f>'RF SWD Calculs'!$F$76:$F$81</c:f>
              <c:numCache>
                <c:formatCode>General</c:formatCode>
                <c:ptCount val="6"/>
                <c:pt idx="3" formatCode="0.0%">
                  <c:v>0.80898589293497869</c:v>
                </c:pt>
                <c:pt idx="4" formatCode="0.0%">
                  <c:v>0.80898589293497869</c:v>
                </c:pt>
                <c:pt idx="5" formatCode="0.0%">
                  <c:v>0.80898589293497869</c:v>
                </c:pt>
              </c:numCache>
            </c:numRef>
          </c:val>
          <c:smooth val="0"/>
          <c:extLst xmlns:c16r2="http://schemas.microsoft.com/office/drawing/2015/06/chart">
            <c:ext xmlns:c16="http://schemas.microsoft.com/office/drawing/2014/chart" uri="{C3380CC4-5D6E-409C-BE32-E72D297353CC}">
              <c16:uniqueId val="{00000008-3ADA-4378-A8C6-45AFCB6DF8CF}"/>
            </c:ext>
          </c:extLst>
        </c:ser>
        <c:dLbls>
          <c:showLegendKey val="0"/>
          <c:showVal val="0"/>
          <c:showCatName val="0"/>
          <c:showSerName val="0"/>
          <c:showPercent val="0"/>
          <c:showBubbleSize val="0"/>
        </c:dLbls>
        <c:marker val="1"/>
        <c:smooth val="0"/>
        <c:axId val="122779520"/>
        <c:axId val="122367360"/>
      </c:lineChart>
      <c:catAx>
        <c:axId val="117596928"/>
        <c:scaling>
          <c:orientation val="minMax"/>
        </c:scaling>
        <c:delete val="0"/>
        <c:axPos val="b"/>
        <c:numFmt formatCode="General" sourceLinked="1"/>
        <c:majorTickMark val="out"/>
        <c:minorTickMark val="none"/>
        <c:tickLblPos val="low"/>
        <c:txPr>
          <a:bodyPr/>
          <a:lstStyle/>
          <a:p>
            <a:pPr>
              <a:defRPr sz="900" b="0">
                <a:solidFill>
                  <a:schemeClr val="tx2"/>
                </a:solidFill>
                <a:latin typeface="Times New Roman" panose="02020603050405020304" pitchFamily="18" charset="0"/>
                <a:cs typeface="Times New Roman" panose="02020603050405020304" pitchFamily="18" charset="0"/>
              </a:defRPr>
            </a:pPr>
            <a:endParaRPr lang="en-US"/>
          </a:p>
        </c:txPr>
        <c:crossAx val="117598848"/>
        <c:crosses val="autoZero"/>
        <c:auto val="1"/>
        <c:lblAlgn val="ctr"/>
        <c:lblOffset val="100"/>
        <c:noMultiLvlLbl val="0"/>
      </c:catAx>
      <c:valAx>
        <c:axId val="117598848"/>
        <c:scaling>
          <c:orientation val="minMax"/>
        </c:scaling>
        <c:delete val="0"/>
        <c:axPos val="l"/>
        <c:majorGridlines>
          <c:spPr>
            <a:ln>
              <a:solidFill>
                <a:schemeClr val="tx2">
                  <a:lumMod val="75000"/>
                  <a:alpha val="16000"/>
                </a:schemeClr>
              </a:solidFill>
            </a:ln>
          </c:spPr>
        </c:majorGridlines>
        <c:title>
          <c:tx>
            <c:rich>
              <a:bodyPr/>
              <a:lstStyle/>
              <a:p>
                <a:pPr>
                  <a:defRPr sz="900" b="0">
                    <a:solidFill>
                      <a:schemeClr val="accent1">
                        <a:lumMod val="75000"/>
                      </a:schemeClr>
                    </a:solidFill>
                    <a:latin typeface="Times New Roman" panose="02020603050405020304" pitchFamily="18" charset="0"/>
                    <a:cs typeface="Times New Roman" panose="02020603050405020304" pitchFamily="18" charset="0"/>
                  </a:defRPr>
                </a:pPr>
                <a:r>
                  <a:rPr lang="en-GB" sz="800" b="0">
                    <a:solidFill>
                      <a:schemeClr val="accent1">
                        <a:lumMod val="75000"/>
                      </a:schemeClr>
                    </a:solidFill>
                    <a:latin typeface="Times New Roman" panose="02020603050405020304" pitchFamily="18" charset="0"/>
                    <a:cs typeface="Times New Roman" panose="02020603050405020304" pitchFamily="18" charset="0"/>
                  </a:rPr>
                  <a:t>Programmed &amp; Final</a:t>
                </a:r>
              </a:p>
              <a:p>
                <a:pPr>
                  <a:defRPr sz="900" b="0">
                    <a:solidFill>
                      <a:schemeClr val="accent1">
                        <a:lumMod val="75000"/>
                      </a:schemeClr>
                    </a:solidFill>
                    <a:latin typeface="Times New Roman" panose="02020603050405020304" pitchFamily="18" charset="0"/>
                    <a:cs typeface="Times New Roman" panose="02020603050405020304" pitchFamily="18" charset="0"/>
                  </a:defRPr>
                </a:pPr>
                <a:r>
                  <a:rPr lang="en-GB" sz="800" b="0">
                    <a:solidFill>
                      <a:schemeClr val="accent1">
                        <a:lumMod val="75000"/>
                      </a:schemeClr>
                    </a:solidFill>
                    <a:latin typeface="Times New Roman" panose="02020603050405020304" pitchFamily="18" charset="0"/>
                    <a:cs typeface="Times New Roman" panose="02020603050405020304" pitchFamily="18" charset="0"/>
                  </a:rPr>
                  <a:t> EU</a:t>
                </a:r>
                <a:r>
                  <a:rPr lang="en-GB" sz="800" b="0" baseline="0">
                    <a:solidFill>
                      <a:schemeClr val="accent1">
                        <a:lumMod val="75000"/>
                      </a:schemeClr>
                    </a:solidFill>
                    <a:latin typeface="Times New Roman" panose="02020603050405020304" pitchFamily="18" charset="0"/>
                    <a:cs typeface="Times New Roman" panose="02020603050405020304" pitchFamily="18" charset="0"/>
                  </a:rPr>
                  <a:t> Contributions in Millions €</a:t>
                </a:r>
                <a:endParaRPr lang="en-GB" sz="800" b="0">
                  <a:solidFill>
                    <a:schemeClr val="accent1">
                      <a:lumMod val="75000"/>
                    </a:schemeClr>
                  </a:solidFill>
                  <a:latin typeface="Times New Roman" panose="02020603050405020304" pitchFamily="18" charset="0"/>
                  <a:cs typeface="Times New Roman" panose="02020603050405020304" pitchFamily="18" charset="0"/>
                </a:endParaRPr>
              </a:p>
            </c:rich>
          </c:tx>
          <c:layout>
            <c:manualLayout>
              <c:xMode val="edge"/>
              <c:yMode val="edge"/>
              <c:x val="1.1909768562699244E-2"/>
              <c:y val="9.1731811966617949E-2"/>
            </c:manualLayout>
          </c:layout>
          <c:overlay val="0"/>
        </c:title>
        <c:numFmt formatCode="0" sourceLinked="0"/>
        <c:majorTickMark val="out"/>
        <c:minorTickMark val="none"/>
        <c:tickLblPos val="nextTo"/>
        <c:txPr>
          <a:bodyPr/>
          <a:lstStyle/>
          <a:p>
            <a:pPr>
              <a:defRPr b="0">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17596928"/>
        <c:crosses val="autoZero"/>
        <c:crossBetween val="between"/>
        <c:dispUnits>
          <c:builtInUnit val="millions"/>
        </c:dispUnits>
      </c:valAx>
      <c:valAx>
        <c:axId val="122367360"/>
        <c:scaling>
          <c:orientation val="minMax"/>
          <c:max val="1"/>
        </c:scaling>
        <c:delete val="0"/>
        <c:axPos val="r"/>
        <c:title>
          <c:tx>
            <c:rich>
              <a:bodyPr rot="-5400000" vert="horz"/>
              <a:lstStyle/>
              <a:p>
                <a:pPr>
                  <a:defRPr sz="900" b="0">
                    <a:solidFill>
                      <a:srgbClr val="88147A"/>
                    </a:solidFill>
                    <a:latin typeface="Times New Roman" panose="02020603050405020304" pitchFamily="18" charset="0"/>
                    <a:cs typeface="Times New Roman" panose="02020603050405020304" pitchFamily="18" charset="0"/>
                  </a:defRPr>
                </a:pPr>
                <a:r>
                  <a:rPr lang="en-US" sz="800" b="0">
                    <a:solidFill>
                      <a:srgbClr val="88147A"/>
                    </a:solidFill>
                    <a:latin typeface="Times New Roman" panose="02020603050405020304" pitchFamily="18" charset="0"/>
                    <a:cs typeface="Times New Roman" panose="02020603050405020304" pitchFamily="18" charset="0"/>
                  </a:rPr>
                  <a:t>Absborption Rate</a:t>
                </a:r>
              </a:p>
            </c:rich>
          </c:tx>
          <c:layout>
            <c:manualLayout>
              <c:xMode val="edge"/>
              <c:yMode val="edge"/>
              <c:x val="0.96914095905867159"/>
              <c:y val="0.31480157794646929"/>
            </c:manualLayout>
          </c:layout>
          <c:overlay val="0"/>
        </c:title>
        <c:numFmt formatCode="0%" sourceLinked="0"/>
        <c:majorTickMark val="out"/>
        <c:minorTickMark val="none"/>
        <c:tickLblPos val="nextTo"/>
        <c:spPr>
          <a:ln>
            <a:solidFill>
              <a:srgbClr val="A76799"/>
            </a:solidFill>
          </a:ln>
        </c:spPr>
        <c:txPr>
          <a:bodyPr/>
          <a:lstStyle/>
          <a:p>
            <a:pPr>
              <a:defRPr sz="900" b="0">
                <a:solidFill>
                  <a:srgbClr val="9C348D"/>
                </a:solidFill>
                <a:latin typeface="Times New Roman" panose="02020603050405020304" pitchFamily="18" charset="0"/>
                <a:cs typeface="Times New Roman" panose="02020603050405020304" pitchFamily="18" charset="0"/>
              </a:defRPr>
            </a:pPr>
            <a:endParaRPr lang="en-US"/>
          </a:p>
        </c:txPr>
        <c:crossAx val="122779520"/>
        <c:crosses val="max"/>
        <c:crossBetween val="between"/>
      </c:valAx>
      <c:catAx>
        <c:axId val="122779520"/>
        <c:scaling>
          <c:orientation val="minMax"/>
        </c:scaling>
        <c:delete val="1"/>
        <c:axPos val="b"/>
        <c:numFmt formatCode="General" sourceLinked="1"/>
        <c:majorTickMark val="out"/>
        <c:minorTickMark val="none"/>
        <c:tickLblPos val="nextTo"/>
        <c:crossAx val="122367360"/>
        <c:crosses val="autoZero"/>
        <c:auto val="1"/>
        <c:lblAlgn val="ctr"/>
        <c:lblOffset val="100"/>
        <c:noMultiLvlLbl val="0"/>
      </c:catAx>
    </c:plotArea>
    <c:legend>
      <c:legendPos val="r"/>
      <c:layout>
        <c:manualLayout>
          <c:xMode val="edge"/>
          <c:yMode val="edge"/>
          <c:x val="0"/>
          <c:y val="0.86699388875648109"/>
          <c:w val="0.96061092731898834"/>
          <c:h val="0.12821248906386704"/>
        </c:manualLayout>
      </c:layout>
      <c:overlay val="0"/>
      <c:txPr>
        <a:bodyPr/>
        <a:lstStyle/>
        <a:p>
          <a:pPr>
            <a:defRPr sz="90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50125466956281"/>
          <c:y val="8.183145213488649E-2"/>
          <c:w val="0.78876299082297374"/>
          <c:h val="0.68215333241330511"/>
        </c:manualLayout>
      </c:layout>
      <c:barChart>
        <c:barDir val="col"/>
        <c:grouping val="clustered"/>
        <c:varyColors val="0"/>
        <c:ser>
          <c:idx val="0"/>
          <c:order val="0"/>
          <c:tx>
            <c:strRef>
              <c:f>'RF SWD Calculs'!$B$86</c:f>
              <c:strCache>
                <c:ptCount val="1"/>
                <c:pt idx="0">
                  <c:v>RF Programmed EU Contribution 2011-2013</c:v>
                </c:pt>
              </c:strCache>
            </c:strRef>
          </c:tx>
          <c:spPr>
            <a:solidFill>
              <a:srgbClr val="61D3FB">
                <a:alpha val="40000"/>
              </a:srgbClr>
            </a:solidFill>
            <a:ln>
              <a:solidFill>
                <a:srgbClr val="34AFFA"/>
              </a:solidFill>
            </a:ln>
          </c:spPr>
          <c:invertIfNegative val="0"/>
          <c:cat>
            <c:strRef>
              <c:f>'RF SWD Calculs'!$A$87:$A$113</c:f>
              <c:strCache>
                <c:ptCount val="27"/>
                <c:pt idx="0">
                  <c:v>HR</c:v>
                </c:pt>
                <c:pt idx="1">
                  <c:v>CZ</c:v>
                </c:pt>
                <c:pt idx="2">
                  <c:v>SI</c:v>
                </c:pt>
                <c:pt idx="3">
                  <c:v>SE</c:v>
                </c:pt>
                <c:pt idx="4">
                  <c:v>MT</c:v>
                </c:pt>
                <c:pt idx="5">
                  <c:v>RO</c:v>
                </c:pt>
                <c:pt idx="6">
                  <c:v>PT</c:v>
                </c:pt>
                <c:pt idx="7">
                  <c:v>EE</c:v>
                </c:pt>
                <c:pt idx="8">
                  <c:v>GR</c:v>
                </c:pt>
                <c:pt idx="9">
                  <c:v>BG</c:v>
                </c:pt>
                <c:pt idx="10">
                  <c:v>NL</c:v>
                </c:pt>
                <c:pt idx="11">
                  <c:v>CY</c:v>
                </c:pt>
                <c:pt idx="12">
                  <c:v>SK</c:v>
                </c:pt>
                <c:pt idx="13">
                  <c:v>IE</c:v>
                </c:pt>
                <c:pt idx="14">
                  <c:v>DE</c:v>
                </c:pt>
                <c:pt idx="15">
                  <c:v>UK</c:v>
                </c:pt>
                <c:pt idx="16">
                  <c:v>FI</c:v>
                </c:pt>
                <c:pt idx="17">
                  <c:v>HU</c:v>
                </c:pt>
                <c:pt idx="18">
                  <c:v>PL</c:v>
                </c:pt>
                <c:pt idx="19">
                  <c:v>IT</c:v>
                </c:pt>
                <c:pt idx="20">
                  <c:v>LT</c:v>
                </c:pt>
                <c:pt idx="21">
                  <c:v>BE</c:v>
                </c:pt>
                <c:pt idx="22">
                  <c:v>AT</c:v>
                </c:pt>
                <c:pt idx="23">
                  <c:v>ES</c:v>
                </c:pt>
                <c:pt idx="24">
                  <c:v>LU</c:v>
                </c:pt>
                <c:pt idx="25">
                  <c:v>LV</c:v>
                </c:pt>
                <c:pt idx="26">
                  <c:v>FR</c:v>
                </c:pt>
              </c:strCache>
            </c:strRef>
          </c:cat>
          <c:val>
            <c:numRef>
              <c:f>'RF SWD Calculs'!$B$87:$B$113</c:f>
              <c:numCache>
                <c:formatCode>_(* #,##0.00_);_(* \(#,##0.00\);_(* "-"??_);_(@_)</c:formatCode>
                <c:ptCount val="27"/>
                <c:pt idx="0">
                  <c:v>1804941</c:v>
                </c:pt>
                <c:pt idx="1">
                  <c:v>3483028.73</c:v>
                </c:pt>
                <c:pt idx="2">
                  <c:v>3609902</c:v>
                </c:pt>
                <c:pt idx="3">
                  <c:v>14913709.609999999</c:v>
                </c:pt>
                <c:pt idx="4">
                  <c:v>2427032.5099999998</c:v>
                </c:pt>
                <c:pt idx="5">
                  <c:v>6440748.5499999998</c:v>
                </c:pt>
                <c:pt idx="6">
                  <c:v>5126736.09</c:v>
                </c:pt>
                <c:pt idx="7">
                  <c:v>1692519.72</c:v>
                </c:pt>
                <c:pt idx="8">
                  <c:v>97877292.680000007</c:v>
                </c:pt>
                <c:pt idx="9">
                  <c:v>2304549.09</c:v>
                </c:pt>
                <c:pt idx="10">
                  <c:v>21181319.420000002</c:v>
                </c:pt>
                <c:pt idx="11">
                  <c:v>6722702.0300000003</c:v>
                </c:pt>
                <c:pt idx="12">
                  <c:v>2916155.21</c:v>
                </c:pt>
                <c:pt idx="13">
                  <c:v>2346387.12</c:v>
                </c:pt>
                <c:pt idx="14">
                  <c:v>16756454.390000001</c:v>
                </c:pt>
                <c:pt idx="15">
                  <c:v>69153684.099999994</c:v>
                </c:pt>
                <c:pt idx="16">
                  <c:v>3103316</c:v>
                </c:pt>
                <c:pt idx="17">
                  <c:v>4405386.7699999996</c:v>
                </c:pt>
                <c:pt idx="18">
                  <c:v>11811042.43</c:v>
                </c:pt>
                <c:pt idx="19">
                  <c:v>25143346.289999999</c:v>
                </c:pt>
                <c:pt idx="20">
                  <c:v>2759444.48</c:v>
                </c:pt>
                <c:pt idx="21">
                  <c:v>16369436</c:v>
                </c:pt>
                <c:pt idx="22">
                  <c:v>9241071.2599999998</c:v>
                </c:pt>
                <c:pt idx="23">
                  <c:v>53946570.880000003</c:v>
                </c:pt>
                <c:pt idx="24">
                  <c:v>1089253.06</c:v>
                </c:pt>
                <c:pt idx="25">
                  <c:v>1941972.17</c:v>
                </c:pt>
                <c:pt idx="26">
                  <c:v>46898238.25</c:v>
                </c:pt>
              </c:numCache>
            </c:numRef>
          </c:val>
          <c:extLst xmlns:c16r2="http://schemas.microsoft.com/office/drawing/2015/06/chart">
            <c:ext xmlns:c16="http://schemas.microsoft.com/office/drawing/2014/chart" uri="{C3380CC4-5D6E-409C-BE32-E72D297353CC}">
              <c16:uniqueId val="{00000000-ECA6-4E94-8AB0-3E724FA9BDBA}"/>
            </c:ext>
          </c:extLst>
        </c:ser>
        <c:ser>
          <c:idx val="1"/>
          <c:order val="1"/>
          <c:tx>
            <c:strRef>
              <c:f>'RF SWD Calculs'!$C$86</c:f>
              <c:strCache>
                <c:ptCount val="1"/>
                <c:pt idx="0">
                  <c:v>RF Final EU Contribution 2011-2013</c:v>
                </c:pt>
              </c:strCache>
            </c:strRef>
          </c:tx>
          <c:spPr>
            <a:solidFill>
              <a:srgbClr val="2107BF"/>
            </a:solidFill>
          </c:spPr>
          <c:invertIfNegative val="0"/>
          <c:cat>
            <c:strRef>
              <c:f>'RF SWD Calculs'!$A$87:$A$113</c:f>
              <c:strCache>
                <c:ptCount val="27"/>
                <c:pt idx="0">
                  <c:v>HR</c:v>
                </c:pt>
                <c:pt idx="1">
                  <c:v>CZ</c:v>
                </c:pt>
                <c:pt idx="2">
                  <c:v>SI</c:v>
                </c:pt>
                <c:pt idx="3">
                  <c:v>SE</c:v>
                </c:pt>
                <c:pt idx="4">
                  <c:v>MT</c:v>
                </c:pt>
                <c:pt idx="5">
                  <c:v>RO</c:v>
                </c:pt>
                <c:pt idx="6">
                  <c:v>PT</c:v>
                </c:pt>
                <c:pt idx="7">
                  <c:v>EE</c:v>
                </c:pt>
                <c:pt idx="8">
                  <c:v>GR</c:v>
                </c:pt>
                <c:pt idx="9">
                  <c:v>BG</c:v>
                </c:pt>
                <c:pt idx="10">
                  <c:v>NL</c:v>
                </c:pt>
                <c:pt idx="11">
                  <c:v>CY</c:v>
                </c:pt>
                <c:pt idx="12">
                  <c:v>SK</c:v>
                </c:pt>
                <c:pt idx="13">
                  <c:v>IE</c:v>
                </c:pt>
                <c:pt idx="14">
                  <c:v>DE</c:v>
                </c:pt>
                <c:pt idx="15">
                  <c:v>UK</c:v>
                </c:pt>
                <c:pt idx="16">
                  <c:v>FI</c:v>
                </c:pt>
                <c:pt idx="17">
                  <c:v>HU</c:v>
                </c:pt>
                <c:pt idx="18">
                  <c:v>PL</c:v>
                </c:pt>
                <c:pt idx="19">
                  <c:v>IT</c:v>
                </c:pt>
                <c:pt idx="20">
                  <c:v>LT</c:v>
                </c:pt>
                <c:pt idx="21">
                  <c:v>BE</c:v>
                </c:pt>
                <c:pt idx="22">
                  <c:v>AT</c:v>
                </c:pt>
                <c:pt idx="23">
                  <c:v>ES</c:v>
                </c:pt>
                <c:pt idx="24">
                  <c:v>LU</c:v>
                </c:pt>
                <c:pt idx="25">
                  <c:v>LV</c:v>
                </c:pt>
                <c:pt idx="26">
                  <c:v>FR</c:v>
                </c:pt>
              </c:strCache>
            </c:strRef>
          </c:cat>
          <c:val>
            <c:numRef>
              <c:f>'RF SWD Calculs'!$C$87:$C$113</c:f>
              <c:numCache>
                <c:formatCode>_(* #,##0.00_);_(* \(#,##0.00\);_(* "-"??_);_(@_)</c:formatCode>
                <c:ptCount val="27"/>
                <c:pt idx="0">
                  <c:v>311125.56</c:v>
                </c:pt>
                <c:pt idx="1">
                  <c:v>982459.15999999992</c:v>
                </c:pt>
                <c:pt idx="2">
                  <c:v>1222319.6299999999</c:v>
                </c:pt>
                <c:pt idx="3">
                  <c:v>7512513.9299999997</c:v>
                </c:pt>
                <c:pt idx="4">
                  <c:v>1248321.6200000001</c:v>
                </c:pt>
                <c:pt idx="5">
                  <c:v>3415431.79</c:v>
                </c:pt>
                <c:pt idx="6">
                  <c:v>2864890.57</c:v>
                </c:pt>
                <c:pt idx="7">
                  <c:v>1039551.9099999999</c:v>
                </c:pt>
                <c:pt idx="8">
                  <c:v>67128333.180000007</c:v>
                </c:pt>
                <c:pt idx="9">
                  <c:v>1670679.55</c:v>
                </c:pt>
                <c:pt idx="10">
                  <c:v>15659662.93</c:v>
                </c:pt>
                <c:pt idx="11">
                  <c:v>5076144.17</c:v>
                </c:pt>
                <c:pt idx="12">
                  <c:v>2332531.71</c:v>
                </c:pt>
                <c:pt idx="13">
                  <c:v>1982222.4100000001</c:v>
                </c:pt>
                <c:pt idx="14">
                  <c:v>14407792.07</c:v>
                </c:pt>
                <c:pt idx="15">
                  <c:v>59975265.009999998</c:v>
                </c:pt>
                <c:pt idx="16">
                  <c:v>2725332.9899999998</c:v>
                </c:pt>
                <c:pt idx="17">
                  <c:v>3869317.02</c:v>
                </c:pt>
                <c:pt idx="18">
                  <c:v>10455308.969999999</c:v>
                </c:pt>
                <c:pt idx="19">
                  <c:v>22603573.48</c:v>
                </c:pt>
                <c:pt idx="20">
                  <c:v>2486895.9499999997</c:v>
                </c:pt>
                <c:pt idx="21">
                  <c:v>15081805.15</c:v>
                </c:pt>
                <c:pt idx="22">
                  <c:v>8562154.6799999997</c:v>
                </c:pt>
                <c:pt idx="23">
                  <c:v>50044617.380000003</c:v>
                </c:pt>
                <c:pt idx="24">
                  <c:v>1032877.1699999999</c:v>
                </c:pt>
                <c:pt idx="25">
                  <c:v>1869641.55</c:v>
                </c:pt>
                <c:pt idx="26">
                  <c:v>46725275.340000004</c:v>
                </c:pt>
              </c:numCache>
            </c:numRef>
          </c:val>
          <c:extLst xmlns:c16r2="http://schemas.microsoft.com/office/drawing/2015/06/chart">
            <c:ext xmlns:c16="http://schemas.microsoft.com/office/drawing/2014/chart" uri="{C3380CC4-5D6E-409C-BE32-E72D297353CC}">
              <c16:uniqueId val="{00000001-ECA6-4E94-8AB0-3E724FA9BDBA}"/>
            </c:ext>
          </c:extLst>
        </c:ser>
        <c:dLbls>
          <c:showLegendKey val="0"/>
          <c:showVal val="0"/>
          <c:showCatName val="0"/>
          <c:showSerName val="0"/>
          <c:showPercent val="0"/>
          <c:showBubbleSize val="0"/>
        </c:dLbls>
        <c:gapWidth val="81"/>
        <c:axId val="178640768"/>
        <c:axId val="179045120"/>
      </c:barChart>
      <c:lineChart>
        <c:grouping val="standard"/>
        <c:varyColors val="0"/>
        <c:ser>
          <c:idx val="2"/>
          <c:order val="2"/>
          <c:tx>
            <c:strRef>
              <c:f>'RF SWD Calculs'!$D$86</c:f>
              <c:strCache>
                <c:ptCount val="1"/>
                <c:pt idx="0">
                  <c:v>RF Absorption Rate (2011-2013)</c:v>
                </c:pt>
              </c:strCache>
            </c:strRef>
          </c:tx>
          <c:spPr>
            <a:ln>
              <a:noFill/>
            </a:ln>
          </c:spPr>
          <c:marker>
            <c:symbol val="circle"/>
            <c:size val="8"/>
            <c:spPr>
              <a:solidFill>
                <a:srgbClr val="F9A7EF"/>
              </a:solidFill>
              <a:ln>
                <a:solidFill>
                  <a:srgbClr val="A76799"/>
                </a:solidFill>
              </a:ln>
            </c:spPr>
          </c:marker>
          <c:cat>
            <c:strRef>
              <c:f>'RF SWD Calculs'!$A$87:$A$113</c:f>
              <c:strCache>
                <c:ptCount val="27"/>
                <c:pt idx="0">
                  <c:v>HR</c:v>
                </c:pt>
                <c:pt idx="1">
                  <c:v>CZ</c:v>
                </c:pt>
                <c:pt idx="2">
                  <c:v>SI</c:v>
                </c:pt>
                <c:pt idx="3">
                  <c:v>SE</c:v>
                </c:pt>
                <c:pt idx="4">
                  <c:v>MT</c:v>
                </c:pt>
                <c:pt idx="5">
                  <c:v>RO</c:v>
                </c:pt>
                <c:pt idx="6">
                  <c:v>PT</c:v>
                </c:pt>
                <c:pt idx="7">
                  <c:v>EE</c:v>
                </c:pt>
                <c:pt idx="8">
                  <c:v>GR</c:v>
                </c:pt>
                <c:pt idx="9">
                  <c:v>BG</c:v>
                </c:pt>
                <c:pt idx="10">
                  <c:v>NL</c:v>
                </c:pt>
                <c:pt idx="11">
                  <c:v>CY</c:v>
                </c:pt>
                <c:pt idx="12">
                  <c:v>SK</c:v>
                </c:pt>
                <c:pt idx="13">
                  <c:v>IE</c:v>
                </c:pt>
                <c:pt idx="14">
                  <c:v>DE</c:v>
                </c:pt>
                <c:pt idx="15">
                  <c:v>UK</c:v>
                </c:pt>
                <c:pt idx="16">
                  <c:v>FI</c:v>
                </c:pt>
                <c:pt idx="17">
                  <c:v>HU</c:v>
                </c:pt>
                <c:pt idx="18">
                  <c:v>PL</c:v>
                </c:pt>
                <c:pt idx="19">
                  <c:v>IT</c:v>
                </c:pt>
                <c:pt idx="20">
                  <c:v>LT</c:v>
                </c:pt>
                <c:pt idx="21">
                  <c:v>BE</c:v>
                </c:pt>
                <c:pt idx="22">
                  <c:v>AT</c:v>
                </c:pt>
                <c:pt idx="23">
                  <c:v>ES</c:v>
                </c:pt>
                <c:pt idx="24">
                  <c:v>LU</c:v>
                </c:pt>
                <c:pt idx="25">
                  <c:v>LV</c:v>
                </c:pt>
                <c:pt idx="26">
                  <c:v>FR</c:v>
                </c:pt>
              </c:strCache>
            </c:strRef>
          </c:cat>
          <c:val>
            <c:numRef>
              <c:f>'RF SWD Calculs'!$D$87:$D$113</c:f>
              <c:numCache>
                <c:formatCode>0.0%</c:formatCode>
                <c:ptCount val="27"/>
                <c:pt idx="0">
                  <c:v>0.17237436569948825</c:v>
                </c:pt>
                <c:pt idx="1">
                  <c:v>0.28207035777163975</c:v>
                </c:pt>
                <c:pt idx="2">
                  <c:v>0.33860188725344897</c:v>
                </c:pt>
                <c:pt idx="3">
                  <c:v>0.50373207783009799</c:v>
                </c:pt>
                <c:pt idx="4">
                  <c:v>0.51434070819265632</c:v>
                </c:pt>
                <c:pt idx="5">
                  <c:v>0.53028491385523813</c:v>
                </c:pt>
                <c:pt idx="6">
                  <c:v>0.5588137403031409</c:v>
                </c:pt>
                <c:pt idx="7">
                  <c:v>0.61420372106506382</c:v>
                </c:pt>
                <c:pt idx="8">
                  <c:v>0.68584174471876092</c:v>
                </c:pt>
                <c:pt idx="9">
                  <c:v>0.72494856249731709</c:v>
                </c:pt>
                <c:pt idx="10">
                  <c:v>0.7393147999653743</c:v>
                </c:pt>
                <c:pt idx="11">
                  <c:v>0.75507499028630898</c:v>
                </c:pt>
                <c:pt idx="12">
                  <c:v>0.79986541937183109</c:v>
                </c:pt>
                <c:pt idx="13">
                  <c:v>0.84479768624028251</c:v>
                </c:pt>
                <c:pt idx="14">
                  <c:v>0.85983536461020971</c:v>
                </c:pt>
                <c:pt idx="15">
                  <c:v>0.86727505252319603</c:v>
                </c:pt>
                <c:pt idx="16">
                  <c:v>0.87820028318095866</c:v>
                </c:pt>
                <c:pt idx="17">
                  <c:v>0.87831494077874128</c:v>
                </c:pt>
                <c:pt idx="18">
                  <c:v>0.88521474983813087</c:v>
                </c:pt>
                <c:pt idx="19">
                  <c:v>0.8989882738476177</c:v>
                </c:pt>
                <c:pt idx="20">
                  <c:v>0.90123065277254633</c:v>
                </c:pt>
                <c:pt idx="21">
                  <c:v>0.92133932714602995</c:v>
                </c:pt>
                <c:pt idx="22">
                  <c:v>0.92653269724921483</c:v>
                </c:pt>
                <c:pt idx="23">
                  <c:v>0.92767003655005997</c:v>
                </c:pt>
                <c:pt idx="24">
                  <c:v>0.94824353305007003</c:v>
                </c:pt>
                <c:pt idx="25">
                  <c:v>0.96275403884907373</c:v>
                </c:pt>
                <c:pt idx="26">
                  <c:v>0.99631195293354124</c:v>
                </c:pt>
              </c:numCache>
            </c:numRef>
          </c:val>
          <c:smooth val="0"/>
          <c:extLst xmlns:c16r2="http://schemas.microsoft.com/office/drawing/2015/06/chart">
            <c:ext xmlns:c16="http://schemas.microsoft.com/office/drawing/2014/chart" uri="{C3380CC4-5D6E-409C-BE32-E72D297353CC}">
              <c16:uniqueId val="{00000002-ECA6-4E94-8AB0-3E724FA9BDBA}"/>
            </c:ext>
          </c:extLst>
        </c:ser>
        <c:dLbls>
          <c:showLegendKey val="0"/>
          <c:showVal val="0"/>
          <c:showCatName val="0"/>
          <c:showSerName val="0"/>
          <c:showPercent val="0"/>
          <c:showBubbleSize val="0"/>
        </c:dLbls>
        <c:marker val="1"/>
        <c:smooth val="0"/>
        <c:axId val="53063680"/>
        <c:axId val="179047040"/>
      </c:lineChart>
      <c:catAx>
        <c:axId val="178640768"/>
        <c:scaling>
          <c:orientation val="minMax"/>
        </c:scaling>
        <c:delete val="0"/>
        <c:axPos val="b"/>
        <c:numFmt formatCode="General" sourceLinked="1"/>
        <c:majorTickMark val="out"/>
        <c:minorTickMark val="none"/>
        <c:tickLblPos val="nextTo"/>
        <c:txPr>
          <a:bodyPr rot="-1380000"/>
          <a:lstStyle/>
          <a:p>
            <a:pPr>
              <a:defRPr sz="800" b="0">
                <a:solidFill>
                  <a:schemeClr val="tx2"/>
                </a:solidFill>
                <a:latin typeface="Times New Roman" panose="02020603050405020304" pitchFamily="18" charset="0"/>
                <a:cs typeface="Times New Roman" panose="02020603050405020304" pitchFamily="18" charset="0"/>
              </a:defRPr>
            </a:pPr>
            <a:endParaRPr lang="en-US"/>
          </a:p>
        </c:txPr>
        <c:crossAx val="179045120"/>
        <c:crosses val="autoZero"/>
        <c:auto val="1"/>
        <c:lblAlgn val="ctr"/>
        <c:lblOffset val="100"/>
        <c:noMultiLvlLbl val="0"/>
      </c:catAx>
      <c:valAx>
        <c:axId val="179045120"/>
        <c:scaling>
          <c:orientation val="minMax"/>
          <c:max val="100000000"/>
          <c:min val="0"/>
        </c:scaling>
        <c:delete val="0"/>
        <c:axPos val="l"/>
        <c:majorGridlines>
          <c:spPr>
            <a:ln>
              <a:solidFill>
                <a:schemeClr val="tx2">
                  <a:lumMod val="75000"/>
                  <a:alpha val="16000"/>
                </a:schemeClr>
              </a:solidFill>
            </a:ln>
          </c:spPr>
        </c:majorGridlines>
        <c:numFmt formatCode="#,##0" sourceLinked="0"/>
        <c:majorTickMark val="out"/>
        <c:minorTickMark val="none"/>
        <c:tickLblPos val="nextTo"/>
        <c:txPr>
          <a:bodyPr/>
          <a:lstStyle/>
          <a:p>
            <a:pPr>
              <a:defRPr sz="900" b="0">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78640768"/>
        <c:crosses val="autoZero"/>
        <c:crossBetween val="between"/>
        <c:majorUnit val="20000000"/>
        <c:minorUnit val="4000000"/>
        <c:dispUnits>
          <c:builtInUnit val="millions"/>
          <c:dispUnitsLbl>
            <c:layout>
              <c:manualLayout>
                <c:xMode val="edge"/>
                <c:yMode val="edge"/>
                <c:x val="5.4941803872997092E-3"/>
                <c:y val="0.13838876022850086"/>
              </c:manualLayout>
            </c:layout>
            <c:tx>
              <c:rich>
                <a:bodyPr/>
                <a:lstStyle/>
                <a:p>
                  <a:pPr>
                    <a:defRPr sz="1100" b="0">
                      <a:latin typeface="Times New Roman" panose="02020603050405020304" pitchFamily="18" charset="0"/>
                      <a:cs typeface="Times New Roman" panose="02020603050405020304" pitchFamily="18" charset="0"/>
                    </a:defRPr>
                  </a:pPr>
                  <a:r>
                    <a:rPr lang="en-GB" sz="900" b="0">
                      <a:solidFill>
                        <a:schemeClr val="accent1">
                          <a:lumMod val="75000"/>
                        </a:schemeClr>
                      </a:solidFill>
                      <a:latin typeface="Times New Roman" panose="02020603050405020304" pitchFamily="18" charset="0"/>
                      <a:cs typeface="Times New Roman" panose="02020603050405020304" pitchFamily="18" charset="0"/>
                    </a:rPr>
                    <a:t>Programmed</a:t>
                  </a:r>
                  <a:r>
                    <a:rPr lang="en-GB" sz="900" b="0" baseline="0">
                      <a:solidFill>
                        <a:schemeClr val="accent1">
                          <a:lumMod val="75000"/>
                        </a:schemeClr>
                      </a:solidFill>
                      <a:latin typeface="Times New Roman" panose="02020603050405020304" pitchFamily="18" charset="0"/>
                      <a:cs typeface="Times New Roman" panose="02020603050405020304" pitchFamily="18" charset="0"/>
                    </a:rPr>
                    <a:t> &amp; Final</a:t>
                  </a:r>
                </a:p>
                <a:p>
                  <a:pPr>
                    <a:defRPr sz="1100" b="0">
                      <a:latin typeface="Times New Roman" panose="02020603050405020304" pitchFamily="18" charset="0"/>
                      <a:cs typeface="Times New Roman" panose="02020603050405020304" pitchFamily="18" charset="0"/>
                    </a:defRPr>
                  </a:pPr>
                  <a:r>
                    <a:rPr lang="en-GB" sz="900" b="0" baseline="0">
                      <a:solidFill>
                        <a:schemeClr val="accent1">
                          <a:lumMod val="75000"/>
                        </a:schemeClr>
                      </a:solidFill>
                      <a:latin typeface="Times New Roman" panose="02020603050405020304" pitchFamily="18" charset="0"/>
                      <a:cs typeface="Times New Roman" panose="02020603050405020304" pitchFamily="18" charset="0"/>
                    </a:rPr>
                    <a:t> EU Contributions in Millions </a:t>
                  </a:r>
                  <a:r>
                    <a:rPr lang="en-GB" sz="1100" b="0" baseline="0">
                      <a:solidFill>
                        <a:schemeClr val="accent1">
                          <a:lumMod val="75000"/>
                        </a:schemeClr>
                      </a:solidFill>
                      <a:latin typeface="Times New Roman" panose="02020603050405020304" pitchFamily="18" charset="0"/>
                      <a:cs typeface="Times New Roman" panose="02020603050405020304" pitchFamily="18" charset="0"/>
                    </a:rPr>
                    <a:t>€</a:t>
                  </a:r>
                  <a:endParaRPr lang="en-GB" sz="1100" b="0">
                    <a:solidFill>
                      <a:schemeClr val="accent1">
                        <a:lumMod val="75000"/>
                      </a:schemeClr>
                    </a:solidFill>
                    <a:latin typeface="Times New Roman" panose="02020603050405020304" pitchFamily="18" charset="0"/>
                    <a:cs typeface="Times New Roman" panose="02020603050405020304" pitchFamily="18" charset="0"/>
                  </a:endParaRPr>
                </a:p>
              </c:rich>
            </c:tx>
          </c:dispUnitsLbl>
        </c:dispUnits>
      </c:valAx>
      <c:valAx>
        <c:axId val="179047040"/>
        <c:scaling>
          <c:orientation val="minMax"/>
          <c:max val="1"/>
        </c:scaling>
        <c:delete val="0"/>
        <c:axPos val="r"/>
        <c:title>
          <c:tx>
            <c:rich>
              <a:bodyPr rot="-5400000" vert="horz"/>
              <a:lstStyle/>
              <a:p>
                <a:pPr>
                  <a:defRPr sz="900" b="0">
                    <a:solidFill>
                      <a:srgbClr val="83359B"/>
                    </a:solidFill>
                    <a:latin typeface="Times New Roman" panose="02020603050405020304" pitchFamily="18" charset="0"/>
                    <a:cs typeface="Times New Roman" panose="02020603050405020304" pitchFamily="18" charset="0"/>
                  </a:defRPr>
                </a:pPr>
                <a:r>
                  <a:rPr lang="en-US" sz="900" b="0">
                    <a:solidFill>
                      <a:srgbClr val="83359B"/>
                    </a:solidFill>
                    <a:latin typeface="Times New Roman" panose="02020603050405020304" pitchFamily="18" charset="0"/>
                    <a:cs typeface="Times New Roman" panose="02020603050405020304" pitchFamily="18" charset="0"/>
                  </a:rPr>
                  <a:t>Absorption rate</a:t>
                </a:r>
              </a:p>
            </c:rich>
          </c:tx>
          <c:layout>
            <c:manualLayout>
              <c:xMode val="edge"/>
              <c:yMode val="edge"/>
              <c:x val="0.9656994087810028"/>
              <c:y val="0.35202893589152023"/>
            </c:manualLayout>
          </c:layout>
          <c:overlay val="0"/>
        </c:title>
        <c:numFmt formatCode="0%" sourceLinked="0"/>
        <c:majorTickMark val="out"/>
        <c:minorTickMark val="none"/>
        <c:tickLblPos val="nextTo"/>
        <c:txPr>
          <a:bodyPr/>
          <a:lstStyle/>
          <a:p>
            <a:pPr>
              <a:defRPr sz="900" b="0">
                <a:solidFill>
                  <a:srgbClr val="9C348D"/>
                </a:solidFill>
                <a:latin typeface="Times New Roman" panose="02020603050405020304" pitchFamily="18" charset="0"/>
                <a:cs typeface="Times New Roman" panose="02020603050405020304" pitchFamily="18" charset="0"/>
              </a:defRPr>
            </a:pPr>
            <a:endParaRPr lang="en-US"/>
          </a:p>
        </c:txPr>
        <c:crossAx val="53063680"/>
        <c:crosses val="max"/>
        <c:crossBetween val="between"/>
      </c:valAx>
      <c:catAx>
        <c:axId val="53063680"/>
        <c:scaling>
          <c:orientation val="minMax"/>
        </c:scaling>
        <c:delete val="1"/>
        <c:axPos val="b"/>
        <c:numFmt formatCode="General" sourceLinked="1"/>
        <c:majorTickMark val="out"/>
        <c:minorTickMark val="none"/>
        <c:tickLblPos val="nextTo"/>
        <c:crossAx val="179047040"/>
        <c:crosses val="autoZero"/>
        <c:auto val="1"/>
        <c:lblAlgn val="ctr"/>
        <c:lblOffset val="100"/>
        <c:noMultiLvlLbl val="0"/>
      </c:catAx>
    </c:plotArea>
    <c:legend>
      <c:legendPos val="r"/>
      <c:layout>
        <c:manualLayout>
          <c:xMode val="edge"/>
          <c:yMode val="edge"/>
          <c:x val="1.8549908152237272E-2"/>
          <c:y val="0.92039844650415004"/>
          <c:w val="0.98145012869779757"/>
          <c:h val="6.3944590886266334E-2"/>
        </c:manualLayout>
      </c:layout>
      <c:overlay val="0"/>
      <c:txPr>
        <a:bodyPr/>
        <a:lstStyle/>
        <a:p>
          <a:pPr>
            <a:defRPr sz="8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accent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22982866784885"/>
          <c:y val="9.155684067564393E-2"/>
          <c:w val="0.76123999345757165"/>
          <c:h val="0.67349320333440865"/>
        </c:manualLayout>
      </c:layout>
      <c:barChart>
        <c:barDir val="col"/>
        <c:grouping val="clustered"/>
        <c:varyColors val="0"/>
        <c:ser>
          <c:idx val="0"/>
          <c:order val="0"/>
          <c:tx>
            <c:strRef>
              <c:f>Sheet1!$A$3</c:f>
              <c:strCache>
                <c:ptCount val="1"/>
                <c:pt idx="0">
                  <c:v>Programmed EU Contribution</c:v>
                </c:pt>
              </c:strCache>
            </c:strRef>
          </c:tx>
          <c:spPr>
            <a:solidFill>
              <a:srgbClr val="B0EDEE"/>
            </a:solidFill>
          </c:spPr>
          <c:invertIfNegative val="0"/>
          <c:cat>
            <c:strRef>
              <c:f>Sheet1!$B$2:$E$2</c:f>
              <c:strCache>
                <c:ptCount val="4"/>
                <c:pt idx="0">
                  <c:v>Priority 1</c:v>
                </c:pt>
                <c:pt idx="1">
                  <c:v>Priority 2</c:v>
                </c:pt>
                <c:pt idx="2">
                  <c:v>Priority 3</c:v>
                </c:pt>
                <c:pt idx="3">
                  <c:v>Priority 4</c:v>
                </c:pt>
              </c:strCache>
            </c:strRef>
          </c:cat>
          <c:val>
            <c:numRef>
              <c:f>Sheet1!$B$3:$E$3</c:f>
              <c:numCache>
                <c:formatCode>#,##0.00</c:formatCode>
                <c:ptCount val="4"/>
                <c:pt idx="0">
                  <c:v>340214270.10000002</c:v>
                </c:pt>
                <c:pt idx="1">
                  <c:v>11218674.33</c:v>
                </c:pt>
                <c:pt idx="2">
                  <c:v>56040223.780000001</c:v>
                </c:pt>
                <c:pt idx="3">
                  <c:v>11885726.390000001</c:v>
                </c:pt>
              </c:numCache>
            </c:numRef>
          </c:val>
          <c:extLst xmlns:c16r2="http://schemas.microsoft.com/office/drawing/2015/06/chart">
            <c:ext xmlns:c16="http://schemas.microsoft.com/office/drawing/2014/chart" uri="{C3380CC4-5D6E-409C-BE32-E72D297353CC}">
              <c16:uniqueId val="{00000000-9C4B-4DE0-9F98-06734B194260}"/>
            </c:ext>
          </c:extLst>
        </c:ser>
        <c:ser>
          <c:idx val="1"/>
          <c:order val="1"/>
          <c:tx>
            <c:strRef>
              <c:f>Sheet1!$A$4</c:f>
              <c:strCache>
                <c:ptCount val="1"/>
                <c:pt idx="0">
                  <c:v>Final EU Contribution</c:v>
                </c:pt>
              </c:strCache>
            </c:strRef>
          </c:tx>
          <c:spPr>
            <a:solidFill>
              <a:srgbClr val="2C379E"/>
            </a:solidFill>
          </c:spPr>
          <c:invertIfNegative val="0"/>
          <c:cat>
            <c:strRef>
              <c:f>Sheet1!$B$2:$E$2</c:f>
              <c:strCache>
                <c:ptCount val="4"/>
                <c:pt idx="0">
                  <c:v>Priority 1</c:v>
                </c:pt>
                <c:pt idx="1">
                  <c:v>Priority 2</c:v>
                </c:pt>
                <c:pt idx="2">
                  <c:v>Priority 3</c:v>
                </c:pt>
                <c:pt idx="3">
                  <c:v>Priority 4</c:v>
                </c:pt>
              </c:strCache>
            </c:strRef>
          </c:cat>
          <c:val>
            <c:numRef>
              <c:f>Sheet1!$B$4:$E$4</c:f>
              <c:numCache>
                <c:formatCode>#,##0.00</c:formatCode>
                <c:ptCount val="4"/>
                <c:pt idx="0">
                  <c:v>280781707.31999999</c:v>
                </c:pt>
                <c:pt idx="1">
                  <c:v>4720125.43</c:v>
                </c:pt>
                <c:pt idx="2">
                  <c:v>44830027.350000001</c:v>
                </c:pt>
                <c:pt idx="3">
                  <c:v>9201002.4800000004</c:v>
                </c:pt>
              </c:numCache>
            </c:numRef>
          </c:val>
          <c:extLst xmlns:c16r2="http://schemas.microsoft.com/office/drawing/2015/06/chart">
            <c:ext xmlns:c16="http://schemas.microsoft.com/office/drawing/2014/chart" uri="{C3380CC4-5D6E-409C-BE32-E72D297353CC}">
              <c16:uniqueId val="{00000001-9C4B-4DE0-9F98-06734B194260}"/>
            </c:ext>
          </c:extLst>
        </c:ser>
        <c:dLbls>
          <c:showLegendKey val="0"/>
          <c:showVal val="0"/>
          <c:showCatName val="0"/>
          <c:showSerName val="0"/>
          <c:showPercent val="0"/>
          <c:showBubbleSize val="0"/>
        </c:dLbls>
        <c:gapWidth val="150"/>
        <c:axId val="61476224"/>
        <c:axId val="61486208"/>
      </c:barChart>
      <c:lineChart>
        <c:grouping val="stacked"/>
        <c:varyColors val="0"/>
        <c:ser>
          <c:idx val="2"/>
          <c:order val="2"/>
          <c:tx>
            <c:strRef>
              <c:f>Sheet1!$A$5</c:f>
              <c:strCache>
                <c:ptCount val="1"/>
                <c:pt idx="0">
                  <c:v>Absorption rate</c:v>
                </c:pt>
              </c:strCache>
            </c:strRef>
          </c:tx>
          <c:spPr>
            <a:ln>
              <a:noFill/>
            </a:ln>
          </c:spPr>
          <c:marker>
            <c:symbol val="circle"/>
            <c:size val="7"/>
            <c:spPr>
              <a:solidFill>
                <a:srgbClr val="F7AFEE"/>
              </a:solidFill>
            </c:spPr>
          </c:marker>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Sheet1!$B$2:$E$2</c:f>
              <c:strCache>
                <c:ptCount val="4"/>
                <c:pt idx="0">
                  <c:v>Priority 1</c:v>
                </c:pt>
                <c:pt idx="1">
                  <c:v>Priority 2</c:v>
                </c:pt>
                <c:pt idx="2">
                  <c:v>Priority 3</c:v>
                </c:pt>
                <c:pt idx="3">
                  <c:v>Priority 4</c:v>
                </c:pt>
              </c:strCache>
            </c:strRef>
          </c:cat>
          <c:val>
            <c:numRef>
              <c:f>Sheet1!$B$5:$E$5</c:f>
              <c:numCache>
                <c:formatCode>0%</c:formatCode>
                <c:ptCount val="4"/>
                <c:pt idx="0">
                  <c:v>0.82530843646702157</c:v>
                </c:pt>
                <c:pt idx="1">
                  <c:v>0.42073825223519074</c:v>
                </c:pt>
                <c:pt idx="2">
                  <c:v>0.79996160482855228</c:v>
                </c:pt>
                <c:pt idx="3">
                  <c:v>0.77412201645001855</c:v>
                </c:pt>
              </c:numCache>
            </c:numRef>
          </c:val>
          <c:smooth val="0"/>
          <c:extLst xmlns:c16r2="http://schemas.microsoft.com/office/drawing/2015/06/chart">
            <c:ext xmlns:c16="http://schemas.microsoft.com/office/drawing/2014/chart" uri="{C3380CC4-5D6E-409C-BE32-E72D297353CC}">
              <c16:uniqueId val="{00000002-9C4B-4DE0-9F98-06734B194260}"/>
            </c:ext>
          </c:extLst>
        </c:ser>
        <c:dLbls>
          <c:showLegendKey val="0"/>
          <c:showVal val="0"/>
          <c:showCatName val="0"/>
          <c:showSerName val="0"/>
          <c:showPercent val="0"/>
          <c:showBubbleSize val="0"/>
        </c:dLbls>
        <c:marker val="1"/>
        <c:smooth val="0"/>
        <c:axId val="61502208"/>
        <c:axId val="61488128"/>
      </c:lineChart>
      <c:catAx>
        <c:axId val="61476224"/>
        <c:scaling>
          <c:orientation val="minMax"/>
        </c:scaling>
        <c:delete val="0"/>
        <c:axPos val="b"/>
        <c:numFmt formatCode="General" sourceLinked="0"/>
        <c:majorTickMark val="out"/>
        <c:minorTickMark val="none"/>
        <c:tickLblPos val="nextTo"/>
        <c:txPr>
          <a:bodyPr/>
          <a:lstStyle/>
          <a:p>
            <a:pPr>
              <a:defRPr sz="900"/>
            </a:pPr>
            <a:endParaRPr lang="en-US"/>
          </a:p>
        </c:txPr>
        <c:crossAx val="61486208"/>
        <c:crossesAt val="0"/>
        <c:auto val="1"/>
        <c:lblAlgn val="ctr"/>
        <c:lblOffset val="100"/>
        <c:noMultiLvlLbl val="0"/>
      </c:catAx>
      <c:valAx>
        <c:axId val="61486208"/>
        <c:scaling>
          <c:orientation val="minMax"/>
        </c:scaling>
        <c:delete val="0"/>
        <c:axPos val="l"/>
        <c:majorGridlines/>
        <c:numFmt formatCode="#,##0" sourceLinked="0"/>
        <c:majorTickMark val="out"/>
        <c:minorTickMark val="none"/>
        <c:tickLblPos val="nextTo"/>
        <c:txPr>
          <a:bodyPr/>
          <a:lstStyle/>
          <a:p>
            <a:pPr>
              <a:defRPr sz="900"/>
            </a:pPr>
            <a:endParaRPr lang="en-US"/>
          </a:p>
        </c:txPr>
        <c:crossAx val="61476224"/>
        <c:crosses val="autoZero"/>
        <c:crossBetween val="between"/>
        <c:dispUnits>
          <c:builtInUnit val="millions"/>
          <c:dispUnitsLbl>
            <c:layout>
              <c:manualLayout>
                <c:xMode val="edge"/>
                <c:yMode val="edge"/>
                <c:x val="1.6789557437869286E-2"/>
                <c:y val="0.1776708440800033"/>
              </c:manualLayout>
            </c:layout>
            <c:tx>
              <c:rich>
                <a:bodyPr/>
                <a:lstStyle/>
                <a:p>
                  <a:pPr>
                    <a:defRPr sz="800"/>
                  </a:pPr>
                  <a:r>
                    <a:rPr lang="en-GB" sz="800"/>
                    <a:t>Programmed /</a:t>
                  </a:r>
                  <a:r>
                    <a:rPr lang="en-GB" sz="800" baseline="0"/>
                    <a:t> Final</a:t>
                  </a:r>
                  <a:r>
                    <a:rPr lang="en-GB" sz="800"/>
                    <a:t> EU Contribution Millions €</a:t>
                  </a:r>
                </a:p>
              </c:rich>
            </c:tx>
          </c:dispUnitsLbl>
        </c:dispUnits>
      </c:valAx>
      <c:valAx>
        <c:axId val="61488128"/>
        <c:scaling>
          <c:orientation val="minMax"/>
        </c:scaling>
        <c:delete val="0"/>
        <c:axPos val="r"/>
        <c:numFmt formatCode="0%" sourceLinked="1"/>
        <c:majorTickMark val="out"/>
        <c:minorTickMark val="none"/>
        <c:tickLblPos val="nextTo"/>
        <c:txPr>
          <a:bodyPr/>
          <a:lstStyle/>
          <a:p>
            <a:pPr>
              <a:defRPr sz="900"/>
            </a:pPr>
            <a:endParaRPr lang="en-US"/>
          </a:p>
        </c:txPr>
        <c:crossAx val="61502208"/>
        <c:crosses val="max"/>
        <c:crossBetween val="between"/>
      </c:valAx>
      <c:catAx>
        <c:axId val="61502208"/>
        <c:scaling>
          <c:orientation val="minMax"/>
        </c:scaling>
        <c:delete val="1"/>
        <c:axPos val="b"/>
        <c:numFmt formatCode="General" sourceLinked="1"/>
        <c:majorTickMark val="out"/>
        <c:minorTickMark val="none"/>
        <c:tickLblPos val="nextTo"/>
        <c:crossAx val="61488128"/>
        <c:crosses val="autoZero"/>
        <c:auto val="1"/>
        <c:lblAlgn val="ctr"/>
        <c:lblOffset val="100"/>
        <c:noMultiLvlLbl val="0"/>
      </c:catAx>
    </c:plotArea>
    <c:legend>
      <c:legendPos val="b"/>
      <c:layout>
        <c:manualLayout>
          <c:xMode val="edge"/>
          <c:yMode val="edge"/>
          <c:x val="0.10125491380939644"/>
          <c:y val="0.86043995989704558"/>
          <c:w val="0.79749017238120712"/>
          <c:h val="0.10996383289272378"/>
        </c:manualLayout>
      </c:layout>
      <c:overlay val="0"/>
      <c:txPr>
        <a:bodyPr/>
        <a:lstStyle/>
        <a:p>
          <a:pPr>
            <a:defRPr sz="8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0336-FD8C-4CE7-AF2B-EFBB646E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21588</Words>
  <Characters>118997</Characters>
  <Application>Microsoft Office Word</Application>
  <DocSecurity>4</DocSecurity>
  <Lines>2010</Lines>
  <Paragraphs>518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2018-06-07T14:15:00Z</dcterms:created>
  <dcterms:modified xsi:type="dcterms:W3CDTF">2018-06-07T14:15:00Z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