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624" w:rsidRDefault="0072318F" w:rsidP="0072318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ED2FA5D-DFE8-4767-8FE0-5E7A83D2BEB2" style="width:450.75pt;height:444pt">
            <v:imagedata r:id="rId9" o:title=""/>
          </v:shape>
        </w:pict>
      </w:r>
    </w:p>
    <w:bookmarkEnd w:id="0"/>
    <w:p w:rsidR="00832624" w:rsidRDefault="00832624">
      <w:pPr>
        <w:rPr>
          <w:noProof/>
        </w:rPr>
        <w:sectPr w:rsidR="00832624" w:rsidSect="0072318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bCs w:val="0"/>
          <w:noProof/>
          <w:color w:val="auto"/>
          <w:sz w:val="22"/>
          <w:szCs w:val="22"/>
          <w:lang w:val="en-GB" w:eastAsia="en-US"/>
        </w:rPr>
        <w:id w:val="-1160777136"/>
        <w:docPartObj>
          <w:docPartGallery w:val="Table of Contents"/>
          <w:docPartUnique/>
        </w:docPartObj>
      </w:sdtPr>
      <w:sdtEndPr>
        <w:rPr>
          <w:rFonts w:ascii="Times New Roman" w:hAnsi="Times New Roman" w:cs="Times New Roman"/>
          <w:lang w:val="fr-BE"/>
        </w:rPr>
      </w:sdtEndPr>
      <w:sdtContent>
        <w:p w:rsidR="00832624" w:rsidRDefault="0072318F">
          <w:pPr>
            <w:pStyle w:val="TOCHeading"/>
            <w:jc w:val="center"/>
            <w:rPr>
              <w:noProof/>
              <w:color w:val="auto"/>
              <w:lang w:val="en-GB"/>
            </w:rPr>
          </w:pPr>
          <w:r>
            <w:rPr>
              <w:noProof/>
              <w:color w:val="auto"/>
              <w:lang w:val="en-GB"/>
            </w:rPr>
            <w:t>Contents</w:t>
          </w:r>
        </w:p>
        <w:p w:rsidR="00832624" w:rsidRDefault="00832624">
          <w:pPr>
            <w:spacing w:line="240" w:lineRule="auto"/>
            <w:rPr>
              <w:rFonts w:ascii="Times New Roman" w:hAnsi="Times New Roman" w:cs="Times New Roman"/>
              <w:noProof/>
              <w:sz w:val="24"/>
              <w:szCs w:val="24"/>
              <w:lang w:eastAsia="ja-JP"/>
            </w:rPr>
          </w:pPr>
        </w:p>
        <w:p w:rsidR="00832624" w:rsidRDefault="0072318F">
          <w:pPr>
            <w:pStyle w:val="TOC1"/>
            <w:tabs>
              <w:tab w:val="left" w:pos="440"/>
              <w:tab w:val="right" w:leader="dot" w:pos="9062"/>
            </w:tabs>
            <w:rPr>
              <w:rFonts w:eastAsiaTheme="minorEastAsia"/>
              <w:noProof/>
              <w:lang w:val="fr-BE" w:eastAsia="fr-BE"/>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515378882" w:history="1">
            <w:r>
              <w:rPr>
                <w:rStyle w:val="Hyperlink"/>
                <w:noProof/>
              </w:rPr>
              <w:t>2</w:t>
            </w:r>
            <w:r>
              <w:rPr>
                <w:rFonts w:eastAsiaTheme="minorEastAsia"/>
                <w:noProof/>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_Toc515378882 \h </w:instrText>
            </w:r>
            <w:r>
              <w:rPr>
                <w:noProof/>
                <w:webHidden/>
              </w:rPr>
            </w:r>
            <w:r>
              <w:rPr>
                <w:noProof/>
                <w:webHidden/>
              </w:rPr>
              <w:fldChar w:fldCharType="separate"/>
            </w:r>
            <w:r>
              <w:rPr>
                <w:noProof/>
                <w:webHidden/>
              </w:rPr>
              <w:t>2</w:t>
            </w:r>
            <w:r>
              <w:rPr>
                <w:noProof/>
                <w:webHidden/>
              </w:rPr>
              <w:fldChar w:fldCharType="end"/>
            </w:r>
          </w:hyperlink>
        </w:p>
        <w:p w:rsidR="00832624" w:rsidRDefault="0072318F">
          <w:pPr>
            <w:pStyle w:val="TOC1"/>
            <w:tabs>
              <w:tab w:val="left" w:pos="440"/>
              <w:tab w:val="right" w:leader="dot" w:pos="9062"/>
            </w:tabs>
            <w:rPr>
              <w:rFonts w:eastAsiaTheme="minorEastAsia"/>
              <w:noProof/>
              <w:lang w:val="fr-BE" w:eastAsia="fr-BE"/>
            </w:rPr>
          </w:pPr>
          <w:hyperlink w:anchor="_Toc515378883" w:history="1">
            <w:r>
              <w:rPr>
                <w:rStyle w:val="Hyperlink"/>
                <w:noProof/>
              </w:rPr>
              <w:t>3</w:t>
            </w:r>
            <w:r>
              <w:rPr>
                <w:rFonts w:eastAsiaTheme="minorEastAsia"/>
                <w:noProof/>
                <w:lang w:val="fr-BE" w:eastAsia="fr-BE"/>
              </w:rPr>
              <w:tab/>
            </w:r>
            <w:r>
              <w:rPr>
                <w:rStyle w:val="Hyperlink"/>
                <w:noProof/>
              </w:rPr>
              <w:t>Background to the initiative</w:t>
            </w:r>
            <w:r>
              <w:rPr>
                <w:noProof/>
                <w:webHidden/>
              </w:rPr>
              <w:tab/>
            </w:r>
            <w:r>
              <w:rPr>
                <w:noProof/>
                <w:webHidden/>
              </w:rPr>
              <w:fldChar w:fldCharType="begin"/>
            </w:r>
            <w:r>
              <w:rPr>
                <w:noProof/>
                <w:webHidden/>
              </w:rPr>
              <w:instrText xml:space="preserve"> PAGEREF _Toc515378883 \h </w:instrText>
            </w:r>
            <w:r>
              <w:rPr>
                <w:noProof/>
                <w:webHidden/>
              </w:rPr>
            </w:r>
            <w:r>
              <w:rPr>
                <w:noProof/>
                <w:webHidden/>
              </w:rPr>
              <w:fldChar w:fldCharType="separate"/>
            </w:r>
            <w:r>
              <w:rPr>
                <w:noProof/>
                <w:webHidden/>
              </w:rPr>
              <w:t>3</w:t>
            </w:r>
            <w:r>
              <w:rPr>
                <w:noProof/>
                <w:webHidden/>
              </w:rPr>
              <w:fldChar w:fldCharType="end"/>
            </w:r>
          </w:hyperlink>
        </w:p>
        <w:p w:rsidR="00832624" w:rsidRDefault="0072318F">
          <w:pPr>
            <w:pStyle w:val="TOC1"/>
            <w:tabs>
              <w:tab w:val="left" w:pos="440"/>
              <w:tab w:val="right" w:leader="dot" w:pos="9062"/>
            </w:tabs>
            <w:rPr>
              <w:rFonts w:eastAsiaTheme="minorEastAsia"/>
              <w:noProof/>
              <w:lang w:val="fr-BE" w:eastAsia="fr-BE"/>
            </w:rPr>
          </w:pPr>
          <w:hyperlink w:anchor="_Toc515378884" w:history="1">
            <w:r>
              <w:rPr>
                <w:rStyle w:val="Hyperlink"/>
                <w:noProof/>
              </w:rPr>
              <w:t>4</w:t>
            </w:r>
            <w:r>
              <w:rPr>
                <w:rFonts w:eastAsiaTheme="minorEastAsia"/>
                <w:noProof/>
                <w:lang w:val="fr-BE" w:eastAsia="fr-BE"/>
              </w:rPr>
              <w:tab/>
            </w:r>
            <w:r>
              <w:rPr>
                <w:rStyle w:val="Hyperlink"/>
                <w:noProof/>
              </w:rPr>
              <w:t>The ERF as funding instrument</w:t>
            </w:r>
            <w:r>
              <w:rPr>
                <w:noProof/>
                <w:webHidden/>
              </w:rPr>
              <w:tab/>
            </w:r>
            <w:r>
              <w:rPr>
                <w:noProof/>
                <w:webHidden/>
              </w:rPr>
              <w:fldChar w:fldCharType="begin"/>
            </w:r>
            <w:r>
              <w:rPr>
                <w:noProof/>
                <w:webHidden/>
              </w:rPr>
              <w:instrText xml:space="preserve"> PAGEREF _Toc515378884 \h </w:instrText>
            </w:r>
            <w:r>
              <w:rPr>
                <w:noProof/>
                <w:webHidden/>
              </w:rPr>
            </w:r>
            <w:r>
              <w:rPr>
                <w:noProof/>
                <w:webHidden/>
              </w:rPr>
              <w:fldChar w:fldCharType="separate"/>
            </w:r>
            <w:r>
              <w:rPr>
                <w:noProof/>
                <w:webHidden/>
              </w:rPr>
              <w:t>4</w:t>
            </w:r>
            <w:r>
              <w:rPr>
                <w:noProof/>
                <w:webHidden/>
              </w:rPr>
              <w:fldChar w:fldCharType="end"/>
            </w:r>
          </w:hyperlink>
        </w:p>
        <w:p w:rsidR="00832624" w:rsidRDefault="0072318F">
          <w:pPr>
            <w:pStyle w:val="TOC1"/>
            <w:tabs>
              <w:tab w:val="left" w:pos="440"/>
              <w:tab w:val="right" w:leader="dot" w:pos="9062"/>
            </w:tabs>
            <w:rPr>
              <w:rFonts w:eastAsiaTheme="minorEastAsia"/>
              <w:noProof/>
              <w:lang w:val="fr-BE" w:eastAsia="fr-BE"/>
            </w:rPr>
          </w:pPr>
          <w:hyperlink w:anchor="_Toc515378885" w:history="1">
            <w:r>
              <w:rPr>
                <w:rStyle w:val="Hyperlink"/>
                <w:noProof/>
              </w:rPr>
              <w:t>5</w:t>
            </w:r>
            <w:r>
              <w:rPr>
                <w:rFonts w:eastAsiaTheme="minorEastAsia"/>
                <w:noProof/>
                <w:lang w:val="fr-BE" w:eastAsia="fr-BE"/>
              </w:rPr>
              <w:tab/>
            </w:r>
            <w:r>
              <w:rPr>
                <w:rStyle w:val="Hyperlink"/>
                <w:noProof/>
              </w:rPr>
              <w:t>Evaluation questions</w:t>
            </w:r>
            <w:r>
              <w:rPr>
                <w:noProof/>
                <w:webHidden/>
              </w:rPr>
              <w:tab/>
            </w:r>
            <w:r>
              <w:rPr>
                <w:noProof/>
                <w:webHidden/>
              </w:rPr>
              <w:fldChar w:fldCharType="begin"/>
            </w:r>
            <w:r>
              <w:rPr>
                <w:noProof/>
                <w:webHidden/>
              </w:rPr>
              <w:instrText xml:space="preserve"> PAGEREF _Toc515378885 \h </w:instrText>
            </w:r>
            <w:r>
              <w:rPr>
                <w:noProof/>
                <w:webHidden/>
              </w:rPr>
            </w:r>
            <w:r>
              <w:rPr>
                <w:noProof/>
                <w:webHidden/>
              </w:rPr>
              <w:fldChar w:fldCharType="separate"/>
            </w:r>
            <w:r>
              <w:rPr>
                <w:noProof/>
                <w:webHidden/>
              </w:rPr>
              <w:t>6</w:t>
            </w:r>
            <w:r>
              <w:rPr>
                <w:noProof/>
                <w:webHidden/>
              </w:rPr>
              <w:fldChar w:fldCharType="end"/>
            </w:r>
          </w:hyperlink>
        </w:p>
        <w:p w:rsidR="00832624" w:rsidRDefault="0072318F">
          <w:pPr>
            <w:pStyle w:val="TOC1"/>
            <w:tabs>
              <w:tab w:val="left" w:pos="440"/>
              <w:tab w:val="right" w:leader="dot" w:pos="9062"/>
            </w:tabs>
            <w:rPr>
              <w:rFonts w:eastAsiaTheme="minorEastAsia"/>
              <w:noProof/>
              <w:lang w:val="fr-BE" w:eastAsia="fr-BE"/>
            </w:rPr>
          </w:pPr>
          <w:hyperlink w:anchor="_Toc515378886" w:history="1">
            <w:r>
              <w:rPr>
                <w:rStyle w:val="Hyperlink"/>
                <w:noProof/>
              </w:rPr>
              <w:t>6</w:t>
            </w:r>
            <w:r>
              <w:rPr>
                <w:rFonts w:eastAsiaTheme="minorEastAsia"/>
                <w:noProof/>
                <w:lang w:val="fr-BE" w:eastAsia="fr-BE"/>
              </w:rPr>
              <w:tab/>
            </w:r>
            <w:r>
              <w:rPr>
                <w:rStyle w:val="Hyperlink"/>
                <w:noProof/>
              </w:rPr>
              <w:t>Method</w:t>
            </w:r>
            <w:r>
              <w:rPr>
                <w:noProof/>
                <w:webHidden/>
              </w:rPr>
              <w:tab/>
            </w:r>
            <w:r>
              <w:rPr>
                <w:noProof/>
                <w:webHidden/>
              </w:rPr>
              <w:fldChar w:fldCharType="begin"/>
            </w:r>
            <w:r>
              <w:rPr>
                <w:noProof/>
                <w:webHidden/>
              </w:rPr>
              <w:instrText xml:space="preserve"> PAGEREF _Toc515378886 \h </w:instrText>
            </w:r>
            <w:r>
              <w:rPr>
                <w:noProof/>
                <w:webHidden/>
              </w:rPr>
            </w:r>
            <w:r>
              <w:rPr>
                <w:noProof/>
                <w:webHidden/>
              </w:rPr>
              <w:fldChar w:fldCharType="separate"/>
            </w:r>
            <w:r>
              <w:rPr>
                <w:noProof/>
                <w:webHidden/>
              </w:rPr>
              <w:t>6</w:t>
            </w:r>
            <w:r>
              <w:rPr>
                <w:noProof/>
                <w:webHidden/>
              </w:rPr>
              <w:fldChar w:fldCharType="end"/>
            </w:r>
          </w:hyperlink>
        </w:p>
        <w:p w:rsidR="00832624" w:rsidRDefault="0072318F">
          <w:pPr>
            <w:pStyle w:val="TOC1"/>
            <w:tabs>
              <w:tab w:val="left" w:pos="660"/>
              <w:tab w:val="right" w:leader="dot" w:pos="9062"/>
            </w:tabs>
            <w:rPr>
              <w:rFonts w:eastAsiaTheme="minorEastAsia"/>
              <w:noProof/>
              <w:lang w:val="fr-BE" w:eastAsia="fr-BE"/>
            </w:rPr>
          </w:pPr>
          <w:hyperlink w:anchor="_Toc515378887" w:history="1">
            <w:r>
              <w:rPr>
                <w:rStyle w:val="Hyperlink"/>
                <w:noProof/>
              </w:rPr>
              <w:t>6.1</w:t>
            </w:r>
            <w:r>
              <w:rPr>
                <w:rFonts w:eastAsiaTheme="minorEastAsia"/>
                <w:noProof/>
                <w:lang w:val="fr-BE" w:eastAsia="fr-BE"/>
              </w:rPr>
              <w:tab/>
            </w:r>
            <w:r>
              <w:rPr>
                <w:rStyle w:val="Hyperlink"/>
                <w:noProof/>
              </w:rPr>
              <w:t>Limitations</w:t>
            </w:r>
            <w:r>
              <w:rPr>
                <w:noProof/>
                <w:webHidden/>
              </w:rPr>
              <w:tab/>
            </w:r>
            <w:r>
              <w:rPr>
                <w:noProof/>
                <w:webHidden/>
              </w:rPr>
              <w:fldChar w:fldCharType="begin"/>
            </w:r>
            <w:r>
              <w:rPr>
                <w:noProof/>
                <w:webHidden/>
              </w:rPr>
              <w:instrText xml:space="preserve"> PAGEREF _Toc515378887 \h </w:instrText>
            </w:r>
            <w:r>
              <w:rPr>
                <w:noProof/>
                <w:webHidden/>
              </w:rPr>
            </w:r>
            <w:r>
              <w:rPr>
                <w:noProof/>
                <w:webHidden/>
              </w:rPr>
              <w:fldChar w:fldCharType="separate"/>
            </w:r>
            <w:r>
              <w:rPr>
                <w:noProof/>
                <w:webHidden/>
              </w:rPr>
              <w:t>7</w:t>
            </w:r>
            <w:r>
              <w:rPr>
                <w:noProof/>
                <w:webHidden/>
              </w:rPr>
              <w:fldChar w:fldCharType="end"/>
            </w:r>
          </w:hyperlink>
        </w:p>
        <w:p w:rsidR="00832624" w:rsidRDefault="0072318F">
          <w:pPr>
            <w:pStyle w:val="TOC1"/>
            <w:tabs>
              <w:tab w:val="left" w:pos="440"/>
              <w:tab w:val="right" w:leader="dot" w:pos="9062"/>
            </w:tabs>
            <w:rPr>
              <w:rFonts w:eastAsiaTheme="minorEastAsia"/>
              <w:noProof/>
              <w:lang w:val="fr-BE" w:eastAsia="fr-BE"/>
            </w:rPr>
          </w:pPr>
          <w:hyperlink w:anchor="_Toc515378888" w:history="1">
            <w:r>
              <w:rPr>
                <w:rStyle w:val="Hyperlink"/>
                <w:noProof/>
              </w:rPr>
              <w:t>7</w:t>
            </w:r>
            <w:r>
              <w:rPr>
                <w:rFonts w:eastAsiaTheme="minorEastAsia"/>
                <w:noProof/>
                <w:lang w:val="fr-BE" w:eastAsia="fr-BE"/>
              </w:rPr>
              <w:tab/>
            </w:r>
            <w:r>
              <w:rPr>
                <w:rStyle w:val="Hyperlink"/>
                <w:noProof/>
              </w:rPr>
              <w:t>Management modes of the RF</w:t>
            </w:r>
            <w:r>
              <w:rPr>
                <w:noProof/>
                <w:webHidden/>
              </w:rPr>
              <w:tab/>
            </w:r>
            <w:r>
              <w:rPr>
                <w:noProof/>
                <w:webHidden/>
              </w:rPr>
              <w:fldChar w:fldCharType="begin"/>
            </w:r>
            <w:r>
              <w:rPr>
                <w:noProof/>
                <w:webHidden/>
              </w:rPr>
              <w:instrText xml:space="preserve"> PAGEREF _Toc515378888 \h </w:instrText>
            </w:r>
            <w:r>
              <w:rPr>
                <w:noProof/>
                <w:webHidden/>
              </w:rPr>
            </w:r>
            <w:r>
              <w:rPr>
                <w:noProof/>
                <w:webHidden/>
              </w:rPr>
              <w:fldChar w:fldCharType="separate"/>
            </w:r>
            <w:r>
              <w:rPr>
                <w:noProof/>
                <w:webHidden/>
              </w:rPr>
              <w:t>8</w:t>
            </w:r>
            <w:r>
              <w:rPr>
                <w:noProof/>
                <w:webHidden/>
              </w:rPr>
              <w:fldChar w:fldCharType="end"/>
            </w:r>
          </w:hyperlink>
        </w:p>
        <w:p w:rsidR="00832624" w:rsidRDefault="0072318F">
          <w:pPr>
            <w:pStyle w:val="TOC2"/>
            <w:tabs>
              <w:tab w:val="right" w:leader="dot" w:pos="9062"/>
            </w:tabs>
            <w:rPr>
              <w:rFonts w:eastAsiaTheme="minorEastAsia"/>
              <w:noProof/>
              <w:lang w:val="fr-BE" w:eastAsia="fr-BE"/>
            </w:rPr>
          </w:pPr>
          <w:hyperlink w:anchor="_Toc515378889" w:history="1">
            <w:r>
              <w:rPr>
                <w:rStyle w:val="Hyperlink"/>
                <w:rFonts w:ascii="Times New Roman" w:eastAsia="Times New Roman" w:hAnsi="Times New Roman" w:cs="Times New Roman"/>
                <w:b/>
                <w:bCs/>
                <w:noProof/>
                <w:lang w:eastAsia="de-DE"/>
              </w:rPr>
              <w:t>7.1 Shared management: Multiannual and Annual Programmes of the Member States</w:t>
            </w:r>
            <w:r>
              <w:rPr>
                <w:noProof/>
                <w:webHidden/>
              </w:rPr>
              <w:tab/>
            </w:r>
            <w:r>
              <w:rPr>
                <w:noProof/>
                <w:webHidden/>
              </w:rPr>
              <w:fldChar w:fldCharType="begin"/>
            </w:r>
            <w:r>
              <w:rPr>
                <w:noProof/>
                <w:webHidden/>
              </w:rPr>
              <w:instrText xml:space="preserve"> PAGEREF _Toc515378889 \h </w:instrText>
            </w:r>
            <w:r>
              <w:rPr>
                <w:noProof/>
                <w:webHidden/>
              </w:rPr>
            </w:r>
            <w:r>
              <w:rPr>
                <w:noProof/>
                <w:webHidden/>
              </w:rPr>
              <w:fldChar w:fldCharType="separate"/>
            </w:r>
            <w:r>
              <w:rPr>
                <w:noProof/>
                <w:webHidden/>
              </w:rPr>
              <w:t>8</w:t>
            </w:r>
            <w:r>
              <w:rPr>
                <w:noProof/>
                <w:webHidden/>
              </w:rPr>
              <w:fldChar w:fldCharType="end"/>
            </w:r>
          </w:hyperlink>
        </w:p>
        <w:p w:rsidR="00832624" w:rsidRDefault="0072318F">
          <w:pPr>
            <w:pStyle w:val="TOC2"/>
            <w:tabs>
              <w:tab w:val="right" w:leader="dot" w:pos="9062"/>
            </w:tabs>
            <w:rPr>
              <w:rFonts w:eastAsiaTheme="minorEastAsia"/>
              <w:noProof/>
              <w:lang w:val="fr-BE" w:eastAsia="fr-BE"/>
            </w:rPr>
          </w:pPr>
          <w:hyperlink w:anchor="_Toc515378890" w:history="1">
            <w:r>
              <w:rPr>
                <w:rStyle w:val="Hyperlink"/>
                <w:rFonts w:ascii="Times New Roman" w:eastAsia="Times New Roman" w:hAnsi="Times New Roman" w:cs="Times New Roman"/>
                <w:b/>
                <w:bCs/>
                <w:noProof/>
              </w:rPr>
              <w:t>7.2 Direct management: Annual Work Programmes of the Commission</w:t>
            </w:r>
            <w:r>
              <w:rPr>
                <w:noProof/>
                <w:webHidden/>
              </w:rPr>
              <w:tab/>
            </w:r>
            <w:r>
              <w:rPr>
                <w:noProof/>
                <w:webHidden/>
              </w:rPr>
              <w:fldChar w:fldCharType="begin"/>
            </w:r>
            <w:r>
              <w:rPr>
                <w:noProof/>
                <w:webHidden/>
              </w:rPr>
              <w:instrText xml:space="preserve"> PAGEREF _Toc515378890 \h </w:instrText>
            </w:r>
            <w:r>
              <w:rPr>
                <w:noProof/>
                <w:webHidden/>
              </w:rPr>
            </w:r>
            <w:r>
              <w:rPr>
                <w:noProof/>
                <w:webHidden/>
              </w:rPr>
              <w:fldChar w:fldCharType="separate"/>
            </w:r>
            <w:r>
              <w:rPr>
                <w:noProof/>
                <w:webHidden/>
              </w:rPr>
              <w:t>10</w:t>
            </w:r>
            <w:r>
              <w:rPr>
                <w:noProof/>
                <w:webHidden/>
              </w:rPr>
              <w:fldChar w:fldCharType="end"/>
            </w:r>
          </w:hyperlink>
        </w:p>
        <w:p w:rsidR="00832624" w:rsidRDefault="0072318F">
          <w:pPr>
            <w:pStyle w:val="TOC1"/>
            <w:tabs>
              <w:tab w:val="left" w:pos="440"/>
              <w:tab w:val="right" w:leader="dot" w:pos="9062"/>
            </w:tabs>
            <w:rPr>
              <w:rFonts w:eastAsiaTheme="minorEastAsia"/>
              <w:noProof/>
              <w:lang w:val="fr-BE" w:eastAsia="fr-BE"/>
            </w:rPr>
          </w:pPr>
          <w:hyperlink w:anchor="_Toc515378891" w:history="1">
            <w:r>
              <w:rPr>
                <w:rStyle w:val="Hyperlink"/>
                <w:noProof/>
              </w:rPr>
              <w:t>8</w:t>
            </w:r>
            <w:r>
              <w:rPr>
                <w:rFonts w:eastAsiaTheme="minorEastAsia"/>
                <w:noProof/>
                <w:lang w:val="fr-BE" w:eastAsia="fr-BE"/>
              </w:rPr>
              <w:tab/>
            </w:r>
            <w:r>
              <w:rPr>
                <w:rStyle w:val="Hyperlink"/>
                <w:noProof/>
              </w:rPr>
              <w:t>Implementation – state of play</w:t>
            </w:r>
            <w:r>
              <w:rPr>
                <w:noProof/>
                <w:webHidden/>
              </w:rPr>
              <w:tab/>
            </w:r>
            <w:r>
              <w:rPr>
                <w:noProof/>
                <w:webHidden/>
              </w:rPr>
              <w:fldChar w:fldCharType="begin"/>
            </w:r>
            <w:r>
              <w:rPr>
                <w:noProof/>
                <w:webHidden/>
              </w:rPr>
              <w:instrText xml:space="preserve"> PAGEREF _Toc515378891 \h </w:instrText>
            </w:r>
            <w:r>
              <w:rPr>
                <w:noProof/>
                <w:webHidden/>
              </w:rPr>
            </w:r>
            <w:r>
              <w:rPr>
                <w:noProof/>
                <w:webHidden/>
              </w:rPr>
              <w:fldChar w:fldCharType="separate"/>
            </w:r>
            <w:r>
              <w:rPr>
                <w:noProof/>
                <w:webHidden/>
              </w:rPr>
              <w:t>10</w:t>
            </w:r>
            <w:r>
              <w:rPr>
                <w:noProof/>
                <w:webHidden/>
              </w:rPr>
              <w:fldChar w:fldCharType="end"/>
            </w:r>
          </w:hyperlink>
        </w:p>
        <w:p w:rsidR="00832624" w:rsidRDefault="0072318F">
          <w:pPr>
            <w:pStyle w:val="TOC1"/>
            <w:tabs>
              <w:tab w:val="left" w:pos="440"/>
              <w:tab w:val="right" w:leader="dot" w:pos="9062"/>
            </w:tabs>
            <w:rPr>
              <w:rFonts w:eastAsiaTheme="minorEastAsia"/>
              <w:noProof/>
              <w:lang w:val="fr-BE" w:eastAsia="fr-BE"/>
            </w:rPr>
          </w:pPr>
          <w:hyperlink w:anchor="_Toc515378892" w:history="1">
            <w:r>
              <w:rPr>
                <w:rStyle w:val="Hyperlink"/>
                <w:noProof/>
              </w:rPr>
              <w:t>9</w:t>
            </w:r>
            <w:r>
              <w:rPr>
                <w:rFonts w:eastAsiaTheme="minorEastAsia"/>
                <w:noProof/>
                <w:lang w:val="fr-BE" w:eastAsia="fr-BE"/>
              </w:rPr>
              <w:tab/>
            </w:r>
            <w:r>
              <w:rPr>
                <w:rStyle w:val="Hyperlink"/>
                <w:noProof/>
              </w:rPr>
              <w:t>Answers to the evaluation questions</w:t>
            </w:r>
            <w:r>
              <w:rPr>
                <w:noProof/>
                <w:webHidden/>
              </w:rPr>
              <w:tab/>
            </w:r>
            <w:r>
              <w:rPr>
                <w:noProof/>
                <w:webHidden/>
              </w:rPr>
              <w:fldChar w:fldCharType="begin"/>
            </w:r>
            <w:r>
              <w:rPr>
                <w:noProof/>
                <w:webHidden/>
              </w:rPr>
              <w:instrText xml:space="preserve"> PAGEREF _Toc5153788</w:instrText>
            </w:r>
            <w:r>
              <w:rPr>
                <w:noProof/>
                <w:webHidden/>
              </w:rPr>
              <w:instrText xml:space="preserve">92 \h </w:instrText>
            </w:r>
            <w:r>
              <w:rPr>
                <w:noProof/>
                <w:webHidden/>
              </w:rPr>
            </w:r>
            <w:r>
              <w:rPr>
                <w:noProof/>
                <w:webHidden/>
              </w:rPr>
              <w:fldChar w:fldCharType="separate"/>
            </w:r>
            <w:r>
              <w:rPr>
                <w:noProof/>
                <w:webHidden/>
              </w:rPr>
              <w:t>15</w:t>
            </w:r>
            <w:r>
              <w:rPr>
                <w:noProof/>
                <w:webHidden/>
              </w:rPr>
              <w:fldChar w:fldCharType="end"/>
            </w:r>
          </w:hyperlink>
        </w:p>
        <w:p w:rsidR="00832624" w:rsidRDefault="0072318F">
          <w:pPr>
            <w:pStyle w:val="TOC2"/>
            <w:tabs>
              <w:tab w:val="left" w:pos="880"/>
              <w:tab w:val="right" w:leader="dot" w:pos="9062"/>
            </w:tabs>
            <w:rPr>
              <w:rFonts w:eastAsiaTheme="minorEastAsia"/>
              <w:noProof/>
              <w:lang w:val="fr-BE" w:eastAsia="fr-BE"/>
            </w:rPr>
          </w:pPr>
          <w:hyperlink w:anchor="_Toc515378893" w:history="1">
            <w:r>
              <w:rPr>
                <w:rStyle w:val="Hyperlink"/>
                <w:rFonts w:ascii="Times New Roman" w:hAnsi="Times New Roman" w:cs="Times New Roman"/>
                <w:noProof/>
              </w:rPr>
              <w:t>9.1</w:t>
            </w:r>
            <w:r>
              <w:rPr>
                <w:rFonts w:eastAsiaTheme="minorEastAsia"/>
                <w:noProof/>
                <w:lang w:val="fr-BE" w:eastAsia="fr-BE"/>
              </w:rPr>
              <w:tab/>
            </w:r>
            <w:r>
              <w:rPr>
                <w:rStyle w:val="Hyperlink"/>
                <w:rFonts w:ascii="Times New Roman" w:hAnsi="Times New Roman" w:cs="Times New Roman"/>
                <w:noProof/>
              </w:rPr>
              <w:t>Relevance</w:t>
            </w:r>
            <w:r>
              <w:rPr>
                <w:noProof/>
                <w:webHidden/>
              </w:rPr>
              <w:tab/>
            </w:r>
            <w:r>
              <w:rPr>
                <w:noProof/>
                <w:webHidden/>
              </w:rPr>
              <w:fldChar w:fldCharType="begin"/>
            </w:r>
            <w:r>
              <w:rPr>
                <w:noProof/>
                <w:webHidden/>
              </w:rPr>
              <w:instrText xml:space="preserve"> PAGEREF _Toc515378893 \h </w:instrText>
            </w:r>
            <w:r>
              <w:rPr>
                <w:noProof/>
                <w:webHidden/>
              </w:rPr>
            </w:r>
            <w:r>
              <w:rPr>
                <w:noProof/>
                <w:webHidden/>
              </w:rPr>
              <w:fldChar w:fldCharType="separate"/>
            </w:r>
            <w:r>
              <w:rPr>
                <w:noProof/>
                <w:webHidden/>
              </w:rPr>
              <w:t>15</w:t>
            </w:r>
            <w:r>
              <w:rPr>
                <w:noProof/>
                <w:webHidden/>
              </w:rPr>
              <w:fldChar w:fldCharType="end"/>
            </w:r>
          </w:hyperlink>
        </w:p>
        <w:p w:rsidR="00832624" w:rsidRDefault="0072318F">
          <w:pPr>
            <w:pStyle w:val="TOC2"/>
            <w:tabs>
              <w:tab w:val="left" w:pos="880"/>
              <w:tab w:val="right" w:leader="dot" w:pos="9062"/>
            </w:tabs>
            <w:rPr>
              <w:rFonts w:eastAsiaTheme="minorEastAsia"/>
              <w:noProof/>
              <w:lang w:val="fr-BE" w:eastAsia="fr-BE"/>
            </w:rPr>
          </w:pPr>
          <w:hyperlink w:anchor="_Toc515378894" w:history="1">
            <w:r>
              <w:rPr>
                <w:rStyle w:val="Hyperlink"/>
                <w:rFonts w:ascii="Times New Roman" w:hAnsi="Times New Roman" w:cs="Times New Roman"/>
                <w:noProof/>
              </w:rPr>
              <w:t>9.2</w:t>
            </w:r>
            <w:r>
              <w:rPr>
                <w:rFonts w:eastAsiaTheme="minorEastAsia"/>
                <w:noProof/>
                <w:lang w:val="fr-BE" w:eastAsia="fr-BE"/>
              </w:rPr>
              <w:tab/>
            </w:r>
            <w:r>
              <w:rPr>
                <w:rStyle w:val="Hyperlink"/>
                <w:rFonts w:ascii="Times New Roman" w:hAnsi="Times New Roman" w:cs="Times New Roman"/>
                <w:noProof/>
              </w:rPr>
              <w:t>Effectiveness</w:t>
            </w:r>
            <w:r>
              <w:rPr>
                <w:noProof/>
                <w:webHidden/>
              </w:rPr>
              <w:tab/>
            </w:r>
            <w:r>
              <w:rPr>
                <w:noProof/>
                <w:webHidden/>
              </w:rPr>
              <w:fldChar w:fldCharType="begin"/>
            </w:r>
            <w:r>
              <w:rPr>
                <w:noProof/>
                <w:webHidden/>
              </w:rPr>
              <w:instrText xml:space="preserve"> PAGEREF _Toc515378894 \h </w:instrText>
            </w:r>
            <w:r>
              <w:rPr>
                <w:noProof/>
                <w:webHidden/>
              </w:rPr>
            </w:r>
            <w:r>
              <w:rPr>
                <w:noProof/>
                <w:webHidden/>
              </w:rPr>
              <w:fldChar w:fldCharType="separate"/>
            </w:r>
            <w:r>
              <w:rPr>
                <w:noProof/>
                <w:webHidden/>
              </w:rPr>
              <w:t>18</w:t>
            </w:r>
            <w:r>
              <w:rPr>
                <w:noProof/>
                <w:webHidden/>
              </w:rPr>
              <w:fldChar w:fldCharType="end"/>
            </w:r>
          </w:hyperlink>
        </w:p>
        <w:p w:rsidR="00832624" w:rsidRDefault="0072318F">
          <w:pPr>
            <w:pStyle w:val="TOC2"/>
            <w:tabs>
              <w:tab w:val="left" w:pos="880"/>
              <w:tab w:val="right" w:leader="dot" w:pos="9062"/>
            </w:tabs>
            <w:rPr>
              <w:rFonts w:eastAsiaTheme="minorEastAsia"/>
              <w:noProof/>
              <w:lang w:val="fr-BE" w:eastAsia="fr-BE"/>
            </w:rPr>
          </w:pPr>
          <w:hyperlink w:anchor="_Toc515378895" w:history="1">
            <w:r>
              <w:rPr>
                <w:rStyle w:val="Hyperlink"/>
                <w:rFonts w:ascii="Times New Roman" w:hAnsi="Times New Roman" w:cs="Times New Roman"/>
                <w:noProof/>
              </w:rPr>
              <w:t>9.3</w:t>
            </w:r>
            <w:r>
              <w:rPr>
                <w:rFonts w:eastAsiaTheme="minorEastAsia"/>
                <w:noProof/>
                <w:lang w:val="fr-BE" w:eastAsia="fr-BE"/>
              </w:rPr>
              <w:tab/>
            </w:r>
            <w:r>
              <w:rPr>
                <w:rStyle w:val="Hyperlink"/>
                <w:rFonts w:ascii="Times New Roman" w:hAnsi="Times New Roman" w:cs="Times New Roman"/>
                <w:noProof/>
              </w:rPr>
              <w:t>Effici</w:t>
            </w:r>
            <w:r>
              <w:rPr>
                <w:rStyle w:val="Hyperlink"/>
                <w:rFonts w:ascii="Times New Roman" w:hAnsi="Times New Roman" w:cs="Times New Roman"/>
                <w:noProof/>
              </w:rPr>
              <w:t>ency</w:t>
            </w:r>
            <w:r>
              <w:rPr>
                <w:noProof/>
                <w:webHidden/>
              </w:rPr>
              <w:tab/>
            </w:r>
            <w:r>
              <w:rPr>
                <w:noProof/>
                <w:webHidden/>
              </w:rPr>
              <w:fldChar w:fldCharType="begin"/>
            </w:r>
            <w:r>
              <w:rPr>
                <w:noProof/>
                <w:webHidden/>
              </w:rPr>
              <w:instrText xml:space="preserve"> PAGEREF _Toc515378895 \h </w:instrText>
            </w:r>
            <w:r>
              <w:rPr>
                <w:noProof/>
                <w:webHidden/>
              </w:rPr>
            </w:r>
            <w:r>
              <w:rPr>
                <w:noProof/>
                <w:webHidden/>
              </w:rPr>
              <w:fldChar w:fldCharType="separate"/>
            </w:r>
            <w:r>
              <w:rPr>
                <w:noProof/>
                <w:webHidden/>
              </w:rPr>
              <w:t>28</w:t>
            </w:r>
            <w:r>
              <w:rPr>
                <w:noProof/>
                <w:webHidden/>
              </w:rPr>
              <w:fldChar w:fldCharType="end"/>
            </w:r>
          </w:hyperlink>
        </w:p>
        <w:p w:rsidR="00832624" w:rsidRDefault="0072318F">
          <w:pPr>
            <w:pStyle w:val="TOC2"/>
            <w:tabs>
              <w:tab w:val="left" w:pos="880"/>
              <w:tab w:val="right" w:leader="dot" w:pos="9062"/>
            </w:tabs>
            <w:rPr>
              <w:rFonts w:eastAsiaTheme="minorEastAsia"/>
              <w:noProof/>
              <w:lang w:val="fr-BE" w:eastAsia="fr-BE"/>
            </w:rPr>
          </w:pPr>
          <w:hyperlink w:anchor="_Toc515378896" w:history="1">
            <w:r>
              <w:rPr>
                <w:rStyle w:val="Hyperlink"/>
                <w:rFonts w:ascii="Times New Roman" w:hAnsi="Times New Roman" w:cs="Times New Roman"/>
                <w:noProof/>
              </w:rPr>
              <w:t>9.4</w:t>
            </w:r>
            <w:r>
              <w:rPr>
                <w:rFonts w:eastAsiaTheme="minorEastAsia"/>
                <w:noProof/>
                <w:lang w:val="fr-BE" w:eastAsia="fr-BE"/>
              </w:rPr>
              <w:tab/>
            </w:r>
            <w:r>
              <w:rPr>
                <w:rStyle w:val="Hyperlink"/>
                <w:rFonts w:ascii="Times New Roman" w:hAnsi="Times New Roman" w:cs="Times New Roman"/>
                <w:noProof/>
              </w:rPr>
              <w:t>Sustainability</w:t>
            </w:r>
            <w:r>
              <w:rPr>
                <w:noProof/>
                <w:webHidden/>
              </w:rPr>
              <w:tab/>
            </w:r>
            <w:r>
              <w:rPr>
                <w:noProof/>
                <w:webHidden/>
              </w:rPr>
              <w:fldChar w:fldCharType="begin"/>
            </w:r>
            <w:r>
              <w:rPr>
                <w:noProof/>
                <w:webHidden/>
              </w:rPr>
              <w:instrText xml:space="preserve"> PAGEREF _Toc515378896 \h </w:instrText>
            </w:r>
            <w:r>
              <w:rPr>
                <w:noProof/>
                <w:webHidden/>
              </w:rPr>
            </w:r>
            <w:r>
              <w:rPr>
                <w:noProof/>
                <w:webHidden/>
              </w:rPr>
              <w:fldChar w:fldCharType="separate"/>
            </w:r>
            <w:r>
              <w:rPr>
                <w:noProof/>
                <w:webHidden/>
              </w:rPr>
              <w:t>31</w:t>
            </w:r>
            <w:r>
              <w:rPr>
                <w:noProof/>
                <w:webHidden/>
              </w:rPr>
              <w:fldChar w:fldCharType="end"/>
            </w:r>
          </w:hyperlink>
        </w:p>
        <w:p w:rsidR="00832624" w:rsidRDefault="0072318F">
          <w:pPr>
            <w:pStyle w:val="TOC2"/>
            <w:tabs>
              <w:tab w:val="left" w:pos="880"/>
              <w:tab w:val="right" w:leader="dot" w:pos="9062"/>
            </w:tabs>
            <w:rPr>
              <w:rFonts w:eastAsiaTheme="minorEastAsia"/>
              <w:noProof/>
              <w:lang w:val="fr-BE" w:eastAsia="fr-BE"/>
            </w:rPr>
          </w:pPr>
          <w:hyperlink w:anchor="_Toc515378897" w:history="1">
            <w:r>
              <w:rPr>
                <w:rStyle w:val="Hyperlink"/>
                <w:rFonts w:ascii="Times New Roman" w:hAnsi="Times New Roman" w:cs="Times New Roman"/>
                <w:noProof/>
              </w:rPr>
              <w:t>9.5</w:t>
            </w:r>
            <w:r>
              <w:rPr>
                <w:rFonts w:eastAsiaTheme="minorEastAsia"/>
                <w:noProof/>
                <w:lang w:val="fr-BE" w:eastAsia="fr-BE"/>
              </w:rPr>
              <w:tab/>
            </w:r>
            <w:r>
              <w:rPr>
                <w:rStyle w:val="Hyperlink"/>
                <w:rFonts w:ascii="Times New Roman" w:hAnsi="Times New Roman" w:cs="Times New Roman"/>
                <w:noProof/>
              </w:rPr>
              <w:t>Complementarity and coherence</w:t>
            </w:r>
            <w:r>
              <w:rPr>
                <w:noProof/>
                <w:webHidden/>
              </w:rPr>
              <w:tab/>
            </w:r>
            <w:r>
              <w:rPr>
                <w:noProof/>
                <w:webHidden/>
              </w:rPr>
              <w:fldChar w:fldCharType="begin"/>
            </w:r>
            <w:r>
              <w:rPr>
                <w:noProof/>
                <w:webHidden/>
              </w:rPr>
              <w:instrText xml:space="preserve"> PAGEREF _Toc515378897 \h </w:instrText>
            </w:r>
            <w:r>
              <w:rPr>
                <w:noProof/>
                <w:webHidden/>
              </w:rPr>
            </w:r>
            <w:r>
              <w:rPr>
                <w:noProof/>
                <w:webHidden/>
              </w:rPr>
              <w:fldChar w:fldCharType="separate"/>
            </w:r>
            <w:r>
              <w:rPr>
                <w:noProof/>
                <w:webHidden/>
              </w:rPr>
              <w:t>32</w:t>
            </w:r>
            <w:r>
              <w:rPr>
                <w:noProof/>
                <w:webHidden/>
              </w:rPr>
              <w:fldChar w:fldCharType="end"/>
            </w:r>
          </w:hyperlink>
        </w:p>
        <w:p w:rsidR="00832624" w:rsidRDefault="0072318F">
          <w:pPr>
            <w:pStyle w:val="TOC2"/>
            <w:tabs>
              <w:tab w:val="left" w:pos="880"/>
              <w:tab w:val="right" w:leader="dot" w:pos="9062"/>
            </w:tabs>
            <w:rPr>
              <w:rFonts w:eastAsiaTheme="minorEastAsia"/>
              <w:noProof/>
              <w:lang w:val="fr-BE" w:eastAsia="fr-BE"/>
            </w:rPr>
          </w:pPr>
          <w:hyperlink w:anchor="_Toc515378898" w:history="1">
            <w:r>
              <w:rPr>
                <w:rStyle w:val="Hyperlink"/>
                <w:rFonts w:ascii="Times New Roman" w:hAnsi="Times New Roman" w:cs="Times New Roman"/>
                <w:noProof/>
              </w:rPr>
              <w:t>9.6</w:t>
            </w:r>
            <w:r>
              <w:rPr>
                <w:rFonts w:eastAsiaTheme="minorEastAsia"/>
                <w:noProof/>
                <w:lang w:val="fr-BE" w:eastAsia="fr-BE"/>
              </w:rPr>
              <w:tab/>
            </w:r>
            <w:r>
              <w:rPr>
                <w:rStyle w:val="Hyperlink"/>
                <w:rFonts w:ascii="Times New Roman" w:hAnsi="Times New Roman" w:cs="Times New Roman"/>
                <w:noProof/>
              </w:rPr>
              <w:t>EU added value</w:t>
            </w:r>
            <w:r>
              <w:rPr>
                <w:noProof/>
                <w:webHidden/>
              </w:rPr>
              <w:tab/>
            </w:r>
            <w:r>
              <w:rPr>
                <w:noProof/>
                <w:webHidden/>
              </w:rPr>
              <w:fldChar w:fldCharType="begin"/>
            </w:r>
            <w:r>
              <w:rPr>
                <w:noProof/>
                <w:webHidden/>
              </w:rPr>
              <w:instrText xml:space="preserve"> PAGEREF _Toc515378898 \h </w:instrText>
            </w:r>
            <w:r>
              <w:rPr>
                <w:noProof/>
                <w:webHidden/>
              </w:rPr>
            </w:r>
            <w:r>
              <w:rPr>
                <w:noProof/>
                <w:webHidden/>
              </w:rPr>
              <w:fldChar w:fldCharType="separate"/>
            </w:r>
            <w:r>
              <w:rPr>
                <w:noProof/>
                <w:webHidden/>
              </w:rPr>
              <w:t>33</w:t>
            </w:r>
            <w:r>
              <w:rPr>
                <w:noProof/>
                <w:webHidden/>
              </w:rPr>
              <w:fldChar w:fldCharType="end"/>
            </w:r>
          </w:hyperlink>
        </w:p>
        <w:p w:rsidR="00832624" w:rsidRDefault="0072318F">
          <w:pPr>
            <w:pStyle w:val="TOC1"/>
            <w:tabs>
              <w:tab w:val="left" w:pos="660"/>
              <w:tab w:val="right" w:leader="dot" w:pos="9062"/>
            </w:tabs>
            <w:rPr>
              <w:rFonts w:eastAsiaTheme="minorEastAsia"/>
              <w:noProof/>
              <w:lang w:val="fr-BE" w:eastAsia="fr-BE"/>
            </w:rPr>
          </w:pPr>
          <w:hyperlink w:anchor="_Toc515378899" w:history="1">
            <w:r>
              <w:rPr>
                <w:rStyle w:val="Hyperlink"/>
                <w:noProof/>
              </w:rPr>
              <w:t>10</w:t>
            </w:r>
            <w:r>
              <w:rPr>
                <w:rFonts w:eastAsiaTheme="minorEastAsia"/>
                <w:noProof/>
                <w:lang w:val="fr-BE" w:eastAsia="fr-BE"/>
              </w:rPr>
              <w:tab/>
            </w:r>
            <w:r>
              <w:rPr>
                <w:rStyle w:val="Hyperlink"/>
                <w:noProof/>
              </w:rPr>
              <w:t>Conclusion</w:t>
            </w:r>
            <w:r>
              <w:rPr>
                <w:noProof/>
                <w:webHidden/>
              </w:rPr>
              <w:tab/>
            </w:r>
            <w:r>
              <w:rPr>
                <w:noProof/>
                <w:webHidden/>
              </w:rPr>
              <w:fldChar w:fldCharType="begin"/>
            </w:r>
            <w:r>
              <w:rPr>
                <w:noProof/>
                <w:webHidden/>
              </w:rPr>
              <w:instrText xml:space="preserve"> PAGEREF _Toc515378899 \h </w:instrText>
            </w:r>
            <w:r>
              <w:rPr>
                <w:noProof/>
                <w:webHidden/>
              </w:rPr>
            </w:r>
            <w:r>
              <w:rPr>
                <w:noProof/>
                <w:webHidden/>
              </w:rPr>
              <w:fldChar w:fldCharType="separate"/>
            </w:r>
            <w:r>
              <w:rPr>
                <w:noProof/>
                <w:webHidden/>
              </w:rPr>
              <w:t>34</w:t>
            </w:r>
            <w:r>
              <w:rPr>
                <w:noProof/>
                <w:webHidden/>
              </w:rPr>
              <w:fldChar w:fldCharType="end"/>
            </w:r>
          </w:hyperlink>
        </w:p>
        <w:p w:rsidR="00832624" w:rsidRDefault="0072318F">
          <w:pPr>
            <w:pStyle w:val="TOC1"/>
            <w:tabs>
              <w:tab w:val="left" w:pos="660"/>
              <w:tab w:val="right" w:leader="dot" w:pos="9062"/>
            </w:tabs>
            <w:rPr>
              <w:rFonts w:eastAsiaTheme="minorEastAsia"/>
              <w:noProof/>
              <w:lang w:val="fr-BE" w:eastAsia="fr-BE"/>
            </w:rPr>
          </w:pPr>
          <w:hyperlink w:anchor="_Toc515378900" w:history="1">
            <w:r>
              <w:rPr>
                <w:rStyle w:val="Hyperlink"/>
                <w:noProof/>
              </w:rPr>
              <w:t>11</w:t>
            </w:r>
            <w:r>
              <w:rPr>
                <w:rFonts w:eastAsiaTheme="minorEastAsia"/>
                <w:noProof/>
                <w:lang w:val="fr-BE" w:eastAsia="fr-BE"/>
              </w:rPr>
              <w:tab/>
            </w:r>
            <w:r>
              <w:rPr>
                <w:rStyle w:val="Hyperlink"/>
                <w:noProof/>
              </w:rPr>
              <w:t>ANNEX 1 — P</w:t>
            </w:r>
            <w:r>
              <w:rPr>
                <w:rStyle w:val="Hyperlink"/>
                <w:noProof/>
              </w:rPr>
              <w:t>rocedural information</w:t>
            </w:r>
            <w:r>
              <w:rPr>
                <w:noProof/>
                <w:webHidden/>
              </w:rPr>
              <w:tab/>
            </w:r>
            <w:r>
              <w:rPr>
                <w:noProof/>
                <w:webHidden/>
              </w:rPr>
              <w:fldChar w:fldCharType="begin"/>
            </w:r>
            <w:r>
              <w:rPr>
                <w:noProof/>
                <w:webHidden/>
              </w:rPr>
              <w:instrText xml:space="preserve"> PAGEREF _Toc515378900 \h </w:instrText>
            </w:r>
            <w:r>
              <w:rPr>
                <w:noProof/>
                <w:webHidden/>
              </w:rPr>
            </w:r>
            <w:r>
              <w:rPr>
                <w:noProof/>
                <w:webHidden/>
              </w:rPr>
              <w:fldChar w:fldCharType="separate"/>
            </w:r>
            <w:r>
              <w:rPr>
                <w:noProof/>
                <w:webHidden/>
              </w:rPr>
              <w:t>37</w:t>
            </w:r>
            <w:r>
              <w:rPr>
                <w:noProof/>
                <w:webHidden/>
              </w:rPr>
              <w:fldChar w:fldCharType="end"/>
            </w:r>
          </w:hyperlink>
        </w:p>
        <w:p w:rsidR="00832624" w:rsidRDefault="0072318F">
          <w:pPr>
            <w:pStyle w:val="TOC2"/>
            <w:tabs>
              <w:tab w:val="right" w:leader="dot" w:pos="9062"/>
            </w:tabs>
            <w:rPr>
              <w:rFonts w:eastAsiaTheme="minorEastAsia"/>
              <w:noProof/>
              <w:lang w:val="fr-BE" w:eastAsia="fr-BE"/>
            </w:rPr>
          </w:pPr>
          <w:hyperlink w:anchor="_Toc515378901" w:history="1">
            <w:r>
              <w:rPr>
                <w:rStyle w:val="Hyperlink"/>
                <w:rFonts w:ascii="Times New Roman" w:hAnsi="Times New Roman" w:cs="Times New Roman"/>
                <w:noProof/>
              </w:rPr>
              <w:t>Section 7.1 ‘</w:t>
            </w:r>
            <w:r>
              <w:rPr>
                <w:rStyle w:val="Hyperlink"/>
                <w:rFonts w:ascii="Times New Roman" w:eastAsia="Times New Roman" w:hAnsi="Times New Roman" w:cs="Times New Roman"/>
                <w:bCs/>
                <w:noProof/>
                <w:lang w:eastAsia="de-DE"/>
              </w:rPr>
              <w:t>Shared management: Multiannual and Annual Programmes of the Member States’ and the explanat</w:t>
            </w:r>
            <w:r>
              <w:rPr>
                <w:rStyle w:val="Hyperlink"/>
                <w:rFonts w:ascii="Times New Roman" w:eastAsia="Times New Roman" w:hAnsi="Times New Roman" w:cs="Times New Roman"/>
                <w:bCs/>
                <w:noProof/>
                <w:lang w:eastAsia="de-DE"/>
              </w:rPr>
              <w:t>ions related to the allocation key</w:t>
            </w:r>
            <w:r>
              <w:rPr>
                <w:noProof/>
                <w:webHidden/>
              </w:rPr>
              <w:tab/>
            </w:r>
            <w:r>
              <w:rPr>
                <w:noProof/>
                <w:webHidden/>
              </w:rPr>
              <w:fldChar w:fldCharType="begin"/>
            </w:r>
            <w:r>
              <w:rPr>
                <w:noProof/>
                <w:webHidden/>
              </w:rPr>
              <w:instrText xml:space="preserve"> PAGEREF _Toc515378901 \h </w:instrText>
            </w:r>
            <w:r>
              <w:rPr>
                <w:noProof/>
                <w:webHidden/>
              </w:rPr>
            </w:r>
            <w:r>
              <w:rPr>
                <w:noProof/>
                <w:webHidden/>
              </w:rPr>
              <w:fldChar w:fldCharType="separate"/>
            </w:r>
            <w:r>
              <w:rPr>
                <w:noProof/>
                <w:webHidden/>
              </w:rPr>
              <w:t>37</w:t>
            </w:r>
            <w:r>
              <w:rPr>
                <w:noProof/>
                <w:webHidden/>
              </w:rPr>
              <w:fldChar w:fldCharType="end"/>
            </w:r>
          </w:hyperlink>
        </w:p>
        <w:p w:rsidR="00832624" w:rsidRDefault="0072318F">
          <w:pPr>
            <w:pStyle w:val="TOC1"/>
            <w:tabs>
              <w:tab w:val="left" w:pos="660"/>
              <w:tab w:val="right" w:leader="dot" w:pos="9062"/>
            </w:tabs>
            <w:rPr>
              <w:rFonts w:eastAsiaTheme="minorEastAsia"/>
              <w:noProof/>
              <w:lang w:val="fr-BE" w:eastAsia="fr-BE"/>
            </w:rPr>
          </w:pPr>
          <w:hyperlink w:anchor="_Toc515378902" w:history="1">
            <w:r>
              <w:rPr>
                <w:rStyle w:val="Hyperlink"/>
                <w:noProof/>
              </w:rPr>
              <w:t>12</w:t>
            </w:r>
            <w:r>
              <w:rPr>
                <w:rFonts w:eastAsiaTheme="minorEastAsia"/>
                <w:noProof/>
                <w:lang w:val="fr-BE" w:eastAsia="fr-BE"/>
              </w:rPr>
              <w:tab/>
            </w:r>
            <w:r>
              <w:rPr>
                <w:rStyle w:val="Hyperlink"/>
                <w:noProof/>
              </w:rPr>
              <w:t>ANNEX 2 — Stakeholders’ consultation</w:t>
            </w:r>
            <w:r>
              <w:rPr>
                <w:noProof/>
                <w:webHidden/>
              </w:rPr>
              <w:tab/>
            </w:r>
            <w:r>
              <w:rPr>
                <w:noProof/>
                <w:webHidden/>
              </w:rPr>
              <w:fldChar w:fldCharType="begin"/>
            </w:r>
            <w:r>
              <w:rPr>
                <w:noProof/>
                <w:webHidden/>
              </w:rPr>
              <w:instrText xml:space="preserve"> PAGEREF _Toc515378902 \h </w:instrText>
            </w:r>
            <w:r>
              <w:rPr>
                <w:noProof/>
                <w:webHidden/>
              </w:rPr>
            </w:r>
            <w:r>
              <w:rPr>
                <w:noProof/>
                <w:webHidden/>
              </w:rPr>
              <w:fldChar w:fldCharType="separate"/>
            </w:r>
            <w:r>
              <w:rPr>
                <w:noProof/>
                <w:webHidden/>
              </w:rPr>
              <w:t>39</w:t>
            </w:r>
            <w:r>
              <w:rPr>
                <w:noProof/>
                <w:webHidden/>
              </w:rPr>
              <w:fldChar w:fldCharType="end"/>
            </w:r>
          </w:hyperlink>
        </w:p>
        <w:p w:rsidR="00832624" w:rsidRDefault="0072318F">
          <w:pPr>
            <w:pStyle w:val="TOC1"/>
            <w:tabs>
              <w:tab w:val="left" w:pos="660"/>
              <w:tab w:val="right" w:leader="dot" w:pos="9062"/>
            </w:tabs>
            <w:rPr>
              <w:rFonts w:eastAsiaTheme="minorEastAsia"/>
              <w:noProof/>
              <w:lang w:val="fr-BE" w:eastAsia="fr-BE"/>
            </w:rPr>
          </w:pPr>
          <w:hyperlink w:anchor="_Toc515378903" w:history="1">
            <w:r>
              <w:rPr>
                <w:rStyle w:val="Hyperlink"/>
                <w:noProof/>
              </w:rPr>
              <w:t>13</w:t>
            </w:r>
            <w:r>
              <w:rPr>
                <w:rFonts w:eastAsiaTheme="minorEastAsia"/>
                <w:noProof/>
                <w:lang w:val="fr-BE" w:eastAsia="fr-BE"/>
              </w:rPr>
              <w:tab/>
            </w:r>
            <w:r>
              <w:rPr>
                <w:rStyle w:val="Hyperlink"/>
                <w:noProof/>
              </w:rPr>
              <w:t>ANNEX 3 — Methodology</w:t>
            </w:r>
            <w:r>
              <w:rPr>
                <w:noProof/>
                <w:webHidden/>
              </w:rPr>
              <w:tab/>
            </w:r>
            <w:r>
              <w:rPr>
                <w:noProof/>
                <w:webHidden/>
              </w:rPr>
              <w:fldChar w:fldCharType="begin"/>
            </w:r>
            <w:r>
              <w:rPr>
                <w:noProof/>
                <w:webHidden/>
              </w:rPr>
              <w:instrText xml:space="preserve"> PAGEREF _Toc515378903 \h </w:instrText>
            </w:r>
            <w:r>
              <w:rPr>
                <w:noProof/>
                <w:webHidden/>
              </w:rPr>
            </w:r>
            <w:r>
              <w:rPr>
                <w:noProof/>
                <w:webHidden/>
              </w:rPr>
              <w:fldChar w:fldCharType="separate"/>
            </w:r>
            <w:r>
              <w:rPr>
                <w:noProof/>
                <w:webHidden/>
              </w:rPr>
              <w:t>46</w:t>
            </w:r>
            <w:r>
              <w:rPr>
                <w:noProof/>
                <w:webHidden/>
              </w:rPr>
              <w:fldChar w:fldCharType="end"/>
            </w:r>
          </w:hyperlink>
        </w:p>
        <w:p w:rsidR="00832624" w:rsidRDefault="0072318F">
          <w:pPr>
            <w:pStyle w:val="TOC1"/>
            <w:tabs>
              <w:tab w:val="left" w:pos="660"/>
              <w:tab w:val="right" w:leader="dot" w:pos="9062"/>
            </w:tabs>
            <w:rPr>
              <w:rFonts w:eastAsiaTheme="minorEastAsia"/>
              <w:noProof/>
              <w:lang w:val="fr-BE" w:eastAsia="fr-BE"/>
            </w:rPr>
          </w:pPr>
          <w:hyperlink w:anchor="_Toc515378904" w:history="1">
            <w:r>
              <w:rPr>
                <w:rStyle w:val="Hyperlink"/>
                <w:noProof/>
              </w:rPr>
              <w:t>14</w:t>
            </w:r>
            <w:r>
              <w:rPr>
                <w:rFonts w:eastAsiaTheme="minorEastAsia"/>
                <w:noProof/>
                <w:lang w:val="fr-BE" w:eastAsia="fr-BE"/>
              </w:rPr>
              <w:tab/>
            </w:r>
            <w:r>
              <w:rPr>
                <w:rStyle w:val="Hyperlink"/>
                <w:noProof/>
              </w:rPr>
              <w:t>ANNEX 4 — List of evaluation questions</w:t>
            </w:r>
            <w:r>
              <w:rPr>
                <w:noProof/>
                <w:webHidden/>
              </w:rPr>
              <w:tab/>
            </w:r>
            <w:r>
              <w:rPr>
                <w:noProof/>
                <w:webHidden/>
              </w:rPr>
              <w:fldChar w:fldCharType="begin"/>
            </w:r>
            <w:r>
              <w:rPr>
                <w:noProof/>
                <w:webHidden/>
              </w:rPr>
              <w:instrText xml:space="preserve"> PAGEREF _Toc515378904 \h </w:instrText>
            </w:r>
            <w:r>
              <w:rPr>
                <w:noProof/>
                <w:webHidden/>
              </w:rPr>
            </w:r>
            <w:r>
              <w:rPr>
                <w:noProof/>
                <w:webHidden/>
              </w:rPr>
              <w:fldChar w:fldCharType="separate"/>
            </w:r>
            <w:r>
              <w:rPr>
                <w:noProof/>
                <w:webHidden/>
              </w:rPr>
              <w:t>49</w:t>
            </w:r>
            <w:r>
              <w:rPr>
                <w:noProof/>
                <w:webHidden/>
              </w:rPr>
              <w:fldChar w:fldCharType="end"/>
            </w:r>
          </w:hyperlink>
        </w:p>
        <w:p w:rsidR="00832624" w:rsidRDefault="0072318F">
          <w:pPr>
            <w:pStyle w:val="TOC1"/>
            <w:tabs>
              <w:tab w:val="left" w:pos="660"/>
              <w:tab w:val="right" w:leader="dot" w:pos="9062"/>
            </w:tabs>
            <w:rPr>
              <w:rFonts w:eastAsiaTheme="minorEastAsia"/>
              <w:noProof/>
              <w:lang w:val="fr-BE" w:eastAsia="fr-BE"/>
            </w:rPr>
          </w:pPr>
          <w:hyperlink w:anchor="_Toc515378905" w:history="1">
            <w:r>
              <w:rPr>
                <w:rStyle w:val="Hyperlink"/>
                <w:noProof/>
              </w:rPr>
              <w:t>15</w:t>
            </w:r>
            <w:r>
              <w:rPr>
                <w:rFonts w:eastAsiaTheme="minorEastAsia"/>
                <w:noProof/>
                <w:lang w:val="fr-BE" w:eastAsia="fr-BE"/>
              </w:rPr>
              <w:tab/>
            </w:r>
            <w:r>
              <w:rPr>
                <w:rStyle w:val="Hyperlink"/>
                <w:noProof/>
              </w:rPr>
              <w:t>ANNEX 5 — List of abbreviations and country codes</w:t>
            </w:r>
            <w:r>
              <w:rPr>
                <w:noProof/>
                <w:webHidden/>
              </w:rPr>
              <w:tab/>
            </w:r>
            <w:r>
              <w:rPr>
                <w:noProof/>
                <w:webHidden/>
              </w:rPr>
              <w:fldChar w:fldCharType="begin"/>
            </w:r>
            <w:r>
              <w:rPr>
                <w:noProof/>
                <w:webHidden/>
              </w:rPr>
              <w:instrText xml:space="preserve"> PAGEREF _Toc515378905 \h </w:instrText>
            </w:r>
            <w:r>
              <w:rPr>
                <w:noProof/>
                <w:webHidden/>
              </w:rPr>
            </w:r>
            <w:r>
              <w:rPr>
                <w:noProof/>
                <w:webHidden/>
              </w:rPr>
              <w:fldChar w:fldCharType="separate"/>
            </w:r>
            <w:r>
              <w:rPr>
                <w:noProof/>
                <w:webHidden/>
              </w:rPr>
              <w:t>51</w:t>
            </w:r>
            <w:r>
              <w:rPr>
                <w:noProof/>
                <w:webHidden/>
              </w:rPr>
              <w:fldChar w:fldCharType="end"/>
            </w:r>
          </w:hyperlink>
        </w:p>
        <w:p w:rsidR="00832624" w:rsidRDefault="0072318F">
          <w:pPr>
            <w:spacing w:after="0" w:line="240" w:lineRule="auto"/>
            <w:rPr>
              <w:rFonts w:ascii="Times New Roman" w:hAnsi="Times New Roman" w:cs="Times New Roman"/>
              <w:noProof/>
            </w:rPr>
          </w:pPr>
          <w:r>
            <w:rPr>
              <w:rFonts w:ascii="Times New Roman" w:hAnsi="Times New Roman" w:cs="Times New Roman"/>
              <w:b/>
              <w:bCs/>
              <w:noProof/>
              <w:sz w:val="24"/>
              <w:szCs w:val="24"/>
            </w:rPr>
            <w:fldChar w:fldCharType="end"/>
          </w:r>
        </w:p>
      </w:sdtContent>
    </w:sdt>
    <w:p w:rsidR="00832624" w:rsidRDefault="0072318F">
      <w:pPr>
        <w:rPr>
          <w:noProof/>
          <w:lang w:val="en-GB"/>
        </w:rPr>
      </w:pPr>
      <w:r>
        <w:rPr>
          <w:noProof/>
          <w:lang w:val="en-GB"/>
        </w:rPr>
        <w:br w:type="page"/>
      </w:r>
    </w:p>
    <w:p w:rsidR="00832624" w:rsidRDefault="0072318F">
      <w:pPr>
        <w:pStyle w:val="Heading1"/>
        <w:rPr>
          <w:noProof/>
        </w:rPr>
      </w:pPr>
      <w:bookmarkStart w:id="2" w:name="_Toc515378882"/>
      <w:r>
        <w:rPr>
          <w:noProof/>
        </w:rPr>
        <w:lastRenderedPageBreak/>
        <w:t>Introduction</w:t>
      </w:r>
      <w:bookmarkEnd w:id="2"/>
    </w:p>
    <w:p w:rsidR="00832624" w:rsidRDefault="0072318F">
      <w:pPr>
        <w:pStyle w:val="BodyText"/>
        <w:spacing w:after="240"/>
        <w:rPr>
          <w:noProof/>
          <w:szCs w:val="24"/>
        </w:rPr>
      </w:pPr>
      <w:r>
        <w:rPr>
          <w:noProof/>
          <w:szCs w:val="24"/>
        </w:rPr>
        <w:t xml:space="preserve">This staff working document reports on the </w:t>
      </w:r>
      <w:r>
        <w:rPr>
          <w:i/>
          <w:noProof/>
          <w:szCs w:val="24"/>
        </w:rPr>
        <w:t>ex post</w:t>
      </w:r>
      <w:r>
        <w:rPr>
          <w:noProof/>
          <w:szCs w:val="24"/>
        </w:rPr>
        <w:t xml:space="preserve"> evaluation assessing the results and impacts of actions co-financed by the European Refugee Fund (ERF) under the annual programmes implemented by the 27 participating Member States</w:t>
      </w:r>
      <w:r>
        <w:rPr>
          <w:rStyle w:val="FootnoteReference"/>
          <w:noProof/>
          <w:szCs w:val="24"/>
        </w:rPr>
        <w:footnoteReference w:id="2"/>
      </w:r>
      <w:r>
        <w:rPr>
          <w:noProof/>
          <w:szCs w:val="24"/>
        </w:rPr>
        <w:t xml:space="preserve"> (including emergency measures), and of the Community actions, in the peri</w:t>
      </w:r>
      <w:r>
        <w:rPr>
          <w:noProof/>
          <w:szCs w:val="24"/>
        </w:rPr>
        <w:t>od 2011-2013</w:t>
      </w:r>
      <w:r>
        <w:rPr>
          <w:rStyle w:val="FootnoteReference"/>
          <w:noProof/>
          <w:szCs w:val="24"/>
        </w:rPr>
        <w:footnoteReference w:id="3"/>
      </w:r>
      <w:r>
        <w:rPr>
          <w:noProof/>
          <w:szCs w:val="24"/>
        </w:rPr>
        <w:t xml:space="preserve">. Actions under national programmes financed during this period were implemented from 1 January 2011 to 30 June 2015. </w:t>
      </w:r>
    </w:p>
    <w:p w:rsidR="00832624" w:rsidRDefault="0072318F">
      <w:pPr>
        <w:pStyle w:val="BodyText"/>
        <w:spacing w:after="240"/>
        <w:rPr>
          <w:noProof/>
          <w:szCs w:val="24"/>
        </w:rPr>
      </w:pPr>
      <w:r>
        <w:rPr>
          <w:noProof/>
          <w:szCs w:val="24"/>
        </w:rPr>
        <w:t xml:space="preserve">The </w:t>
      </w:r>
      <w:r>
        <w:rPr>
          <w:i/>
          <w:noProof/>
          <w:szCs w:val="24"/>
        </w:rPr>
        <w:t>ex</w:t>
      </w:r>
      <w:r>
        <w:rPr>
          <w:noProof/>
          <w:szCs w:val="24"/>
        </w:rPr>
        <w:t xml:space="preserve"> </w:t>
      </w:r>
      <w:r>
        <w:rPr>
          <w:i/>
          <w:noProof/>
          <w:szCs w:val="24"/>
        </w:rPr>
        <w:t>post</w:t>
      </w:r>
      <w:r>
        <w:rPr>
          <w:noProof/>
          <w:szCs w:val="24"/>
        </w:rPr>
        <w:t xml:space="preserve"> evaluation assessed ERF in the light of its relevance (whether its objectives matched with societal needs), effe</w:t>
      </w:r>
      <w:r>
        <w:rPr>
          <w:noProof/>
          <w:szCs w:val="24"/>
        </w:rPr>
        <w:t>ctiveness (to what extent objectives have been achieved), efficiency (to what extent costs were proportionate the achieved benefits), sustainability of effects after the intervention ended, coherence between the actions financed by the instrument and compl</w:t>
      </w:r>
      <w:r>
        <w:rPr>
          <w:noProof/>
          <w:szCs w:val="24"/>
        </w:rPr>
        <w:t>ementarity to other interventions, and the added value of intervening at EU level.</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results of this</w:t>
      </w:r>
      <w:r>
        <w:rPr>
          <w:rFonts w:ascii="Times New Roman" w:hAnsi="Times New Roman" w:cs="Times New Roman"/>
          <w:i/>
          <w:noProof/>
          <w:sz w:val="24"/>
          <w:szCs w:val="24"/>
          <w:lang w:val="en-GB"/>
        </w:rPr>
        <w:t xml:space="preserve"> </w:t>
      </w:r>
      <w:r>
        <w:rPr>
          <w:rFonts w:ascii="Times New Roman" w:hAnsi="Times New Roman" w:cs="Times New Roman"/>
          <w:noProof/>
          <w:sz w:val="24"/>
          <w:szCs w:val="24"/>
          <w:lang w:val="en-GB"/>
        </w:rPr>
        <w:t>evaluation will complement the interim evaluation of the Asylum, Migration and Integration Fund (AMIF)</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 xml:space="preserve">, the successor of the Return Fund, Refugee Fund </w:t>
      </w:r>
      <w:r>
        <w:rPr>
          <w:rFonts w:ascii="Times New Roman" w:hAnsi="Times New Roman" w:cs="Times New Roman"/>
          <w:noProof/>
          <w:sz w:val="24"/>
          <w:szCs w:val="24"/>
          <w:lang w:val="en-GB"/>
        </w:rPr>
        <w:t>and Integration Fund for the period 2014-2020. The interim evaluation of the AMIF is due in 2018</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The Commission will submit an interim evaluation report of the Fund by 30 June 2018 to the European parliament, the Council, the European Economic and Social</w:t>
      </w:r>
      <w:r>
        <w:rPr>
          <w:rFonts w:ascii="Times New Roman" w:hAnsi="Times New Roman" w:cs="Times New Roman"/>
          <w:noProof/>
          <w:sz w:val="24"/>
          <w:szCs w:val="24"/>
          <w:lang w:val="en-GB"/>
        </w:rPr>
        <w:t xml:space="preserve"> Committee and the Committee of the Regions. This interim evaluation report will be based on the interim evaluation reports provided by the Member States on the implementation of the actions and progress towards achieving the objectives of their national p</w:t>
      </w:r>
      <w:r>
        <w:rPr>
          <w:rFonts w:ascii="Times New Roman" w:hAnsi="Times New Roman" w:cs="Times New Roman"/>
          <w:noProof/>
          <w:sz w:val="24"/>
          <w:szCs w:val="24"/>
          <w:lang w:val="en-GB"/>
        </w:rPr>
        <w:t>rogrammes to be submitted to the Commission by 31 December 2017. The interim evaluation report which the Commission will submit will also include an assessment of the mid-term review carried out by the Member States and of the implementation of the emergen</w:t>
      </w:r>
      <w:r>
        <w:rPr>
          <w:rFonts w:ascii="Times New Roman" w:hAnsi="Times New Roman" w:cs="Times New Roman"/>
          <w:noProof/>
          <w:sz w:val="24"/>
          <w:szCs w:val="24"/>
          <w:lang w:val="en-GB"/>
        </w:rPr>
        <w:t>cy assistance grants and Union actions. The results of the interim evaluation together with the results of the present evaluation will contribute to the shaping of the future policies under DG HOME responsibility, especially to the preparation of the new f</w:t>
      </w:r>
      <w:r>
        <w:rPr>
          <w:rFonts w:ascii="Times New Roman" w:hAnsi="Times New Roman" w:cs="Times New Roman"/>
          <w:noProof/>
          <w:sz w:val="24"/>
          <w:szCs w:val="24"/>
          <w:lang w:val="en-GB"/>
        </w:rPr>
        <w:t>unding instruments in the framework of the Multiannual Financial Framework (MFF) post 2020.</w:t>
      </w:r>
    </w:p>
    <w:p w:rsidR="00832624" w:rsidRDefault="00832624">
      <w:pPr>
        <w:pStyle w:val="BodyText"/>
        <w:spacing w:after="240"/>
        <w:rPr>
          <w:noProof/>
          <w:szCs w:val="24"/>
        </w:rPr>
      </w:pPr>
    </w:p>
    <w:p w:rsidR="00832624" w:rsidRDefault="00832624">
      <w:pPr>
        <w:pStyle w:val="BodyText"/>
        <w:spacing w:after="240"/>
        <w:rPr>
          <w:noProof/>
          <w:szCs w:val="24"/>
        </w:rPr>
      </w:pPr>
    </w:p>
    <w:p w:rsidR="00832624" w:rsidRDefault="0072318F">
      <w:pPr>
        <w:pStyle w:val="Heading1"/>
        <w:rPr>
          <w:noProof/>
        </w:rPr>
      </w:pPr>
      <w:bookmarkStart w:id="3" w:name="_Toc515378883"/>
      <w:r>
        <w:rPr>
          <w:noProof/>
        </w:rPr>
        <w:lastRenderedPageBreak/>
        <w:t>Background to the initiative</w:t>
      </w:r>
      <w:bookmarkEnd w:id="3"/>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color w:val="000000" w:themeColor="text1"/>
          <w:sz w:val="24"/>
          <w:szCs w:val="24"/>
          <w:lang w:val="en-GB"/>
        </w:rPr>
        <w:t>In the years 2000, the European Union had on average received around 300 000 asylum applications a year. In this light a</w:t>
      </w:r>
      <w:r>
        <w:rPr>
          <w:rFonts w:ascii="Times New Roman" w:hAnsi="Times New Roman" w:cs="Times New Roman"/>
          <w:noProof/>
          <w:sz w:val="24"/>
          <w:szCs w:val="24"/>
          <w:lang w:val="en-GB"/>
        </w:rPr>
        <w:t xml:space="preserve"> first tangib</w:t>
      </w:r>
      <w:r>
        <w:rPr>
          <w:rFonts w:ascii="Times New Roman" w:hAnsi="Times New Roman" w:cs="Times New Roman"/>
          <w:noProof/>
          <w:sz w:val="24"/>
          <w:szCs w:val="24"/>
          <w:lang w:val="en-GB"/>
        </w:rPr>
        <w:t>le expression of solidarity in the field of asylum at EU level was the creation of the ERF in 2000</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lang w:val="en-GB"/>
        </w:rPr>
        <w:t>, which has been instrumental in laying the foundations of collective action by the European Union for the reception of asylum applicants and persons requiri</w:t>
      </w:r>
      <w:r>
        <w:rPr>
          <w:rFonts w:ascii="Times New Roman" w:hAnsi="Times New Roman" w:cs="Times New Roman"/>
          <w:noProof/>
          <w:sz w:val="24"/>
          <w:szCs w:val="24"/>
          <w:lang w:val="en-GB"/>
        </w:rPr>
        <w:t>ng international protection as part of a comprehensive approach. The first ERF ended in 2004 and was followed by a second phase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lang w:val="en-GB"/>
        </w:rPr>
        <w:t xml:space="preserve"> (ERF II) in 2005 - 2007.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color w:val="000000" w:themeColor="text1"/>
          <w:sz w:val="24"/>
          <w:szCs w:val="24"/>
          <w:lang w:val="en-GB"/>
        </w:rPr>
        <w:t>A number of crucial requirements in the field of EU asylum policy were identified in 2005 in an impac</w:t>
      </w:r>
      <w:r>
        <w:rPr>
          <w:rFonts w:ascii="Times New Roman" w:hAnsi="Times New Roman" w:cs="Times New Roman"/>
          <w:noProof/>
          <w:color w:val="000000" w:themeColor="text1"/>
          <w:sz w:val="24"/>
          <w:szCs w:val="24"/>
          <w:lang w:val="en-GB"/>
        </w:rPr>
        <w:t>t assessment</w:t>
      </w:r>
      <w:r>
        <w:rPr>
          <w:rStyle w:val="FootnoteReference"/>
          <w:rFonts w:ascii="Times New Roman" w:hAnsi="Times New Roman" w:cs="Times New Roman"/>
          <w:noProof/>
          <w:color w:val="000000" w:themeColor="text1"/>
          <w:sz w:val="24"/>
          <w:szCs w:val="24"/>
        </w:rPr>
        <w:footnoteReference w:id="8"/>
      </w:r>
      <w:r>
        <w:rPr>
          <w:rFonts w:ascii="Times New Roman" w:hAnsi="Times New Roman" w:cs="Times New Roman"/>
          <w:noProof/>
          <w:color w:val="000000" w:themeColor="text1"/>
          <w:sz w:val="24"/>
          <w:szCs w:val="24"/>
          <w:lang w:val="en-GB"/>
        </w:rPr>
        <w:t xml:space="preserve">. </w:t>
      </w: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main problem</w:t>
      </w:r>
      <w:r>
        <w:rPr>
          <w:rFonts w:ascii="Times New Roman" w:hAnsi="Times New Roman" w:cs="Times New Roman"/>
          <w:noProof/>
          <w:sz w:val="24"/>
          <w:szCs w:val="24"/>
          <w:lang w:val="en-GB"/>
        </w:rPr>
        <w:t xml:space="preserve"> to be addressed was to translate into practice the principle of solidarity</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lang w:val="en-GB"/>
        </w:rPr>
        <w:t xml:space="preserve"> between Member States in the EU asylum policy and was defined as follows:  </w:t>
      </w:r>
    </w:p>
    <w:p w:rsidR="00832624" w:rsidRDefault="0072318F">
      <w:pPr>
        <w:spacing w:after="240" w:line="240" w:lineRule="auto"/>
        <w:jc w:val="both"/>
        <w:rPr>
          <w:rFonts w:ascii="Times New Roman" w:hAnsi="Times New Roman" w:cs="Times New Roman"/>
          <w:i/>
          <w:noProof/>
          <w:sz w:val="24"/>
          <w:szCs w:val="24"/>
          <w:lang w:val="en-GB"/>
        </w:rPr>
      </w:pPr>
      <w:r>
        <w:rPr>
          <w:rFonts w:ascii="Times New Roman" w:hAnsi="Times New Roman"/>
          <w:i/>
          <w:noProof/>
          <w:sz w:val="24"/>
          <w:lang w:val="en-GB"/>
        </w:rPr>
        <w:t>H</w:t>
      </w:r>
      <w:r>
        <w:rPr>
          <w:rFonts w:ascii="Times New Roman" w:hAnsi="Times New Roman" w:cs="Times New Roman"/>
          <w:i/>
          <w:noProof/>
          <w:sz w:val="24"/>
          <w:szCs w:val="24"/>
          <w:lang w:val="en-GB"/>
        </w:rPr>
        <w:t>ow to implement the principle of solidarity in managing people flows by</w:t>
      </w:r>
      <w:r>
        <w:rPr>
          <w:rFonts w:ascii="Times New Roman" w:hAnsi="Times New Roman" w:cs="Times New Roman"/>
          <w:i/>
          <w:noProof/>
          <w:sz w:val="24"/>
          <w:szCs w:val="24"/>
          <w:lang w:val="en-GB"/>
        </w:rPr>
        <w:t xml:space="preserve"> ensuring a fair share of responsibilities between Member States as regards the burden arising from the implementation of common policies on asylum and immigration and on the management of the external borders?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2008-2013 ERF</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lang w:val="en-GB"/>
        </w:rPr>
        <w:t xml:space="preserve"> (the subject of the current </w:t>
      </w:r>
      <w:r>
        <w:rPr>
          <w:rFonts w:ascii="Times New Roman" w:hAnsi="Times New Roman" w:cs="Times New Roman"/>
          <w:i/>
          <w:noProof/>
          <w:sz w:val="24"/>
          <w:szCs w:val="24"/>
          <w:lang w:val="en-GB"/>
        </w:rPr>
        <w:t>ex post</w:t>
      </w:r>
      <w:r>
        <w:rPr>
          <w:rFonts w:ascii="Times New Roman" w:hAnsi="Times New Roman" w:cs="Times New Roman"/>
          <w:noProof/>
          <w:sz w:val="24"/>
          <w:szCs w:val="24"/>
          <w:lang w:val="en-GB"/>
        </w:rPr>
        <w:t xml:space="preserve"> evaluation and hereinafter referred to as 'ERF') is the third phase of solidarity in the field of asylum and is one of the four EU funding instruments</w:t>
      </w:r>
      <w:r>
        <w:rPr>
          <w:rStyle w:val="FootnoteReference"/>
          <w:rFonts w:ascii="Times New Roman" w:hAnsi="Times New Roman" w:cs="Times New Roman"/>
          <w:noProof/>
          <w:sz w:val="24"/>
          <w:szCs w:val="24"/>
          <w:lang w:val="en-GB"/>
        </w:rPr>
        <w:footnoteReference w:id="11"/>
      </w:r>
      <w:r>
        <w:rPr>
          <w:rFonts w:ascii="Times New Roman" w:hAnsi="Times New Roman" w:cs="Times New Roman"/>
          <w:noProof/>
          <w:sz w:val="24"/>
          <w:szCs w:val="24"/>
          <w:lang w:val="en-GB"/>
        </w:rPr>
        <w:t xml:space="preserve"> established in 2007 as part of the framework programme on solidarit</w:t>
      </w:r>
      <w:r>
        <w:rPr>
          <w:rFonts w:ascii="Times New Roman" w:hAnsi="Times New Roman" w:cs="Times New Roman"/>
          <w:noProof/>
          <w:sz w:val="24"/>
          <w:szCs w:val="24"/>
          <w:lang w:val="en-GB"/>
        </w:rPr>
        <w:t>y and migration flows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lang w:val="en-GB"/>
        </w:rPr>
        <w:t xml:space="preserve"> and of a wider EU policy framework which also included the European Asylum Support Office Agency (EASO), the Dublin Regulation</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lang w:val="en-GB"/>
        </w:rPr>
        <w:t>, the EURODAC system</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lang w:val="en-GB"/>
        </w:rPr>
        <w:t xml:space="preserve"> and emergency measures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lang w:val="en-GB"/>
        </w:rPr>
        <w:t>. Since 1999, the EU has been working to create a common Euro</w:t>
      </w:r>
      <w:r>
        <w:rPr>
          <w:rFonts w:ascii="Times New Roman" w:hAnsi="Times New Roman" w:cs="Times New Roman"/>
          <w:noProof/>
          <w:sz w:val="24"/>
          <w:szCs w:val="24"/>
          <w:lang w:val="en-GB"/>
        </w:rPr>
        <w:t>pean asylum system (CEAS)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lang w:val="en-GB"/>
        </w:rPr>
        <w:t xml:space="preserve"> affecting the obligations of Member States with regards to the reception of asylum applicants and asylum procedures, the integration of refugees and the beneficiaries of subsidiary protection. Moreover, the EU has adopted several</w:t>
      </w:r>
      <w:r>
        <w:rPr>
          <w:rFonts w:ascii="Times New Roman" w:hAnsi="Times New Roman" w:cs="Times New Roman"/>
          <w:noProof/>
          <w:sz w:val="24"/>
          <w:szCs w:val="24"/>
          <w:lang w:val="en-GB"/>
        </w:rPr>
        <w:t xml:space="preserve"> legislative measures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lang w:val="en-GB"/>
        </w:rPr>
        <w:t xml:space="preserve"> harmonising common minimum standards for asylum. These measures (the asylum </w:t>
      </w:r>
      <w:r>
        <w:rPr>
          <w:rFonts w:ascii="Times New Roman" w:hAnsi="Times New Roman" w:cs="Times New Roman"/>
          <w:i/>
          <w:noProof/>
          <w:sz w:val="24"/>
          <w:szCs w:val="24"/>
          <w:lang w:val="en-GB"/>
        </w:rPr>
        <w:t>acquis</w:t>
      </w:r>
      <w:r>
        <w:rPr>
          <w:rFonts w:ascii="Times New Roman" w:hAnsi="Times New Roman" w:cs="Times New Roman"/>
          <w:noProof/>
          <w:sz w:val="24"/>
          <w:szCs w:val="24"/>
          <w:lang w:val="en-GB"/>
        </w:rPr>
        <w:t>) aimed at ensuring an equal treatment of asylum applicants in an open and fair system.</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color w:val="000000" w:themeColor="text1"/>
          <w:sz w:val="24"/>
          <w:szCs w:val="24"/>
          <w:lang w:val="en-GB"/>
        </w:rPr>
        <w:t>One of the characteristic of the period</w:t>
      </w:r>
      <w:r>
        <w:rPr>
          <w:rStyle w:val="FootnoteReference"/>
          <w:rFonts w:ascii="Times New Roman" w:hAnsi="Times New Roman" w:cs="Times New Roman"/>
          <w:noProof/>
          <w:color w:val="000000" w:themeColor="text1"/>
          <w:sz w:val="24"/>
          <w:szCs w:val="24"/>
          <w:lang w:val="en-GB"/>
        </w:rPr>
        <w:footnoteReference w:id="18"/>
      </w:r>
      <w:r>
        <w:rPr>
          <w:rFonts w:ascii="Times New Roman" w:hAnsi="Times New Roman" w:cs="Times New Roman"/>
          <w:noProof/>
          <w:color w:val="000000" w:themeColor="text1"/>
          <w:sz w:val="24"/>
          <w:szCs w:val="24"/>
          <w:lang w:val="en-GB"/>
        </w:rPr>
        <w:t xml:space="preserve"> was the sudden and unf</w:t>
      </w:r>
      <w:r>
        <w:rPr>
          <w:rFonts w:ascii="Times New Roman" w:hAnsi="Times New Roman" w:cs="Times New Roman"/>
          <w:noProof/>
          <w:color w:val="000000" w:themeColor="text1"/>
          <w:sz w:val="24"/>
          <w:szCs w:val="24"/>
          <w:lang w:val="en-GB"/>
        </w:rPr>
        <w:t>oreseen increase of migratory pressure which started already in 2012 and led to a drastic increase in the number of asylum applications in the European Union, with great variation across Member States. The number of asylum applicants in 2014 reached 600 00</w:t>
      </w:r>
      <w:r>
        <w:rPr>
          <w:rFonts w:ascii="Times New Roman" w:hAnsi="Times New Roman" w:cs="Times New Roman"/>
          <w:noProof/>
          <w:color w:val="000000" w:themeColor="text1"/>
          <w:sz w:val="24"/>
          <w:szCs w:val="24"/>
          <w:lang w:val="en-GB"/>
        </w:rPr>
        <w:t xml:space="preserve">0 persons and were mainly concentrated in Germany (173 100), followed by Sweden (75 100), Italy (63 700), France (59 000) and Hungary (41 300). </w:t>
      </w:r>
    </w:p>
    <w:p w:rsidR="00832624" w:rsidRDefault="0072318F">
      <w:pPr>
        <w:spacing w:after="24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Figure 1: Number of asylum applicants in the 28 Member States (period 2008-2016)</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Pr>
          <w:noProof/>
          <w:lang w:val="en-GB" w:eastAsia="en-GB"/>
        </w:rPr>
        <w:drawing>
          <wp:inline distT="0" distB="0" distL="0" distR="0" wp14:anchorId="42219AEC" wp14:editId="1E41387D">
            <wp:extent cx="3569335" cy="1958975"/>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9335" cy="1958975"/>
                    </a:xfrm>
                    <a:prstGeom prst="rect">
                      <a:avLst/>
                    </a:prstGeom>
                    <a:noFill/>
                  </pic:spPr>
                </pic:pic>
              </a:graphicData>
            </a:graphic>
          </wp:inline>
        </w:drawing>
      </w:r>
    </w:p>
    <w:p w:rsidR="00832624" w:rsidRDefault="0072318F">
      <w:pPr>
        <w:spacing w:after="24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Source: Eurostat data as of</w:t>
      </w:r>
      <w:r>
        <w:rPr>
          <w:rFonts w:ascii="Times New Roman" w:hAnsi="Times New Roman" w:cs="Times New Roman"/>
          <w:noProof/>
          <w:sz w:val="24"/>
          <w:szCs w:val="24"/>
          <w:lang w:val="en-GB"/>
        </w:rPr>
        <w:t xml:space="preserve"> 07.03.2017 http://appsso.eurostat.ec.europa.eu/nui/show.do?dataset=migr_asyappctza&amp;lang=en</w:t>
      </w:r>
      <w:r>
        <w:rPr>
          <w:noProof/>
          <w:lang w:val="en-GB" w:eastAsia="en-GB"/>
        </w:rPr>
        <w:t xml:space="preserve"> </w:t>
      </w:r>
    </w:p>
    <w:p w:rsidR="00832624" w:rsidRDefault="0072318F">
      <w:pPr>
        <w:pStyle w:val="Heading1"/>
        <w:rPr>
          <w:noProof/>
        </w:rPr>
      </w:pPr>
      <w:bookmarkStart w:id="4" w:name="_Toc515378884"/>
      <w:r>
        <w:rPr>
          <w:noProof/>
        </w:rPr>
        <w:t>The ERF as funding instrument</w:t>
      </w:r>
      <w:bookmarkEnd w:id="4"/>
      <w:r>
        <w:rPr>
          <w:noProof/>
        </w:rPr>
        <w:t xml:space="preserve">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general objective reflected into the Impact Assessment</w:t>
      </w:r>
      <w:r>
        <w:rPr>
          <w:rStyle w:val="FootnoteReference"/>
          <w:rFonts w:ascii="Times New Roman" w:hAnsi="Times New Roman" w:cs="Times New Roman"/>
          <w:noProof/>
          <w:sz w:val="24"/>
          <w:szCs w:val="24"/>
          <w:lang w:val="en-GB"/>
        </w:rPr>
        <w:footnoteReference w:id="19"/>
      </w:r>
      <w:r>
        <w:rPr>
          <w:rFonts w:ascii="Times New Roman" w:hAnsi="Times New Roman" w:cs="Times New Roman"/>
          <w:noProof/>
          <w:sz w:val="24"/>
          <w:szCs w:val="24"/>
          <w:lang w:val="en-GB"/>
        </w:rPr>
        <w:t xml:space="preserve"> underpinning the SOLID Funds was to support the development and </w:t>
      </w:r>
      <w:r>
        <w:rPr>
          <w:rFonts w:ascii="Times New Roman" w:eastAsia="Times New Roman" w:hAnsi="Times New Roman" w:cs="Times New Roman"/>
          <w:noProof/>
          <w:sz w:val="24"/>
          <w:szCs w:val="24"/>
          <w:lang w:val="en-GB"/>
        </w:rPr>
        <w:t>implemen</w:t>
      </w:r>
      <w:r>
        <w:rPr>
          <w:rFonts w:ascii="Times New Roman" w:eastAsia="Times New Roman" w:hAnsi="Times New Roman" w:cs="Times New Roman"/>
          <w:noProof/>
          <w:sz w:val="24"/>
          <w:szCs w:val="24"/>
          <w:lang w:val="en-GB"/>
        </w:rPr>
        <w:t>tation of the CEAS</w:t>
      </w:r>
      <w:r>
        <w:rPr>
          <w:rFonts w:ascii="Times New Roman" w:hAnsi="Times New Roman" w:cs="Times New Roman"/>
          <w:noProof/>
          <w:sz w:val="24"/>
          <w:szCs w:val="24"/>
          <w:lang w:val="en-GB"/>
        </w:rPr>
        <w:t xml:space="preserve"> on the basis of solidarity between Member States, and to promote balance in Member States’ efforts to bear the consequences of receiving refugees and displaced persons</w:t>
      </w:r>
      <w:r>
        <w:rPr>
          <w:rFonts w:ascii="Times New Roman" w:eastAsia="Times New Roman" w:hAnsi="Times New Roman" w:cs="Times New Roman"/>
          <w:noProof/>
          <w:sz w:val="24"/>
          <w:szCs w:val="24"/>
          <w:lang w:val="en-GB"/>
        </w:rPr>
        <w:t>, taking account of the relevant Community legislation</w:t>
      </w:r>
      <w:r>
        <w:rPr>
          <w:rFonts w:ascii="Times New Roman" w:hAnsi="Times New Roman" w:cs="Times New Roman"/>
          <w:noProof/>
          <w:sz w:val="24"/>
          <w:szCs w:val="24"/>
          <w:lang w:val="en-GB"/>
        </w:rPr>
        <w:t>. T</w:t>
      </w:r>
      <w:r>
        <w:rPr>
          <w:rFonts w:ascii="Times New Roman" w:eastAsia="Times New Roman" w:hAnsi="Times New Roman" w:cs="Times New Roman"/>
          <w:noProof/>
          <w:sz w:val="24"/>
          <w:szCs w:val="24"/>
          <w:lang w:val="en-GB"/>
        </w:rPr>
        <w:t>he general ob</w:t>
      </w:r>
      <w:r>
        <w:rPr>
          <w:rFonts w:ascii="Times New Roman" w:eastAsia="Times New Roman" w:hAnsi="Times New Roman" w:cs="Times New Roman"/>
          <w:noProof/>
          <w:sz w:val="24"/>
          <w:szCs w:val="24"/>
          <w:lang w:val="en-GB"/>
        </w:rPr>
        <w:t>jective of the ERF</w:t>
      </w:r>
      <w:r>
        <w:rPr>
          <w:rStyle w:val="FootnoteReference"/>
          <w:rFonts w:ascii="Times New Roman" w:eastAsia="Times New Roman" w:hAnsi="Times New Roman" w:cs="Times New Roman"/>
          <w:noProof/>
          <w:sz w:val="24"/>
          <w:szCs w:val="24"/>
          <w:lang w:val="en-GB"/>
        </w:rPr>
        <w:footnoteReference w:id="20"/>
      </w:r>
      <w:r>
        <w:rPr>
          <w:rFonts w:ascii="Times New Roman" w:eastAsia="Times New Roman" w:hAnsi="Times New Roman" w:cs="Times New Roman"/>
          <w:noProof/>
          <w:sz w:val="24"/>
          <w:szCs w:val="24"/>
          <w:lang w:val="en-GB"/>
        </w:rPr>
        <w:t xml:space="preserve"> does not fully capture this idea and limits its expression "</w:t>
      </w:r>
      <w:r>
        <w:rPr>
          <w:rFonts w:ascii="Times New Roman" w:eastAsia="Times New Roman" w:hAnsi="Times New Roman" w:cs="Times New Roman"/>
          <w:i/>
          <w:noProof/>
          <w:sz w:val="24"/>
          <w:szCs w:val="24"/>
          <w:lang w:val="en-GB"/>
        </w:rPr>
        <w:t>to support and encourage the efforts made by the Member States in receiving and bearing the consequences of receiving refugees and displaced persons taking into account of Comm</w:t>
      </w:r>
      <w:r>
        <w:rPr>
          <w:rFonts w:ascii="Times New Roman" w:eastAsia="Times New Roman" w:hAnsi="Times New Roman" w:cs="Times New Roman"/>
          <w:i/>
          <w:noProof/>
          <w:sz w:val="24"/>
          <w:szCs w:val="24"/>
          <w:lang w:val="en-GB"/>
        </w:rPr>
        <w:t>unity legislation on those matters</w:t>
      </w:r>
      <w:r>
        <w:rPr>
          <w:rFonts w:ascii="Times New Roman" w:eastAsia="Times New Roman" w:hAnsi="Times New Roman" w:cs="Times New Roman"/>
          <w:noProof/>
          <w:sz w:val="24"/>
          <w:szCs w:val="24"/>
          <w:lang w:val="en-GB"/>
        </w:rPr>
        <w:t xml:space="preserve">". </w:t>
      </w:r>
      <w:r>
        <w:rPr>
          <w:rFonts w:ascii="Times New Roman" w:hAnsi="Times New Roman" w:cs="Times New Roman"/>
          <w:noProof/>
          <w:sz w:val="24"/>
          <w:szCs w:val="24"/>
          <w:lang w:val="en-GB"/>
        </w:rPr>
        <w:t>The Fund acted as a financial solidarity mechanism to support Member States that, on behalf of the EU, bear a substantial long</w:t>
      </w:r>
      <w:r>
        <w:rPr>
          <w:rFonts w:ascii="Times New Roman" w:hAnsi="Times New Roman" w:cs="Times New Roman"/>
          <w:noProof/>
          <w:sz w:val="24"/>
          <w:szCs w:val="24"/>
          <w:lang w:val="en-GB"/>
        </w:rPr>
        <w:noBreakHyphen/>
        <w:t>term financial burden under the CEAS.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ERF's general objective was not translated further</w:t>
      </w:r>
      <w:r>
        <w:rPr>
          <w:rFonts w:ascii="Times New Roman" w:hAnsi="Times New Roman" w:cs="Times New Roman"/>
          <w:noProof/>
          <w:sz w:val="24"/>
          <w:szCs w:val="24"/>
          <w:lang w:val="en-GB"/>
        </w:rPr>
        <w:t xml:space="preserve"> into specific and operational objectives in the legal base. Instead, the legal base identified five policy areas and within each policy area defined concrete eligible actions. The five policy areas are the following: i) reception conditions and asylum pro</w:t>
      </w:r>
      <w:r>
        <w:rPr>
          <w:rFonts w:ascii="Times New Roman" w:hAnsi="Times New Roman" w:cs="Times New Roman"/>
          <w:noProof/>
          <w:sz w:val="24"/>
          <w:szCs w:val="24"/>
          <w:lang w:val="en-GB"/>
        </w:rPr>
        <w:t>cedures, ii) integration of target groups iii) enhancement of MS' capacity to develop, monitor and evaluate their asylum policies, iv) resettlement and v) transfer of target groups. The intervention logic of the ERF's legal base is therefore not consistent</w:t>
      </w:r>
      <w:r>
        <w:rPr>
          <w:rFonts w:ascii="Times New Roman" w:hAnsi="Times New Roman" w:cs="Times New Roman"/>
          <w:noProof/>
          <w:sz w:val="24"/>
          <w:szCs w:val="24"/>
          <w:lang w:val="en-GB"/>
        </w:rPr>
        <w:t xml:space="preserve"> with the wider policy objectives.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definition and scope of the policy areas was linked to the scope of the Common European Asylum System. Therefore the evaluation assimilated the five identified policy areas to specific objectives and the eligible acti</w:t>
      </w:r>
      <w:r>
        <w:rPr>
          <w:rFonts w:ascii="Times New Roman" w:hAnsi="Times New Roman" w:cs="Times New Roman"/>
          <w:noProof/>
          <w:sz w:val="24"/>
          <w:szCs w:val="24"/>
          <w:lang w:val="en-GB"/>
        </w:rPr>
        <w:t xml:space="preserve">ons within the policy areas as operational objectives. In consequence, the effectiveness of the ERF was evaluated against these five policy areas.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Furthermore, the absence of clearly defined objectives in the legal base led to the lack of EU targets linke</w:t>
      </w:r>
      <w:r>
        <w:rPr>
          <w:rFonts w:ascii="Times New Roman" w:hAnsi="Times New Roman" w:cs="Times New Roman"/>
          <w:noProof/>
          <w:sz w:val="24"/>
          <w:szCs w:val="24"/>
          <w:lang w:val="en-GB"/>
        </w:rPr>
        <w:t>d to operational objectives to measure the results of the ERF. Therefore, to assess the effectiveness of the Fund, the evaluation had to rely mainly on programme targets set by Member States in their annual programmes which reflect first and foremost natio</w:t>
      </w:r>
      <w:r>
        <w:rPr>
          <w:rFonts w:ascii="Times New Roman" w:hAnsi="Times New Roman" w:cs="Times New Roman"/>
          <w:noProof/>
          <w:sz w:val="24"/>
          <w:szCs w:val="24"/>
          <w:lang w:val="en-GB"/>
        </w:rPr>
        <w:t>nal needs and are assessed in the evaluation against interviews with stakeholders. This, combined with the absence of a baseline</w:t>
      </w:r>
      <w:r>
        <w:rPr>
          <w:rStyle w:val="FootnoteReference"/>
          <w:rFonts w:ascii="Times New Roman" w:hAnsi="Times New Roman" w:cs="Times New Roman"/>
          <w:noProof/>
          <w:sz w:val="24"/>
          <w:szCs w:val="24"/>
          <w:lang w:val="en-GB"/>
        </w:rPr>
        <w:footnoteReference w:id="21"/>
      </w:r>
      <w:r>
        <w:rPr>
          <w:rFonts w:ascii="Times New Roman" w:hAnsi="Times New Roman" w:cs="Times New Roman"/>
          <w:noProof/>
          <w:sz w:val="24"/>
          <w:szCs w:val="24"/>
          <w:lang w:val="en-GB"/>
        </w:rPr>
        <w:t>, proved to be strong limitation in terms of methodology.</w:t>
      </w:r>
    </w:p>
    <w:p w:rsidR="00832624" w:rsidRDefault="0072318F">
      <w:pPr>
        <w:spacing w:after="240" w:line="240" w:lineRule="auto"/>
        <w:jc w:val="both"/>
        <w:rPr>
          <w:rFonts w:ascii="Times New Roman" w:hAnsi="Times New Roman"/>
          <w:noProof/>
          <w:sz w:val="24"/>
          <w:lang w:val="en-GB"/>
        </w:rPr>
      </w:pPr>
      <w:r>
        <w:rPr>
          <w:rFonts w:ascii="Times New Roman" w:hAnsi="Times New Roman" w:cs="Times New Roman"/>
          <w:noProof/>
          <w:sz w:val="24"/>
          <w:szCs w:val="24"/>
          <w:lang w:val="en-GB"/>
        </w:rPr>
        <w:t>To compensate for the absence of clearly defined objectives and targe</w:t>
      </w:r>
      <w:r>
        <w:rPr>
          <w:rFonts w:ascii="Times New Roman" w:hAnsi="Times New Roman" w:cs="Times New Roman"/>
          <w:noProof/>
          <w:sz w:val="24"/>
          <w:szCs w:val="24"/>
          <w:lang w:val="en-GB"/>
        </w:rPr>
        <w:t>ts a</w:t>
      </w:r>
      <w:r>
        <w:rPr>
          <w:rFonts w:ascii="Times New Roman" w:hAnsi="Times New Roman"/>
          <w:noProof/>
          <w:sz w:val="24"/>
          <w:lang w:val="en-GB"/>
        </w:rPr>
        <w:t>nd in accordance with the Decision establishing the ERF</w:t>
      </w:r>
      <w:r>
        <w:rPr>
          <w:rStyle w:val="FootnoteReference"/>
          <w:rFonts w:ascii="Times New Roman" w:hAnsi="Times New Roman"/>
          <w:noProof/>
          <w:sz w:val="24"/>
          <w:lang w:val="en-GB"/>
        </w:rPr>
        <w:footnoteReference w:id="22"/>
      </w:r>
      <w:r>
        <w:rPr>
          <w:rFonts w:ascii="Times New Roman" w:hAnsi="Times New Roman"/>
          <w:noProof/>
          <w:sz w:val="24"/>
          <w:lang w:val="en-GB"/>
        </w:rPr>
        <w:t>, the Commission adopted Strategic Guidelines</w:t>
      </w:r>
      <w:r>
        <w:rPr>
          <w:rStyle w:val="FootnoteReference"/>
          <w:rFonts w:ascii="Times New Roman" w:hAnsi="Times New Roman" w:cs="Times New Roman"/>
          <w:noProof/>
          <w:sz w:val="24"/>
          <w:szCs w:val="24"/>
          <w:lang w:val="en-GB"/>
        </w:rPr>
        <w:footnoteReference w:id="23"/>
      </w:r>
      <w:r>
        <w:rPr>
          <w:rFonts w:ascii="Times New Roman" w:hAnsi="Times New Roman"/>
          <w:noProof/>
          <w:sz w:val="24"/>
          <w:lang w:val="en-GB"/>
        </w:rPr>
        <w:t xml:space="preserve"> which identified three priorities</w:t>
      </w:r>
      <w:r>
        <w:rPr>
          <w:rStyle w:val="FootnoteReference"/>
          <w:rFonts w:ascii="Times New Roman" w:hAnsi="Times New Roman" w:cs="Times New Roman"/>
          <w:noProof/>
          <w:sz w:val="24"/>
          <w:szCs w:val="24"/>
          <w:lang w:val="en-GB"/>
        </w:rPr>
        <w:footnoteReference w:id="24"/>
      </w:r>
      <w:r>
        <w:rPr>
          <w:rFonts w:ascii="Times New Roman" w:hAnsi="Times New Roman"/>
          <w:noProof/>
          <w:sz w:val="24"/>
          <w:lang w:val="en-GB"/>
        </w:rPr>
        <w:t xml:space="preserve"> and seven specific priorities (between 2 to 3 specific priorities per priority). The three main priorities were: </w:t>
      </w:r>
    </w:p>
    <w:p w:rsidR="00832624" w:rsidRDefault="0072318F">
      <w:pPr>
        <w:pStyle w:val="FootnoteText"/>
        <w:numPr>
          <w:ilvl w:val="0"/>
          <w:numId w:val="27"/>
        </w:numPr>
        <w:rPr>
          <w:rFonts w:ascii="Times New Roman" w:hAnsi="Times New Roman" w:cs="Times New Roman"/>
          <w:noProof/>
          <w:sz w:val="24"/>
          <w:szCs w:val="20"/>
        </w:rPr>
      </w:pPr>
      <w:r>
        <w:rPr>
          <w:rFonts w:ascii="Times New Roman" w:hAnsi="Times New Roman" w:cs="Times New Roman"/>
          <w:noProof/>
          <w:sz w:val="24"/>
          <w:szCs w:val="20"/>
        </w:rPr>
        <w:t>Priority 1: Implementation of the principles and measures set out in the Community acquis in the field of asylum, including those related to integration objectives.</w:t>
      </w:r>
    </w:p>
    <w:p w:rsidR="00832624" w:rsidRDefault="0072318F">
      <w:pPr>
        <w:pStyle w:val="FootnoteText"/>
        <w:numPr>
          <w:ilvl w:val="0"/>
          <w:numId w:val="27"/>
        </w:numPr>
        <w:rPr>
          <w:rFonts w:ascii="Times New Roman" w:hAnsi="Times New Roman" w:cs="Times New Roman"/>
          <w:noProof/>
          <w:sz w:val="24"/>
          <w:szCs w:val="20"/>
        </w:rPr>
      </w:pPr>
      <w:r>
        <w:rPr>
          <w:rFonts w:ascii="Times New Roman" w:hAnsi="Times New Roman" w:cs="Times New Roman"/>
          <w:noProof/>
          <w:sz w:val="24"/>
          <w:szCs w:val="20"/>
        </w:rPr>
        <w:t>Priority 2: Development of reference tools and evaluation methodologies to assess and impro</w:t>
      </w:r>
      <w:r>
        <w:rPr>
          <w:rFonts w:ascii="Times New Roman" w:hAnsi="Times New Roman" w:cs="Times New Roman"/>
          <w:noProof/>
          <w:sz w:val="24"/>
          <w:szCs w:val="20"/>
        </w:rPr>
        <w:t>ve the quality of procedures for the examination of claims for international protection and to underpin administrative structures in an effort to respond to the challenges brought forward by enhanced practical cooperation with other Member States.</w:t>
      </w:r>
    </w:p>
    <w:p w:rsidR="00832624" w:rsidRDefault="0072318F">
      <w:pPr>
        <w:pStyle w:val="ListParagraph"/>
        <w:numPr>
          <w:ilvl w:val="0"/>
          <w:numId w:val="27"/>
        </w:numPr>
        <w:spacing w:after="240" w:line="240" w:lineRule="auto"/>
        <w:jc w:val="both"/>
        <w:rPr>
          <w:rFonts w:ascii="Times New Roman" w:hAnsi="Times New Roman"/>
          <w:noProof/>
          <w:sz w:val="24"/>
        </w:rPr>
      </w:pPr>
      <w:r>
        <w:rPr>
          <w:rFonts w:ascii="Times New Roman" w:hAnsi="Times New Roman"/>
          <w:noProof/>
          <w:sz w:val="24"/>
          <w:szCs w:val="20"/>
        </w:rPr>
        <w:t>Priority</w:t>
      </w:r>
      <w:r>
        <w:rPr>
          <w:rFonts w:ascii="Times New Roman" w:hAnsi="Times New Roman"/>
          <w:noProof/>
          <w:sz w:val="24"/>
          <w:szCs w:val="20"/>
        </w:rPr>
        <w:t xml:space="preserve"> 3: Actions helping to enhance responsibility sharing between Member States and third countries (optional)</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noProof/>
          <w:sz w:val="24"/>
          <w:lang w:val="en-GB"/>
        </w:rPr>
        <w:t>The specific priorities were defined to target particular actions for which the Member States could request an EU co-financing rate of 75%</w:t>
      </w:r>
      <w:r>
        <w:rPr>
          <w:rStyle w:val="FootnoteReference"/>
          <w:rFonts w:ascii="Times New Roman" w:hAnsi="Times New Roman"/>
          <w:noProof/>
          <w:sz w:val="24"/>
          <w:lang w:val="en-GB"/>
        </w:rPr>
        <w:footnoteReference w:id="25"/>
      </w:r>
      <w:r>
        <w:rPr>
          <w:rFonts w:ascii="Times New Roman" w:hAnsi="Times New Roman"/>
          <w:noProof/>
          <w:sz w:val="24"/>
          <w:lang w:val="en-GB"/>
        </w:rPr>
        <w:t xml:space="preserve"> (See Sect</w:t>
      </w:r>
      <w:r>
        <w:rPr>
          <w:rFonts w:ascii="Times New Roman" w:hAnsi="Times New Roman"/>
          <w:noProof/>
          <w:sz w:val="24"/>
          <w:lang w:val="en-GB"/>
        </w:rPr>
        <w:t>ion 7). Each action planned in the annual programme should be programmed under one of the priorities set in the Strategic Guidelines. As the Strategic Guidelines did not set any threshold per priorities, Member States could distribute their annual allocati</w:t>
      </w:r>
      <w:r>
        <w:rPr>
          <w:rFonts w:ascii="Times New Roman" w:hAnsi="Times New Roman"/>
          <w:noProof/>
          <w:sz w:val="24"/>
          <w:lang w:val="en-GB"/>
        </w:rPr>
        <w:t>on as they wished provided that the MSs target the available resources to the first two priorities, the third one being optional.</w:t>
      </w:r>
      <w:r>
        <w:rPr>
          <w:rFonts w:ascii="Times New Roman" w:hAnsi="Times New Roman" w:cs="Times New Roman"/>
          <w:noProof/>
          <w:sz w:val="24"/>
          <w:szCs w:val="24"/>
          <w:lang w:val="en-GB"/>
        </w:rPr>
        <w:t xml:space="preserve">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However, the funding priorities contributed to the confusion of the intervention logic as the first priority had a very wide </w:t>
      </w:r>
      <w:r>
        <w:rPr>
          <w:rFonts w:ascii="Times New Roman" w:hAnsi="Times New Roman" w:cs="Times New Roman"/>
          <w:noProof/>
          <w:sz w:val="24"/>
          <w:szCs w:val="24"/>
          <w:lang w:val="en-GB"/>
        </w:rPr>
        <w:t>scope, equivalent more or less to the general objective of the Fund. This issue was addressed under AMIF which shows a clear intervention logic and simpler articulation, with one general objective, translated into four specific objectives, accompanied by e</w:t>
      </w:r>
      <w:r>
        <w:rPr>
          <w:rFonts w:ascii="Times New Roman" w:hAnsi="Times New Roman" w:cs="Times New Roman"/>
          <w:noProof/>
          <w:sz w:val="24"/>
          <w:szCs w:val="24"/>
          <w:lang w:val="en-GB"/>
        </w:rPr>
        <w:t>xamples of actions. Under AMIF, also a common monitoring framework has been developed to enable tracking of progress</w:t>
      </w:r>
      <w:r>
        <w:rPr>
          <w:rStyle w:val="FootnoteReference"/>
          <w:rFonts w:ascii="Times New Roman" w:hAnsi="Times New Roman" w:cs="Times New Roman"/>
          <w:noProof/>
          <w:sz w:val="24"/>
          <w:szCs w:val="24"/>
          <w:lang w:val="en-GB"/>
        </w:rPr>
        <w:footnoteReference w:id="26"/>
      </w:r>
      <w:r>
        <w:rPr>
          <w:rFonts w:ascii="Times New Roman" w:hAnsi="Times New Roman" w:cs="Times New Roman"/>
          <w:noProof/>
          <w:sz w:val="24"/>
          <w:szCs w:val="24"/>
          <w:lang w:val="en-GB"/>
        </w:rPr>
        <w:t>.</w:t>
      </w:r>
    </w:p>
    <w:p w:rsidR="00832624" w:rsidRDefault="0072318F">
      <w:pPr>
        <w:pStyle w:val="Heading1"/>
        <w:rPr>
          <w:noProof/>
        </w:rPr>
      </w:pPr>
      <w:bookmarkStart w:id="5" w:name="_Toc515378885"/>
      <w:r>
        <w:rPr>
          <w:noProof/>
        </w:rPr>
        <w:t>Evaluation questions</w:t>
      </w:r>
      <w:bookmarkEnd w:id="5"/>
    </w:p>
    <w:p w:rsidR="00832624" w:rsidRDefault="0072318F">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 xml:space="preserve">This evaluation assessed the ERF against the five mandatory evaluation criteria laid down in the Commission </w:t>
      </w:r>
      <w:r>
        <w:rPr>
          <w:rFonts w:ascii="Times New Roman" w:hAnsi="Times New Roman" w:cs="Times New Roman"/>
          <w:bCs/>
          <w:i/>
          <w:iCs/>
          <w:noProof/>
          <w:sz w:val="24"/>
          <w:szCs w:val="24"/>
          <w:lang w:val="en-GB"/>
        </w:rPr>
        <w:t xml:space="preserve">Better </w:t>
      </w:r>
      <w:r>
        <w:rPr>
          <w:rFonts w:ascii="Times New Roman" w:hAnsi="Times New Roman" w:cs="Times New Roman"/>
          <w:bCs/>
          <w:i/>
          <w:iCs/>
          <w:noProof/>
          <w:sz w:val="24"/>
          <w:szCs w:val="24"/>
          <w:lang w:val="en-GB"/>
        </w:rPr>
        <w:t>Regulation Guidelines</w:t>
      </w:r>
      <w:r>
        <w:rPr>
          <w:rFonts w:ascii="Times New Roman" w:hAnsi="Times New Roman" w:cs="Times New Roman"/>
          <w:bCs/>
          <w:iCs/>
          <w:noProof/>
          <w:sz w:val="24"/>
          <w:szCs w:val="24"/>
          <w:lang w:val="en-GB"/>
        </w:rPr>
        <w:t xml:space="preserve"> (effectiveness, efficiency, relevance, coherence and EU added value). In addition, the co-financed actions were also assessed for </w:t>
      </w:r>
      <w:r>
        <w:rPr>
          <w:rFonts w:ascii="Times New Roman" w:hAnsi="Times New Roman" w:cs="Times New Roman"/>
          <w:noProof/>
          <w:sz w:val="24"/>
          <w:szCs w:val="24"/>
          <w:lang w:val="en-GB"/>
        </w:rPr>
        <w:t xml:space="preserve">their sustainability and complementarity. To assess these seven criteria, thirteen evaluation questions </w:t>
      </w:r>
      <w:r>
        <w:rPr>
          <w:rFonts w:ascii="Times New Roman" w:hAnsi="Times New Roman" w:cs="Times New Roman"/>
          <w:noProof/>
          <w:sz w:val="24"/>
          <w:szCs w:val="24"/>
          <w:lang w:val="en-GB"/>
        </w:rPr>
        <w:t>were defined (see</w:t>
      </w:r>
      <w:r>
        <w:rPr>
          <w:rFonts w:ascii="Times New Roman" w:hAnsi="Times New Roman" w:cs="Times New Roman"/>
          <w:bCs/>
          <w:iCs/>
          <w:noProof/>
          <w:sz w:val="24"/>
          <w:szCs w:val="24"/>
          <w:lang w:val="en-GB"/>
        </w:rPr>
        <w:t xml:space="preserve"> Annex 6).</w:t>
      </w:r>
    </w:p>
    <w:p w:rsidR="00832624" w:rsidRDefault="00832624">
      <w:pPr>
        <w:pStyle w:val="NormalIndent"/>
        <w:ind w:left="0"/>
        <w:rPr>
          <w:rFonts w:ascii="Times New Roman" w:hAnsi="Times New Roman" w:cs="Times New Roman"/>
          <w:bCs/>
          <w:iCs/>
          <w:noProof/>
          <w:sz w:val="24"/>
          <w:szCs w:val="24"/>
          <w:lang w:val="en-GB"/>
        </w:rPr>
      </w:pPr>
    </w:p>
    <w:p w:rsidR="00832624" w:rsidRDefault="0072318F">
      <w:pPr>
        <w:pStyle w:val="Heading1"/>
        <w:rPr>
          <w:noProof/>
        </w:rPr>
      </w:pPr>
      <w:bookmarkStart w:id="6" w:name="_Toc473272934"/>
      <w:bookmarkStart w:id="7" w:name="_Toc473274546"/>
      <w:bookmarkStart w:id="8" w:name="_Toc473274569"/>
      <w:bookmarkStart w:id="9" w:name="_Toc515378886"/>
      <w:bookmarkEnd w:id="6"/>
      <w:bookmarkEnd w:id="7"/>
      <w:bookmarkEnd w:id="8"/>
      <w:r>
        <w:rPr>
          <w:noProof/>
        </w:rPr>
        <w:t>Method</w:t>
      </w:r>
      <w:bookmarkEnd w:id="9"/>
    </w:p>
    <w:p w:rsidR="00832624" w:rsidRDefault="0072318F">
      <w:pPr>
        <w:pStyle w:val="NormalIndent"/>
        <w:ind w:left="0"/>
        <w:rPr>
          <w:rFonts w:ascii="Times New Roman" w:hAnsi="Times New Roman" w:cs="Times New Roman"/>
          <w:bCs/>
          <w:iCs/>
          <w:noProof/>
          <w:sz w:val="24"/>
          <w:szCs w:val="24"/>
          <w:lang w:val="en-GB"/>
        </w:rPr>
      </w:pPr>
      <w:r>
        <w:rPr>
          <w:rFonts w:ascii="Times New Roman" w:hAnsi="Times New Roman" w:cs="Times New Roman"/>
          <w:noProof/>
          <w:sz w:val="24"/>
          <w:szCs w:val="24"/>
          <w:lang w:val="en-GB"/>
        </w:rPr>
        <w:t>This evaluation relies on an external study carried out between April 2016 and March 2017. The methodology combined desk research, on-site visits, and qualitative and quantitative analysis. It required a systemic summary</w:t>
      </w:r>
      <w:r>
        <w:rPr>
          <w:rFonts w:ascii="Times New Roman" w:hAnsi="Times New Roman" w:cs="Times New Roman"/>
          <w:noProof/>
          <w:sz w:val="24"/>
          <w:szCs w:val="24"/>
          <w:lang w:val="en-GB"/>
        </w:rPr>
        <w:t xml:space="preserve"> of the evidence regarding the implementation of the Fund, most of the information being provided by the Member States’ national evaluation reports (NERs) and annual programmes (APs). The APs set out the operational objectives through actions for each year</w:t>
      </w:r>
      <w:r>
        <w:rPr>
          <w:rFonts w:ascii="Times New Roman" w:hAnsi="Times New Roman" w:cs="Times New Roman"/>
          <w:noProof/>
          <w:sz w:val="24"/>
          <w:szCs w:val="24"/>
          <w:lang w:val="en-GB"/>
        </w:rPr>
        <w:t xml:space="preserve"> and the NERs provided information on outputs relating to the operational objectives, results on the specific objectives and impacts as regards the general objective.</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Consultations took place with a broad range of stakeholders (more than 120), including 27</w:t>
      </w:r>
      <w:r>
        <w:rPr>
          <w:rFonts w:ascii="Times New Roman" w:hAnsi="Times New Roman" w:cs="Times New Roman"/>
          <w:noProof/>
          <w:sz w:val="24"/>
          <w:szCs w:val="24"/>
          <w:lang w:val="en-GB"/>
        </w:rPr>
        <w:t xml:space="preserve"> responsible authorities (RAs), 88 beneficiaries, 5 EU officials and case</w:t>
      </w:r>
      <w:r>
        <w:rPr>
          <w:rFonts w:ascii="Times New Roman" w:hAnsi="Times New Roman" w:cs="Times New Roman"/>
          <w:noProof/>
          <w:sz w:val="24"/>
          <w:szCs w:val="24"/>
          <w:lang w:val="en-GB"/>
        </w:rPr>
        <w:noBreakHyphen/>
        <w:t>study respondents. The methodology combined interviews and case studies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lang w:val="en-GB"/>
        </w:rPr>
        <w:t xml:space="preserve"> (each involving a site visit). The case studies illustrate an in-depth analysis of Member States' national pr</w:t>
      </w:r>
      <w:r>
        <w:rPr>
          <w:rFonts w:ascii="Times New Roman" w:hAnsi="Times New Roman" w:cs="Times New Roman"/>
          <w:noProof/>
          <w:sz w:val="24"/>
          <w:szCs w:val="24"/>
          <w:lang w:val="en-GB"/>
        </w:rPr>
        <w:t>ogrammes and have facilitated the understanding of success stories and failures. The results of the case studies were integrated in the replies to the evaluation criteria. An internet based public consultation was also carried out (a detailed analysis of i</w:t>
      </w:r>
      <w:r>
        <w:rPr>
          <w:rFonts w:ascii="Times New Roman" w:hAnsi="Times New Roman" w:cs="Times New Roman"/>
          <w:noProof/>
          <w:sz w:val="24"/>
          <w:szCs w:val="24"/>
          <w:lang w:val="en-GB"/>
        </w:rPr>
        <w:t xml:space="preserve">ts outcome is attached in Annex 2).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Information was triangulated to ensure validity and robustness. The financial data extracted from SFC</w:t>
      </w:r>
      <w:r>
        <w:rPr>
          <w:rStyle w:val="FootnoteReference"/>
          <w:rFonts w:ascii="Times New Roman" w:hAnsi="Times New Roman" w:cs="Times New Roman"/>
          <w:noProof/>
          <w:sz w:val="24"/>
          <w:szCs w:val="24"/>
          <w:lang w:val="en-GB"/>
        </w:rPr>
        <w:footnoteReference w:id="28"/>
      </w:r>
      <w:r>
        <w:rPr>
          <w:rFonts w:ascii="Times New Roman" w:hAnsi="Times New Roman" w:cs="Times New Roman"/>
          <w:noProof/>
          <w:sz w:val="24"/>
          <w:szCs w:val="24"/>
          <w:lang w:val="en-GB"/>
        </w:rPr>
        <w:t xml:space="preserve"> and ABAC</w:t>
      </w:r>
      <w:r>
        <w:rPr>
          <w:rStyle w:val="FootnoteReference"/>
          <w:rFonts w:ascii="Times New Roman" w:hAnsi="Times New Roman" w:cs="Times New Roman"/>
          <w:noProof/>
          <w:sz w:val="24"/>
          <w:szCs w:val="24"/>
          <w:lang w:val="en-GB"/>
        </w:rPr>
        <w:footnoteReference w:id="29"/>
      </w:r>
      <w:r>
        <w:rPr>
          <w:rFonts w:ascii="Times New Roman" w:hAnsi="Times New Roman" w:cs="Times New Roman"/>
          <w:noProof/>
          <w:sz w:val="24"/>
          <w:szCs w:val="24"/>
          <w:lang w:val="en-GB"/>
        </w:rPr>
        <w:t xml:space="preserve"> and presented in the document was updated in January 2017.</w:t>
      </w:r>
    </w:p>
    <w:p w:rsidR="00832624" w:rsidRDefault="0072318F">
      <w:pPr>
        <w:pStyle w:val="Heading1"/>
        <w:numPr>
          <w:ilvl w:val="1"/>
          <w:numId w:val="2"/>
        </w:numPr>
        <w:rPr>
          <w:noProof/>
        </w:rPr>
      </w:pPr>
      <w:bookmarkStart w:id="10" w:name="_Toc515378887"/>
      <w:r>
        <w:rPr>
          <w:noProof/>
        </w:rPr>
        <w:t>Limitations</w:t>
      </w:r>
      <w:bookmarkEnd w:id="10"/>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process has encounte</w:t>
      </w:r>
      <w:r>
        <w:rPr>
          <w:rFonts w:ascii="Times New Roman" w:hAnsi="Times New Roman" w:cs="Times New Roman"/>
          <w:noProof/>
          <w:sz w:val="24"/>
          <w:szCs w:val="24"/>
          <w:lang w:val="en-GB"/>
        </w:rPr>
        <w:t>red some difficulties. In particular, the assessment of effectiveness and efficiency was hindered, to a certain extent, by the absence of comparable quantitative data. For annual programmes, it is due to the fact that the reporting requirements in the Fund</w:t>
      </w:r>
      <w:r>
        <w:rPr>
          <w:rFonts w:ascii="Times New Roman" w:hAnsi="Times New Roman" w:cs="Times New Roman"/>
          <w:noProof/>
          <w:sz w:val="24"/>
          <w:szCs w:val="24"/>
          <w:lang w:val="en-GB"/>
        </w:rPr>
        <w:t xml:space="preserve"> Regulation did not stipulate that RAs should collect the data that would be required to conduct an assessment of effectiveness and efficiency</w:t>
      </w:r>
      <w:r>
        <w:rPr>
          <w:rStyle w:val="FootnoteReference"/>
          <w:rFonts w:ascii="Times New Roman" w:hAnsi="Times New Roman" w:cs="Times New Roman"/>
          <w:noProof/>
          <w:sz w:val="24"/>
          <w:szCs w:val="24"/>
          <w:lang w:val="en-GB"/>
        </w:rPr>
        <w:footnoteReference w:id="30"/>
      </w:r>
      <w:r>
        <w:rPr>
          <w:rFonts w:ascii="Times New Roman" w:hAnsi="Times New Roman" w:cs="Times New Roman"/>
          <w:noProof/>
          <w:sz w:val="24"/>
          <w:szCs w:val="24"/>
          <w:lang w:val="en-GB"/>
        </w:rPr>
        <w:t>. Furthermore, it has been difficult to measure efficiency, as no clear trends could be established due to the la</w:t>
      </w:r>
      <w:r>
        <w:rPr>
          <w:rFonts w:ascii="Times New Roman" w:hAnsi="Times New Roman" w:cs="Times New Roman"/>
          <w:noProof/>
          <w:sz w:val="24"/>
          <w:szCs w:val="24"/>
          <w:lang w:val="en-GB"/>
        </w:rPr>
        <w:t xml:space="preserve">rge diversity of projects, which could not be compared and/or the lack of ex ante targets to measure efficiency. Therefore, the assessment of efficiency had to reply on more qualitative data collected through the stakeholder consultations and the national </w:t>
      </w:r>
      <w:r>
        <w:rPr>
          <w:rFonts w:ascii="Times New Roman" w:hAnsi="Times New Roman" w:cs="Times New Roman"/>
          <w:noProof/>
          <w:sz w:val="24"/>
          <w:szCs w:val="24"/>
          <w:lang w:val="en-GB"/>
        </w:rPr>
        <w:t xml:space="preserve">evaluation reports.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Indicators and quantitative targets were set by Member States through their annual programme when selecting the actions supported by the programme for each year. For each action proposed, Member States defined independently the expect</w:t>
      </w:r>
      <w:r>
        <w:rPr>
          <w:rFonts w:ascii="Times New Roman" w:hAnsi="Times New Roman" w:cs="Times New Roman"/>
          <w:noProof/>
          <w:sz w:val="24"/>
          <w:szCs w:val="24"/>
          <w:lang w:val="en-GB"/>
        </w:rPr>
        <w:t xml:space="preserve">ed quantified results. In consequence, there was a multitude of indicators across Member States with no harmonization and a limited assessment on the side of the Commission representing a limitation for the evaluation.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Most of the Member States achieved t</w:t>
      </w:r>
      <w:r>
        <w:rPr>
          <w:rFonts w:ascii="Times New Roman" w:hAnsi="Times New Roman" w:cs="Times New Roman"/>
          <w:noProof/>
          <w:sz w:val="24"/>
          <w:szCs w:val="24"/>
          <w:lang w:val="en-GB"/>
        </w:rPr>
        <w:t xml:space="preserve">heir quantitative targets related to a number of asylum seekers and refugees to be received and/or integrated. On the contrary, what was missing was the qualitative analysis of the results. For instance, under Priority 1, how the reception and integration </w:t>
      </w:r>
      <w:r>
        <w:rPr>
          <w:rFonts w:ascii="Times New Roman" w:hAnsi="Times New Roman" w:cs="Times New Roman"/>
          <w:noProof/>
          <w:sz w:val="24"/>
          <w:szCs w:val="24"/>
          <w:lang w:val="en-GB"/>
        </w:rPr>
        <w:t>and asylum procedures would be improved. Furthermore, given the absence of agreed benchmarks, Member States had different understandings of what to record in the NERs</w:t>
      </w:r>
      <w:r>
        <w:rPr>
          <w:rStyle w:val="FootnoteReference"/>
          <w:noProof/>
        </w:rPr>
        <w:footnoteReference w:id="31"/>
      </w:r>
      <w:r>
        <w:rPr>
          <w:rFonts w:ascii="Times New Roman" w:hAnsi="Times New Roman" w:cs="Times New Roman"/>
          <w:noProof/>
          <w:sz w:val="24"/>
          <w:szCs w:val="24"/>
          <w:lang w:val="en-GB"/>
        </w:rPr>
        <w:t>. It is likely that Member State evaluation experts dealing with NERs misunderstood the e</w:t>
      </w:r>
      <w:r>
        <w:rPr>
          <w:rFonts w:ascii="Times New Roman" w:hAnsi="Times New Roman" w:cs="Times New Roman"/>
          <w:noProof/>
          <w:sz w:val="24"/>
          <w:szCs w:val="24"/>
          <w:lang w:val="en-GB"/>
        </w:rPr>
        <w:t xml:space="preserve">xact meaning of some indicators with the result that sometimes the data reported was not comparable between Member States. To mitigate this problem to the extent possible, RAs were provided with guidance on the interpretation of the indicators on an </w:t>
      </w:r>
      <w:r>
        <w:rPr>
          <w:rFonts w:ascii="Times New Roman" w:hAnsi="Times New Roman" w:cs="Times New Roman"/>
          <w:i/>
          <w:noProof/>
          <w:sz w:val="24"/>
          <w:szCs w:val="24"/>
          <w:lang w:val="en-GB"/>
        </w:rPr>
        <w:t>ad hoc</w:t>
      </w:r>
      <w:r>
        <w:rPr>
          <w:rFonts w:ascii="Times New Roman" w:hAnsi="Times New Roman" w:cs="Times New Roman"/>
          <w:i/>
          <w:noProof/>
          <w:sz w:val="24"/>
          <w:szCs w:val="24"/>
          <w:lang w:val="en-GB"/>
        </w:rPr>
        <w:t xml:space="preserve"> </w:t>
      </w:r>
      <w:r>
        <w:rPr>
          <w:rFonts w:ascii="Times New Roman" w:hAnsi="Times New Roman" w:cs="Times New Roman"/>
          <w:noProof/>
          <w:sz w:val="24"/>
          <w:szCs w:val="24"/>
          <w:lang w:val="en-GB"/>
        </w:rPr>
        <w:t>basis at their request during the implementation of the annual programmes, and this was then made accessible to all RAs.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partly overcome these limitations, different approaches/mitigation strategies were taken by the evaluator. For the effectiveness an</w:t>
      </w:r>
      <w:r>
        <w:rPr>
          <w:rFonts w:ascii="Times New Roman" w:hAnsi="Times New Roman" w:cs="Times New Roman"/>
          <w:noProof/>
          <w:sz w:val="24"/>
          <w:szCs w:val="24"/>
          <w:lang w:val="en-GB"/>
        </w:rPr>
        <w:t>d efficiency, the analysis was restricted to being based primarily on stakeholders’ assessments, gathered through interviews and a phone survey with beneficiaries and RAs. The potentially positive stakeholder bias was corrected by looking at past achieveme</w:t>
      </w:r>
      <w:r>
        <w:rPr>
          <w:rFonts w:ascii="Times New Roman" w:hAnsi="Times New Roman" w:cs="Times New Roman"/>
          <w:noProof/>
          <w:sz w:val="24"/>
          <w:szCs w:val="24"/>
          <w:lang w:val="en-GB"/>
        </w:rPr>
        <w:t>nt of predecessor programmes and the judgment of the evaluators. Overall, the availability, robustness and reliability of the data were sufficient to generate findings.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improve transparency and accountability in the future, the Commission has developed </w:t>
      </w:r>
      <w:r>
        <w:rPr>
          <w:rFonts w:ascii="Times New Roman" w:hAnsi="Times New Roman" w:cs="Times New Roman"/>
          <w:noProof/>
          <w:sz w:val="24"/>
          <w:szCs w:val="24"/>
          <w:lang w:val="en-GB"/>
        </w:rPr>
        <w:t>a specific common monitoring and evaluation framework</w:t>
      </w:r>
      <w:r>
        <w:rPr>
          <w:rStyle w:val="FootnoteReference"/>
          <w:rFonts w:ascii="Times New Roman" w:hAnsi="Times New Roman" w:cs="Times New Roman"/>
          <w:noProof/>
          <w:sz w:val="24"/>
          <w:szCs w:val="24"/>
          <w:lang w:val="en-GB"/>
        </w:rPr>
        <w:footnoteReference w:id="32"/>
      </w:r>
      <w:r>
        <w:rPr>
          <w:rFonts w:ascii="Times New Roman" w:hAnsi="Times New Roman" w:cs="Times New Roman"/>
          <w:noProof/>
          <w:sz w:val="24"/>
          <w:szCs w:val="24"/>
          <w:lang w:val="en-GB"/>
        </w:rPr>
        <w:t xml:space="preserve"> and prepared a document to guide RAs in their AMIF evaluation exercise. Further details on the methodology can be found in Annex 3 and in the relevant parts of the document.</w:t>
      </w:r>
    </w:p>
    <w:p w:rsidR="00832624" w:rsidRDefault="00832624">
      <w:pPr>
        <w:spacing w:after="240" w:line="240" w:lineRule="auto"/>
        <w:jc w:val="both"/>
        <w:rPr>
          <w:rFonts w:ascii="Times New Roman" w:hAnsi="Times New Roman" w:cs="Times New Roman"/>
          <w:noProof/>
          <w:sz w:val="24"/>
          <w:szCs w:val="24"/>
          <w:lang w:val="en-GB"/>
        </w:rPr>
      </w:pPr>
    </w:p>
    <w:p w:rsidR="00832624" w:rsidRDefault="0072318F">
      <w:pPr>
        <w:pStyle w:val="Heading1"/>
        <w:rPr>
          <w:noProof/>
        </w:rPr>
      </w:pPr>
      <w:bookmarkStart w:id="11" w:name="_Toc496630449"/>
      <w:bookmarkStart w:id="12" w:name="_Toc496711934"/>
      <w:bookmarkStart w:id="13" w:name="_Toc500401624"/>
      <w:bookmarkStart w:id="14" w:name="_Toc515378888"/>
      <w:r>
        <w:rPr>
          <w:noProof/>
        </w:rPr>
        <w:t>Management modes of the RF</w:t>
      </w:r>
      <w:bookmarkEnd w:id="11"/>
      <w:bookmarkEnd w:id="12"/>
      <w:bookmarkEnd w:id="13"/>
      <w:bookmarkEnd w:id="14"/>
      <w:r>
        <w:rPr>
          <w:noProof/>
        </w:rPr>
        <w:t xml:space="preserve"> </w:t>
      </w:r>
    </w:p>
    <w:p w:rsidR="00832624" w:rsidRDefault="0072318F">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The actions co-financed under the ERF were implemented through two different management modes:</w:t>
      </w:r>
    </w:p>
    <w:p w:rsidR="00832624" w:rsidRDefault="00832624">
      <w:pPr>
        <w:spacing w:after="0" w:line="240" w:lineRule="auto"/>
        <w:rPr>
          <w:rFonts w:ascii="Times New Roman" w:hAnsi="Times New Roman" w:cs="Times New Roman"/>
          <w:noProof/>
          <w:sz w:val="24"/>
          <w:szCs w:val="24"/>
          <w:lang w:val="en-GB"/>
        </w:rPr>
      </w:pPr>
    </w:p>
    <w:p w:rsidR="00832624" w:rsidRDefault="0072318F">
      <w:pPr>
        <w:keepNext/>
        <w:numPr>
          <w:ilvl w:val="1"/>
          <w:numId w:val="0"/>
        </w:numPr>
        <w:spacing w:after="240" w:line="240" w:lineRule="auto"/>
        <w:ind w:left="576" w:hanging="576"/>
        <w:jc w:val="both"/>
        <w:outlineLvl w:val="1"/>
        <w:rPr>
          <w:rFonts w:ascii="Times New Roman" w:eastAsia="Times New Roman" w:hAnsi="Times New Roman" w:cs="Times New Roman"/>
          <w:b/>
          <w:bCs/>
          <w:noProof/>
          <w:sz w:val="24"/>
          <w:szCs w:val="24"/>
          <w:lang w:val="en-GB"/>
        </w:rPr>
      </w:pPr>
      <w:bookmarkStart w:id="15" w:name="_Toc496630450"/>
      <w:bookmarkStart w:id="16" w:name="_Toc496711935"/>
      <w:bookmarkStart w:id="17" w:name="_Toc500401625"/>
      <w:bookmarkStart w:id="18" w:name="_Toc515378889"/>
      <w:r>
        <w:rPr>
          <w:rFonts w:ascii="Times New Roman" w:eastAsia="Times New Roman" w:hAnsi="Times New Roman" w:cs="Times New Roman"/>
          <w:b/>
          <w:bCs/>
          <w:noProof/>
          <w:sz w:val="24"/>
          <w:szCs w:val="24"/>
          <w:lang w:val="en-GB" w:eastAsia="de-DE"/>
        </w:rPr>
        <w:t>7.1 Shared management: Multiannual and Annual Programmes of the Member States</w:t>
      </w:r>
      <w:bookmarkEnd w:id="15"/>
      <w:bookmarkEnd w:id="16"/>
      <w:bookmarkEnd w:id="17"/>
      <w:bookmarkEnd w:id="18"/>
    </w:p>
    <w:p w:rsidR="00832624" w:rsidRDefault="0072318F">
      <w:pPr>
        <w:spacing w:after="120" w:line="240" w:lineRule="auto"/>
        <w:jc w:val="both"/>
        <w:rPr>
          <w:rFonts w:ascii="Times New Roman" w:eastAsia="Times New Roman" w:hAnsi="Times New Roman" w:cs="Times New Roman"/>
          <w:noProof/>
          <w:sz w:val="24"/>
          <w:szCs w:val="24"/>
          <w:lang w:val="en-GB" w:eastAsia="de-DE"/>
        </w:rPr>
      </w:pPr>
      <w:r>
        <w:rPr>
          <w:rFonts w:ascii="Times New Roman" w:eastAsia="Times New Roman" w:hAnsi="Times New Roman" w:cs="Times New Roman"/>
          <w:b/>
          <w:noProof/>
          <w:sz w:val="24"/>
          <w:szCs w:val="24"/>
          <w:lang w:val="en-GB" w:eastAsia="de-DE"/>
        </w:rPr>
        <w:t>Programming</w:t>
      </w:r>
      <w:r>
        <w:rPr>
          <w:rFonts w:ascii="Times New Roman" w:eastAsia="Times New Roman" w:hAnsi="Times New Roman" w:cs="Times New Roman"/>
          <w:noProof/>
          <w:sz w:val="24"/>
          <w:szCs w:val="24"/>
          <w:lang w:val="en-GB" w:eastAsia="de-DE"/>
        </w:rPr>
        <w:t>: Under the shared management mode, MSs hold the primary responsibili</w:t>
      </w:r>
      <w:r>
        <w:rPr>
          <w:rFonts w:ascii="Times New Roman" w:eastAsia="Times New Roman" w:hAnsi="Times New Roman" w:cs="Times New Roman"/>
          <w:noProof/>
          <w:sz w:val="24"/>
          <w:szCs w:val="24"/>
          <w:lang w:val="en-GB" w:eastAsia="de-DE"/>
        </w:rPr>
        <w:t>ty for the implementation and management and control of the interventions of the Fund. Under this management mode, the Fund is implemented on the basis of strategic multiannual programmes adopted for each Member State covering the 2008-2013 programming per</w:t>
      </w:r>
      <w:r>
        <w:rPr>
          <w:rFonts w:ascii="Times New Roman" w:eastAsia="Times New Roman" w:hAnsi="Times New Roman" w:cs="Times New Roman"/>
          <w:noProof/>
          <w:sz w:val="24"/>
          <w:szCs w:val="24"/>
          <w:lang w:val="en-GB" w:eastAsia="de-DE"/>
        </w:rPr>
        <w:t xml:space="preserve">iod. In addition, annual programmes were negotiated each year with each Member State within the framework set by the multiannual programme to implement the annual financial allocation granted to each of them. </w:t>
      </w:r>
    </w:p>
    <w:p w:rsidR="00832624" w:rsidRDefault="0072318F">
      <w:pPr>
        <w:spacing w:after="120" w:line="240" w:lineRule="auto"/>
        <w:jc w:val="both"/>
        <w:rPr>
          <w:rFonts w:ascii="Times New Roman" w:eastAsia="Times New Roman" w:hAnsi="Times New Roman" w:cs="Times New Roman"/>
          <w:noProof/>
          <w:sz w:val="24"/>
          <w:szCs w:val="24"/>
          <w:lang w:val="en-GB" w:eastAsia="de-DE"/>
        </w:rPr>
      </w:pPr>
      <w:r>
        <w:rPr>
          <w:rFonts w:ascii="Times New Roman" w:eastAsia="Times New Roman" w:hAnsi="Times New Roman" w:cs="Times New Roman"/>
          <w:b/>
          <w:noProof/>
          <w:sz w:val="24"/>
          <w:szCs w:val="24"/>
          <w:lang w:val="en-GB" w:eastAsia="de-DE"/>
        </w:rPr>
        <w:t>Calculation of the annual financial allocation</w:t>
      </w:r>
      <w:r>
        <w:rPr>
          <w:rFonts w:ascii="Times New Roman" w:eastAsia="Times New Roman" w:hAnsi="Times New Roman" w:cs="Times New Roman"/>
          <w:noProof/>
          <w:sz w:val="24"/>
          <w:szCs w:val="24"/>
          <w:vertAlign w:val="superscript"/>
          <w:lang w:val="en-GB" w:eastAsia="de-DE"/>
        </w:rPr>
        <w:footnoteReference w:id="33"/>
      </w:r>
      <w:r>
        <w:rPr>
          <w:rFonts w:ascii="Times New Roman" w:eastAsia="Times New Roman" w:hAnsi="Times New Roman" w:cs="Times New Roman"/>
          <w:b/>
          <w:noProof/>
          <w:sz w:val="24"/>
          <w:szCs w:val="24"/>
          <w:lang w:val="en-GB" w:eastAsia="de-DE"/>
        </w:rPr>
        <w:t xml:space="preserve"> </w:t>
      </w:r>
      <w:r>
        <w:rPr>
          <w:rFonts w:ascii="Times New Roman" w:eastAsia="Times New Roman" w:hAnsi="Times New Roman" w:cs="Times New Roman"/>
          <w:noProof/>
          <w:sz w:val="24"/>
          <w:szCs w:val="24"/>
          <w:lang w:val="en-GB" w:eastAsia="de-DE"/>
        </w:rPr>
        <w:t xml:space="preserve">for each Member State: to express solidarity with the Member States who bear, for the benefit of the EU, a heavier financial burden, the Fund basic act lays down the two objective criteria to be taken into consideration for the calculation of the annual </w:t>
      </w:r>
      <w:r>
        <w:rPr>
          <w:rFonts w:ascii="Times New Roman" w:eastAsia="Times New Roman" w:hAnsi="Times New Roman" w:cs="Times New Roman"/>
          <w:noProof/>
          <w:sz w:val="24"/>
          <w:szCs w:val="24"/>
          <w:lang w:val="en-GB" w:eastAsia="de-DE"/>
        </w:rPr>
        <w:t xml:space="preserve">allocation, i.e. the total number of refugees, TCNs enjoying subsidiary protection and resettled persons admitted in a given MS over the previous three years and the total number of asylum applicants, persons who have applied for subsidiary protection and </w:t>
      </w:r>
      <w:r>
        <w:rPr>
          <w:rFonts w:ascii="Times New Roman" w:eastAsia="Times New Roman" w:hAnsi="Times New Roman" w:cs="Times New Roman"/>
          <w:noProof/>
          <w:sz w:val="24"/>
          <w:szCs w:val="24"/>
          <w:lang w:val="en-GB" w:eastAsia="de-DE"/>
        </w:rPr>
        <w:t>TCNs enjoying temporary protection in a given MS over the previous three years.</w:t>
      </w:r>
    </w:p>
    <w:p w:rsidR="00832624" w:rsidRDefault="0072318F">
      <w:pPr>
        <w:spacing w:after="120" w:line="240" w:lineRule="auto"/>
        <w:jc w:val="both"/>
        <w:rPr>
          <w:rFonts w:ascii="Times New Roman" w:eastAsia="Times New Roman" w:hAnsi="Times New Roman" w:cs="Times New Roman"/>
          <w:noProof/>
          <w:sz w:val="24"/>
          <w:szCs w:val="24"/>
          <w:lang w:val="en-GB" w:eastAsia="de-DE"/>
        </w:rPr>
      </w:pPr>
      <w:r>
        <w:rPr>
          <w:rFonts w:ascii="Times New Roman" w:eastAsia="Times New Roman" w:hAnsi="Times New Roman" w:cs="Times New Roman"/>
          <w:noProof/>
          <w:sz w:val="24"/>
          <w:szCs w:val="24"/>
          <w:lang w:val="en-GB" w:eastAsia="de-DE"/>
        </w:rPr>
        <w:t>The provisional allocations were communicated to the Member States the year before (by 1st July each year</w:t>
      </w:r>
      <w:r>
        <w:rPr>
          <w:rFonts w:ascii="Times New Roman" w:eastAsia="Times New Roman" w:hAnsi="Times New Roman" w:cs="Times New Roman"/>
          <w:noProof/>
          <w:sz w:val="24"/>
          <w:szCs w:val="24"/>
          <w:vertAlign w:val="superscript"/>
          <w:lang w:val="en-GB" w:eastAsia="de-DE"/>
        </w:rPr>
        <w:footnoteReference w:id="34"/>
      </w:r>
      <w:r>
        <w:rPr>
          <w:rFonts w:ascii="Times New Roman" w:eastAsia="Times New Roman" w:hAnsi="Times New Roman" w:cs="Times New Roman"/>
          <w:noProof/>
          <w:sz w:val="24"/>
          <w:szCs w:val="24"/>
          <w:lang w:val="en-GB" w:eastAsia="de-DE"/>
        </w:rPr>
        <w:t>) the adoption of the annual programme in question and were based on a</w:t>
      </w:r>
      <w:r>
        <w:rPr>
          <w:rFonts w:ascii="Times New Roman" w:eastAsia="Times New Roman" w:hAnsi="Times New Roman" w:cs="Times New Roman"/>
          <w:noProof/>
          <w:sz w:val="24"/>
          <w:szCs w:val="24"/>
          <w:lang w:val="en-GB" w:eastAsia="de-DE"/>
        </w:rPr>
        <w:t xml:space="preserve">verage figures over the previous three years (e.g. allocation for the 2013 AP were communicated in 2012 and were based on data of 2009, 2010 and 2011). </w:t>
      </w:r>
    </w:p>
    <w:p w:rsidR="00832624" w:rsidRDefault="0072318F">
      <w:pPr>
        <w:spacing w:after="120" w:line="240" w:lineRule="auto"/>
        <w:jc w:val="both"/>
        <w:rPr>
          <w:rFonts w:ascii="Times New Roman" w:eastAsia="Times New Roman" w:hAnsi="Times New Roman" w:cs="Times New Roman"/>
          <w:noProof/>
          <w:sz w:val="24"/>
          <w:szCs w:val="24"/>
          <w:lang w:val="en-GB" w:eastAsia="de-DE"/>
        </w:rPr>
      </w:pPr>
      <w:r>
        <w:rPr>
          <w:rFonts w:ascii="Times New Roman" w:eastAsia="Times New Roman" w:hAnsi="Times New Roman" w:cs="Times New Roman"/>
          <w:b/>
          <w:noProof/>
          <w:sz w:val="24"/>
          <w:szCs w:val="24"/>
          <w:lang w:val="en-GB" w:eastAsia="de-DE"/>
        </w:rPr>
        <w:t>Content of the Annual Programme</w:t>
      </w:r>
      <w:r>
        <w:rPr>
          <w:rFonts w:ascii="Times New Roman" w:eastAsia="Times New Roman" w:hAnsi="Times New Roman" w:cs="Times New Roman"/>
          <w:noProof/>
          <w:sz w:val="24"/>
          <w:szCs w:val="24"/>
          <w:lang w:val="en-GB" w:eastAsia="de-DE"/>
        </w:rPr>
        <w:t xml:space="preserve">: The annual programme sets out the actions to be implemented in the </w:t>
      </w:r>
      <w:r>
        <w:rPr>
          <w:rFonts w:ascii="Times New Roman" w:eastAsia="Times New Roman" w:hAnsi="Times New Roman" w:cs="Times New Roman"/>
          <w:noProof/>
          <w:sz w:val="24"/>
          <w:szCs w:val="24"/>
          <w:lang w:val="en-GB" w:eastAsia="de-DE"/>
        </w:rPr>
        <w:t>Member State and indicates their purpose, scope, beneficiaries (public authorities in charge of return, NGO's, international organisations etc), expected results and financial allocation (EU and national co-financing). Each action is then implemented by on</w:t>
      </w:r>
      <w:r>
        <w:rPr>
          <w:rFonts w:ascii="Times New Roman" w:eastAsia="Times New Roman" w:hAnsi="Times New Roman" w:cs="Times New Roman"/>
          <w:noProof/>
          <w:sz w:val="24"/>
          <w:szCs w:val="24"/>
          <w:lang w:val="en-GB" w:eastAsia="de-DE"/>
        </w:rPr>
        <w:t>e or more project(s) on the ground. In the shared management context, the projects are selected by the competent national authority (i.e. the Responsible Authority (RA)). Member States are therefore independent and only ex post assessment is carried out by</w:t>
      </w:r>
      <w:r>
        <w:rPr>
          <w:rFonts w:ascii="Times New Roman" w:eastAsia="Times New Roman" w:hAnsi="Times New Roman" w:cs="Times New Roman"/>
          <w:noProof/>
          <w:sz w:val="24"/>
          <w:szCs w:val="24"/>
          <w:lang w:val="en-GB" w:eastAsia="de-DE"/>
        </w:rPr>
        <w:t xml:space="preserve"> the Commission at the time of submission of the closure report of the AP in question. The target group for the Fund comprises any third-country national (TCN) or stateless person having the status defined by the Geneva Convention and who is permitted to r</w:t>
      </w:r>
      <w:r>
        <w:rPr>
          <w:rFonts w:ascii="Times New Roman" w:eastAsia="Times New Roman" w:hAnsi="Times New Roman" w:cs="Times New Roman"/>
          <w:noProof/>
          <w:sz w:val="24"/>
          <w:szCs w:val="24"/>
          <w:lang w:val="en-GB" w:eastAsia="de-DE"/>
        </w:rPr>
        <w:t>eside as a refugee in one of the Member States, any third-country national or stateless person enjoying a form of subsidiary protection within the meaning of Directive 2004/83/EC, any third-country national or stateless person who has applied for one of th</w:t>
      </w:r>
      <w:r>
        <w:rPr>
          <w:rFonts w:ascii="Times New Roman" w:eastAsia="Times New Roman" w:hAnsi="Times New Roman" w:cs="Times New Roman"/>
          <w:noProof/>
          <w:sz w:val="24"/>
          <w:szCs w:val="24"/>
          <w:lang w:val="en-GB" w:eastAsia="de-DE"/>
        </w:rPr>
        <w:t>e forms of protection described in points (a) and (b), any third-country national or stateless person enjoying temporary protection within the meaning of Directive 2001/55/EC and any third-country national or stateless person who is being or has been reset</w:t>
      </w:r>
      <w:r>
        <w:rPr>
          <w:rFonts w:ascii="Times New Roman" w:eastAsia="Times New Roman" w:hAnsi="Times New Roman" w:cs="Times New Roman"/>
          <w:noProof/>
          <w:sz w:val="24"/>
          <w:szCs w:val="24"/>
          <w:lang w:val="en-GB" w:eastAsia="de-DE"/>
        </w:rPr>
        <w:t>tled in a Member State</w:t>
      </w:r>
      <w:r>
        <w:rPr>
          <w:rFonts w:ascii="Times New Roman" w:eastAsia="Times New Roman" w:hAnsi="Times New Roman" w:cs="Times New Roman"/>
          <w:noProof/>
          <w:sz w:val="24"/>
          <w:szCs w:val="24"/>
          <w:vertAlign w:val="superscript"/>
          <w:lang w:eastAsia="de-DE"/>
        </w:rPr>
        <w:footnoteReference w:id="35"/>
      </w:r>
      <w:r>
        <w:rPr>
          <w:rFonts w:ascii="Times New Roman" w:eastAsia="Times New Roman" w:hAnsi="Times New Roman" w:cs="Times New Roman"/>
          <w:noProof/>
          <w:sz w:val="24"/>
          <w:szCs w:val="24"/>
          <w:lang w:val="en-GB" w:eastAsia="de-DE"/>
        </w:rPr>
        <w:t>.</w:t>
      </w:r>
    </w:p>
    <w:p w:rsidR="00832624" w:rsidRDefault="0072318F">
      <w:pPr>
        <w:spacing w:after="120" w:line="240" w:lineRule="auto"/>
        <w:jc w:val="both"/>
        <w:rPr>
          <w:rFonts w:ascii="Times New Roman" w:eastAsia="Times New Roman" w:hAnsi="Times New Roman" w:cs="Times New Roman"/>
          <w:noProof/>
          <w:sz w:val="24"/>
          <w:szCs w:val="24"/>
          <w:lang w:val="en-GB" w:eastAsia="de-DE"/>
        </w:rPr>
      </w:pPr>
      <w:r>
        <w:rPr>
          <w:rFonts w:ascii="Times New Roman" w:eastAsia="Times New Roman" w:hAnsi="Times New Roman" w:cs="Times New Roman"/>
          <w:noProof/>
          <w:sz w:val="24"/>
          <w:szCs w:val="24"/>
          <w:lang w:val="en-GB" w:eastAsia="de-DE"/>
        </w:rPr>
        <w:t xml:space="preserve">During the eligibility period of each annual programme, Member States were entitled to request a </w:t>
      </w:r>
      <w:r>
        <w:rPr>
          <w:rFonts w:ascii="Times New Roman" w:eastAsia="Times New Roman" w:hAnsi="Times New Roman" w:cs="Times New Roman"/>
          <w:b/>
          <w:noProof/>
          <w:sz w:val="24"/>
          <w:szCs w:val="24"/>
          <w:lang w:val="en-GB" w:eastAsia="de-DE"/>
        </w:rPr>
        <w:t>revision of their annual programme</w:t>
      </w:r>
      <w:r>
        <w:rPr>
          <w:rFonts w:ascii="Times New Roman" w:eastAsia="Times New Roman" w:hAnsi="Times New Roman" w:cs="Times New Roman"/>
          <w:noProof/>
          <w:sz w:val="24"/>
          <w:szCs w:val="24"/>
          <w:lang w:val="en-GB" w:eastAsia="de-DE"/>
        </w:rPr>
        <w:t xml:space="preserve"> to adjust the actions to the changing migration flows and/or emergency situations. Member States co</w:t>
      </w:r>
      <w:r>
        <w:rPr>
          <w:rFonts w:ascii="Times New Roman" w:eastAsia="Times New Roman" w:hAnsi="Times New Roman" w:cs="Times New Roman"/>
          <w:noProof/>
          <w:sz w:val="24"/>
          <w:szCs w:val="24"/>
          <w:lang w:val="en-GB" w:eastAsia="de-DE"/>
        </w:rPr>
        <w:t xml:space="preserve">uld not however request additional funding for the implementation of a specific AP. </w:t>
      </w:r>
    </w:p>
    <w:p w:rsidR="00832624" w:rsidRDefault="0072318F">
      <w:pPr>
        <w:spacing w:after="120" w:line="240" w:lineRule="auto"/>
        <w:jc w:val="both"/>
        <w:rPr>
          <w:rFonts w:ascii="Times New Roman" w:eastAsia="Times New Roman" w:hAnsi="Times New Roman" w:cs="Times New Roman"/>
          <w:noProof/>
          <w:sz w:val="24"/>
          <w:szCs w:val="24"/>
          <w:lang w:val="en-GB" w:eastAsia="de-DE"/>
        </w:rPr>
      </w:pPr>
      <w:r>
        <w:rPr>
          <w:rFonts w:ascii="Times New Roman" w:eastAsia="Times New Roman" w:hAnsi="Times New Roman" w:cs="Times New Roman"/>
          <w:noProof/>
          <w:sz w:val="24"/>
          <w:szCs w:val="24"/>
          <w:lang w:val="en-GB" w:eastAsia="de-DE"/>
        </w:rPr>
        <w:t xml:space="preserve">The </w:t>
      </w:r>
      <w:r>
        <w:rPr>
          <w:rFonts w:ascii="Times New Roman" w:eastAsia="Times New Roman" w:hAnsi="Times New Roman" w:cs="Times New Roman"/>
          <w:b/>
          <w:noProof/>
          <w:sz w:val="24"/>
          <w:szCs w:val="24"/>
          <w:lang w:val="en-GB" w:eastAsia="de-DE"/>
        </w:rPr>
        <w:t>EU co-financing rate</w:t>
      </w:r>
      <w:r>
        <w:rPr>
          <w:rFonts w:ascii="Times New Roman" w:eastAsia="Times New Roman" w:hAnsi="Times New Roman" w:cs="Times New Roman"/>
          <w:noProof/>
          <w:sz w:val="24"/>
          <w:szCs w:val="24"/>
          <w:lang w:val="en-GB" w:eastAsia="de-DE"/>
        </w:rPr>
        <w:t xml:space="preserve"> is set at 50%. This rate may be increased to 75 % for projects addressing specific priorities identified in the Strategic Guidelines as well as for projects implemented by the Member States covered by the Cohesion Fund</w:t>
      </w:r>
      <w:r>
        <w:rPr>
          <w:rFonts w:ascii="Times New Roman" w:eastAsia="Times New Roman" w:hAnsi="Times New Roman" w:cs="Times New Roman"/>
          <w:noProof/>
          <w:sz w:val="24"/>
          <w:szCs w:val="24"/>
          <w:vertAlign w:val="superscript"/>
          <w:lang w:eastAsia="de-DE"/>
        </w:rPr>
        <w:footnoteReference w:id="36"/>
      </w:r>
      <w:r>
        <w:rPr>
          <w:rFonts w:ascii="Times New Roman" w:eastAsia="Times New Roman" w:hAnsi="Times New Roman" w:cs="Times New Roman"/>
          <w:noProof/>
          <w:sz w:val="24"/>
          <w:szCs w:val="24"/>
          <w:lang w:val="en-GB" w:eastAsia="de-DE"/>
        </w:rPr>
        <w:t xml:space="preserve">. </w:t>
      </w:r>
    </w:p>
    <w:p w:rsidR="00832624" w:rsidRDefault="0072318F">
      <w:pPr>
        <w:spacing w:after="120" w:line="240" w:lineRule="auto"/>
        <w:jc w:val="both"/>
        <w:rPr>
          <w:rFonts w:ascii="Times New Roman" w:eastAsia="Times New Roman" w:hAnsi="Times New Roman" w:cs="Times New Roman"/>
          <w:noProof/>
          <w:sz w:val="24"/>
          <w:szCs w:val="24"/>
          <w:lang w:val="en-GB" w:eastAsia="de-DE"/>
        </w:rPr>
      </w:pPr>
      <w:r>
        <w:rPr>
          <w:rFonts w:ascii="Times New Roman" w:eastAsia="Times New Roman" w:hAnsi="Times New Roman" w:cs="Times New Roman"/>
          <w:b/>
          <w:noProof/>
          <w:sz w:val="24"/>
          <w:szCs w:val="24"/>
          <w:lang w:val="en-GB" w:eastAsia="de-DE"/>
        </w:rPr>
        <w:t>Technical assistance</w:t>
      </w:r>
      <w:r>
        <w:rPr>
          <w:rFonts w:ascii="Times New Roman" w:eastAsia="Times New Roman" w:hAnsi="Times New Roman" w:cs="Times New Roman"/>
          <w:noProof/>
          <w:sz w:val="24"/>
          <w:szCs w:val="24"/>
          <w:lang w:val="en-GB" w:eastAsia="de-DE"/>
        </w:rPr>
        <w:t>: Member Stat</w:t>
      </w:r>
      <w:r>
        <w:rPr>
          <w:rFonts w:ascii="Times New Roman" w:eastAsia="Times New Roman" w:hAnsi="Times New Roman" w:cs="Times New Roman"/>
          <w:noProof/>
          <w:sz w:val="24"/>
          <w:szCs w:val="24"/>
          <w:lang w:val="en-GB" w:eastAsia="de-DE"/>
        </w:rPr>
        <w:t>es were entitled to use the funds allocated to the AP to finance "</w:t>
      </w:r>
      <w:r>
        <w:rPr>
          <w:rFonts w:ascii="Times New Roman" w:eastAsia="Times New Roman" w:hAnsi="Times New Roman" w:cs="Times New Roman"/>
          <w:i/>
          <w:noProof/>
          <w:sz w:val="24"/>
          <w:szCs w:val="24"/>
          <w:lang w:val="en-GB" w:eastAsia="de-DE"/>
        </w:rPr>
        <w:t>preparatory measures, management, monitoring, evaluation, information and control measures as well measures for the reinforcement of the administrative capacity for the implementation of the</w:t>
      </w:r>
      <w:r>
        <w:rPr>
          <w:rFonts w:ascii="Times New Roman" w:eastAsia="Times New Roman" w:hAnsi="Times New Roman" w:cs="Times New Roman"/>
          <w:i/>
          <w:noProof/>
          <w:sz w:val="24"/>
          <w:szCs w:val="24"/>
          <w:lang w:val="en-GB" w:eastAsia="de-DE"/>
        </w:rPr>
        <w:t xml:space="preserve"> Fund</w:t>
      </w:r>
      <w:r>
        <w:rPr>
          <w:rFonts w:ascii="Times New Roman" w:eastAsia="Times New Roman" w:hAnsi="Times New Roman" w:cs="Times New Roman"/>
          <w:noProof/>
          <w:sz w:val="24"/>
          <w:szCs w:val="24"/>
          <w:lang w:val="en-GB" w:eastAsia="de-DE"/>
        </w:rPr>
        <w:t>"</w:t>
      </w:r>
      <w:r>
        <w:rPr>
          <w:rFonts w:ascii="Times New Roman" w:eastAsia="Times New Roman" w:hAnsi="Times New Roman" w:cs="Times New Roman"/>
          <w:noProof/>
          <w:sz w:val="24"/>
          <w:szCs w:val="24"/>
          <w:vertAlign w:val="superscript"/>
          <w:lang w:val="en-GB" w:eastAsia="de-DE"/>
        </w:rPr>
        <w:footnoteReference w:id="37"/>
      </w:r>
      <w:r>
        <w:rPr>
          <w:rFonts w:ascii="Times New Roman" w:eastAsia="Times New Roman" w:hAnsi="Times New Roman" w:cs="Times New Roman"/>
          <w:noProof/>
          <w:sz w:val="24"/>
          <w:szCs w:val="24"/>
          <w:lang w:val="en-GB" w:eastAsia="de-DE"/>
        </w:rPr>
        <w:t>. For the AP 2011 to 2013, the technical assistance was set at 4% of the total annual amount of funding allocated plus EUR 30,000.</w:t>
      </w:r>
    </w:p>
    <w:p w:rsidR="00832624" w:rsidRDefault="0072318F">
      <w:pPr>
        <w:spacing w:after="120" w:line="240" w:lineRule="auto"/>
        <w:jc w:val="both"/>
        <w:rPr>
          <w:rFonts w:ascii="Times New Roman" w:eastAsia="Times New Roman" w:hAnsi="Times New Roman" w:cs="Times New Roman"/>
          <w:noProof/>
          <w:sz w:val="24"/>
          <w:szCs w:val="24"/>
          <w:lang w:val="en-GB" w:eastAsia="de-DE"/>
        </w:rPr>
      </w:pPr>
      <w:r>
        <w:rPr>
          <w:rFonts w:ascii="Times New Roman" w:eastAsia="Times New Roman" w:hAnsi="Times New Roman" w:cs="Times New Roman"/>
          <w:b/>
          <w:noProof/>
          <w:sz w:val="24"/>
          <w:szCs w:val="24"/>
          <w:lang w:val="en-GB" w:eastAsia="de-DE"/>
        </w:rPr>
        <w:t>Closure of the Annual Programme</w:t>
      </w:r>
      <w:r>
        <w:rPr>
          <w:rFonts w:ascii="Times New Roman" w:eastAsia="Times New Roman" w:hAnsi="Times New Roman" w:cs="Times New Roman"/>
          <w:noProof/>
          <w:sz w:val="24"/>
          <w:szCs w:val="24"/>
          <w:lang w:val="en-GB" w:eastAsia="de-DE"/>
        </w:rPr>
        <w:t>: The eligibility period of each annual programme was set at two years and a half (e.g.</w:t>
      </w:r>
      <w:r>
        <w:rPr>
          <w:rFonts w:ascii="Times New Roman" w:eastAsia="Times New Roman" w:hAnsi="Times New Roman" w:cs="Times New Roman"/>
          <w:noProof/>
          <w:sz w:val="24"/>
          <w:szCs w:val="24"/>
          <w:lang w:val="en-GB" w:eastAsia="de-DE"/>
        </w:rPr>
        <w:t xml:space="preserve"> 2013 annual programme ran from 1 January 2013 until 30 June 2015). After the end of eligibility period, the Member States submitted a final report, which included an audit report. The part of the annual allocation not spent – if any – after the end of the</w:t>
      </w:r>
      <w:r>
        <w:rPr>
          <w:rFonts w:ascii="Times New Roman" w:eastAsia="Times New Roman" w:hAnsi="Times New Roman" w:cs="Times New Roman"/>
          <w:noProof/>
          <w:sz w:val="24"/>
          <w:szCs w:val="24"/>
          <w:lang w:val="en-GB" w:eastAsia="de-DE"/>
        </w:rPr>
        <w:t xml:space="preserve"> eligibility period was lost for the Member States and for the Commission.</w:t>
      </w:r>
    </w:p>
    <w:p w:rsidR="00832624" w:rsidRDefault="0072318F">
      <w:pPr>
        <w:spacing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b/>
          <w:noProof/>
          <w:sz w:val="24"/>
          <w:szCs w:val="24"/>
          <w:lang w:val="en-GB" w:eastAsia="de-DE"/>
        </w:rPr>
        <w:t>Emergency assistance</w:t>
      </w:r>
      <w:r>
        <w:rPr>
          <w:rStyle w:val="FootnoteReference"/>
          <w:rFonts w:ascii="Times New Roman" w:eastAsia="Times New Roman" w:hAnsi="Times New Roman" w:cs="Times New Roman"/>
          <w:b/>
          <w:noProof/>
          <w:sz w:val="24"/>
          <w:szCs w:val="24"/>
          <w:lang w:val="en-GB" w:eastAsia="de-DE"/>
        </w:rPr>
        <w:footnoteReference w:id="38"/>
      </w:r>
      <w:r>
        <w:rPr>
          <w:rFonts w:ascii="Times New Roman" w:eastAsia="Times New Roman" w:hAnsi="Times New Roman" w:cs="Times New Roman"/>
          <w:b/>
          <w:noProof/>
          <w:sz w:val="24"/>
          <w:szCs w:val="24"/>
          <w:lang w:val="en-GB" w:eastAsia="de-DE"/>
        </w:rPr>
        <w:t>:</w:t>
      </w:r>
      <w:r>
        <w:rPr>
          <w:noProof/>
          <w:lang w:val="en-GB"/>
        </w:rPr>
        <w:t xml:space="preserve"> </w:t>
      </w:r>
      <w:r>
        <w:rPr>
          <w:rFonts w:ascii="Times New Roman" w:eastAsia="Times New Roman" w:hAnsi="Times New Roman" w:cs="Times New Roman"/>
          <w:noProof/>
          <w:sz w:val="24"/>
          <w:szCs w:val="24"/>
          <w:lang w:val="en-GB" w:eastAsia="de-DE"/>
        </w:rPr>
        <w:t xml:space="preserve">In addition, to top up the allocation provided to their annual programmes, the Commission was entitled to provide "assistance to Member States for the </w:t>
      </w:r>
      <w:r>
        <w:rPr>
          <w:rFonts w:ascii="Times New Roman" w:hAnsi="Times New Roman" w:cs="Times New Roman"/>
          <w:noProof/>
          <w:sz w:val="24"/>
          <w:szCs w:val="24"/>
          <w:lang w:val="en-GB"/>
        </w:rPr>
        <w:t>impleme</w:t>
      </w:r>
      <w:r>
        <w:rPr>
          <w:rFonts w:ascii="Times New Roman" w:hAnsi="Times New Roman" w:cs="Times New Roman"/>
          <w:noProof/>
          <w:sz w:val="24"/>
          <w:szCs w:val="24"/>
          <w:lang w:val="en-GB"/>
        </w:rPr>
        <w:t>ntation of emergency measures aimed at addressing situations of particular pressure". According to the basic act of the Fund, "Such situations are characterised by the sudden arrival at particular points on the borders of a large number of third country na</w:t>
      </w:r>
      <w:r>
        <w:rPr>
          <w:rFonts w:ascii="Times New Roman" w:hAnsi="Times New Roman" w:cs="Times New Roman"/>
          <w:noProof/>
          <w:sz w:val="24"/>
          <w:szCs w:val="24"/>
          <w:lang w:val="en-GB"/>
        </w:rPr>
        <w:t>tionals who may be in need of international protection, which place exceptionally heavy and urgent demands on the reception facilities, the asylum system or infrastructure of the Member State(s) concerned and may give rise to risks to human life, wellbeing</w:t>
      </w:r>
      <w:r>
        <w:rPr>
          <w:rFonts w:ascii="Times New Roman" w:hAnsi="Times New Roman" w:cs="Times New Roman"/>
          <w:noProof/>
          <w:sz w:val="24"/>
          <w:szCs w:val="24"/>
          <w:lang w:val="en-GB"/>
        </w:rPr>
        <w:t xml:space="preserve"> or access to protection provided under Community legislation." The duration of these actions could not exceed 6 months. </w:t>
      </w:r>
    </w:p>
    <w:p w:rsidR="00832624" w:rsidRDefault="0072318F">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Over the period, the Commission allocated EUR 66 385 316 to emergency assistance which is equal to 18% of the total programmed budget </w:t>
      </w:r>
      <w:r>
        <w:rPr>
          <w:rFonts w:ascii="Times New Roman" w:hAnsi="Times New Roman" w:cs="Times New Roman"/>
          <w:noProof/>
          <w:sz w:val="24"/>
          <w:szCs w:val="24"/>
          <w:lang w:val="en-GB"/>
        </w:rPr>
        <w:t>dedicated to annual programmes (EUR 22 803 735 in 2011, EUR 10 202 335 in 2012 and EUR 33 379 246 in 2013). Overall, 51 emergency measures were implemented between 2011 and 2013 in 11 Member States faced with particular pressure.</w:t>
      </w:r>
    </w:p>
    <w:p w:rsidR="00832624" w:rsidRDefault="00832624">
      <w:pPr>
        <w:spacing w:after="120" w:line="240" w:lineRule="auto"/>
        <w:jc w:val="both"/>
        <w:rPr>
          <w:rFonts w:ascii="EUAlbertina" w:hAnsi="EUAlbertina" w:cs="EUAlbertina"/>
          <w:noProof/>
          <w:sz w:val="19"/>
          <w:szCs w:val="19"/>
          <w:highlight w:val="yellow"/>
          <w:lang w:val="en-GB"/>
        </w:rPr>
      </w:pPr>
    </w:p>
    <w:p w:rsidR="00832624" w:rsidRDefault="0072318F">
      <w:pPr>
        <w:keepNext/>
        <w:numPr>
          <w:ilvl w:val="1"/>
          <w:numId w:val="0"/>
        </w:numPr>
        <w:spacing w:after="240" w:line="240" w:lineRule="auto"/>
        <w:ind w:left="576" w:hanging="576"/>
        <w:jc w:val="both"/>
        <w:outlineLvl w:val="1"/>
        <w:rPr>
          <w:rFonts w:ascii="Times New Roman" w:eastAsia="Times New Roman" w:hAnsi="Times New Roman" w:cs="Times New Roman"/>
          <w:b/>
          <w:bCs/>
          <w:noProof/>
          <w:sz w:val="24"/>
          <w:szCs w:val="24"/>
          <w:lang w:val="en-GB"/>
        </w:rPr>
      </w:pPr>
      <w:bookmarkStart w:id="19" w:name="_Toc500401626"/>
      <w:bookmarkStart w:id="20" w:name="_Toc515378890"/>
      <w:r>
        <w:rPr>
          <w:rFonts w:ascii="Times New Roman" w:eastAsia="Times New Roman" w:hAnsi="Times New Roman" w:cs="Times New Roman"/>
          <w:b/>
          <w:bCs/>
          <w:noProof/>
          <w:sz w:val="24"/>
          <w:szCs w:val="24"/>
          <w:lang w:val="en-GB"/>
        </w:rPr>
        <w:t>7.2 Direct management: An</w:t>
      </w:r>
      <w:r>
        <w:rPr>
          <w:rFonts w:ascii="Times New Roman" w:eastAsia="Times New Roman" w:hAnsi="Times New Roman" w:cs="Times New Roman"/>
          <w:b/>
          <w:bCs/>
          <w:noProof/>
          <w:sz w:val="24"/>
          <w:szCs w:val="24"/>
          <w:lang w:val="en-GB"/>
        </w:rPr>
        <w:t>nual Work Programmes of the Commission</w:t>
      </w:r>
      <w:bookmarkEnd w:id="19"/>
      <w:bookmarkEnd w:id="20"/>
    </w:p>
    <w:p w:rsidR="00832624" w:rsidRDefault="0072318F">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Under this management mode, up to 10% of the RF's available resources could be used to finance transnational actions or actions of interest to the EU as a whole, which were managed by the Commission (</w:t>
      </w:r>
      <w:r>
        <w:rPr>
          <w:rFonts w:ascii="Times New Roman" w:hAnsi="Times New Roman"/>
          <w:b/>
          <w:noProof/>
          <w:sz w:val="24"/>
          <w:szCs w:val="24"/>
          <w:lang w:val="en-GB"/>
        </w:rPr>
        <w:t>Community actions</w:t>
      </w:r>
      <w:r>
        <w:rPr>
          <w:rFonts w:ascii="Times New Roman" w:hAnsi="Times New Roman"/>
          <w:noProof/>
          <w:sz w:val="24"/>
          <w:szCs w:val="24"/>
          <w:lang w:val="en-GB"/>
        </w:rPr>
        <w:t>).</w:t>
      </w:r>
    </w:p>
    <w:p w:rsidR="00832624" w:rsidRDefault="0072318F">
      <w:pPr>
        <w:spacing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Each year the Commission adopted an </w:t>
      </w:r>
      <w:r>
        <w:rPr>
          <w:rFonts w:ascii="Times New Roman" w:hAnsi="Times New Roman"/>
          <w:b/>
          <w:noProof/>
          <w:sz w:val="24"/>
          <w:szCs w:val="24"/>
          <w:lang w:val="en-GB"/>
        </w:rPr>
        <w:t xml:space="preserve">annual work programme </w:t>
      </w:r>
      <w:r>
        <w:rPr>
          <w:rFonts w:ascii="Times New Roman" w:hAnsi="Times New Roman"/>
          <w:noProof/>
          <w:sz w:val="24"/>
          <w:szCs w:val="24"/>
          <w:lang w:val="en-GB"/>
        </w:rPr>
        <w:t>(AWP) specifying how the objectives of the ERF were to be pursued for the implementation period, taking into account the policy context. The AWPs were mainly implemented via grants, for which the</w:t>
      </w:r>
      <w:r>
        <w:rPr>
          <w:rFonts w:ascii="Times New Roman" w:hAnsi="Times New Roman"/>
          <w:noProof/>
          <w:sz w:val="24"/>
          <w:szCs w:val="24"/>
          <w:lang w:val="en-GB"/>
        </w:rPr>
        <w:t xml:space="preserve"> Commission then launched calls for proposals defining the eligible actions. Calls for proposals were addressed to public authorities from the Member States participating in the Fund, International Organisations and NGOs registered in one of the Member Sta</w:t>
      </w:r>
      <w:r>
        <w:rPr>
          <w:rFonts w:ascii="Times New Roman" w:hAnsi="Times New Roman"/>
          <w:noProof/>
          <w:sz w:val="24"/>
          <w:szCs w:val="24"/>
          <w:lang w:val="en-GB"/>
        </w:rPr>
        <w:t>tes. The ERF Community Actions were co-financing (up to 90% of the total eligible costs of the action) transnational projects aiming at developing methodological tools (i.e, facilitating integration and identifying alternatives to detention), addressing th</w:t>
      </w:r>
      <w:r>
        <w:rPr>
          <w:rFonts w:ascii="Times New Roman" w:hAnsi="Times New Roman"/>
          <w:noProof/>
          <w:sz w:val="24"/>
          <w:szCs w:val="24"/>
          <w:lang w:val="en-GB"/>
        </w:rPr>
        <w:t>e needs of vulnerable people (in particular unaccompanied minors and victims of torture), and strengthening responsibility sharing between Member States through resettlement and relocation mechanisms. Furthermore, two grants aiming at reforming and setting</w:t>
      </w:r>
      <w:r>
        <w:rPr>
          <w:rFonts w:ascii="Times New Roman" w:hAnsi="Times New Roman"/>
          <w:noProof/>
          <w:sz w:val="24"/>
          <w:szCs w:val="24"/>
          <w:lang w:val="en-GB"/>
        </w:rPr>
        <w:t xml:space="preserve"> up a new Greek asylum system were also directly awarded to UNHCR to support the emergency situation related to the asylum system in Greece.  </w:t>
      </w:r>
    </w:p>
    <w:p w:rsidR="00832624" w:rsidRDefault="00832624">
      <w:pPr>
        <w:spacing w:line="240" w:lineRule="auto"/>
        <w:jc w:val="both"/>
        <w:rPr>
          <w:rFonts w:ascii="Times New Roman" w:hAnsi="Times New Roman"/>
          <w:noProof/>
          <w:sz w:val="24"/>
          <w:szCs w:val="24"/>
          <w:lang w:val="en-GB"/>
        </w:rPr>
      </w:pPr>
    </w:p>
    <w:p w:rsidR="00832624" w:rsidRDefault="0072318F">
      <w:pPr>
        <w:pStyle w:val="Heading1"/>
        <w:rPr>
          <w:noProof/>
        </w:rPr>
      </w:pPr>
      <w:bookmarkStart w:id="21" w:name="_Toc515378891"/>
      <w:r>
        <w:rPr>
          <w:noProof/>
        </w:rPr>
        <w:t>Implementation – state of play</w:t>
      </w:r>
      <w:bookmarkEnd w:id="21"/>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ERF was launched in 2008 with an available financial envelope of EUR 628 mill</w:t>
      </w:r>
      <w:r>
        <w:rPr>
          <w:rFonts w:ascii="Times New Roman" w:hAnsi="Times New Roman" w:cs="Times New Roman"/>
          <w:noProof/>
          <w:sz w:val="24"/>
          <w:szCs w:val="24"/>
          <w:lang w:val="en-GB"/>
        </w:rPr>
        <w:t>ion. The allocation for 2011-2013 was EUR 386.2 million, of which EUR 373.5 million was under shared management (including emergency measures with EUR 68 million funded to 10 Member States) and EUR 12.7 million under direct management for Community Actions</w:t>
      </w:r>
      <w:r>
        <w:rPr>
          <w:rFonts w:ascii="Times New Roman" w:hAnsi="Times New Roman" w:cs="Times New Roman"/>
          <w:noProof/>
          <w:sz w:val="24"/>
          <w:szCs w:val="24"/>
          <w:lang w:val="en-GB"/>
        </w:rPr>
        <w:t>. The table below shows the EU distribution of financing to the different management modes during the period under assessment.</w:t>
      </w:r>
    </w:p>
    <w:p w:rsidR="00832624" w:rsidRDefault="0072318F">
      <w:pPr>
        <w:pStyle w:val="bullet"/>
        <w:keepNext/>
        <w:numPr>
          <w:ilvl w:val="0"/>
          <w:numId w:val="0"/>
        </w:numPr>
        <w:spacing w:after="120"/>
        <w:ind w:left="1134" w:hanging="1134"/>
        <w:rPr>
          <w:rFonts w:ascii="Times New Roman" w:hAnsi="Times New Roman"/>
          <w:b/>
          <w:noProof/>
          <w:sz w:val="24"/>
          <w:szCs w:val="24"/>
        </w:rPr>
      </w:pPr>
      <w:r>
        <w:rPr>
          <w:rFonts w:ascii="Times New Roman" w:hAnsi="Times New Roman"/>
          <w:b/>
          <w:noProof/>
          <w:sz w:val="24"/>
          <w:szCs w:val="24"/>
          <w:lang w:eastAsia="en-US"/>
        </w:rPr>
        <w:t xml:space="preserve">Table 1: </w:t>
      </w:r>
      <w:r>
        <w:rPr>
          <w:rFonts w:ascii="Times New Roman" w:hAnsi="Times New Roman"/>
          <w:b/>
          <w:noProof/>
          <w:sz w:val="24"/>
          <w:szCs w:val="24"/>
          <w:lang w:eastAsia="en-US"/>
        </w:rPr>
        <w:tab/>
        <w:t>Total programmed EU contribution for ERF, 2011-2013 (EUR)</w:t>
      </w:r>
      <w:r>
        <w:rPr>
          <w:rStyle w:val="FootnoteReference"/>
          <w:rFonts w:ascii="Times New Roman" w:hAnsi="Times New Roman"/>
          <w:b/>
          <w:noProof/>
          <w:sz w:val="24"/>
          <w:szCs w:val="24"/>
        </w:rPr>
        <w:footnoteReference w:id="39"/>
      </w:r>
    </w:p>
    <w:tbl>
      <w:tblPr>
        <w:tblStyle w:val="TableGrid"/>
        <w:tblW w:w="0" w:type="auto"/>
        <w:tblLayout w:type="fixed"/>
        <w:tblLook w:val="04A0" w:firstRow="1" w:lastRow="0" w:firstColumn="1" w:lastColumn="0" w:noHBand="0" w:noVBand="1"/>
      </w:tblPr>
      <w:tblGrid>
        <w:gridCol w:w="2988"/>
        <w:gridCol w:w="1680"/>
        <w:gridCol w:w="1680"/>
        <w:gridCol w:w="1560"/>
        <w:gridCol w:w="1380"/>
      </w:tblGrid>
      <w:tr w:rsidR="00832624">
        <w:tc>
          <w:tcPr>
            <w:tcW w:w="2988" w:type="dxa"/>
          </w:tcPr>
          <w:p w:rsidR="00832624" w:rsidRDefault="00832624">
            <w:pPr>
              <w:pStyle w:val="Body"/>
              <w:keepNext/>
              <w:spacing w:before="60" w:after="60"/>
              <w:rPr>
                <w:rFonts w:ascii="Times New Roman" w:hAnsi="Times New Roman" w:cs="Times New Roman"/>
                <w:b/>
                <w:noProof/>
                <w:sz w:val="18"/>
                <w:szCs w:val="18"/>
                <w:lang w:val="en-GB"/>
              </w:rPr>
            </w:pPr>
          </w:p>
        </w:tc>
        <w:tc>
          <w:tcPr>
            <w:tcW w:w="1680" w:type="dxa"/>
          </w:tcPr>
          <w:p w:rsidR="00832624" w:rsidRDefault="0072318F">
            <w:pPr>
              <w:pStyle w:val="Body"/>
              <w:keepNext/>
              <w:spacing w:before="60" w:after="60"/>
              <w:jc w:val="center"/>
              <w:rPr>
                <w:rFonts w:ascii="Times New Roman" w:hAnsi="Times New Roman" w:cs="Times New Roman"/>
                <w:b/>
                <w:noProof/>
                <w:sz w:val="18"/>
                <w:szCs w:val="18"/>
                <w:lang w:val="en-GB"/>
              </w:rPr>
            </w:pPr>
            <w:r>
              <w:rPr>
                <w:rFonts w:ascii="Times New Roman" w:hAnsi="Times New Roman" w:cs="Times New Roman"/>
                <w:b/>
                <w:noProof/>
                <w:sz w:val="18"/>
                <w:szCs w:val="18"/>
                <w:lang w:val="en-GB"/>
              </w:rPr>
              <w:t>2011</w:t>
            </w:r>
          </w:p>
        </w:tc>
        <w:tc>
          <w:tcPr>
            <w:tcW w:w="1680" w:type="dxa"/>
          </w:tcPr>
          <w:p w:rsidR="00832624" w:rsidRDefault="0072318F">
            <w:pPr>
              <w:pStyle w:val="Body"/>
              <w:keepNext/>
              <w:spacing w:before="60" w:after="60"/>
              <w:jc w:val="center"/>
              <w:rPr>
                <w:rFonts w:ascii="Times New Roman" w:hAnsi="Times New Roman" w:cs="Times New Roman"/>
                <w:b/>
                <w:noProof/>
                <w:sz w:val="18"/>
                <w:szCs w:val="18"/>
                <w:lang w:val="en-GB"/>
              </w:rPr>
            </w:pPr>
            <w:r>
              <w:rPr>
                <w:rFonts w:ascii="Times New Roman" w:hAnsi="Times New Roman" w:cs="Times New Roman"/>
                <w:b/>
                <w:noProof/>
                <w:sz w:val="18"/>
                <w:szCs w:val="18"/>
                <w:lang w:val="en-GB"/>
              </w:rPr>
              <w:t>2012</w:t>
            </w:r>
          </w:p>
        </w:tc>
        <w:tc>
          <w:tcPr>
            <w:tcW w:w="1560" w:type="dxa"/>
          </w:tcPr>
          <w:p w:rsidR="00832624" w:rsidRDefault="0072318F">
            <w:pPr>
              <w:pStyle w:val="Body"/>
              <w:keepNext/>
              <w:spacing w:before="60" w:after="60"/>
              <w:jc w:val="center"/>
              <w:rPr>
                <w:rFonts w:ascii="Times New Roman" w:hAnsi="Times New Roman" w:cs="Times New Roman"/>
                <w:b/>
                <w:noProof/>
                <w:sz w:val="18"/>
                <w:szCs w:val="18"/>
                <w:lang w:val="en-GB"/>
              </w:rPr>
            </w:pPr>
            <w:r>
              <w:rPr>
                <w:rFonts w:ascii="Times New Roman" w:hAnsi="Times New Roman" w:cs="Times New Roman"/>
                <w:b/>
                <w:noProof/>
                <w:sz w:val="18"/>
                <w:szCs w:val="18"/>
                <w:lang w:val="en-GB"/>
              </w:rPr>
              <w:t>2013</w:t>
            </w:r>
          </w:p>
        </w:tc>
        <w:tc>
          <w:tcPr>
            <w:tcW w:w="1380" w:type="dxa"/>
          </w:tcPr>
          <w:p w:rsidR="00832624" w:rsidRDefault="0072318F">
            <w:pPr>
              <w:pStyle w:val="Body"/>
              <w:keepNext/>
              <w:spacing w:before="60" w:after="60"/>
              <w:jc w:val="center"/>
              <w:rPr>
                <w:rFonts w:ascii="Times New Roman" w:hAnsi="Times New Roman" w:cs="Times New Roman"/>
                <w:b/>
                <w:noProof/>
                <w:sz w:val="18"/>
                <w:szCs w:val="18"/>
                <w:lang w:val="en-GB"/>
              </w:rPr>
            </w:pPr>
            <w:r>
              <w:rPr>
                <w:rFonts w:ascii="Times New Roman" w:hAnsi="Times New Roman" w:cs="Times New Roman"/>
                <w:b/>
                <w:noProof/>
                <w:sz w:val="18"/>
                <w:szCs w:val="18"/>
                <w:lang w:val="en-GB"/>
              </w:rPr>
              <w:t>Total</w:t>
            </w:r>
          </w:p>
        </w:tc>
      </w:tr>
      <w:tr w:rsidR="00832624">
        <w:tc>
          <w:tcPr>
            <w:tcW w:w="2988" w:type="dxa"/>
          </w:tcPr>
          <w:p w:rsidR="00832624" w:rsidRDefault="0072318F">
            <w:pPr>
              <w:pStyle w:val="Body"/>
              <w:keepNext/>
              <w:spacing w:before="60" w:after="60"/>
              <w:rPr>
                <w:rFonts w:ascii="Times New Roman" w:hAnsi="Times New Roman" w:cs="Times New Roman"/>
                <w:b/>
                <w:noProof/>
                <w:sz w:val="18"/>
                <w:szCs w:val="18"/>
                <w:lang w:val="en-GB"/>
              </w:rPr>
            </w:pPr>
            <w:r>
              <w:rPr>
                <w:rFonts w:ascii="Times New Roman" w:hAnsi="Times New Roman" w:cs="Times New Roman"/>
                <w:b/>
                <w:noProof/>
                <w:sz w:val="18"/>
                <w:szCs w:val="18"/>
                <w:lang w:val="en-GB"/>
              </w:rPr>
              <w:t xml:space="preserve">Shared management (via national programmes) </w:t>
            </w:r>
          </w:p>
        </w:tc>
        <w:tc>
          <w:tcPr>
            <w:tcW w:w="1680" w:type="dxa"/>
          </w:tcPr>
          <w:p w:rsidR="00832624" w:rsidRDefault="0072318F">
            <w:pPr>
              <w:pStyle w:val="Body"/>
              <w:keepNext/>
              <w:spacing w:before="60" w:after="60"/>
              <w:jc w:val="right"/>
              <w:rPr>
                <w:rFonts w:ascii="Times New Roman" w:hAnsi="Times New Roman" w:cs="Times New Roman"/>
                <w:noProof/>
                <w:sz w:val="18"/>
                <w:szCs w:val="18"/>
                <w:lang w:val="en-GB"/>
              </w:rPr>
            </w:pPr>
            <w:r>
              <w:rPr>
                <w:rFonts w:ascii="Times New Roman" w:hAnsi="Times New Roman" w:cs="Times New Roman"/>
                <w:noProof/>
                <w:sz w:val="18"/>
                <w:szCs w:val="18"/>
                <w:lang w:val="en-GB"/>
              </w:rPr>
              <w:t>116 722 757</w:t>
            </w:r>
          </w:p>
        </w:tc>
        <w:tc>
          <w:tcPr>
            <w:tcW w:w="1680" w:type="dxa"/>
          </w:tcPr>
          <w:p w:rsidR="00832624" w:rsidRDefault="0072318F">
            <w:pPr>
              <w:pStyle w:val="Body"/>
              <w:keepNext/>
              <w:spacing w:before="60" w:after="60"/>
              <w:jc w:val="right"/>
              <w:rPr>
                <w:rFonts w:ascii="Times New Roman" w:hAnsi="Times New Roman" w:cs="Times New Roman"/>
                <w:noProof/>
                <w:sz w:val="18"/>
                <w:szCs w:val="18"/>
                <w:lang w:val="en-GB"/>
              </w:rPr>
            </w:pPr>
            <w:r>
              <w:rPr>
                <w:rFonts w:ascii="Times New Roman" w:hAnsi="Times New Roman" w:cs="Times New Roman"/>
                <w:noProof/>
                <w:sz w:val="18"/>
                <w:szCs w:val="18"/>
                <w:lang w:val="en-GB"/>
              </w:rPr>
              <w:t>111 259 303</w:t>
            </w:r>
          </w:p>
        </w:tc>
        <w:tc>
          <w:tcPr>
            <w:tcW w:w="1560" w:type="dxa"/>
          </w:tcPr>
          <w:p w:rsidR="00832624" w:rsidRDefault="0072318F">
            <w:pPr>
              <w:pStyle w:val="Body"/>
              <w:keepNext/>
              <w:spacing w:before="60" w:after="60"/>
              <w:jc w:val="right"/>
              <w:rPr>
                <w:rFonts w:ascii="Times New Roman" w:hAnsi="Times New Roman" w:cs="Times New Roman"/>
                <w:noProof/>
                <w:sz w:val="18"/>
                <w:szCs w:val="18"/>
                <w:lang w:val="en-GB"/>
              </w:rPr>
            </w:pPr>
            <w:r>
              <w:rPr>
                <w:rFonts w:ascii="Times New Roman" w:hAnsi="Times New Roman" w:cs="Times New Roman"/>
                <w:noProof/>
                <w:sz w:val="18"/>
                <w:szCs w:val="18"/>
                <w:lang w:val="en-GB"/>
              </w:rPr>
              <w:t>145 463 497</w:t>
            </w:r>
          </w:p>
        </w:tc>
        <w:tc>
          <w:tcPr>
            <w:tcW w:w="1380" w:type="dxa"/>
          </w:tcPr>
          <w:p w:rsidR="00832624" w:rsidRDefault="0072318F">
            <w:pPr>
              <w:pStyle w:val="Body"/>
              <w:keepNext/>
              <w:spacing w:before="60" w:after="60"/>
              <w:jc w:val="right"/>
              <w:rPr>
                <w:rFonts w:ascii="Times New Roman" w:hAnsi="Times New Roman" w:cs="Times New Roman"/>
                <w:b/>
                <w:noProof/>
                <w:sz w:val="18"/>
                <w:szCs w:val="18"/>
                <w:lang w:val="en-GB"/>
              </w:rPr>
            </w:pPr>
            <w:r>
              <w:rPr>
                <w:rFonts w:ascii="Times New Roman" w:hAnsi="Times New Roman" w:cs="Times New Roman"/>
                <w:b/>
                <w:noProof/>
                <w:sz w:val="18"/>
                <w:szCs w:val="18"/>
                <w:lang w:val="en-GB"/>
              </w:rPr>
              <w:t>373 445 557</w:t>
            </w:r>
          </w:p>
        </w:tc>
      </w:tr>
      <w:tr w:rsidR="00832624">
        <w:tc>
          <w:tcPr>
            <w:tcW w:w="2988" w:type="dxa"/>
          </w:tcPr>
          <w:p w:rsidR="00832624" w:rsidRDefault="0072318F">
            <w:pPr>
              <w:pStyle w:val="Body"/>
              <w:keepNext/>
              <w:spacing w:before="60" w:after="60"/>
              <w:rPr>
                <w:rFonts w:ascii="Times New Roman" w:hAnsi="Times New Roman" w:cs="Times New Roman"/>
                <w:b/>
                <w:noProof/>
                <w:sz w:val="18"/>
                <w:szCs w:val="18"/>
                <w:lang w:val="en-GB"/>
              </w:rPr>
            </w:pPr>
            <w:r>
              <w:rPr>
                <w:rFonts w:ascii="Times New Roman" w:hAnsi="Times New Roman" w:cs="Times New Roman"/>
                <w:b/>
                <w:noProof/>
                <w:sz w:val="18"/>
                <w:szCs w:val="18"/>
                <w:lang w:val="en-GB"/>
              </w:rPr>
              <w:t>Direct management (via Community actions)</w:t>
            </w:r>
          </w:p>
        </w:tc>
        <w:tc>
          <w:tcPr>
            <w:tcW w:w="1680" w:type="dxa"/>
          </w:tcPr>
          <w:p w:rsidR="00832624" w:rsidRDefault="0072318F">
            <w:pPr>
              <w:pStyle w:val="Body"/>
              <w:keepNext/>
              <w:spacing w:before="60" w:after="60"/>
              <w:jc w:val="right"/>
              <w:rPr>
                <w:rFonts w:ascii="Times New Roman" w:hAnsi="Times New Roman" w:cs="Times New Roman"/>
                <w:noProof/>
                <w:sz w:val="18"/>
                <w:szCs w:val="18"/>
                <w:lang w:val="en-GB"/>
              </w:rPr>
            </w:pPr>
            <w:r>
              <w:rPr>
                <w:rFonts w:ascii="Times New Roman" w:hAnsi="Times New Roman" w:cs="Times New Roman"/>
                <w:noProof/>
                <w:sz w:val="18"/>
                <w:szCs w:val="18"/>
                <w:lang w:val="en-GB"/>
              </w:rPr>
              <w:t>3 953 032</w:t>
            </w:r>
          </w:p>
        </w:tc>
        <w:tc>
          <w:tcPr>
            <w:tcW w:w="1680" w:type="dxa"/>
          </w:tcPr>
          <w:p w:rsidR="00832624" w:rsidRDefault="0072318F">
            <w:pPr>
              <w:pStyle w:val="Body"/>
              <w:keepNext/>
              <w:spacing w:before="60" w:after="60"/>
              <w:jc w:val="right"/>
              <w:rPr>
                <w:rFonts w:ascii="Times New Roman" w:hAnsi="Times New Roman" w:cs="Times New Roman"/>
                <w:noProof/>
                <w:sz w:val="18"/>
                <w:szCs w:val="18"/>
                <w:lang w:val="en-GB"/>
              </w:rPr>
            </w:pPr>
            <w:r>
              <w:rPr>
                <w:rFonts w:ascii="Times New Roman" w:hAnsi="Times New Roman" w:cs="Times New Roman"/>
                <w:noProof/>
                <w:sz w:val="18"/>
                <w:szCs w:val="18"/>
                <w:lang w:val="en-GB"/>
              </w:rPr>
              <w:t>4 214 040</w:t>
            </w:r>
          </w:p>
        </w:tc>
        <w:tc>
          <w:tcPr>
            <w:tcW w:w="1560" w:type="dxa"/>
          </w:tcPr>
          <w:p w:rsidR="00832624" w:rsidRDefault="0072318F">
            <w:pPr>
              <w:pStyle w:val="Body"/>
              <w:keepNext/>
              <w:spacing w:before="60" w:after="60"/>
              <w:jc w:val="right"/>
              <w:rPr>
                <w:rFonts w:ascii="Times New Roman" w:hAnsi="Times New Roman" w:cs="Times New Roman"/>
                <w:noProof/>
                <w:sz w:val="18"/>
                <w:szCs w:val="18"/>
                <w:lang w:val="en-GB"/>
              </w:rPr>
            </w:pPr>
            <w:r>
              <w:rPr>
                <w:rFonts w:ascii="Times New Roman" w:hAnsi="Times New Roman" w:cs="Times New Roman"/>
                <w:noProof/>
                <w:sz w:val="18"/>
                <w:szCs w:val="18"/>
                <w:lang w:val="en-GB"/>
              </w:rPr>
              <w:t>4 545 211</w:t>
            </w:r>
          </w:p>
        </w:tc>
        <w:tc>
          <w:tcPr>
            <w:tcW w:w="1380" w:type="dxa"/>
          </w:tcPr>
          <w:p w:rsidR="00832624" w:rsidRDefault="0072318F">
            <w:pPr>
              <w:pStyle w:val="Body"/>
              <w:keepNext/>
              <w:spacing w:before="60" w:after="60"/>
              <w:jc w:val="right"/>
              <w:rPr>
                <w:rFonts w:ascii="Times New Roman" w:hAnsi="Times New Roman" w:cs="Times New Roman"/>
                <w:b/>
                <w:noProof/>
                <w:sz w:val="18"/>
                <w:szCs w:val="18"/>
                <w:lang w:val="en-GB"/>
              </w:rPr>
            </w:pPr>
            <w:r>
              <w:rPr>
                <w:rFonts w:ascii="Times New Roman" w:hAnsi="Times New Roman" w:cs="Times New Roman"/>
                <w:b/>
                <w:noProof/>
                <w:sz w:val="18"/>
                <w:szCs w:val="18"/>
                <w:lang w:val="en-GB"/>
              </w:rPr>
              <w:t>12 712 283</w:t>
            </w:r>
          </w:p>
        </w:tc>
      </w:tr>
      <w:tr w:rsidR="00832624">
        <w:tc>
          <w:tcPr>
            <w:tcW w:w="2988" w:type="dxa"/>
          </w:tcPr>
          <w:p w:rsidR="00832624" w:rsidRDefault="0072318F">
            <w:pPr>
              <w:pStyle w:val="Body"/>
              <w:spacing w:before="60" w:after="60"/>
              <w:rPr>
                <w:rFonts w:ascii="Times New Roman" w:hAnsi="Times New Roman" w:cs="Times New Roman"/>
                <w:b/>
                <w:noProof/>
                <w:sz w:val="18"/>
                <w:szCs w:val="18"/>
                <w:lang w:val="en-GB"/>
              </w:rPr>
            </w:pPr>
            <w:r>
              <w:rPr>
                <w:rFonts w:ascii="Times New Roman" w:hAnsi="Times New Roman" w:cs="Times New Roman"/>
                <w:b/>
                <w:noProof/>
                <w:sz w:val="18"/>
                <w:szCs w:val="18"/>
                <w:lang w:val="en-GB"/>
              </w:rPr>
              <w:t>Total ERF EU budget</w:t>
            </w:r>
          </w:p>
        </w:tc>
        <w:tc>
          <w:tcPr>
            <w:tcW w:w="1680" w:type="dxa"/>
          </w:tcPr>
          <w:p w:rsidR="00832624" w:rsidRDefault="0072318F">
            <w:pPr>
              <w:pStyle w:val="Body"/>
              <w:spacing w:before="60" w:after="60"/>
              <w:jc w:val="right"/>
              <w:rPr>
                <w:rFonts w:ascii="Times New Roman" w:hAnsi="Times New Roman" w:cs="Times New Roman"/>
                <w:b/>
                <w:noProof/>
                <w:sz w:val="18"/>
                <w:szCs w:val="18"/>
                <w:lang w:val="en-GB"/>
              </w:rPr>
            </w:pPr>
            <w:r>
              <w:rPr>
                <w:rFonts w:ascii="Times New Roman" w:hAnsi="Times New Roman" w:cs="Times New Roman"/>
                <w:b/>
                <w:noProof/>
                <w:color w:val="000000"/>
                <w:sz w:val="18"/>
                <w:szCs w:val="18"/>
                <w:lang w:val="en-GB" w:eastAsia="en-GB"/>
              </w:rPr>
              <w:t>120 675 789</w:t>
            </w:r>
          </w:p>
        </w:tc>
        <w:tc>
          <w:tcPr>
            <w:tcW w:w="1680" w:type="dxa"/>
          </w:tcPr>
          <w:p w:rsidR="00832624" w:rsidRDefault="0072318F">
            <w:pPr>
              <w:pStyle w:val="Body"/>
              <w:spacing w:before="60" w:after="60"/>
              <w:jc w:val="right"/>
              <w:rPr>
                <w:rFonts w:ascii="Times New Roman" w:hAnsi="Times New Roman" w:cs="Times New Roman"/>
                <w:b/>
                <w:noProof/>
                <w:sz w:val="18"/>
                <w:szCs w:val="18"/>
                <w:lang w:val="en-GB"/>
              </w:rPr>
            </w:pPr>
            <w:r>
              <w:rPr>
                <w:rFonts w:ascii="Times New Roman" w:hAnsi="Times New Roman" w:cs="Times New Roman"/>
                <w:b/>
                <w:noProof/>
                <w:color w:val="000000"/>
                <w:sz w:val="18"/>
                <w:szCs w:val="18"/>
                <w:lang w:val="en-GB" w:eastAsia="en-GB"/>
              </w:rPr>
              <w:t>115 473 343</w:t>
            </w:r>
          </w:p>
        </w:tc>
        <w:tc>
          <w:tcPr>
            <w:tcW w:w="1560" w:type="dxa"/>
          </w:tcPr>
          <w:p w:rsidR="00832624" w:rsidRDefault="0072318F">
            <w:pPr>
              <w:pStyle w:val="Body"/>
              <w:spacing w:before="60" w:after="60"/>
              <w:jc w:val="right"/>
              <w:rPr>
                <w:rFonts w:ascii="Times New Roman" w:hAnsi="Times New Roman" w:cs="Times New Roman"/>
                <w:b/>
                <w:noProof/>
                <w:sz w:val="18"/>
                <w:szCs w:val="18"/>
                <w:lang w:val="en-GB"/>
              </w:rPr>
            </w:pPr>
            <w:r>
              <w:rPr>
                <w:rFonts w:ascii="Times New Roman" w:hAnsi="Times New Roman" w:cs="Times New Roman"/>
                <w:b/>
                <w:noProof/>
                <w:color w:val="000000"/>
                <w:sz w:val="18"/>
                <w:szCs w:val="18"/>
                <w:lang w:val="en-GB" w:eastAsia="en-GB"/>
              </w:rPr>
              <w:t>150 008 708</w:t>
            </w:r>
          </w:p>
        </w:tc>
        <w:tc>
          <w:tcPr>
            <w:tcW w:w="1380" w:type="dxa"/>
          </w:tcPr>
          <w:p w:rsidR="00832624" w:rsidRDefault="0072318F">
            <w:pPr>
              <w:pStyle w:val="Body"/>
              <w:spacing w:before="60" w:after="60"/>
              <w:jc w:val="right"/>
              <w:rPr>
                <w:rFonts w:ascii="Times New Roman" w:hAnsi="Times New Roman" w:cs="Times New Roman"/>
                <w:b/>
                <w:noProof/>
                <w:sz w:val="18"/>
                <w:szCs w:val="18"/>
                <w:lang w:val="en-GB"/>
              </w:rPr>
            </w:pPr>
            <w:r>
              <w:rPr>
                <w:rFonts w:ascii="Times New Roman" w:hAnsi="Times New Roman" w:cs="Times New Roman"/>
                <w:b/>
                <w:noProof/>
                <w:color w:val="000000"/>
                <w:sz w:val="18"/>
                <w:szCs w:val="18"/>
                <w:lang w:val="en-GB" w:eastAsia="en-GB"/>
              </w:rPr>
              <w:t>386 157 840</w:t>
            </w:r>
          </w:p>
        </w:tc>
      </w:tr>
    </w:tbl>
    <w:p w:rsidR="00832624" w:rsidRDefault="0072318F">
      <w:pPr>
        <w:keepNext/>
        <w:spacing w:before="240"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A) </w:t>
      </w:r>
      <w:r>
        <w:rPr>
          <w:rFonts w:ascii="Times New Roman" w:hAnsi="Times New Roman" w:cs="Times New Roman"/>
          <w:b/>
          <w:i/>
          <w:noProof/>
          <w:sz w:val="24"/>
          <w:szCs w:val="24"/>
          <w:lang w:val="en-GB"/>
        </w:rPr>
        <w:t>Implementation through shared management</w:t>
      </w:r>
    </w:p>
    <w:p w:rsidR="00832624" w:rsidRDefault="0072318F">
      <w:pPr>
        <w:spacing w:after="240" w:line="240" w:lineRule="auto"/>
        <w:jc w:val="both"/>
        <w:rPr>
          <w:rFonts w:ascii="Times New Roman" w:hAnsi="Times New Roman" w:cs="Times New Roman"/>
          <w:i/>
          <w:noProof/>
          <w:sz w:val="24"/>
          <w:szCs w:val="24"/>
          <w:u w:val="single"/>
          <w:lang w:val="en-GB"/>
        </w:rPr>
      </w:pPr>
      <w:r>
        <w:rPr>
          <w:rFonts w:ascii="Times New Roman" w:hAnsi="Times New Roman" w:cs="Times New Roman"/>
          <w:i/>
          <w:noProof/>
          <w:sz w:val="24"/>
          <w:szCs w:val="24"/>
          <w:u w:val="single"/>
          <w:lang w:val="en-GB"/>
        </w:rPr>
        <w:t>Finding 1: Absorption rates are good and remain stable at 81%</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illustrated by figure 2, the programmed EU contribution rose gradually by 24 %, from EUR 117 million in 2011 to EUR 145 million in 2013 due to new challenges to be addressed in the area of asylum. The average absorption rate remained stable across the p</w:t>
      </w:r>
      <w:r>
        <w:rPr>
          <w:rFonts w:ascii="Times New Roman" w:hAnsi="Times New Roman" w:cs="Times New Roman"/>
          <w:noProof/>
          <w:sz w:val="24"/>
          <w:szCs w:val="24"/>
          <w:lang w:val="en-GB"/>
        </w:rPr>
        <w:t xml:space="preserve">eriod, at 81%.  </w:t>
      </w:r>
    </w:p>
    <w:p w:rsidR="00832624" w:rsidRDefault="0072318F">
      <w:pPr>
        <w:keepNext/>
        <w:spacing w:before="120" w:after="120" w:line="240" w:lineRule="auto"/>
        <w:ind w:left="1134" w:hanging="1134"/>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Figure 2: </w:t>
      </w:r>
      <w:r>
        <w:rPr>
          <w:rFonts w:ascii="Times New Roman" w:hAnsi="Times New Roman" w:cs="Times New Roman"/>
          <w:b/>
          <w:noProof/>
          <w:sz w:val="24"/>
          <w:szCs w:val="24"/>
          <w:lang w:val="en-GB"/>
        </w:rPr>
        <w:tab/>
        <w:t>Programmed and net EU contributions and absorption rates by year, ERF shared management, 2011-2013</w:t>
      </w:r>
    </w:p>
    <w:p w:rsidR="00832624" w:rsidRDefault="0072318F">
      <w:pPr>
        <w:keepNext/>
        <w:spacing w:before="120"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w:drawing>
          <wp:inline distT="0" distB="0" distL="0" distR="0" wp14:anchorId="4720C457" wp14:editId="4F190888">
            <wp:extent cx="4647063" cy="2295844"/>
            <wp:effectExtent l="0" t="0" r="127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49687" cy="2297140"/>
                    </a:xfrm>
                    <a:prstGeom prst="rect">
                      <a:avLst/>
                    </a:prstGeom>
                    <a:noFill/>
                  </pic:spPr>
                </pic:pic>
              </a:graphicData>
            </a:graphic>
          </wp:inline>
        </w:drawing>
      </w:r>
    </w:p>
    <w:p w:rsidR="00832624" w:rsidRDefault="0072318F">
      <w:pPr>
        <w:keepNext/>
        <w:spacing w:after="240" w:line="240" w:lineRule="auto"/>
        <w:ind w:left="1134" w:hanging="1134"/>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Source: European Commission data as of 31.12.2016 (ABAC/SFC)</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Under the shared management mode, Member States hold the primary r</w:t>
      </w:r>
      <w:r>
        <w:rPr>
          <w:rFonts w:ascii="Times New Roman" w:hAnsi="Times New Roman" w:cs="Times New Roman"/>
          <w:noProof/>
          <w:sz w:val="24"/>
          <w:szCs w:val="24"/>
          <w:lang w:val="en-GB"/>
        </w:rPr>
        <w:t>esponsibility for the implementation and management and control of the interventions of the Fund. Member States implement programmes at national level and allocate these funds to end recipients which are public authorities, NGOs or international organisati</w:t>
      </w:r>
      <w:r>
        <w:rPr>
          <w:rFonts w:ascii="Times New Roman" w:hAnsi="Times New Roman" w:cs="Times New Roman"/>
          <w:noProof/>
          <w:sz w:val="24"/>
          <w:szCs w:val="24"/>
          <w:lang w:val="en-GB"/>
        </w:rPr>
        <w:t>ons.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Actions under national programmes were implemented from 1 January 2011 to 30 June 2015. It should be underlined that some national programmes were not yet closed when the evaluation was carried. Member States demonstrated through the level of their ab</w:t>
      </w:r>
      <w:r>
        <w:rPr>
          <w:rFonts w:ascii="Times New Roman" w:hAnsi="Times New Roman" w:cs="Times New Roman"/>
          <w:noProof/>
          <w:sz w:val="24"/>
          <w:szCs w:val="24"/>
          <w:lang w:val="en-GB"/>
        </w:rPr>
        <w:t>sorption rate the ability to perform effective programming and involve national stakeholders in the implementation of projects. The ERF absorption rate ranged from 72 % to 84 % in 2007</w:t>
      </w:r>
      <w:r>
        <w:rPr>
          <w:rFonts w:ascii="Times New Roman" w:hAnsi="Times New Roman" w:cs="Times New Roman"/>
          <w:noProof/>
          <w:sz w:val="24"/>
          <w:szCs w:val="24"/>
          <w:lang w:val="en-GB"/>
        </w:rPr>
        <w:noBreakHyphen/>
        <w:t>2013 and was 81 % overall for 2011-2013. No particular correlation coul</w:t>
      </w:r>
      <w:r>
        <w:rPr>
          <w:rFonts w:ascii="Times New Roman" w:hAnsi="Times New Roman" w:cs="Times New Roman"/>
          <w:noProof/>
          <w:sz w:val="24"/>
          <w:szCs w:val="24"/>
          <w:lang w:val="en-GB"/>
        </w:rPr>
        <w:t>d be identified between absorption rate and geographical location, country size or share of the ERF. Nevertheless, as highlighted in Figure 3, the absorption rate of most Member States is above 70 %, with the exception of the Czech Republic (60 %) and Irel</w:t>
      </w:r>
      <w:r>
        <w:rPr>
          <w:rFonts w:ascii="Times New Roman" w:hAnsi="Times New Roman" w:cs="Times New Roman"/>
          <w:noProof/>
          <w:sz w:val="24"/>
          <w:szCs w:val="24"/>
          <w:lang w:val="en-GB"/>
        </w:rPr>
        <w:t>and (with an under</w:t>
      </w:r>
      <w:r>
        <w:rPr>
          <w:rFonts w:ascii="Times New Roman" w:hAnsi="Times New Roman" w:cs="Times New Roman"/>
          <w:noProof/>
          <w:sz w:val="24"/>
          <w:szCs w:val="24"/>
          <w:lang w:val="en-GB"/>
        </w:rPr>
        <w:noBreakHyphen/>
        <w:t>performing rate of 41 %</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lang w:val="en-GB"/>
        </w:rPr>
        <w:t>). According to these Member States, these low absorption rates were due to the need for beneficiaries to co</w:t>
      </w:r>
      <w:r>
        <w:rPr>
          <w:rFonts w:ascii="Times New Roman" w:hAnsi="Times New Roman" w:cs="Times New Roman"/>
          <w:noProof/>
          <w:sz w:val="24"/>
          <w:szCs w:val="24"/>
          <w:lang w:val="en-GB"/>
        </w:rPr>
        <w:noBreakHyphen/>
        <w:t>finance 25 % of the projects themselves as it was not financed by the national budget of the Member Stat</w:t>
      </w:r>
      <w:r>
        <w:rPr>
          <w:rFonts w:ascii="Times New Roman" w:hAnsi="Times New Roman" w:cs="Times New Roman"/>
          <w:noProof/>
          <w:sz w:val="24"/>
          <w:szCs w:val="24"/>
          <w:lang w:val="en-GB"/>
        </w:rPr>
        <w:t>e, which appeared to be a constraint for most stakeholders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lang w:val="en-GB"/>
        </w:rPr>
        <w:t xml:space="preserve">. </w:t>
      </w:r>
    </w:p>
    <w:p w:rsidR="00832624" w:rsidRDefault="0072318F">
      <w:pPr>
        <w:keepNext/>
        <w:spacing w:after="0" w:line="240" w:lineRule="auto"/>
        <w:ind w:left="1134" w:hanging="1134"/>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Figure 3: </w:t>
      </w:r>
      <w:r>
        <w:rPr>
          <w:rFonts w:ascii="Times New Roman" w:hAnsi="Times New Roman" w:cs="Times New Roman"/>
          <w:b/>
          <w:noProof/>
          <w:sz w:val="24"/>
          <w:szCs w:val="24"/>
          <w:lang w:val="en-GB"/>
        </w:rPr>
        <w:tab/>
        <w:t>Programmed and net EU contributions and absorption rates by Member State, ERF shared management, 2011-2013 (including emergency assistance)</w:t>
      </w:r>
    </w:p>
    <w:p w:rsidR="00832624" w:rsidRDefault="0072318F">
      <w:pPr>
        <w:keepNext/>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14:anchorId="0E693BD3" wp14:editId="7628CF23">
            <wp:extent cx="5920740" cy="2165641"/>
            <wp:effectExtent l="0" t="0" r="381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20740" cy="2165641"/>
                    </a:xfrm>
                    <a:prstGeom prst="rect">
                      <a:avLst/>
                    </a:prstGeom>
                    <a:noFill/>
                  </pic:spPr>
                </pic:pic>
              </a:graphicData>
            </a:graphic>
          </wp:inline>
        </w:drawing>
      </w:r>
    </w:p>
    <w:p w:rsidR="00832624" w:rsidRDefault="0072318F">
      <w:pPr>
        <w:keepNext/>
        <w:spacing w:after="240" w:line="240" w:lineRule="auto"/>
        <w:ind w:left="1134" w:hanging="1134"/>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Source: European Commission data as of </w:t>
      </w:r>
      <w:r>
        <w:rPr>
          <w:rFonts w:ascii="Times New Roman" w:hAnsi="Times New Roman" w:cs="Times New Roman"/>
          <w:noProof/>
          <w:sz w:val="20"/>
          <w:szCs w:val="20"/>
          <w:lang w:val="en-GB"/>
        </w:rPr>
        <w:t>31.12.2016 (ABAC/SFC)</w:t>
      </w:r>
    </w:p>
    <w:p w:rsidR="00832624" w:rsidRDefault="0072318F">
      <w:pPr>
        <w:pStyle w:val="ListParagraph"/>
        <w:spacing w:line="240" w:lineRule="auto"/>
        <w:ind w:left="0"/>
        <w:contextualSpacing w:val="0"/>
        <w:jc w:val="both"/>
        <w:rPr>
          <w:rFonts w:ascii="Times New Roman" w:hAnsi="Times New Roman"/>
          <w:noProof/>
          <w:sz w:val="24"/>
        </w:rPr>
      </w:pPr>
      <w:r>
        <w:rPr>
          <w:rFonts w:ascii="Times New Roman" w:hAnsi="Times New Roman"/>
          <w:noProof/>
          <w:sz w:val="24"/>
        </w:rPr>
        <w:t>In the NERs and case studies, stakeholders cited the following obstacles to achieving a 100 % absorption rate:</w:t>
      </w:r>
    </w:p>
    <w:p w:rsidR="00832624" w:rsidRDefault="0072318F">
      <w:pPr>
        <w:pStyle w:val="bullet"/>
        <w:rPr>
          <w:rFonts w:ascii="Times New Roman" w:hAnsi="Times New Roman"/>
          <w:noProof/>
          <w:sz w:val="24"/>
        </w:rPr>
      </w:pPr>
      <w:r>
        <w:rPr>
          <w:rFonts w:ascii="Times New Roman" w:hAnsi="Times New Roman"/>
          <w:noProof/>
          <w:sz w:val="24"/>
        </w:rPr>
        <w:t xml:space="preserve">secondary impacts </w:t>
      </w:r>
      <w:r>
        <w:rPr>
          <w:rFonts w:ascii="Times New Roman" w:hAnsi="Times New Roman"/>
          <w:noProof/>
          <w:sz w:val="24"/>
          <w:szCs w:val="24"/>
        </w:rPr>
        <w:t>of</w:t>
      </w:r>
      <w:r>
        <w:rPr>
          <w:rFonts w:ascii="Times New Roman" w:hAnsi="Times New Roman"/>
          <w:noProof/>
          <w:sz w:val="24"/>
        </w:rPr>
        <w:t xml:space="preserve"> the financial crisis affecting the capacities of beneficiaries to co</w:t>
      </w:r>
      <w:r>
        <w:rPr>
          <w:rFonts w:ascii="Times New Roman" w:hAnsi="Times New Roman"/>
          <w:noProof/>
          <w:sz w:val="24"/>
        </w:rPr>
        <w:noBreakHyphen/>
        <w:t>finance projects themselves;</w:t>
      </w:r>
    </w:p>
    <w:p w:rsidR="00832624" w:rsidRDefault="0072318F">
      <w:pPr>
        <w:pStyle w:val="bullet"/>
        <w:rPr>
          <w:rFonts w:ascii="Times New Roman" w:hAnsi="Times New Roman"/>
          <w:noProof/>
          <w:sz w:val="24"/>
        </w:rPr>
      </w:pPr>
      <w:r>
        <w:rPr>
          <w:rFonts w:ascii="Times New Roman" w:hAnsi="Times New Roman"/>
          <w:noProof/>
          <w:sz w:val="24"/>
        </w:rPr>
        <w:t>Memb</w:t>
      </w:r>
      <w:r>
        <w:rPr>
          <w:rFonts w:ascii="Times New Roman" w:hAnsi="Times New Roman"/>
          <w:noProof/>
          <w:sz w:val="24"/>
        </w:rPr>
        <w:t>er States with r</w:t>
      </w:r>
      <w:r>
        <w:rPr>
          <w:rFonts w:ascii="Times New Roman" w:hAnsi="Times New Roman"/>
          <w:noProof/>
          <w:sz w:val="24"/>
          <w:szCs w:val="24"/>
        </w:rPr>
        <w:t>elatively underdeveloped asylum systems having to build capacity;</w:t>
      </w:r>
    </w:p>
    <w:p w:rsidR="00832624" w:rsidRDefault="0072318F">
      <w:pPr>
        <w:pStyle w:val="bullet"/>
        <w:rPr>
          <w:rFonts w:ascii="Times New Roman" w:hAnsi="Times New Roman"/>
          <w:noProof/>
          <w:sz w:val="24"/>
        </w:rPr>
      </w:pPr>
      <w:r>
        <w:rPr>
          <w:rFonts w:ascii="Times New Roman" w:hAnsi="Times New Roman"/>
          <w:noProof/>
          <w:sz w:val="24"/>
          <w:szCs w:val="24"/>
        </w:rPr>
        <w:t>greater migratory pressure and related conflicts which became protracted; and</w:t>
      </w:r>
    </w:p>
    <w:p w:rsidR="00832624" w:rsidRDefault="0072318F">
      <w:pPr>
        <w:pStyle w:val="bullet"/>
        <w:rPr>
          <w:rFonts w:ascii="Times New Roman" w:hAnsi="Times New Roman"/>
          <w:noProof/>
          <w:sz w:val="24"/>
        </w:rPr>
      </w:pPr>
      <w:r>
        <w:rPr>
          <w:rFonts w:ascii="Times New Roman" w:hAnsi="Times New Roman"/>
          <w:noProof/>
          <w:sz w:val="24"/>
          <w:szCs w:val="24"/>
        </w:rPr>
        <w:t>administrative delays, which</w:t>
      </w:r>
      <w:r>
        <w:rPr>
          <w:rFonts w:ascii="Times New Roman" w:hAnsi="Times New Roman"/>
          <w:noProof/>
          <w:sz w:val="24"/>
        </w:rPr>
        <w:t xml:space="preserve"> resulted in agreed deadlines being missed. </w:t>
      </w:r>
    </w:p>
    <w:p w:rsidR="00832624" w:rsidRDefault="00832624">
      <w:pPr>
        <w:spacing w:after="0"/>
        <w:jc w:val="both"/>
        <w:rPr>
          <w:rFonts w:ascii="Times New Roman" w:hAnsi="Times New Roman" w:cs="Times New Roman"/>
          <w:i/>
          <w:noProof/>
          <w:sz w:val="24"/>
          <w:szCs w:val="24"/>
          <w:u w:val="single"/>
          <w:lang w:val="en-GB"/>
        </w:rPr>
      </w:pPr>
    </w:p>
    <w:p w:rsidR="00832624" w:rsidRDefault="0072318F">
      <w:pPr>
        <w:spacing w:after="0"/>
        <w:jc w:val="both"/>
        <w:rPr>
          <w:rFonts w:ascii="Times New Roman" w:hAnsi="Times New Roman" w:cs="Times New Roman"/>
          <w:noProof/>
          <w:sz w:val="24"/>
          <w:szCs w:val="24"/>
          <w:lang w:val="en-GB"/>
        </w:rPr>
      </w:pPr>
      <w:r>
        <w:rPr>
          <w:rFonts w:ascii="Times New Roman" w:hAnsi="Times New Roman" w:cs="Times New Roman"/>
          <w:i/>
          <w:noProof/>
          <w:sz w:val="24"/>
          <w:szCs w:val="24"/>
          <w:u w:val="single"/>
          <w:lang w:val="en-GB"/>
        </w:rPr>
        <w:t xml:space="preserve">Finding 2: 'Sharing the burden' – the distribution of ERF funding follows partially the trends in asylum applications across Member States because of a </w:t>
      </w:r>
      <w:r>
        <w:rPr>
          <w:rFonts w:ascii="Times New Roman" w:hAnsi="Times New Roman" w:cs="Times New Roman"/>
          <w:i/>
          <w:noProof/>
          <w:sz w:val="24"/>
          <w:szCs w:val="24"/>
          <w:lang w:val="en-GB"/>
        </w:rPr>
        <w:t>delay of three years compared to the trend in asylum applications</w:t>
      </w:r>
      <w:r>
        <w:rPr>
          <w:rFonts w:ascii="Times New Roman" w:hAnsi="Times New Roman" w:cs="Times New Roman"/>
          <w:i/>
          <w:noProof/>
          <w:sz w:val="24"/>
          <w:szCs w:val="24"/>
          <w:u w:val="single"/>
          <w:lang w:val="en-GB"/>
        </w:rPr>
        <w:t xml:space="preserve"> </w:t>
      </w:r>
    </w:p>
    <w:p w:rsidR="00832624" w:rsidRDefault="0072318F">
      <w:pPr>
        <w:spacing w:after="0"/>
        <w:jc w:val="both"/>
        <w:rPr>
          <w:rFonts w:ascii="Times New Roman" w:hAnsi="Times New Roman"/>
          <w:noProof/>
          <w:sz w:val="24"/>
          <w:szCs w:val="24"/>
          <w:lang w:val="en-GB"/>
        </w:rPr>
      </w:pPr>
      <w:r>
        <w:rPr>
          <w:rFonts w:ascii="Times New Roman" w:hAnsi="Times New Roman" w:cs="Times New Roman"/>
          <w:noProof/>
          <w:sz w:val="24"/>
          <w:szCs w:val="24"/>
          <w:lang w:val="en-GB"/>
        </w:rPr>
        <w:t>The total ERF contribution varied sig</w:t>
      </w:r>
      <w:r>
        <w:rPr>
          <w:rFonts w:ascii="Times New Roman" w:hAnsi="Times New Roman" w:cs="Times New Roman"/>
          <w:noProof/>
          <w:sz w:val="24"/>
          <w:szCs w:val="24"/>
          <w:lang w:val="en-GB"/>
        </w:rPr>
        <w:t>nificantly across Member States. Five Member States</w:t>
      </w:r>
      <w:r>
        <w:rPr>
          <w:rStyle w:val="FootnoteReference"/>
          <w:rFonts w:ascii="Times New Roman" w:hAnsi="Times New Roman" w:cs="Times New Roman"/>
          <w:noProof/>
          <w:sz w:val="24"/>
          <w:szCs w:val="24"/>
          <w:lang w:val="en-GB"/>
        </w:rPr>
        <w:footnoteReference w:id="42"/>
      </w:r>
      <w:r>
        <w:rPr>
          <w:rFonts w:ascii="Times New Roman" w:hAnsi="Times New Roman" w:cs="Times New Roman"/>
          <w:noProof/>
          <w:sz w:val="24"/>
          <w:szCs w:val="24"/>
          <w:lang w:val="en-GB"/>
        </w:rPr>
        <w:t xml:space="preserve"> account for almost 59 % of the total programmed and the total final EU contributions. Funds were allocated on the basis of the methodology set out in Article 13 of Decision No 573/2007/EC. The annual all</w:t>
      </w:r>
      <w:r>
        <w:rPr>
          <w:rFonts w:ascii="Times New Roman" w:hAnsi="Times New Roman" w:cs="Times New Roman"/>
          <w:noProof/>
          <w:sz w:val="24"/>
          <w:szCs w:val="24"/>
          <w:lang w:val="en-GB"/>
        </w:rPr>
        <w:t xml:space="preserve">ocation for each Member State took account of the target groups (asylum applicants and resettled persons) and the Eurostat statistics available for the last three years. </w:t>
      </w:r>
    </w:p>
    <w:p w:rsidR="00832624" w:rsidRDefault="0072318F">
      <w:pPr>
        <w:spacing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Because of this method, the allocated budget for the Member States shows a delay of t</w:t>
      </w:r>
      <w:r>
        <w:rPr>
          <w:rFonts w:ascii="Times New Roman" w:hAnsi="Times New Roman" w:cs="Times New Roman"/>
          <w:noProof/>
          <w:sz w:val="24"/>
          <w:szCs w:val="24"/>
          <w:lang w:val="en-GB"/>
        </w:rPr>
        <w:t>hree years compared to the trend in asylum applications. This weakness was mitigated to some extent by the allocation for emergency measures to support Member States subject to particular and urgent pressure. The countries most affected by the sudden arriv</w:t>
      </w:r>
      <w:r>
        <w:rPr>
          <w:rFonts w:ascii="Times New Roman" w:hAnsi="Times New Roman" w:cs="Times New Roman"/>
          <w:noProof/>
          <w:sz w:val="24"/>
          <w:szCs w:val="24"/>
          <w:lang w:val="en-GB"/>
        </w:rPr>
        <w:t>al of migrants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lang w:val="en-GB"/>
        </w:rPr>
        <w:t xml:space="preserve"> saw their allocations increase by 97 % over the 2011-2013 period thanks to EU funding for emergency measures and partly to the annual calculation of their allocation (See section 7).</w:t>
      </w:r>
    </w:p>
    <w:p w:rsidR="00832624" w:rsidRDefault="00832624">
      <w:pPr>
        <w:spacing w:after="0"/>
        <w:jc w:val="both"/>
        <w:rPr>
          <w:rFonts w:ascii="Times New Roman" w:hAnsi="Times New Roman" w:cs="Times New Roman"/>
          <w:i/>
          <w:noProof/>
          <w:color w:val="000000"/>
          <w:sz w:val="24"/>
          <w:szCs w:val="24"/>
          <w:u w:val="single"/>
          <w:lang w:val="en-GB"/>
        </w:rPr>
      </w:pPr>
    </w:p>
    <w:p w:rsidR="00832624" w:rsidRDefault="0072318F">
      <w:pPr>
        <w:spacing w:after="0"/>
        <w:jc w:val="both"/>
        <w:rPr>
          <w:rFonts w:ascii="Times New Roman" w:hAnsi="Times New Roman" w:cs="Times New Roman"/>
          <w:i/>
          <w:noProof/>
          <w:color w:val="000000"/>
          <w:sz w:val="24"/>
          <w:szCs w:val="24"/>
          <w:u w:val="single"/>
          <w:lang w:val="en-GB"/>
        </w:rPr>
      </w:pPr>
      <w:r>
        <w:rPr>
          <w:rFonts w:ascii="Times New Roman" w:hAnsi="Times New Roman" w:cs="Times New Roman"/>
          <w:i/>
          <w:noProof/>
          <w:color w:val="000000"/>
          <w:sz w:val="24"/>
          <w:szCs w:val="24"/>
          <w:u w:val="single"/>
          <w:lang w:val="en-GB"/>
        </w:rPr>
        <w:t>Finding 3: Due to the absence of a threshold, EU funding</w:t>
      </w:r>
      <w:r>
        <w:rPr>
          <w:rFonts w:ascii="Times New Roman" w:hAnsi="Times New Roman" w:cs="Times New Roman"/>
          <w:i/>
          <w:noProof/>
          <w:color w:val="000000"/>
          <w:sz w:val="24"/>
          <w:szCs w:val="24"/>
          <w:u w:val="single"/>
          <w:lang w:val="en-GB"/>
        </w:rPr>
        <w:t xml:space="preserve"> was concentrated on Priority 1</w:t>
      </w:r>
    </w:p>
    <w:p w:rsidR="00832624" w:rsidRDefault="00832624">
      <w:pPr>
        <w:spacing w:after="0"/>
        <w:jc w:val="both"/>
        <w:rPr>
          <w:rFonts w:ascii="Times New Roman" w:hAnsi="Times New Roman" w:cs="Times New Roman"/>
          <w:i/>
          <w:noProof/>
          <w:color w:val="000000"/>
          <w:sz w:val="24"/>
          <w:szCs w:val="24"/>
          <w:u w:val="single"/>
          <w:lang w:val="en-GB"/>
        </w:rPr>
      </w:pPr>
    </w:p>
    <w:p w:rsidR="00832624" w:rsidRDefault="0072318F">
      <w:pPr>
        <w:spacing w:after="240" w:line="240" w:lineRule="auto"/>
        <w:jc w:val="both"/>
        <w:rPr>
          <w:rFonts w:ascii="Times New Roman" w:hAnsi="Times New Roman"/>
          <w:noProof/>
          <w:color w:val="000000"/>
          <w:sz w:val="24"/>
          <w:lang w:val="en-GB"/>
        </w:rPr>
      </w:pPr>
      <w:r>
        <w:rPr>
          <w:rFonts w:ascii="Times New Roman" w:hAnsi="Times New Roman" w:cs="Times New Roman"/>
          <w:noProof/>
          <w:color w:val="000000"/>
          <w:sz w:val="24"/>
          <w:szCs w:val="24"/>
          <w:lang w:val="en-GB"/>
        </w:rPr>
        <w:t>In the period 2011-2013, funds were allocated to the three funding priorities</w:t>
      </w:r>
      <w:r>
        <w:rPr>
          <w:rStyle w:val="FootnoteReference"/>
          <w:rFonts w:ascii="Times New Roman" w:hAnsi="Times New Roman" w:cs="Times New Roman"/>
          <w:noProof/>
          <w:color w:val="000000"/>
          <w:sz w:val="24"/>
          <w:szCs w:val="24"/>
          <w:lang w:val="en-GB"/>
        </w:rPr>
        <w:footnoteReference w:id="44"/>
      </w:r>
      <w:r>
        <w:rPr>
          <w:rFonts w:ascii="Times New Roman" w:hAnsi="Times New Roman" w:cs="Times New Roman"/>
          <w:noProof/>
          <w:color w:val="000000"/>
          <w:sz w:val="24"/>
          <w:szCs w:val="24"/>
          <w:lang w:val="en-GB"/>
        </w:rPr>
        <w:t>, plus technical assistance, emergency measures and resettlement activities. In 2011</w:t>
      </w:r>
      <w:r>
        <w:rPr>
          <w:rFonts w:ascii="Times New Roman" w:hAnsi="Times New Roman" w:cs="Times New Roman"/>
          <w:noProof/>
          <w:color w:val="000000"/>
          <w:sz w:val="24"/>
          <w:szCs w:val="24"/>
          <w:lang w:val="en-GB"/>
        </w:rPr>
        <w:noBreakHyphen/>
        <w:t xml:space="preserve">2013, over 90 % of projects were implemented under priority </w:t>
      </w:r>
      <w:r>
        <w:rPr>
          <w:rFonts w:ascii="Times New Roman" w:hAnsi="Times New Roman" w:cs="Times New Roman"/>
          <w:noProof/>
          <w:color w:val="000000"/>
          <w:sz w:val="24"/>
          <w:szCs w:val="24"/>
          <w:lang w:val="en-GB"/>
        </w:rPr>
        <w:t>1 (including emergency measures), 8 % under priority 2 and less than 2 % under priority 3. The countries that focused more on the implementation of field and concrete support for asylum applicants</w:t>
      </w:r>
      <w:r>
        <w:rPr>
          <w:rStyle w:val="FootnoteReference"/>
          <w:rFonts w:ascii="Times New Roman" w:hAnsi="Times New Roman" w:cs="Times New Roman"/>
          <w:noProof/>
          <w:color w:val="000000"/>
          <w:sz w:val="24"/>
          <w:szCs w:val="24"/>
        </w:rPr>
        <w:footnoteReference w:id="45"/>
      </w:r>
      <w:r>
        <w:rPr>
          <w:rFonts w:ascii="Times New Roman" w:hAnsi="Times New Roman" w:cs="Times New Roman"/>
          <w:noProof/>
          <w:color w:val="000000"/>
          <w:sz w:val="24"/>
          <w:szCs w:val="24"/>
          <w:lang w:val="en-GB"/>
        </w:rPr>
        <w:t xml:space="preserve"> addressed urgent day-to-day issues</w:t>
      </w:r>
      <w:r>
        <w:rPr>
          <w:rStyle w:val="FootnoteReference"/>
          <w:rFonts w:ascii="Times New Roman" w:hAnsi="Times New Roman" w:cs="Times New Roman"/>
          <w:noProof/>
          <w:color w:val="000000"/>
          <w:sz w:val="24"/>
          <w:szCs w:val="24"/>
          <w:lang w:val="en-GB"/>
        </w:rPr>
        <w:footnoteReference w:id="46"/>
      </w:r>
      <w:r>
        <w:rPr>
          <w:rFonts w:ascii="Times New Roman" w:hAnsi="Times New Roman" w:cs="Times New Roman"/>
          <w:noProof/>
          <w:color w:val="000000"/>
          <w:sz w:val="24"/>
          <w:szCs w:val="24"/>
          <w:lang w:val="en-GB"/>
        </w:rPr>
        <w:t xml:space="preserve">. </w:t>
      </w:r>
    </w:p>
    <w:p w:rsidR="00832624" w:rsidRDefault="0072318F">
      <w:pPr>
        <w:keepNext/>
        <w:spacing w:before="120" w:after="120" w:line="240" w:lineRule="auto"/>
        <w:ind w:left="1134" w:hanging="1134"/>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Figure 4: </w:t>
      </w:r>
      <w:r>
        <w:rPr>
          <w:rFonts w:ascii="Times New Roman" w:hAnsi="Times New Roman" w:cs="Times New Roman"/>
          <w:b/>
          <w:noProof/>
          <w:sz w:val="24"/>
          <w:szCs w:val="24"/>
          <w:lang w:val="en-GB"/>
        </w:rPr>
        <w:tab/>
        <w:t>Programme</w:t>
      </w:r>
      <w:r>
        <w:rPr>
          <w:rFonts w:ascii="Times New Roman" w:hAnsi="Times New Roman" w:cs="Times New Roman"/>
          <w:b/>
          <w:noProof/>
          <w:sz w:val="24"/>
          <w:szCs w:val="24"/>
          <w:lang w:val="en-GB"/>
        </w:rPr>
        <w:t>d and final EU contribution by priority, 2011-2013</w:t>
      </w:r>
    </w:p>
    <w:p w:rsidR="00832624" w:rsidRDefault="0072318F">
      <w:pPr>
        <w:keepNext/>
        <w:spacing w:before="120" w:after="120" w:line="240" w:lineRule="auto"/>
        <w:ind w:left="1134" w:hanging="1134"/>
        <w:rPr>
          <w:rFonts w:ascii="Times New Roman" w:hAnsi="Times New Roman" w:cs="Times New Roman"/>
          <w:b/>
          <w:noProof/>
          <w:sz w:val="24"/>
          <w:szCs w:val="24"/>
          <w:lang w:val="en-GB"/>
        </w:rPr>
      </w:pPr>
      <w:r>
        <w:rPr>
          <w:noProof/>
          <w:lang w:val="en-GB" w:eastAsia="en-GB"/>
        </w:rPr>
        <w:drawing>
          <wp:inline distT="0" distB="0" distL="0" distR="0" wp14:anchorId="169F687B" wp14:editId="7C77E669">
            <wp:extent cx="4783541" cy="2306471"/>
            <wp:effectExtent l="0" t="0" r="17145"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32624" w:rsidRDefault="0072318F">
      <w:pPr>
        <w:keepNext/>
        <w:spacing w:after="240" w:line="240" w:lineRule="auto"/>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Source: European Commission data as of 27.02.2017 (SFC2007)</w:t>
      </w:r>
      <w:r>
        <w:rPr>
          <w:rStyle w:val="FootnoteReference"/>
          <w:rFonts w:ascii="Times New Roman" w:hAnsi="Times New Roman" w:cs="Times New Roman"/>
          <w:noProof/>
          <w:sz w:val="24"/>
          <w:szCs w:val="24"/>
        </w:rPr>
        <w:footnoteReference w:id="47"/>
      </w:r>
    </w:p>
    <w:p w:rsidR="00832624" w:rsidRDefault="0072318F">
      <w:pPr>
        <w:spacing w:after="240" w:line="240" w:lineRule="auto"/>
        <w:jc w:val="both"/>
        <w:rPr>
          <w:rFonts w:ascii="Times New Roman" w:hAnsi="Times New Roman"/>
          <w:noProof/>
          <w:color w:val="000000"/>
          <w:sz w:val="24"/>
          <w:lang w:val="en-GB"/>
        </w:rPr>
      </w:pPr>
      <w:r>
        <w:rPr>
          <w:rFonts w:ascii="Times New Roman" w:hAnsi="Times New Roman"/>
          <w:noProof/>
          <w:color w:val="000000"/>
          <w:sz w:val="24"/>
          <w:lang w:val="en-GB"/>
        </w:rPr>
        <w:t xml:space="preserve">The number of emergency measures (EM) programmed between 2011 and 2013 (accounting for 18 % of the ERF envelope) varied greatly among Member </w:t>
      </w:r>
      <w:r>
        <w:rPr>
          <w:rFonts w:ascii="Times New Roman" w:hAnsi="Times New Roman"/>
          <w:noProof/>
          <w:color w:val="000000"/>
          <w:sz w:val="24"/>
          <w:lang w:val="en-GB"/>
        </w:rPr>
        <w:t>States depending on geographical location and/or the extent of asylum pressure faced by the Member State. Italy was the main beneficiary of emergency measures between 2011 and 2013, with 45 % of the total allocation.</w:t>
      </w:r>
    </w:p>
    <w:p w:rsidR="00832624" w:rsidRDefault="0072318F">
      <w:pPr>
        <w:spacing w:after="240" w:line="240" w:lineRule="auto"/>
        <w:jc w:val="both"/>
        <w:rPr>
          <w:rFonts w:ascii="Times New Roman" w:hAnsi="Times New Roman"/>
          <w:noProof/>
          <w:sz w:val="24"/>
          <w:lang w:val="en-GB"/>
        </w:rPr>
      </w:pPr>
      <w:r>
        <w:rPr>
          <w:rFonts w:ascii="Times New Roman" w:hAnsi="Times New Roman"/>
          <w:noProof/>
          <w:sz w:val="24"/>
          <w:lang w:val="en-GB"/>
        </w:rPr>
        <w:t xml:space="preserve">In total, 9 058 persons were resettled </w:t>
      </w:r>
      <w:r>
        <w:rPr>
          <w:rFonts w:ascii="Times New Roman" w:hAnsi="Times New Roman"/>
          <w:noProof/>
          <w:sz w:val="24"/>
          <w:lang w:val="en-GB"/>
        </w:rPr>
        <w:t>by 12 Member States in 2011-2013 using ERF assistance. Numbers varied significantly between Member States, ranging from six in Czech Republic to over 4 400 in Sweden. In comparison to the period 2008-2010</w:t>
      </w:r>
      <w:r>
        <w:rPr>
          <w:rStyle w:val="FootnoteReference"/>
          <w:rFonts w:ascii="Times New Roman" w:hAnsi="Times New Roman"/>
          <w:noProof/>
          <w:sz w:val="24"/>
          <w:lang w:val="en-GB"/>
        </w:rPr>
        <w:footnoteReference w:id="48"/>
      </w:r>
      <w:r>
        <w:rPr>
          <w:rFonts w:ascii="Times New Roman" w:hAnsi="Times New Roman"/>
          <w:noProof/>
          <w:sz w:val="24"/>
          <w:lang w:val="en-GB"/>
        </w:rPr>
        <w:t>, the overall number increased slightly over 2011-2</w:t>
      </w:r>
      <w:r>
        <w:rPr>
          <w:rFonts w:ascii="Times New Roman" w:hAnsi="Times New Roman"/>
          <w:noProof/>
          <w:sz w:val="24"/>
          <w:lang w:val="en-GB"/>
        </w:rPr>
        <w:t>013. Of those resettled, 5 133 belonged to particularly vulnerable groups</w:t>
      </w:r>
      <w:r>
        <w:rPr>
          <w:rStyle w:val="FootnoteReference"/>
          <w:rFonts w:ascii="Times New Roman" w:hAnsi="Times New Roman"/>
          <w:noProof/>
          <w:sz w:val="24"/>
        </w:rPr>
        <w:footnoteReference w:id="49"/>
      </w:r>
      <w:r>
        <w:rPr>
          <w:rFonts w:ascii="Times New Roman" w:hAnsi="Times New Roman"/>
          <w:noProof/>
          <w:sz w:val="24"/>
          <w:lang w:val="en-GB"/>
        </w:rPr>
        <w:t>.</w:t>
      </w: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b/>
          <w:i/>
          <w:noProof/>
          <w:sz w:val="24"/>
          <w:lang w:val="en-GB"/>
        </w:rPr>
        <w:t xml:space="preserve">B) </w:t>
      </w:r>
      <w:r>
        <w:rPr>
          <w:rFonts w:ascii="Times New Roman" w:hAnsi="Times New Roman" w:cs="Times New Roman"/>
          <w:b/>
          <w:i/>
          <w:noProof/>
          <w:sz w:val="24"/>
          <w:szCs w:val="24"/>
          <w:lang w:val="en-GB"/>
        </w:rPr>
        <w:t>Implementation through direct management</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Community actions were implemented through direct management. Around 3.2 % of available ERF funding was used to finance these transnatio</w:t>
      </w:r>
      <w:r>
        <w:rPr>
          <w:rFonts w:ascii="Times New Roman" w:hAnsi="Times New Roman" w:cs="Times New Roman"/>
          <w:noProof/>
          <w:sz w:val="24"/>
          <w:szCs w:val="24"/>
          <w:lang w:val="en-GB"/>
        </w:rPr>
        <w:t>nal actions or actions of interest to the European Union. The total programmed EU contribution under direct management was EUR 12.7 million, of which EUR 11.5 million was allocated to Community actions and EUR 1.2 million spent on procuring studies</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lang w:val="en-GB"/>
        </w:rPr>
        <w:t>. The e</w:t>
      </w:r>
      <w:r>
        <w:rPr>
          <w:rFonts w:ascii="Times New Roman" w:hAnsi="Times New Roman" w:cs="Times New Roman"/>
          <w:noProof/>
          <w:sz w:val="24"/>
          <w:szCs w:val="24"/>
          <w:lang w:val="en-GB"/>
        </w:rPr>
        <w:t xml:space="preserve">nvelope was 40 % smaller than that for the previous (2008-2010) period, due to the creation of EASO in 2010.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Of the 15 projects selected</w:t>
      </w:r>
      <w:r>
        <w:rPr>
          <w:rStyle w:val="FootnoteReference"/>
          <w:rFonts w:ascii="Times New Roman" w:hAnsi="Times New Roman" w:cs="Times New Roman"/>
          <w:noProof/>
          <w:sz w:val="24"/>
          <w:szCs w:val="24"/>
          <w:lang w:val="en-GB"/>
        </w:rPr>
        <w:footnoteReference w:id="51"/>
      </w:r>
      <w:r>
        <w:rPr>
          <w:rFonts w:ascii="Times New Roman" w:hAnsi="Times New Roman" w:cs="Times New Roman"/>
          <w:noProof/>
          <w:sz w:val="24"/>
          <w:szCs w:val="24"/>
          <w:lang w:val="en-GB"/>
        </w:rPr>
        <w:t xml:space="preserve"> between 2011 and 2013, 14 closed</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lang w:val="en-GB"/>
        </w:rPr>
        <w:t xml:space="preserve"> projects were chiefly concentrated in 2011 and 2012. Absorption rates ranged betwee</w:t>
      </w:r>
      <w:r>
        <w:rPr>
          <w:rFonts w:ascii="Times New Roman" w:hAnsi="Times New Roman" w:cs="Times New Roman"/>
          <w:noProof/>
          <w:sz w:val="24"/>
          <w:szCs w:val="24"/>
          <w:lang w:val="en-GB"/>
        </w:rPr>
        <w:t>n 17 % and 99 %. The average absorption rate per project (87 %</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lang w:val="en-GB"/>
        </w:rPr>
        <w:t>) is higher than for shared management. Rates increased over time for projects under direct management, suggesting that stakeholders developed greater expertise in the course of the ERF cycle.</w:t>
      </w:r>
    </w:p>
    <w:p w:rsidR="00832624" w:rsidRDefault="0072318F">
      <w:pPr>
        <w:pStyle w:val="Heading1"/>
        <w:rPr>
          <w:noProof/>
        </w:rPr>
      </w:pPr>
      <w:bookmarkStart w:id="22" w:name="_Toc477439746"/>
      <w:bookmarkStart w:id="23" w:name="_Toc477439749"/>
      <w:bookmarkStart w:id="24" w:name="_Toc474918648"/>
      <w:bookmarkStart w:id="25" w:name="_Toc515378892"/>
      <w:bookmarkEnd w:id="22"/>
      <w:bookmarkEnd w:id="23"/>
      <w:bookmarkEnd w:id="24"/>
      <w:r>
        <w:rPr>
          <w:noProof/>
        </w:rPr>
        <w:t>Answers to the evaluation questions</w:t>
      </w:r>
      <w:bookmarkEnd w:id="25"/>
    </w:p>
    <w:p w:rsidR="00832624" w:rsidRDefault="0072318F">
      <w:pPr>
        <w:pStyle w:val="Heading2"/>
        <w:numPr>
          <w:ilvl w:val="1"/>
          <w:numId w:val="2"/>
        </w:numPr>
        <w:rPr>
          <w:rFonts w:ascii="Times New Roman" w:hAnsi="Times New Roman" w:cs="Times New Roman"/>
          <w:noProof/>
          <w:sz w:val="24"/>
          <w:szCs w:val="24"/>
          <w:u w:val="single"/>
        </w:rPr>
      </w:pPr>
      <w:bookmarkStart w:id="26" w:name="_Toc515378893"/>
      <w:r>
        <w:rPr>
          <w:rFonts w:ascii="Times New Roman" w:hAnsi="Times New Roman" w:cs="Times New Roman"/>
          <w:bCs w:val="0"/>
          <w:noProof/>
          <w:sz w:val="24"/>
          <w:szCs w:val="24"/>
        </w:rPr>
        <w:t>Relevance</w:t>
      </w:r>
      <w:bookmarkEnd w:id="26"/>
    </w:p>
    <w:tbl>
      <w:tblPr>
        <w:tblStyle w:val="TableGrid"/>
        <w:tblW w:w="0" w:type="auto"/>
        <w:tblLook w:val="04A0" w:firstRow="1" w:lastRow="0" w:firstColumn="1" w:lastColumn="0" w:noHBand="0" w:noVBand="1"/>
      </w:tblPr>
      <w:tblGrid>
        <w:gridCol w:w="9288"/>
      </w:tblGrid>
      <w:tr w:rsidR="00832624" w:rsidRPr="0072318F">
        <w:tc>
          <w:tcPr>
            <w:tcW w:w="9288" w:type="dxa"/>
          </w:tcPr>
          <w:p w:rsidR="00832624" w:rsidRDefault="0072318F">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EQ5: To what extent did the ERF objectives correspond to the needs related to receiving and bearing the consequences of receiving refugees and displaced persons?</w:t>
            </w:r>
          </w:p>
          <w:p w:rsidR="00832624" w:rsidRDefault="0072318F">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EQ6: To what extent did the ERF actions </w:t>
            </w:r>
            <w:r>
              <w:rPr>
                <w:rFonts w:ascii="Times New Roman" w:hAnsi="Times New Roman" w:cs="Times New Roman"/>
                <w:i/>
                <w:noProof/>
                <w:sz w:val="24"/>
                <w:szCs w:val="24"/>
              </w:rPr>
              <w:t>correspond to the needs related to receiving and bearing the consequences of receiving refugees and displaced persons?</w:t>
            </w:r>
          </w:p>
          <w:p w:rsidR="00832624" w:rsidRDefault="0072318F">
            <w:pPr>
              <w:spacing w:after="120"/>
              <w:jc w:val="both"/>
              <w:rPr>
                <w:rFonts w:ascii="Times New Roman" w:hAnsi="Times New Roman" w:cs="Times New Roman"/>
                <w:noProof/>
                <w:sz w:val="24"/>
                <w:szCs w:val="24"/>
                <w:u w:val="single"/>
              </w:rPr>
            </w:pPr>
            <w:r>
              <w:rPr>
                <w:rFonts w:ascii="Times New Roman" w:hAnsi="Times New Roman" w:cs="Times New Roman"/>
                <w:b/>
                <w:noProof/>
                <w:sz w:val="24"/>
                <w:szCs w:val="24"/>
              </w:rPr>
              <w:t>Main conclusions:</w:t>
            </w:r>
            <w:r>
              <w:rPr>
                <w:rFonts w:ascii="Times New Roman" w:hAnsi="Times New Roman" w:cs="Times New Roman"/>
                <w:noProof/>
                <w:sz w:val="24"/>
                <w:szCs w:val="24"/>
              </w:rPr>
              <w:t xml:space="preserve"> Overall, Member States confirmed that the formulation of ERF funding priorities and eligible actions reflected their ne</w:t>
            </w:r>
            <w:r>
              <w:rPr>
                <w:rFonts w:ascii="Times New Roman" w:hAnsi="Times New Roman" w:cs="Times New Roman"/>
                <w:noProof/>
                <w:sz w:val="24"/>
                <w:szCs w:val="24"/>
              </w:rPr>
              <w:t>eds. In the context of greater asylum flows, the emergency measures were particularly relevant to address immediate emergency situations. However, the need for greater solidarity and responsibility-sharing between Member States could have been better trans</w:t>
            </w:r>
            <w:r>
              <w:rPr>
                <w:rFonts w:ascii="Times New Roman" w:hAnsi="Times New Roman" w:cs="Times New Roman"/>
                <w:noProof/>
                <w:sz w:val="24"/>
                <w:szCs w:val="24"/>
              </w:rPr>
              <w:t>lated into clear objectives and priorities at EU and national level. Furthermore, ERF annual programmes sometimes lacked a strategic approach. The design of the allocation system (based on historic inflows) did not always properly reflect Member States’ ac</w:t>
            </w:r>
            <w:r>
              <w:rPr>
                <w:rFonts w:ascii="Times New Roman" w:hAnsi="Times New Roman" w:cs="Times New Roman"/>
                <w:noProof/>
                <w:sz w:val="24"/>
                <w:szCs w:val="24"/>
              </w:rPr>
              <w:t xml:space="preserve">tual needs in view of fast changing refugee trends. However, Member States that had to face the highest migration pressure, such as EL, BG, IT and MT, counter balanced this lack of flexibility of the Fund by making use of the Emergency Measures mechanism. </w:t>
            </w:r>
            <w:r>
              <w:rPr>
                <w:rFonts w:ascii="Times New Roman" w:hAnsi="Times New Roman" w:cs="Times New Roman"/>
                <w:noProof/>
                <w:sz w:val="24"/>
                <w:szCs w:val="24"/>
              </w:rPr>
              <w:t>This lack of flexibility of the distribution key is an issue which would need to be addressed in the future Multiannual Financial Framework</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w:t>
            </w:r>
          </w:p>
        </w:tc>
      </w:tr>
    </w:tbl>
    <w:p w:rsidR="00832624" w:rsidRDefault="0072318F">
      <w:pPr>
        <w:spacing w:before="240" w:after="240" w:line="240" w:lineRule="auto"/>
        <w:jc w:val="both"/>
        <w:rPr>
          <w:rFonts w:ascii="Times New Roman" w:hAnsi="Times New Roman" w:cs="Times New Roman"/>
          <w:b/>
          <w:i/>
          <w:noProof/>
          <w:color w:val="000000" w:themeColor="text1"/>
          <w:sz w:val="24"/>
          <w:szCs w:val="24"/>
          <w:lang w:val="en-GB"/>
        </w:rPr>
      </w:pPr>
      <w:r>
        <w:rPr>
          <w:rFonts w:ascii="Times New Roman" w:hAnsi="Times New Roman" w:cs="Times New Roman"/>
          <w:b/>
          <w:i/>
          <w:noProof/>
          <w:color w:val="000000" w:themeColor="text1"/>
          <w:sz w:val="24"/>
          <w:szCs w:val="24"/>
          <w:lang w:val="en-GB"/>
        </w:rPr>
        <w:t>Relevance of ERF funding priorities</w:t>
      </w:r>
    </w:p>
    <w:p w:rsidR="00832624" w:rsidRDefault="0072318F">
      <w:pPr>
        <w:spacing w:after="24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underlying purpose of the ERF was to improve solidarity between Member St</w:t>
      </w:r>
      <w:r>
        <w:rPr>
          <w:rFonts w:ascii="Times New Roman" w:hAnsi="Times New Roman" w:cs="Times New Roman"/>
          <w:noProof/>
          <w:color w:val="000000" w:themeColor="text1"/>
          <w:sz w:val="24"/>
          <w:szCs w:val="24"/>
          <w:lang w:val="en-GB"/>
        </w:rPr>
        <w:t xml:space="preserve">ates, help them to share the burden of receiving asylum applicants and address the need to harmonise asylum systems in line with the development of the CEAS. </w:t>
      </w:r>
    </w:p>
    <w:p w:rsidR="00832624" w:rsidRDefault="0072318F">
      <w:pPr>
        <w:spacing w:after="24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During the period under evaluation, most Member States had pressing needs to improve reception </w:t>
      </w:r>
      <w:r>
        <w:rPr>
          <w:rFonts w:ascii="Times New Roman" w:hAnsi="Times New Roman" w:cs="Times New Roman"/>
          <w:noProof/>
          <w:color w:val="000000" w:themeColor="text1"/>
          <w:sz w:val="24"/>
          <w:szCs w:val="24"/>
          <w:lang w:val="en-GB"/>
        </w:rPr>
        <w:t>conditions for asylum applicants and to facilitate the integration of beneficiaries of international protection. The need to develop reception conditions with higher</w:t>
      </w:r>
      <w:r>
        <w:rPr>
          <w:rFonts w:ascii="Times New Roman" w:hAnsi="Times New Roman" w:cs="Times New Roman"/>
          <w:noProof/>
          <w:sz w:val="24"/>
          <w:szCs w:val="24"/>
          <w:lang w:val="en-GB"/>
        </w:rPr>
        <w:t xml:space="preserve"> </w:t>
      </w:r>
      <w:r>
        <w:rPr>
          <w:rFonts w:ascii="Times New Roman" w:hAnsi="Times New Roman" w:cs="Times New Roman"/>
          <w:noProof/>
          <w:color w:val="000000" w:themeColor="text1"/>
          <w:sz w:val="24"/>
          <w:szCs w:val="24"/>
          <w:lang w:val="en-GB"/>
        </w:rPr>
        <w:t>standards, fairer and more effective asylum procedures and the importance of raising EU ci</w:t>
      </w:r>
      <w:r>
        <w:rPr>
          <w:rFonts w:ascii="Times New Roman" w:hAnsi="Times New Roman" w:cs="Times New Roman"/>
          <w:noProof/>
          <w:color w:val="000000" w:themeColor="text1"/>
          <w:sz w:val="24"/>
          <w:szCs w:val="24"/>
          <w:lang w:val="en-GB"/>
        </w:rPr>
        <w:t xml:space="preserve">tizens’ awareness of beneficiaries of international protection and asylum applicants was underlined in the 2005 impact assessment and constitutes an important element of the CEAS. </w:t>
      </w:r>
    </w:p>
    <w:p w:rsidR="00832624" w:rsidRDefault="0072318F">
      <w:pPr>
        <w:spacing w:after="24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ERF priorities responded to most of the needs during the implementation</w:t>
      </w:r>
      <w:r>
        <w:rPr>
          <w:rFonts w:ascii="Times New Roman" w:hAnsi="Times New Roman" w:cs="Times New Roman"/>
          <w:noProof/>
          <w:color w:val="000000" w:themeColor="text1"/>
          <w:sz w:val="24"/>
          <w:szCs w:val="24"/>
          <w:lang w:val="en-GB"/>
        </w:rPr>
        <w:t xml:space="preserve"> period. One of the major characteristics of the </w:t>
      </w:r>
      <w:r>
        <w:rPr>
          <w:rFonts w:ascii="Times New Roman" w:hAnsi="Times New Roman" w:cs="Times New Roman"/>
          <w:noProof/>
          <w:sz w:val="24"/>
          <w:szCs w:val="24"/>
          <w:lang w:val="en-GB"/>
        </w:rPr>
        <w:t>period</w:t>
      </w:r>
      <w:r>
        <w:rPr>
          <w:rFonts w:ascii="Times New Roman" w:hAnsi="Times New Roman" w:cs="Times New Roman"/>
          <w:noProof/>
          <w:color w:val="000000" w:themeColor="text1"/>
          <w:sz w:val="24"/>
          <w:szCs w:val="24"/>
          <w:lang w:val="en-GB"/>
        </w:rPr>
        <w:t xml:space="preserve"> was the sudden and unforeseen increase of migratory pressure, which led to a drastic increase in the number of asylum applications in Europe, with great variation across Member States. The ERF respond</w:t>
      </w:r>
      <w:r>
        <w:rPr>
          <w:rFonts w:ascii="Times New Roman" w:hAnsi="Times New Roman" w:cs="Times New Roman"/>
          <w:noProof/>
          <w:color w:val="000000" w:themeColor="text1"/>
          <w:sz w:val="24"/>
          <w:szCs w:val="24"/>
          <w:lang w:val="en-GB"/>
        </w:rPr>
        <w:t xml:space="preserve">ed well to this crisis. However, the evaluation showed that the lack of harmonised asylum systems, in line with the development of the CEAS, emerged as a key problem. National differences in legal frameworks related to asylum remain, despite the CEAS, and </w:t>
      </w:r>
      <w:r>
        <w:rPr>
          <w:rFonts w:ascii="Times New Roman" w:hAnsi="Times New Roman" w:cs="Times New Roman"/>
          <w:noProof/>
          <w:color w:val="000000" w:themeColor="text1"/>
          <w:sz w:val="24"/>
          <w:szCs w:val="24"/>
          <w:lang w:val="en-GB"/>
        </w:rPr>
        <w:t>continue to lead to secondary movements</w:t>
      </w:r>
      <w:r>
        <w:rPr>
          <w:rStyle w:val="FootnoteReference"/>
          <w:rFonts w:ascii="Times New Roman" w:hAnsi="Times New Roman" w:cs="Times New Roman"/>
          <w:noProof/>
          <w:color w:val="000000" w:themeColor="text1"/>
          <w:sz w:val="24"/>
          <w:szCs w:val="24"/>
          <w:lang w:val="en-GB"/>
        </w:rPr>
        <w:footnoteReference w:id="55"/>
      </w:r>
      <w:r>
        <w:rPr>
          <w:rFonts w:ascii="Times New Roman" w:hAnsi="Times New Roman" w:cs="Times New Roman"/>
          <w:noProof/>
          <w:color w:val="000000" w:themeColor="text1"/>
          <w:sz w:val="24"/>
          <w:szCs w:val="24"/>
          <w:lang w:val="en-GB"/>
        </w:rPr>
        <w:t xml:space="preserve"> between Member States, of asylum applicants. </w:t>
      </w:r>
    </w:p>
    <w:p w:rsidR="00832624" w:rsidRDefault="0072318F">
      <w:pPr>
        <w:spacing w:after="24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The solidarity dimension (the need for a ‘balance of effort’ between Member States) could have been strengthened through clearly formulated priorities of the ERF. As a </w:t>
      </w:r>
      <w:r>
        <w:rPr>
          <w:rFonts w:ascii="Times New Roman" w:hAnsi="Times New Roman" w:cs="Times New Roman"/>
          <w:noProof/>
          <w:color w:val="000000" w:themeColor="text1"/>
          <w:sz w:val="24"/>
          <w:szCs w:val="24"/>
          <w:lang w:val="en-GB"/>
        </w:rPr>
        <w:t>result, these dimensions were insufficiently translated into the Member States’ annual programmes which focussed on the national needs; for instance, few actions related to the transfer of persons (relocation) and implementation of the Dublin Regulation.</w:t>
      </w:r>
    </w:p>
    <w:p w:rsidR="00832624" w:rsidRDefault="0072318F">
      <w:pPr>
        <w:spacing w:after="240" w:line="240" w:lineRule="auto"/>
        <w:jc w:val="both"/>
        <w:rPr>
          <w:rFonts w:ascii="Times New Roman" w:hAnsi="Times New Roman" w:cs="Times New Roman"/>
          <w:b/>
          <w:i/>
          <w:noProof/>
          <w:color w:val="000000" w:themeColor="text1"/>
          <w:sz w:val="24"/>
          <w:szCs w:val="24"/>
          <w:lang w:val="en-GB"/>
        </w:rPr>
      </w:pPr>
      <w:r>
        <w:rPr>
          <w:rFonts w:ascii="Times New Roman" w:hAnsi="Times New Roman" w:cs="Times New Roman"/>
          <w:b/>
          <w:i/>
          <w:noProof/>
          <w:color w:val="000000" w:themeColor="text1"/>
          <w:sz w:val="24"/>
          <w:szCs w:val="24"/>
          <w:lang w:val="en-GB"/>
        </w:rPr>
        <w:t>R</w:t>
      </w:r>
      <w:r>
        <w:rPr>
          <w:rFonts w:ascii="Times New Roman" w:hAnsi="Times New Roman" w:cs="Times New Roman"/>
          <w:b/>
          <w:i/>
          <w:noProof/>
          <w:color w:val="000000" w:themeColor="text1"/>
          <w:sz w:val="24"/>
          <w:szCs w:val="24"/>
          <w:lang w:val="en-GB"/>
        </w:rPr>
        <w:t>elevance of ERF</w:t>
      </w:r>
      <w:r>
        <w:rPr>
          <w:rFonts w:ascii="Times New Roman" w:hAnsi="Times New Roman" w:cs="Times New Roman"/>
          <w:b/>
          <w:i/>
          <w:noProof/>
          <w:color w:val="000000" w:themeColor="text1"/>
          <w:sz w:val="24"/>
          <w:szCs w:val="24"/>
          <w:lang w:val="en-GB"/>
        </w:rPr>
        <w:noBreakHyphen/>
        <w:t>eligible actions</w:t>
      </w:r>
    </w:p>
    <w:p w:rsidR="00832624" w:rsidRDefault="0072318F">
      <w:pPr>
        <w:pStyle w:val="Default"/>
        <w:jc w:val="both"/>
        <w:rPr>
          <w:noProof/>
          <w:color w:val="000000" w:themeColor="text1"/>
        </w:rPr>
      </w:pPr>
      <w:r>
        <w:rPr>
          <w:noProof/>
          <w:color w:val="000000" w:themeColor="text1"/>
        </w:rPr>
        <w:t>All Member States confirmed that the ERF actions met their identified needs in the field of asylum. The diversity of eligible actions</w:t>
      </w:r>
      <w:r>
        <w:rPr>
          <w:rStyle w:val="FootnoteReference"/>
          <w:noProof/>
          <w:color w:val="000000" w:themeColor="text1"/>
        </w:rPr>
        <w:footnoteReference w:id="56"/>
      </w:r>
      <w:r>
        <w:rPr>
          <w:noProof/>
          <w:color w:val="000000" w:themeColor="text1"/>
        </w:rPr>
        <w:t xml:space="preserve"> ensured that almost all needs, at both EU and national level, were addressed adequately </w:t>
      </w:r>
      <w:r>
        <w:rPr>
          <w:noProof/>
          <w:color w:val="000000" w:themeColor="text1"/>
        </w:rPr>
        <w:t>and that new challenges could be met. Member States</w:t>
      </w:r>
      <w:r>
        <w:rPr>
          <w:rStyle w:val="FootnoteReference"/>
          <w:noProof/>
          <w:color w:val="000000" w:themeColor="text1"/>
        </w:rPr>
        <w:footnoteReference w:id="57"/>
      </w:r>
      <w:r>
        <w:rPr>
          <w:noProof/>
          <w:color w:val="000000" w:themeColor="text1"/>
        </w:rPr>
        <w:t xml:space="preserve"> were also provided with financial incentives to design and implement a resettlement strategy (see Effectiveness of the ERF at results level under section 9.2 for more details about these incentives). The</w:t>
      </w:r>
      <w:r>
        <w:rPr>
          <w:noProof/>
          <w:color w:val="000000" w:themeColor="text1"/>
        </w:rPr>
        <w:t xml:space="preserve"> evaluation study assessed that these additional financial incentives were </w:t>
      </w:r>
      <w:r>
        <w:rPr>
          <w:noProof/>
        </w:rPr>
        <w:t>to some extent</w:t>
      </w:r>
      <w:r>
        <w:rPr>
          <w:noProof/>
          <w:color w:val="000000" w:themeColor="text1"/>
        </w:rPr>
        <w:t xml:space="preserve"> effective in fostering responsibility-sharing. This can be evidenced in the fact that the number of persons resettled in this way doubled in the 2011-2013 period comp</w:t>
      </w:r>
      <w:r>
        <w:rPr>
          <w:noProof/>
          <w:color w:val="000000" w:themeColor="text1"/>
        </w:rPr>
        <w:t>ared to the 2008-2010 period</w:t>
      </w:r>
      <w:r>
        <w:rPr>
          <w:rStyle w:val="FootnoteReference"/>
          <w:noProof/>
          <w:color w:val="000000" w:themeColor="text1"/>
        </w:rPr>
        <w:footnoteReference w:id="58"/>
      </w:r>
      <w:r>
        <w:rPr>
          <w:noProof/>
          <w:color w:val="000000" w:themeColor="text1"/>
        </w:rPr>
        <w:t xml:space="preserve">. The United Kingdom and Finland particularly underlined in their national evaluation reports the positive impact of these forms of support on their implementation of resettlement. Such incentives could have also been used for </w:t>
      </w:r>
      <w:r>
        <w:rPr>
          <w:noProof/>
          <w:color w:val="000000" w:themeColor="text1"/>
        </w:rPr>
        <w:t>priority 2 measures and the transfer of persons (relocation); for the latter, the voluntary mechanism was only partially relevant as very few actions related to relocation were implemented</w:t>
      </w:r>
    </w:p>
    <w:p w:rsidR="00832624" w:rsidRDefault="00832624">
      <w:pPr>
        <w:pStyle w:val="Default"/>
        <w:jc w:val="both"/>
        <w:rPr>
          <w:noProof/>
          <w:color w:val="000000" w:themeColor="text1"/>
        </w:rPr>
      </w:pP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Overall, the limitation of resources was a problem for Member Stat</w:t>
      </w:r>
      <w:r>
        <w:rPr>
          <w:rFonts w:ascii="Times New Roman" w:hAnsi="Times New Roman" w:cs="Times New Roman"/>
          <w:noProof/>
          <w:sz w:val="24"/>
          <w:szCs w:val="24"/>
          <w:lang w:val="en-GB"/>
        </w:rPr>
        <w:t xml:space="preserve">es – especially those facing a high influx of refugees, for which the new challenges were not matched by an increase in the allocated budget. The allocation mechanism was </w:t>
      </w:r>
      <w:r>
        <w:rPr>
          <w:rFonts w:ascii="Times New Roman" w:hAnsi="Times New Roman" w:cs="Times New Roman"/>
          <w:noProof/>
          <w:color w:val="000000" w:themeColor="text1"/>
          <w:sz w:val="24"/>
          <w:szCs w:val="24"/>
          <w:lang w:val="en-GB"/>
        </w:rPr>
        <w:t>based</w:t>
      </w:r>
      <w:r>
        <w:rPr>
          <w:rFonts w:ascii="Times New Roman" w:hAnsi="Times New Roman" w:cs="Times New Roman"/>
          <w:noProof/>
          <w:sz w:val="24"/>
          <w:szCs w:val="24"/>
          <w:lang w:val="en-GB"/>
        </w:rPr>
        <w:t xml:space="preserve"> on historic (previous three years’) inflows and did not reflect Member States’ current and evolving needs. As showed on the graph below, Member States that received, generally speaking and in absolute terms, the smallest number of asylum seekers tended to</w:t>
      </w:r>
      <w:r>
        <w:rPr>
          <w:rFonts w:ascii="Times New Roman" w:hAnsi="Times New Roman" w:cs="Times New Roman"/>
          <w:noProof/>
          <w:sz w:val="24"/>
          <w:szCs w:val="24"/>
          <w:lang w:val="en-GB"/>
        </w:rPr>
        <w:t xml:space="preserve"> have nonetheless high levels of programmed budget. </w:t>
      </w:r>
    </w:p>
    <w:p w:rsidR="00832624" w:rsidRDefault="0072318F">
      <w:pPr>
        <w:spacing w:after="240" w:line="240" w:lineRule="auto"/>
        <w:jc w:val="both"/>
        <w:rPr>
          <w:rFonts w:ascii="Times New Roman" w:hAnsi="Times New Roman" w:cs="Times New Roman"/>
          <w:noProof/>
          <w:sz w:val="24"/>
          <w:szCs w:val="24"/>
          <w:lang w:val="en-GB"/>
        </w:rPr>
      </w:pPr>
      <w:r>
        <w:rPr>
          <w:noProof/>
          <w:lang w:val="en-GB" w:eastAsia="en-GB"/>
        </w:rPr>
        <w:drawing>
          <wp:inline distT="0" distB="0" distL="0" distR="0" wp14:anchorId="1ECF3F09" wp14:editId="0FB1FD89">
            <wp:extent cx="6238875" cy="3638550"/>
            <wp:effectExtent l="0" t="0" r="9525" b="19050"/>
            <wp:docPr id="6" name="Chart 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E3A5AE7A-448F-4D75-B3FB-84A46ED7E5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instance, HU and IT received the same number of asylum applicants (around 240 000 applications in each Member State) whereas the programmed EU contribution was much higher in IT. As another example</w:t>
      </w:r>
      <w:r>
        <w:rPr>
          <w:rFonts w:ascii="Times New Roman" w:hAnsi="Times New Roman" w:cs="Times New Roman"/>
          <w:noProof/>
          <w:sz w:val="24"/>
          <w:szCs w:val="24"/>
          <w:lang w:val="en-GB"/>
        </w:rPr>
        <w:t xml:space="preserve">, DE was the country with the higher number of asylum applicants, namely around 936 000 applications were submitted, but the programmed EU contribution in DE and UK was the same, whereas the UK received only 160 000 asylum applicants.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allocation syste</w:t>
      </w:r>
      <w:r>
        <w:rPr>
          <w:rFonts w:ascii="Times New Roman" w:hAnsi="Times New Roman" w:cs="Times New Roman"/>
          <w:noProof/>
          <w:sz w:val="24"/>
          <w:szCs w:val="24"/>
          <w:lang w:val="en-GB"/>
        </w:rPr>
        <w:t>m was a problem of the Fund's legal base. The Fund thus lacked flexibility in adapting quickly to changing Member State needs. However, Member States that had to face the highest migration pressure counter-balanced this lack of flexibility by making use of</w:t>
      </w:r>
      <w:r>
        <w:rPr>
          <w:rFonts w:ascii="Times New Roman" w:hAnsi="Times New Roman" w:cs="Times New Roman"/>
          <w:noProof/>
          <w:sz w:val="24"/>
          <w:szCs w:val="24"/>
          <w:lang w:val="en-GB"/>
        </w:rPr>
        <w:t xml:space="preserve"> the Emergency Measures mechanism. Indeed, as it can be seen from the graph above, the countries most affected by the sudden arrival of migrants, such as EL, BG, IT and MT, saw their allocations increase by 97 % over the 2011-2013 period.</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Flexibility was a</w:t>
      </w:r>
      <w:r>
        <w:rPr>
          <w:rFonts w:ascii="Times New Roman" w:hAnsi="Times New Roman" w:cs="Times New Roman"/>
          <w:noProof/>
          <w:sz w:val="24"/>
          <w:szCs w:val="24"/>
          <w:lang w:val="en-GB"/>
        </w:rPr>
        <w:t xml:space="preserve">lso ensured through the possibility for the Member States to modify their national programmes at any time and to reallocate Funds in the area which required a stronger financial support.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Under the AMIF, the distribution key for the basic allocation to Mem</w:t>
      </w:r>
      <w:r>
        <w:rPr>
          <w:rFonts w:ascii="Times New Roman" w:hAnsi="Times New Roman" w:cs="Times New Roman"/>
          <w:noProof/>
          <w:sz w:val="24"/>
          <w:szCs w:val="24"/>
          <w:lang w:val="en-GB"/>
        </w:rPr>
        <w:t>ber States is based on the 2011-2013 allocation for the ERF, the EIF and the RF. A certain flexibility of the funding instrument can be assured by the resources allocated to specific actions</w:t>
      </w:r>
      <w:r>
        <w:rPr>
          <w:rStyle w:val="FootnoteReference"/>
          <w:rFonts w:ascii="Times New Roman" w:hAnsi="Times New Roman" w:cs="Times New Roman"/>
          <w:noProof/>
          <w:sz w:val="24"/>
          <w:szCs w:val="24"/>
          <w:lang w:val="en-GB"/>
        </w:rPr>
        <w:footnoteReference w:id="59"/>
      </w:r>
      <w:r>
        <w:rPr>
          <w:rFonts w:ascii="Times New Roman" w:hAnsi="Times New Roman" w:cs="Times New Roman"/>
          <w:noProof/>
          <w:sz w:val="24"/>
          <w:szCs w:val="24"/>
          <w:lang w:val="en-GB"/>
        </w:rPr>
        <w:t xml:space="preserve"> and emergency assistance. However, during the 2015/2016 crisis, </w:t>
      </w:r>
      <w:r>
        <w:rPr>
          <w:rFonts w:ascii="Times New Roman" w:hAnsi="Times New Roman" w:cs="Times New Roman"/>
          <w:noProof/>
          <w:sz w:val="24"/>
          <w:szCs w:val="24"/>
          <w:lang w:val="en-GB"/>
        </w:rPr>
        <w:t>the lack of flexibility to modify the distribution key or to shift funds from one Member State to another was apparent. The 2015/2016 migrant crisis showed that at a political level, several Member States have largely rejected the idea of responsibility-sh</w:t>
      </w:r>
      <w:r>
        <w:rPr>
          <w:rFonts w:ascii="Times New Roman" w:hAnsi="Times New Roman" w:cs="Times New Roman"/>
          <w:noProof/>
          <w:sz w:val="24"/>
          <w:szCs w:val="24"/>
          <w:lang w:val="en-GB"/>
        </w:rPr>
        <w:t>aring of asylum applicants developed by the European Commission. For the future multiannual financial framework, the allocation key must be more flexible, for example by providing the legal basis for regular updates or limiting the basic allocation and kee</w:t>
      </w:r>
      <w:r>
        <w:rPr>
          <w:rFonts w:ascii="Times New Roman" w:hAnsi="Times New Roman" w:cs="Times New Roman"/>
          <w:noProof/>
          <w:sz w:val="24"/>
          <w:szCs w:val="24"/>
          <w:lang w:val="en-GB"/>
        </w:rPr>
        <w:t xml:space="preserve">ping a 'reserve' that can be distributed later during the implementation of the Multiannual Financial Framework. </w:t>
      </w: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Relevance of priorities in the annual programmes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Overall, Member States considered the annual programmes as reflecting their immediate nationa</w:t>
      </w:r>
      <w:r>
        <w:rPr>
          <w:rFonts w:ascii="Times New Roman" w:hAnsi="Times New Roman" w:cs="Times New Roman"/>
          <w:noProof/>
          <w:sz w:val="24"/>
          <w:szCs w:val="24"/>
          <w:lang w:val="en-GB"/>
        </w:rPr>
        <w:t xml:space="preserve">l needs and some of them based their own priorities on the ERF priorities.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Although all three priorities were of interest to all Member States, 91 % of the total programmed budget was allocated to priority 1, which corresponds to the ‘implementation of th</w:t>
      </w:r>
      <w:r>
        <w:rPr>
          <w:rFonts w:ascii="Times New Roman" w:hAnsi="Times New Roman" w:cs="Times New Roman"/>
          <w:noProof/>
          <w:sz w:val="24"/>
          <w:szCs w:val="24"/>
          <w:lang w:val="en-GB"/>
        </w:rPr>
        <w:t>e principles and measures set out in the Community acquis in the field of asylum, including those related to integration objectives</w:t>
      </w:r>
      <w:r>
        <w:rPr>
          <w:rFonts w:ascii="Times New Roman" w:hAnsi="Times New Roman" w:cs="Times New Roman"/>
          <w:noProof/>
          <w:sz w:val="20"/>
          <w:szCs w:val="20"/>
          <w:lang w:val="en-GB"/>
        </w:rPr>
        <w:t xml:space="preserve">. </w:t>
      </w:r>
      <w:r>
        <w:rPr>
          <w:rFonts w:ascii="Times New Roman" w:hAnsi="Times New Roman" w:cs="Times New Roman"/>
          <w:noProof/>
          <w:sz w:val="24"/>
          <w:szCs w:val="24"/>
          <w:lang w:val="en-GB"/>
        </w:rPr>
        <w:t>This was the priority best aligned with national needs. Central and Eastern Europe Member States</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lang w:val="en-GB"/>
        </w:rPr>
        <w:t>, where reception capaciti</w:t>
      </w:r>
      <w:r>
        <w:rPr>
          <w:rFonts w:ascii="Times New Roman" w:hAnsi="Times New Roman" w:cs="Times New Roman"/>
          <w:noProof/>
          <w:sz w:val="24"/>
          <w:szCs w:val="24"/>
          <w:lang w:val="en-GB"/>
        </w:rPr>
        <w:t xml:space="preserve">es were less developed, used priority 1 to improve reception capacities and conditions. Member States with existing reception capacities focused their budget on priority 1 due to the high number of asylum applicants with basic needs.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Five Member States ma</w:t>
      </w:r>
      <w:r>
        <w:rPr>
          <w:rFonts w:ascii="Times New Roman" w:hAnsi="Times New Roman" w:cs="Times New Roman"/>
          <w:noProof/>
          <w:sz w:val="24"/>
          <w:szCs w:val="24"/>
          <w:lang w:val="en-GB"/>
        </w:rPr>
        <w:t>de significant use of priority 2</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lang w:val="en-GB"/>
        </w:rPr>
        <w:t>. Only the UK dedicated over 10 % of its budget to projects under priority 3</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lang w:val="en-GB"/>
        </w:rPr>
        <w:t xml:space="preserve">. While the proportion of funds allocated to priorities 2 and 3 was relatively small, Member States still found them to be of relevance. </w:t>
      </w:r>
    </w:p>
    <w:p w:rsidR="00832624" w:rsidRDefault="0072318F">
      <w:pPr>
        <w:pStyle w:val="Heading2"/>
        <w:numPr>
          <w:ilvl w:val="1"/>
          <w:numId w:val="2"/>
        </w:numPr>
        <w:rPr>
          <w:rFonts w:ascii="Times New Roman" w:hAnsi="Times New Roman" w:cs="Times New Roman"/>
          <w:noProof/>
          <w:sz w:val="24"/>
          <w:szCs w:val="24"/>
          <w:lang w:val="en-GB"/>
        </w:rPr>
      </w:pPr>
      <w:bookmarkStart w:id="27" w:name="_Toc515378894"/>
      <w:r>
        <w:rPr>
          <w:rFonts w:ascii="Times New Roman" w:hAnsi="Times New Roman" w:cs="Times New Roman"/>
          <w:noProof/>
          <w:sz w:val="24"/>
          <w:szCs w:val="24"/>
          <w:lang w:val="en-GB"/>
        </w:rPr>
        <w:t>Effectiv</w:t>
      </w:r>
      <w:r>
        <w:rPr>
          <w:rFonts w:ascii="Times New Roman" w:hAnsi="Times New Roman" w:cs="Times New Roman"/>
          <w:noProof/>
          <w:sz w:val="24"/>
          <w:szCs w:val="24"/>
          <w:lang w:val="en-GB"/>
        </w:rPr>
        <w:t>eness</w:t>
      </w:r>
      <w:bookmarkEnd w:id="27"/>
    </w:p>
    <w:tbl>
      <w:tblPr>
        <w:tblStyle w:val="TableGrid"/>
        <w:tblW w:w="0" w:type="auto"/>
        <w:tblLook w:val="04A0" w:firstRow="1" w:lastRow="0" w:firstColumn="1" w:lastColumn="0" w:noHBand="0" w:noVBand="1"/>
      </w:tblPr>
      <w:tblGrid>
        <w:gridCol w:w="9288"/>
      </w:tblGrid>
      <w:tr w:rsidR="00832624" w:rsidRPr="0072318F">
        <w:tc>
          <w:tcPr>
            <w:tcW w:w="9288" w:type="dxa"/>
          </w:tcPr>
          <w:p w:rsidR="00832624" w:rsidRDefault="0072318F">
            <w:pPr>
              <w:spacing w:after="120"/>
              <w:jc w:val="both"/>
              <w:rPr>
                <w:rFonts w:ascii="Times New Roman" w:hAnsi="Times New Roman" w:cs="Times New Roman"/>
                <w:i/>
                <w:noProof/>
                <w:sz w:val="24"/>
                <w:szCs w:val="24"/>
              </w:rPr>
            </w:pPr>
            <w:bookmarkStart w:id="28" w:name="_OBJECTIVE_C"/>
            <w:bookmarkStart w:id="29" w:name="_OBJECTIVE_B"/>
            <w:bookmarkStart w:id="30" w:name="_Evaluation_Question_10:"/>
            <w:bookmarkStart w:id="31" w:name="_Evaluation_Question_3:"/>
            <w:bookmarkStart w:id="32" w:name="_OBJECTIVE_D"/>
            <w:bookmarkStart w:id="33" w:name="_Evaluation_Question_6:"/>
            <w:bookmarkStart w:id="34" w:name="_Evaluation_Question_11:"/>
            <w:bookmarkStart w:id="35" w:name="_Evaluation_Question_8:"/>
            <w:bookmarkStart w:id="36" w:name="_Evaluation_Question_9:"/>
            <w:bookmarkEnd w:id="28"/>
            <w:bookmarkEnd w:id="29"/>
            <w:bookmarkEnd w:id="30"/>
            <w:bookmarkEnd w:id="31"/>
            <w:bookmarkEnd w:id="32"/>
            <w:bookmarkEnd w:id="33"/>
            <w:bookmarkEnd w:id="34"/>
            <w:bookmarkEnd w:id="35"/>
            <w:bookmarkEnd w:id="36"/>
            <w:r>
              <w:rPr>
                <w:rFonts w:ascii="Times New Roman" w:hAnsi="Times New Roman" w:cs="Times New Roman"/>
                <w:i/>
                <w:noProof/>
                <w:sz w:val="24"/>
                <w:szCs w:val="24"/>
              </w:rPr>
              <w:t>EQ1: To what extent did the ERF actions contribute to the achievement of the objectives defined in Articles 2 and 3 of Decision No 2007/573/EC and to the priorities defined by the strategic guidelines (Decision No 2007/815/ЕС)?</w:t>
            </w:r>
          </w:p>
          <w:p w:rsidR="00832624" w:rsidRDefault="0072318F">
            <w:pPr>
              <w:spacing w:after="120"/>
              <w:jc w:val="both"/>
              <w:rPr>
                <w:rFonts w:ascii="Times New Roman" w:hAnsi="Times New Roman" w:cs="Times New Roman"/>
                <w:noProof/>
                <w:sz w:val="24"/>
                <w:szCs w:val="24"/>
              </w:rPr>
            </w:pPr>
            <w:r>
              <w:rPr>
                <w:rFonts w:ascii="Times New Roman" w:hAnsi="Times New Roman" w:cs="Times New Roman"/>
                <w:b/>
                <w:noProof/>
                <w:sz w:val="24"/>
                <w:szCs w:val="24"/>
              </w:rPr>
              <w:t>Main conclusions:</w:t>
            </w:r>
            <w:r>
              <w:rPr>
                <w:rFonts w:ascii="Times New Roman" w:hAnsi="Times New Roman" w:cs="Times New Roman"/>
                <w:noProof/>
                <w:sz w:val="24"/>
                <w:szCs w:val="24"/>
              </w:rPr>
              <w:t xml:space="preserve"> Overall, the ERF was evaluated as having been effective at national level, especially for newer Member States, where it enhanced the capacity to establish national asylum systems. The evaluation showed that, in the EU-15 Member States, the ERF was particu</w:t>
            </w:r>
            <w:r>
              <w:rPr>
                <w:rFonts w:ascii="Times New Roman" w:hAnsi="Times New Roman" w:cs="Times New Roman"/>
                <w:noProof/>
                <w:sz w:val="24"/>
                <w:szCs w:val="24"/>
              </w:rPr>
              <w:t>larly effective in improving reception conditions for asylum applicants and the integration of beneficiaries of international protection but with some difficulties in implementation. The progress registered by the Fund in the areas of relocation and resett</w:t>
            </w:r>
            <w:r>
              <w:rPr>
                <w:rFonts w:ascii="Times New Roman" w:hAnsi="Times New Roman" w:cs="Times New Roman"/>
                <w:noProof/>
                <w:sz w:val="24"/>
                <w:szCs w:val="24"/>
              </w:rPr>
              <w:t xml:space="preserve">lement was marginal. </w:t>
            </w:r>
          </w:p>
          <w:p w:rsidR="00832624" w:rsidRDefault="0072318F">
            <w:pPr>
              <w:spacing w:after="120"/>
              <w:jc w:val="both"/>
              <w:rPr>
                <w:rFonts w:ascii="Times New Roman" w:hAnsi="Times New Roman" w:cs="Times New Roman"/>
                <w:noProof/>
                <w:sz w:val="24"/>
                <w:szCs w:val="24"/>
              </w:rPr>
            </w:pPr>
            <w:r>
              <w:rPr>
                <w:rFonts w:ascii="Times New Roman" w:hAnsi="Times New Roman" w:cs="Times New Roman"/>
                <w:noProof/>
                <w:sz w:val="24"/>
                <w:szCs w:val="24"/>
              </w:rPr>
              <w:t>Some limitations emerged when it came to assessing the overall effectiveness of the ERF at EU level.  The ERF monitoring and evaluation system did not allow for a detailed follow</w:t>
            </w:r>
            <w:r>
              <w:rPr>
                <w:rFonts w:ascii="Times New Roman" w:hAnsi="Times New Roman" w:cs="Times New Roman"/>
                <w:noProof/>
                <w:sz w:val="24"/>
                <w:szCs w:val="24"/>
              </w:rPr>
              <w:noBreakHyphen/>
              <w:t>up and assessment of the performance of the Fund</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Set </w:t>
            </w:r>
            <w:r>
              <w:rPr>
                <w:rFonts w:ascii="Times New Roman" w:hAnsi="Times New Roman" w:cs="Times New Roman"/>
                <w:noProof/>
                <w:sz w:val="24"/>
                <w:szCs w:val="24"/>
              </w:rPr>
              <w:t>indicators were rather weak and monitoring data were not fully reliable.</w:t>
            </w:r>
          </w:p>
          <w:p w:rsidR="00832624" w:rsidRDefault="0072318F">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Complications as regards the construction and implementation of a CEAS also remain. The ERF had </w:t>
            </w:r>
            <w:r>
              <w:rPr>
                <w:rFonts w:ascii="Times New Roman" w:hAnsi="Times New Roman"/>
                <w:noProof/>
                <w:sz w:val="24"/>
              </w:rPr>
              <w:t>only moderate impact in terms of improving solidarity and responsibility</w:t>
            </w:r>
            <w:r>
              <w:rPr>
                <w:rFonts w:ascii="Times New Roman" w:hAnsi="Times New Roman"/>
                <w:noProof/>
                <w:sz w:val="24"/>
              </w:rPr>
              <w:noBreakHyphen/>
              <w:t>sharing. A bet</w:t>
            </w:r>
            <w:r>
              <w:rPr>
                <w:rFonts w:ascii="Times New Roman" w:hAnsi="Times New Roman"/>
                <w:noProof/>
                <w:sz w:val="24"/>
              </w:rPr>
              <w:t>ter cooperation between the Member States with a centralised and harmonized EU asylum system should, in the future, lead to a more effective and coherent EU framework in the area of asylum.</w:t>
            </w:r>
          </w:p>
        </w:tc>
      </w:tr>
    </w:tbl>
    <w:p w:rsidR="00832624" w:rsidRDefault="0072318F">
      <w:pPr>
        <w:spacing w:before="240"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Effectiveness of the ERF at output level</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concluded</w:t>
      </w:r>
      <w:r>
        <w:rPr>
          <w:rFonts w:ascii="Times New Roman" w:hAnsi="Times New Roman" w:cs="Times New Roman"/>
          <w:noProof/>
          <w:sz w:val="24"/>
          <w:szCs w:val="24"/>
          <w:lang w:val="en-GB"/>
        </w:rPr>
        <w:t xml:space="preserve"> that all Member States, with some minor exceptions</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lang w:val="en-GB"/>
        </w:rPr>
        <w:t>, achieved their quantitative targets</w:t>
      </w:r>
      <w:r>
        <w:rPr>
          <w:rStyle w:val="FootnoteReference"/>
          <w:rFonts w:ascii="Times New Roman" w:hAnsi="Times New Roman" w:cs="Times New Roman"/>
          <w:noProof/>
          <w:sz w:val="24"/>
          <w:szCs w:val="24"/>
          <w:lang w:val="en-GB"/>
        </w:rPr>
        <w:footnoteReference w:id="65"/>
      </w:r>
      <w:r>
        <w:rPr>
          <w:rFonts w:ascii="Times New Roman" w:hAnsi="Times New Roman" w:cs="Times New Roman"/>
          <w:noProof/>
          <w:sz w:val="24"/>
          <w:szCs w:val="24"/>
          <w:lang w:val="en-GB"/>
        </w:rPr>
        <w:t>. In some cases, targets were over</w:t>
      </w:r>
      <w:r>
        <w:rPr>
          <w:rFonts w:ascii="Times New Roman" w:hAnsi="Times New Roman" w:cs="Times New Roman"/>
          <w:noProof/>
          <w:sz w:val="24"/>
          <w:szCs w:val="24"/>
          <w:lang w:val="en-GB"/>
        </w:rPr>
        <w:noBreakHyphen/>
        <w:t xml:space="preserve">achieved due to the rise in asylum flows and the fact that a wider target group benefited from the projects’ outcomes.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However, the effectiveness and impact of the ERF projects was difficult to measure in qualitative terms since Member States took different approaches (see section 6 on methodology).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Several sources suggest that the projects in the new Member States focuse</w:t>
      </w:r>
      <w:r>
        <w:rPr>
          <w:rFonts w:ascii="Times New Roman" w:hAnsi="Times New Roman" w:cs="Times New Roman"/>
          <w:noProof/>
          <w:sz w:val="24"/>
          <w:szCs w:val="24"/>
          <w:lang w:val="en-GB"/>
        </w:rPr>
        <w:t>d more on filling gaps and addressing asylum applicants' basic humanitarian needs, mainly accommodation. Conversely, in the EU-15 Member States, projects mainly involved activities to improve the well-being of those in the target groups.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Activities to enco</w:t>
      </w:r>
      <w:r>
        <w:rPr>
          <w:rFonts w:ascii="Times New Roman" w:hAnsi="Times New Roman" w:cs="Times New Roman"/>
          <w:noProof/>
          <w:sz w:val="24"/>
          <w:szCs w:val="24"/>
          <w:lang w:val="en-GB"/>
        </w:rPr>
        <w:t>urage participation by target groups and to improve the professionalism of project beneficiaries were organised. However, the effectiveness of the Fund was hampered when the implementation of projects faced certain internal and external difficulties, namel</w:t>
      </w:r>
      <w:r>
        <w:rPr>
          <w:rFonts w:ascii="Times New Roman" w:hAnsi="Times New Roman" w:cs="Times New Roman"/>
          <w:noProof/>
          <w:sz w:val="24"/>
          <w:szCs w:val="24"/>
          <w:lang w:val="en-GB"/>
        </w:rPr>
        <w:t>y the long pre-financing period and insufficient capacity among ERF beneficiaries to handle delays in receiving the funding. The lack of interest among target groups themselves was also a problem in seven Member States</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lang w:val="en-GB"/>
        </w:rPr>
        <w:t>. Finally, the economic crisis (which</w:t>
      </w:r>
      <w:r>
        <w:rPr>
          <w:rFonts w:ascii="Times New Roman" w:hAnsi="Times New Roman" w:cs="Times New Roman"/>
          <w:noProof/>
          <w:sz w:val="24"/>
          <w:szCs w:val="24"/>
          <w:lang w:val="en-GB"/>
        </w:rPr>
        <w:t xml:space="preserve"> accompanied the asylum crisis between 2011 and 2013) with cuts to public resources, higher unemployment and discrimination against refugees all had a negative impact on project implementation and generated among stakeholders the feeling of a degree of und</w:t>
      </w:r>
      <w:r>
        <w:rPr>
          <w:rFonts w:ascii="Times New Roman" w:hAnsi="Times New Roman" w:cs="Times New Roman"/>
          <w:noProof/>
          <w:sz w:val="24"/>
          <w:szCs w:val="24"/>
          <w:lang w:val="en-GB"/>
        </w:rPr>
        <w:t>er</w:t>
      </w:r>
      <w:r>
        <w:rPr>
          <w:rFonts w:ascii="Times New Roman" w:hAnsi="Times New Roman" w:cs="Times New Roman"/>
          <w:noProof/>
          <w:sz w:val="24"/>
          <w:szCs w:val="24"/>
          <w:lang w:val="en-GB"/>
        </w:rPr>
        <w:noBreakHyphen/>
        <w:t>achievement.</w:t>
      </w: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Effectiveness of the ERF at priorities and policy areas level</w:t>
      </w:r>
    </w:p>
    <w:p w:rsidR="00832624" w:rsidRDefault="0072318F">
      <w:pPr>
        <w:spacing w:after="240" w:line="240" w:lineRule="auto"/>
        <w:jc w:val="both"/>
        <w:rPr>
          <w:rFonts w:ascii="Times New Roman" w:hAnsi="Times New Roman" w:cs="Times New Roman"/>
          <w:i/>
          <w:noProof/>
          <w:sz w:val="24"/>
          <w:szCs w:val="24"/>
          <w:u w:val="single"/>
          <w:lang w:val="en-GB"/>
        </w:rPr>
      </w:pPr>
      <w:r>
        <w:rPr>
          <w:rFonts w:ascii="Times New Roman" w:hAnsi="Times New Roman" w:cs="Times New Roman"/>
          <w:i/>
          <w:noProof/>
          <w:sz w:val="24"/>
          <w:szCs w:val="24"/>
          <w:u w:val="single"/>
          <w:lang w:val="en-GB"/>
        </w:rPr>
        <w:t>Effectiveness as regards reception conditions and asylum procedures</w:t>
      </w:r>
    </w:p>
    <w:tbl>
      <w:tblPr>
        <w:tblStyle w:val="TableGrid"/>
        <w:tblW w:w="0" w:type="auto"/>
        <w:tblLook w:val="04A0" w:firstRow="1" w:lastRow="0" w:firstColumn="1" w:lastColumn="0" w:noHBand="0" w:noVBand="1"/>
      </w:tblPr>
      <w:tblGrid>
        <w:gridCol w:w="9288"/>
      </w:tblGrid>
      <w:tr w:rsidR="00832624" w:rsidRPr="0072318F">
        <w:tc>
          <w:tcPr>
            <w:tcW w:w="9288" w:type="dxa"/>
          </w:tcPr>
          <w:p w:rsidR="00832624" w:rsidRDefault="0072318F">
            <w:pPr>
              <w:spacing w:after="240"/>
              <w:jc w:val="both"/>
              <w:rPr>
                <w:rFonts w:ascii="Times New Roman" w:hAnsi="Times New Roman" w:cs="Times New Roman"/>
                <w:i/>
                <w:noProof/>
                <w:sz w:val="24"/>
                <w:szCs w:val="24"/>
              </w:rPr>
            </w:pPr>
            <w:r>
              <w:rPr>
                <w:rFonts w:ascii="Times New Roman" w:hAnsi="Times New Roman" w:cs="Times New Roman"/>
                <w:i/>
                <w:noProof/>
                <w:sz w:val="24"/>
                <w:szCs w:val="24"/>
              </w:rPr>
              <w:t>EQ1A: To what extent did the ERF 2011-2013 actions contribute to the reception conditions and asylum procedure</w:t>
            </w:r>
            <w:r>
              <w:rPr>
                <w:rFonts w:ascii="Times New Roman" w:hAnsi="Times New Roman" w:cs="Times New Roman"/>
                <w:i/>
                <w:noProof/>
                <w:sz w:val="24"/>
                <w:szCs w:val="24"/>
              </w:rPr>
              <w:t>s?</w:t>
            </w:r>
          </w:p>
          <w:p w:rsidR="00832624" w:rsidRDefault="0072318F">
            <w:pPr>
              <w:spacing w:after="240"/>
              <w:jc w:val="both"/>
              <w:rPr>
                <w:rFonts w:ascii="Times New Roman" w:hAnsi="Times New Roman" w:cs="Times New Roman"/>
                <w:noProof/>
                <w:sz w:val="24"/>
                <w:szCs w:val="24"/>
              </w:rPr>
            </w:pPr>
            <w:r>
              <w:rPr>
                <w:rFonts w:ascii="Times New Roman" w:hAnsi="Times New Roman" w:cs="Times New Roman"/>
                <w:b/>
                <w:noProof/>
                <w:sz w:val="24"/>
                <w:szCs w:val="24"/>
              </w:rPr>
              <w:t>Main conclusion:</w:t>
            </w:r>
            <w:r>
              <w:rPr>
                <w:rFonts w:ascii="Times New Roman" w:hAnsi="Times New Roman" w:cs="Times New Roman"/>
                <w:noProof/>
                <w:sz w:val="24"/>
                <w:szCs w:val="24"/>
              </w:rPr>
              <w:t xml:space="preserve"> In the NERs, all Member States confirmed that the ERF provided a high level of support for the improvement of reception conditions of asylum applicants and asylum procedures. On the other hand, the sharp increase in asylum flows in some</w:t>
            </w:r>
            <w:r>
              <w:rPr>
                <w:rFonts w:ascii="Times New Roman" w:hAnsi="Times New Roman" w:cs="Times New Roman"/>
                <w:noProof/>
                <w:sz w:val="24"/>
                <w:szCs w:val="24"/>
              </w:rPr>
              <w:t xml:space="preserve"> cases reduced the quality of the services provided. </w:t>
            </w:r>
          </w:p>
        </w:tc>
      </w:tr>
    </w:tbl>
    <w:p w:rsidR="00832624" w:rsidRDefault="0072318F">
      <w:pPr>
        <w:spacing w:before="24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improvement of reception conditions in Member States was one of the main areas of focus of the ERF. Of the projects co-financed by the ERF, 47 % concerned reception capacities, reaching almost two </w:t>
      </w:r>
      <w:r>
        <w:rPr>
          <w:rFonts w:ascii="Times New Roman" w:hAnsi="Times New Roman" w:cs="Times New Roman"/>
          <w:noProof/>
          <w:sz w:val="24"/>
          <w:szCs w:val="24"/>
          <w:lang w:val="en-GB"/>
        </w:rPr>
        <w:t>thirds of asylum applicants</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lang w:val="en-GB"/>
        </w:rPr>
        <w:t>. All Member States stated clearly in their NER that the ERF provided strong support in this area. The main results of the improvements to reception conditions and asylum procedures were as follows:</w:t>
      </w:r>
    </w:p>
    <w:p w:rsidR="00832624" w:rsidRDefault="0072318F">
      <w:pPr>
        <w:pStyle w:val="ListParagraph"/>
        <w:numPr>
          <w:ilvl w:val="0"/>
          <w:numId w:val="5"/>
        </w:numPr>
        <w:spacing w:after="120" w:line="240" w:lineRule="auto"/>
        <w:contextualSpacing w:val="0"/>
        <w:jc w:val="both"/>
        <w:rPr>
          <w:rFonts w:ascii="Times New Roman" w:hAnsi="Times New Roman"/>
          <w:noProof/>
          <w:sz w:val="24"/>
        </w:rPr>
      </w:pPr>
      <w:r>
        <w:rPr>
          <w:rFonts w:ascii="Times New Roman" w:hAnsi="Times New Roman"/>
          <w:noProof/>
          <w:sz w:val="24"/>
        </w:rPr>
        <w:t>measures relating to accommod</w:t>
      </w:r>
      <w:r>
        <w:rPr>
          <w:rFonts w:ascii="Times New Roman" w:hAnsi="Times New Roman"/>
          <w:noProof/>
          <w:sz w:val="24"/>
        </w:rPr>
        <w:t>ation, i.e. the creation and enlargement of reception centres, had a visible impact, with a total of 87 000 beneficiaries. ERF funding was used to increase accommodation capacities in eight Member States</w:t>
      </w:r>
      <w:r>
        <w:rPr>
          <w:rStyle w:val="FootnoteReference"/>
          <w:rFonts w:ascii="Times New Roman" w:hAnsi="Times New Roman"/>
          <w:noProof/>
          <w:sz w:val="24"/>
        </w:rPr>
        <w:footnoteReference w:id="68"/>
      </w:r>
      <w:r>
        <w:rPr>
          <w:rFonts w:ascii="Times New Roman" w:hAnsi="Times New Roman"/>
          <w:noProof/>
          <w:sz w:val="24"/>
        </w:rPr>
        <w:t>, improve safety and modernise accommodation centres</w:t>
      </w:r>
      <w:r>
        <w:rPr>
          <w:rFonts w:ascii="Times New Roman" w:hAnsi="Times New Roman"/>
          <w:noProof/>
          <w:sz w:val="24"/>
        </w:rPr>
        <w:t>;</w:t>
      </w:r>
    </w:p>
    <w:p w:rsidR="00832624" w:rsidRDefault="0072318F">
      <w:pPr>
        <w:pStyle w:val="ListParagraph"/>
        <w:numPr>
          <w:ilvl w:val="0"/>
          <w:numId w:val="5"/>
        </w:numPr>
        <w:spacing w:after="120" w:line="240" w:lineRule="auto"/>
        <w:contextualSpacing w:val="0"/>
        <w:jc w:val="both"/>
        <w:rPr>
          <w:rFonts w:ascii="Times New Roman" w:hAnsi="Times New Roman"/>
          <w:noProof/>
          <w:sz w:val="24"/>
        </w:rPr>
      </w:pPr>
      <w:r>
        <w:rPr>
          <w:rFonts w:ascii="Times New Roman" w:hAnsi="Times New Roman"/>
          <w:noProof/>
          <w:sz w:val="24"/>
        </w:rPr>
        <w:t>improved social assistance and legal procedures (measures that directly facilitated the processing of asylum claims through social, legal and administrative counselling for around 662 000 beneficiaries). Emergency measures reduced the backlog in asylum a</w:t>
      </w:r>
      <w:r>
        <w:rPr>
          <w:rFonts w:ascii="Times New Roman" w:hAnsi="Times New Roman"/>
          <w:noProof/>
          <w:sz w:val="24"/>
        </w:rPr>
        <w:t>pplicants procedures in Greece; and</w:t>
      </w:r>
    </w:p>
    <w:p w:rsidR="00832624" w:rsidRDefault="0072318F">
      <w:pPr>
        <w:pStyle w:val="ListParagraph"/>
        <w:numPr>
          <w:ilvl w:val="0"/>
          <w:numId w:val="5"/>
        </w:numPr>
        <w:spacing w:after="240" w:line="240" w:lineRule="auto"/>
        <w:contextualSpacing w:val="0"/>
        <w:jc w:val="both"/>
        <w:rPr>
          <w:rFonts w:ascii="Times New Roman" w:hAnsi="Times New Roman"/>
          <w:noProof/>
          <w:sz w:val="24"/>
        </w:rPr>
      </w:pPr>
      <w:r>
        <w:rPr>
          <w:rFonts w:ascii="Times New Roman" w:hAnsi="Times New Roman"/>
          <w:noProof/>
          <w:sz w:val="24"/>
        </w:rPr>
        <w:t>medical and psychological care for asylum applicants proved to be a strong source of additional support for health insurance systems, reaching around 269 000 people.</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Overall, quantitative targets (set in the multiannual </w:t>
      </w:r>
      <w:r>
        <w:rPr>
          <w:rFonts w:ascii="Times New Roman" w:hAnsi="Times New Roman" w:cs="Times New Roman"/>
          <w:noProof/>
          <w:sz w:val="24"/>
          <w:szCs w:val="24"/>
          <w:lang w:val="en-GB"/>
        </w:rPr>
        <w:t>programmes by the Member States at the start of the Fund) were over-achieved in all areas (total achievement rates amounted to 140 %), notably because of the increase in migration flows. Moreover, the migration crisis presented a stronger impact in 2014, w</w:t>
      </w:r>
      <w:r>
        <w:rPr>
          <w:rFonts w:ascii="Times New Roman" w:hAnsi="Times New Roman" w:cs="Times New Roman"/>
          <w:noProof/>
          <w:sz w:val="24"/>
          <w:szCs w:val="24"/>
          <w:lang w:val="en-GB"/>
        </w:rPr>
        <w:t>hen it was no longer possible to modify the targets set in the NPs (the latest adoption was in 2013), hence the overachievement mainly refers to the last year of implementation of the Fund. Complementary data and information were collected by the evaluator</w:t>
      </w:r>
      <w:r>
        <w:rPr>
          <w:rFonts w:ascii="Times New Roman" w:hAnsi="Times New Roman" w:cs="Times New Roman"/>
          <w:noProof/>
          <w:sz w:val="24"/>
          <w:szCs w:val="24"/>
          <w:lang w:val="en-GB"/>
        </w:rPr>
        <w:t xml:space="preserve">s through interviews with the national authorities and key stakeholders, to complete the picture and carry out also a qualitative assessment.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With the overachievement some difficulties arose, since the planning phase of the project cycle management proved</w:t>
      </w:r>
      <w:r>
        <w:rPr>
          <w:rFonts w:ascii="Times New Roman" w:hAnsi="Times New Roman" w:cs="Times New Roman"/>
          <w:noProof/>
          <w:sz w:val="24"/>
          <w:szCs w:val="24"/>
          <w:lang w:val="en-GB"/>
        </w:rPr>
        <w:t xml:space="preserve"> to be more complicated and the values of qualitative indicators may have been reduced (i.e. in AT, it was the case of projects aiming at providing social counselling as the number of asylum seekers was higher than planned: while the number of persons assi</w:t>
      </w:r>
      <w:r>
        <w:rPr>
          <w:rFonts w:ascii="Times New Roman" w:hAnsi="Times New Roman" w:cs="Times New Roman"/>
          <w:noProof/>
          <w:sz w:val="24"/>
          <w:szCs w:val="24"/>
          <w:lang w:val="en-GB"/>
        </w:rPr>
        <w:t>sted increased, the number of hours of assistance delivered per person could not always be offered as planned).</w:t>
      </w:r>
      <w:r>
        <w:rPr>
          <w:rFonts w:ascii="Times New Roman" w:hAnsi="Times New Roman" w:cs="Times New Roman"/>
          <w:noProof/>
          <w:sz w:val="20"/>
          <w:szCs w:val="20"/>
          <w:lang w:val="en-GB"/>
        </w:rPr>
        <w:t xml:space="preserve"> </w:t>
      </w:r>
    </w:p>
    <w:p w:rsidR="00832624" w:rsidRDefault="0072318F">
      <w:pPr>
        <w:spacing w:after="240" w:line="240" w:lineRule="auto"/>
        <w:jc w:val="both"/>
        <w:rPr>
          <w:rFonts w:ascii="Times New Roman" w:hAnsi="Times New Roman" w:cs="Times New Roman"/>
          <w:i/>
          <w:noProof/>
          <w:sz w:val="24"/>
          <w:szCs w:val="24"/>
          <w:u w:val="single"/>
          <w:lang w:val="en-GB"/>
        </w:rPr>
      </w:pPr>
      <w:r>
        <w:rPr>
          <w:rFonts w:ascii="Times New Roman" w:hAnsi="Times New Roman" w:cs="Times New Roman"/>
          <w:i/>
          <w:noProof/>
          <w:sz w:val="24"/>
          <w:szCs w:val="24"/>
          <w:u w:val="single"/>
          <w:lang w:val="en-GB"/>
        </w:rPr>
        <w:t>Effectiveness as regards integration of people in the target groups</w:t>
      </w:r>
    </w:p>
    <w:tbl>
      <w:tblPr>
        <w:tblStyle w:val="TableGrid"/>
        <w:tblW w:w="0" w:type="auto"/>
        <w:tblLook w:val="04A0" w:firstRow="1" w:lastRow="0" w:firstColumn="1" w:lastColumn="0" w:noHBand="0" w:noVBand="1"/>
      </w:tblPr>
      <w:tblGrid>
        <w:gridCol w:w="9288"/>
      </w:tblGrid>
      <w:tr w:rsidR="00832624" w:rsidRPr="0072318F">
        <w:tc>
          <w:tcPr>
            <w:tcW w:w="9288" w:type="dxa"/>
          </w:tcPr>
          <w:p w:rsidR="00832624" w:rsidRDefault="0072318F">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EQ1B: To what extent did the ERF 2011-2013 actions contribute to the </w:t>
            </w:r>
            <w:r>
              <w:rPr>
                <w:rFonts w:ascii="Times New Roman" w:hAnsi="Times New Roman" w:cs="Times New Roman"/>
                <w:i/>
                <w:noProof/>
                <w:sz w:val="24"/>
                <w:szCs w:val="24"/>
              </w:rPr>
              <w:t>integration of persons referred in Art 6 (target group)</w:t>
            </w:r>
            <w:r>
              <w:rPr>
                <w:rStyle w:val="FootnoteReference"/>
                <w:rFonts w:ascii="Times New Roman" w:hAnsi="Times New Roman" w:cs="Times New Roman"/>
                <w:i/>
                <w:noProof/>
                <w:sz w:val="24"/>
                <w:szCs w:val="24"/>
              </w:rPr>
              <w:footnoteReference w:id="69"/>
            </w:r>
            <w:r>
              <w:rPr>
                <w:rFonts w:ascii="Times New Roman" w:hAnsi="Times New Roman" w:cs="Times New Roman"/>
                <w:i/>
                <w:noProof/>
                <w:sz w:val="24"/>
                <w:szCs w:val="24"/>
              </w:rPr>
              <w:t>?</w:t>
            </w:r>
          </w:p>
          <w:p w:rsidR="00832624" w:rsidRDefault="0072318F">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Main conclusions: </w:t>
            </w:r>
            <w:r>
              <w:rPr>
                <w:rFonts w:ascii="Times New Roman" w:hAnsi="Times New Roman" w:cs="Times New Roman"/>
                <w:noProof/>
                <w:sz w:val="24"/>
                <w:szCs w:val="24"/>
              </w:rPr>
              <w:t xml:space="preserve">Stakeholders assessed the ERF’s contribution to integration as positive. Several highlighted that refugees encountered difficulties in entering the labour and housing markets due </w:t>
            </w:r>
            <w:r>
              <w:rPr>
                <w:rFonts w:ascii="Times New Roman" w:hAnsi="Times New Roman" w:cs="Times New Roman"/>
                <w:noProof/>
                <w:sz w:val="24"/>
                <w:szCs w:val="24"/>
              </w:rPr>
              <w:t>to a deteriorating social and economic environment.</w:t>
            </w:r>
          </w:p>
        </w:tc>
      </w:tr>
    </w:tbl>
    <w:p w:rsidR="00832624" w:rsidRDefault="0072318F">
      <w:pPr>
        <w:spacing w:before="24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Improving the process of integrating refugees was another main priority of the ERF. The Fund supported 42 % of all integration projects supported by the Fund, which involved social assistance with admini</w:t>
      </w:r>
      <w:r>
        <w:rPr>
          <w:rFonts w:ascii="Times New Roman" w:hAnsi="Times New Roman" w:cs="Times New Roman"/>
          <w:noProof/>
          <w:sz w:val="24"/>
          <w:szCs w:val="24"/>
          <w:lang w:val="en-GB"/>
        </w:rPr>
        <w:t>strative/judicial formalities, counselling and legal aid, and language training; these reached more than 95 000 people</w:t>
      </w:r>
      <w:r>
        <w:rPr>
          <w:rStyle w:val="FootnoteReference"/>
          <w:rFonts w:ascii="Times New Roman" w:hAnsi="Times New Roman" w:cs="Times New Roman"/>
          <w:noProof/>
          <w:sz w:val="24"/>
          <w:szCs w:val="24"/>
          <w:lang w:val="en-GB"/>
        </w:rPr>
        <w:footnoteReference w:id="70"/>
      </w:r>
      <w:r>
        <w:rPr>
          <w:rFonts w:ascii="Times New Roman" w:hAnsi="Times New Roman" w:cs="Times New Roman"/>
          <w:noProof/>
          <w:sz w:val="24"/>
          <w:szCs w:val="24"/>
          <w:lang w:val="en-GB"/>
        </w:rPr>
        <w:t>. Member States’ NERs gave a mostly positive assessment of the ERF contribution to changes and improvements in the field of integration.</w:t>
      </w:r>
    </w:p>
    <w:p w:rsidR="00832624" w:rsidRDefault="0072318F">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regards integration, the evaluation highlights projects with a focus on:</w:t>
      </w:r>
    </w:p>
    <w:p w:rsidR="00832624" w:rsidRDefault="0072318F">
      <w:pPr>
        <w:pStyle w:val="ListParagraph"/>
        <w:numPr>
          <w:ilvl w:val="0"/>
          <w:numId w:val="10"/>
        </w:numPr>
        <w:spacing w:after="120" w:line="240" w:lineRule="auto"/>
        <w:contextualSpacing w:val="0"/>
        <w:jc w:val="both"/>
        <w:rPr>
          <w:rFonts w:ascii="Times New Roman" w:hAnsi="Times New Roman"/>
          <w:noProof/>
          <w:sz w:val="24"/>
        </w:rPr>
      </w:pPr>
      <w:r>
        <w:rPr>
          <w:rFonts w:ascii="Times New Roman" w:hAnsi="Times New Roman"/>
          <w:noProof/>
          <w:sz w:val="24"/>
        </w:rPr>
        <w:t>recognising refugees’ competencies and skills;</w:t>
      </w:r>
    </w:p>
    <w:p w:rsidR="00832624" w:rsidRDefault="0072318F">
      <w:pPr>
        <w:pStyle w:val="ListParagraph"/>
        <w:numPr>
          <w:ilvl w:val="0"/>
          <w:numId w:val="10"/>
        </w:numPr>
        <w:spacing w:after="120" w:line="240" w:lineRule="auto"/>
        <w:contextualSpacing w:val="0"/>
        <w:jc w:val="both"/>
        <w:rPr>
          <w:rFonts w:ascii="Times New Roman" w:hAnsi="Times New Roman"/>
          <w:noProof/>
          <w:sz w:val="24"/>
        </w:rPr>
      </w:pPr>
      <w:r>
        <w:rPr>
          <w:rFonts w:ascii="Times New Roman" w:hAnsi="Times New Roman"/>
          <w:noProof/>
          <w:sz w:val="24"/>
        </w:rPr>
        <w:t>organising common activities with local communities and raising awareness among EU citizens; and</w:t>
      </w:r>
    </w:p>
    <w:p w:rsidR="00832624" w:rsidRDefault="0072318F">
      <w:pPr>
        <w:pStyle w:val="ListParagraph"/>
        <w:numPr>
          <w:ilvl w:val="0"/>
          <w:numId w:val="10"/>
        </w:numPr>
        <w:spacing w:after="240" w:line="240" w:lineRule="auto"/>
        <w:contextualSpacing w:val="0"/>
        <w:jc w:val="both"/>
        <w:rPr>
          <w:rFonts w:ascii="Times New Roman" w:hAnsi="Times New Roman"/>
          <w:noProof/>
          <w:sz w:val="24"/>
        </w:rPr>
      </w:pPr>
      <w:r>
        <w:rPr>
          <w:rFonts w:ascii="Times New Roman" w:hAnsi="Times New Roman"/>
          <w:noProof/>
          <w:sz w:val="24"/>
        </w:rPr>
        <w:t>facilitating refugees’ entrepreneurs</w:t>
      </w:r>
      <w:r>
        <w:rPr>
          <w:rFonts w:ascii="Times New Roman" w:hAnsi="Times New Roman"/>
          <w:noProof/>
          <w:sz w:val="24"/>
        </w:rPr>
        <w:t xml:space="preserve">hip. </w:t>
      </w:r>
    </w:p>
    <w:p w:rsidR="00832624" w:rsidRDefault="0072318F">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main outputs of integration measures were as follows:</w:t>
      </w:r>
    </w:p>
    <w:p w:rsidR="00832624" w:rsidRDefault="0072318F">
      <w:pPr>
        <w:pStyle w:val="ListParagraph"/>
        <w:numPr>
          <w:ilvl w:val="0"/>
          <w:numId w:val="6"/>
        </w:numPr>
        <w:spacing w:after="120" w:line="240" w:lineRule="auto"/>
        <w:contextualSpacing w:val="0"/>
        <w:jc w:val="both"/>
        <w:rPr>
          <w:rFonts w:ascii="Times New Roman" w:hAnsi="Times New Roman"/>
          <w:noProof/>
          <w:sz w:val="24"/>
        </w:rPr>
      </w:pPr>
      <w:r>
        <w:rPr>
          <w:rFonts w:ascii="Times New Roman" w:hAnsi="Times New Roman"/>
          <w:noProof/>
          <w:sz w:val="24"/>
        </w:rPr>
        <w:t>social counselling contributed to the integration of over 95 000 refugees in 21 Member States. Such measures were particularly relevant in PL, FR and AT, with 45 000 final beneficiaries (asylu</w:t>
      </w:r>
      <w:r>
        <w:rPr>
          <w:rFonts w:ascii="Times New Roman" w:hAnsi="Times New Roman"/>
          <w:noProof/>
          <w:sz w:val="24"/>
        </w:rPr>
        <w:t>m applicants) assisted through activities such as cultural dialogue with civil society, language training, sport events, cooking and cultural events;</w:t>
      </w:r>
    </w:p>
    <w:p w:rsidR="00832624" w:rsidRDefault="0072318F">
      <w:pPr>
        <w:pStyle w:val="ListParagraph"/>
        <w:numPr>
          <w:ilvl w:val="0"/>
          <w:numId w:val="6"/>
        </w:numPr>
        <w:spacing w:after="120" w:line="240" w:lineRule="auto"/>
        <w:contextualSpacing w:val="0"/>
        <w:jc w:val="both"/>
        <w:rPr>
          <w:rFonts w:ascii="Times New Roman" w:hAnsi="Times New Roman"/>
          <w:noProof/>
          <w:sz w:val="24"/>
        </w:rPr>
      </w:pPr>
      <w:r>
        <w:rPr>
          <w:rFonts w:ascii="Times New Roman" w:hAnsi="Times New Roman"/>
          <w:noProof/>
          <w:sz w:val="24"/>
        </w:rPr>
        <w:t>accommodation projects benefiting over 61 000 refugees were very positive considering the difficulty for t</w:t>
      </w:r>
      <w:r>
        <w:rPr>
          <w:rFonts w:ascii="Times New Roman" w:hAnsi="Times New Roman"/>
          <w:noProof/>
          <w:sz w:val="24"/>
        </w:rPr>
        <w:t xml:space="preserve">hem to enter the housing market; and </w:t>
      </w:r>
    </w:p>
    <w:p w:rsidR="00832624" w:rsidRDefault="0072318F">
      <w:pPr>
        <w:pStyle w:val="ListParagraph"/>
        <w:numPr>
          <w:ilvl w:val="0"/>
          <w:numId w:val="6"/>
        </w:numPr>
        <w:spacing w:after="240" w:line="240" w:lineRule="auto"/>
        <w:contextualSpacing w:val="0"/>
        <w:jc w:val="both"/>
        <w:rPr>
          <w:rFonts w:ascii="Times New Roman" w:hAnsi="Times New Roman"/>
          <w:noProof/>
          <w:sz w:val="24"/>
        </w:rPr>
      </w:pPr>
      <w:r>
        <w:rPr>
          <w:rFonts w:ascii="Times New Roman" w:hAnsi="Times New Roman"/>
          <w:noProof/>
          <w:sz w:val="24"/>
        </w:rPr>
        <w:t>a Community action was aimed at developing an UNHCR (the United Nations Refugee Agency) online integration tool containing data pertaining to refugee integration and designed to facilitate the exchange of information a</w:t>
      </w:r>
      <w:r>
        <w:rPr>
          <w:rFonts w:ascii="Times New Roman" w:hAnsi="Times New Roman"/>
          <w:noProof/>
          <w:sz w:val="24"/>
        </w:rPr>
        <w:t>nd raise awareness.</w:t>
      </w:r>
    </w:p>
    <w:p w:rsidR="00832624" w:rsidRDefault="0072318F">
      <w:pPr>
        <w:pStyle w:val="ListParagraph"/>
        <w:spacing w:after="240" w:line="240" w:lineRule="auto"/>
        <w:ind w:left="0"/>
        <w:jc w:val="both"/>
        <w:rPr>
          <w:rFonts w:ascii="Times New Roman" w:hAnsi="Times New Roman"/>
          <w:noProof/>
          <w:sz w:val="24"/>
        </w:rPr>
      </w:pPr>
      <w:r>
        <w:rPr>
          <w:rFonts w:ascii="Times New Roman" w:hAnsi="Times New Roman"/>
          <w:noProof/>
          <w:sz w:val="24"/>
        </w:rPr>
        <w:t>On each topic, the number of target group people reached exceeded what was planned (overall achievement rates: 138 %), except in FI, PO, LU and the UK.</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Some Member States stressed the possible existence of specific obstacles to integration linked to the social and economic environment, including access for beneficiaries of international protection to the labour (AT, DE, LV, PT, SK) and housing markets (NL</w:t>
      </w:r>
      <w:r>
        <w:rPr>
          <w:rFonts w:ascii="Times New Roman" w:hAnsi="Times New Roman" w:cs="Times New Roman"/>
          <w:noProof/>
          <w:sz w:val="24"/>
          <w:szCs w:val="24"/>
          <w:lang w:val="en-GB"/>
        </w:rPr>
        <w:t xml:space="preserve">), so that integration measures were considered as particularly relevant by those Member States. </w:t>
      </w:r>
    </w:p>
    <w:p w:rsidR="00832624" w:rsidRDefault="0072318F">
      <w:pPr>
        <w:spacing w:after="240" w:line="240" w:lineRule="auto"/>
        <w:jc w:val="both"/>
        <w:rPr>
          <w:rFonts w:ascii="Times New Roman" w:hAnsi="Times New Roman" w:cs="Times New Roman"/>
          <w:i/>
          <w:noProof/>
          <w:sz w:val="24"/>
          <w:szCs w:val="24"/>
          <w:u w:val="single"/>
          <w:lang w:val="en-GB"/>
        </w:rPr>
      </w:pPr>
      <w:r>
        <w:rPr>
          <w:rFonts w:ascii="Times New Roman" w:hAnsi="Times New Roman" w:cs="Times New Roman"/>
          <w:i/>
          <w:noProof/>
          <w:sz w:val="24"/>
          <w:szCs w:val="24"/>
          <w:u w:val="single"/>
          <w:lang w:val="en-GB"/>
        </w:rPr>
        <w:t>Effectiveness as regards enhancing Member States’ capacity to develop, monitor and evaluate their asylum policies</w:t>
      </w:r>
    </w:p>
    <w:tbl>
      <w:tblPr>
        <w:tblStyle w:val="TableGrid"/>
        <w:tblW w:w="0" w:type="auto"/>
        <w:tblLook w:val="04A0" w:firstRow="1" w:lastRow="0" w:firstColumn="1" w:lastColumn="0" w:noHBand="0" w:noVBand="1"/>
      </w:tblPr>
      <w:tblGrid>
        <w:gridCol w:w="9288"/>
      </w:tblGrid>
      <w:tr w:rsidR="00832624" w:rsidRPr="0072318F">
        <w:tc>
          <w:tcPr>
            <w:tcW w:w="9288" w:type="dxa"/>
          </w:tcPr>
          <w:p w:rsidR="00832624" w:rsidRDefault="0072318F">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EQ1C: To what extent did the ERF 2011-2013 </w:t>
            </w:r>
            <w:r>
              <w:rPr>
                <w:rFonts w:ascii="Times New Roman" w:hAnsi="Times New Roman" w:cs="Times New Roman"/>
                <w:i/>
                <w:noProof/>
                <w:sz w:val="24"/>
                <w:szCs w:val="24"/>
              </w:rPr>
              <w:t>actions contribute to the enhancement of Member States’ capacity to develop, monitor and evaluate their asylum policies in the light of their obligations under existing and future Community legislation relating to the common European asylum system (in part</w:t>
            </w:r>
            <w:r>
              <w:rPr>
                <w:rFonts w:ascii="Times New Roman" w:hAnsi="Times New Roman" w:cs="Times New Roman"/>
                <w:i/>
                <w:noProof/>
                <w:sz w:val="24"/>
                <w:szCs w:val="24"/>
              </w:rPr>
              <w:t>icular practical cooperation activities between Member States)?</w:t>
            </w:r>
          </w:p>
          <w:p w:rsidR="00832624" w:rsidRDefault="0072318F">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Main conclusions: </w:t>
            </w:r>
            <w:r>
              <w:rPr>
                <w:rFonts w:ascii="Times New Roman" w:hAnsi="Times New Roman" w:cs="Times New Roman"/>
                <w:noProof/>
                <w:sz w:val="24"/>
                <w:szCs w:val="24"/>
              </w:rPr>
              <w:t>The Fund did not prove to be widely effective as regards enhancing Member States’ capacity to develop, monitor and evaluate their asylum policies. Successful projects strengt</w:t>
            </w:r>
            <w:r>
              <w:rPr>
                <w:rFonts w:ascii="Times New Roman" w:hAnsi="Times New Roman" w:cs="Times New Roman"/>
                <w:noProof/>
                <w:sz w:val="24"/>
                <w:szCs w:val="24"/>
              </w:rPr>
              <w:t>hened cooperation between Member States in the field of country of origin information (COI). Community actions could have been more often used as a tool to strengthen the cooperation between Member States, although the creation of EASO in 2011 led to a pro</w:t>
            </w:r>
            <w:r>
              <w:rPr>
                <w:rFonts w:ascii="Times New Roman" w:hAnsi="Times New Roman" w:cs="Times New Roman"/>
                <w:noProof/>
                <w:sz w:val="24"/>
                <w:szCs w:val="24"/>
              </w:rPr>
              <w:t xml:space="preserve">gressive transfer of these activities. </w:t>
            </w:r>
          </w:p>
        </w:tc>
      </w:tr>
    </w:tbl>
    <w:p w:rsidR="00832624" w:rsidRDefault="00832624">
      <w:pPr>
        <w:spacing w:after="0" w:line="240" w:lineRule="auto"/>
        <w:jc w:val="both"/>
        <w:rPr>
          <w:rFonts w:ascii="Times New Roman" w:hAnsi="Times New Roman" w:cs="Times New Roman"/>
          <w:noProof/>
          <w:sz w:val="24"/>
          <w:szCs w:val="24"/>
          <w:lang w:val="en-GB"/>
        </w:rPr>
      </w:pP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most Member States, projects focused on improving the quality of asylum procedures (103 projects), evaluating asylum policies and procedures (40) and measures to collect/share country of origin information (32).</w:t>
      </w:r>
      <w:r>
        <w:rPr>
          <w:rFonts w:ascii="Times New Roman" w:hAnsi="Times New Roman" w:cs="Times New Roman"/>
          <w:noProof/>
          <w:sz w:val="24"/>
          <w:szCs w:val="24"/>
          <w:lang w:val="en-GB"/>
        </w:rPr>
        <w:t xml:space="preserve"> These projects were those mentioned most often by Member States</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lang w:val="en-GB"/>
        </w:rPr>
        <w:t>as having been the most effective. They aimed to improve access to and the sharing and quality of information in Member States and typically encouraged stronger and new forms of cooperation b</w:t>
      </w:r>
      <w:r>
        <w:rPr>
          <w:rFonts w:ascii="Times New Roman" w:hAnsi="Times New Roman" w:cs="Times New Roman"/>
          <w:noProof/>
          <w:sz w:val="24"/>
          <w:szCs w:val="24"/>
          <w:lang w:val="en-GB"/>
        </w:rPr>
        <w:t>etween Member States. For example, under the MedCOI Community action, three Member States</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lang w:val="en-GB"/>
        </w:rPr>
        <w:t xml:space="preserve"> developed a sustainable medical database. The ERF supported Finland’s Tellus project, which contributed in an initial phase to the launch of the EASO COI portal, whi</w:t>
      </w:r>
      <w:r>
        <w:rPr>
          <w:rFonts w:ascii="Times New Roman" w:hAnsi="Times New Roman" w:cs="Times New Roman"/>
          <w:noProof/>
          <w:sz w:val="24"/>
          <w:szCs w:val="24"/>
          <w:lang w:val="en-GB"/>
        </w:rPr>
        <w:t xml:space="preserve">ch is now accessible to all Member States. </w:t>
      </w:r>
      <w:r>
        <w:rPr>
          <w:rFonts w:ascii="Times New Roman" w:hAnsi="Times New Roman" w:cs="Times New Roman"/>
          <w:noProof/>
          <w:sz w:val="24"/>
          <w:szCs w:val="24"/>
          <w:lang w:val="en-IE"/>
        </w:rPr>
        <w:t xml:space="preserve">The EASO Agency was set up in 2011, its main priority being to enhance practical cooperation among Member States on asylum by facilitating the exchange of information. </w:t>
      </w:r>
      <w:r>
        <w:rPr>
          <w:rFonts w:ascii="Times New Roman" w:hAnsi="Times New Roman" w:cs="Times New Roman"/>
          <w:noProof/>
          <w:sz w:val="24"/>
          <w:szCs w:val="24"/>
          <w:lang w:val="en-GB"/>
        </w:rPr>
        <w:t>This implies that some activities financed un</w:t>
      </w:r>
      <w:r>
        <w:rPr>
          <w:rFonts w:ascii="Times New Roman" w:hAnsi="Times New Roman" w:cs="Times New Roman"/>
          <w:noProof/>
          <w:sz w:val="24"/>
          <w:szCs w:val="24"/>
          <w:lang w:val="en-GB"/>
        </w:rPr>
        <w:t>der the ERF Community Actions, in particular support of transnational cooperation between Member States on asylum related issues, were progressively transferred to EASO.</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number of Member States also focused efforts on elaborating new methodologies</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lang w:val="en-GB"/>
        </w:rPr>
        <w:t xml:space="preserve"> and m</w:t>
      </w:r>
      <w:r>
        <w:rPr>
          <w:rFonts w:ascii="Times New Roman" w:hAnsi="Times New Roman" w:cs="Times New Roman"/>
          <w:noProof/>
          <w:sz w:val="24"/>
          <w:szCs w:val="24"/>
          <w:lang w:val="en-GB"/>
        </w:rPr>
        <w:t>onitoring and improving procedures</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lang w:val="en-GB"/>
        </w:rPr>
        <w:t>. The ERF contributed to improve Member States’ capacity to evaluate their asylum policies and to elaborate new methodologies, replacing individual practices, for working with the most vulnerable asylum applicants. It als</w:t>
      </w:r>
      <w:r>
        <w:rPr>
          <w:rFonts w:ascii="Times New Roman" w:hAnsi="Times New Roman" w:cs="Times New Roman"/>
          <w:noProof/>
          <w:sz w:val="24"/>
          <w:szCs w:val="24"/>
          <w:lang w:val="en-GB"/>
        </w:rPr>
        <w:t xml:space="preserve">o contributed to improve their capacity to adapt national legislation more rapidly to the Community </w:t>
      </w:r>
      <w:r>
        <w:rPr>
          <w:rFonts w:ascii="Times New Roman" w:hAnsi="Times New Roman" w:cs="Times New Roman"/>
          <w:i/>
          <w:noProof/>
          <w:sz w:val="24"/>
          <w:szCs w:val="24"/>
          <w:lang w:val="en-GB"/>
        </w:rPr>
        <w:t>acquis</w:t>
      </w:r>
      <w:r>
        <w:rPr>
          <w:rFonts w:ascii="Times New Roman" w:hAnsi="Times New Roman" w:cs="Times New Roman"/>
          <w:noProof/>
          <w:sz w:val="24"/>
          <w:szCs w:val="24"/>
          <w:lang w:val="en-GB"/>
        </w:rPr>
        <w:t xml:space="preserve">. As an example, FR’s project to modernise the EURODAC system was considered a time-saving investment which led to FR adapting promptly to the Dublin </w:t>
      </w:r>
      <w:r>
        <w:rPr>
          <w:rFonts w:ascii="Times New Roman" w:hAnsi="Times New Roman" w:cs="Times New Roman"/>
          <w:noProof/>
          <w:sz w:val="24"/>
          <w:szCs w:val="24"/>
          <w:lang w:val="en-GB"/>
        </w:rPr>
        <w:t>II Regulation</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lang w:val="en-GB"/>
        </w:rPr>
        <w:t xml:space="preserve"> and helped improve the productivity and stability of its national asylum system. BG, DE, BE, DE and RO were of the opinion that seminars and training courses had improved the skills and knowledge of a wide range of staff.</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Notwithstanding the</w:t>
      </w:r>
      <w:r>
        <w:rPr>
          <w:rFonts w:ascii="Times New Roman" w:hAnsi="Times New Roman" w:cs="Times New Roman"/>
          <w:noProof/>
          <w:sz w:val="24"/>
          <w:szCs w:val="24"/>
          <w:lang w:val="en-GB"/>
        </w:rPr>
        <w:t xml:space="preserve"> above positive outcomes, action to improve Member States’ capacity to develop, monitor and evaluate their asylum policies could have been more effective: priority 2 accounted for only 7% of total programming. As regards the shortcomings identified, all in</w:t>
      </w:r>
      <w:r>
        <w:rPr>
          <w:rFonts w:ascii="Times New Roman" w:hAnsi="Times New Roman" w:cs="Times New Roman"/>
          <w:noProof/>
          <w:sz w:val="24"/>
          <w:szCs w:val="24"/>
          <w:lang w:val="en-GB"/>
        </w:rPr>
        <w:t>terviews done during the evaluation highlighted that the significant and unpredictable increase in the number of asylum applicants led Member States to focus on short</w:t>
      </w:r>
      <w:r>
        <w:rPr>
          <w:rFonts w:ascii="Times New Roman" w:hAnsi="Times New Roman" w:cs="Times New Roman"/>
          <w:noProof/>
          <w:sz w:val="24"/>
          <w:szCs w:val="24"/>
          <w:lang w:val="en-GB"/>
        </w:rPr>
        <w:noBreakHyphen/>
        <w:t>term effects at the expense of long</w:t>
      </w:r>
      <w:r>
        <w:rPr>
          <w:rFonts w:ascii="Times New Roman" w:hAnsi="Times New Roman" w:cs="Times New Roman"/>
          <w:noProof/>
          <w:sz w:val="24"/>
          <w:szCs w:val="24"/>
          <w:lang w:val="en-GB"/>
        </w:rPr>
        <w:noBreakHyphen/>
        <w:t>term impact. They also pointed out that Member States</w:t>
      </w:r>
      <w:r>
        <w:rPr>
          <w:rFonts w:ascii="Times New Roman" w:hAnsi="Times New Roman" w:cs="Times New Roman"/>
          <w:noProof/>
          <w:sz w:val="24"/>
          <w:szCs w:val="24"/>
          <w:lang w:val="en-GB"/>
        </w:rPr>
        <w:t>’ cooperation was insufficiently developed to ensure effectively the development of future legislation pertaining to the CEAS</w:t>
      </w:r>
      <w:r>
        <w:rPr>
          <w:rStyle w:val="FootnoteReference"/>
          <w:rFonts w:ascii="Times New Roman" w:hAnsi="Times New Roman" w:cs="Times New Roman"/>
          <w:noProof/>
          <w:sz w:val="24"/>
          <w:szCs w:val="24"/>
          <w:lang w:val="en-GB"/>
        </w:rPr>
        <w:footnoteReference w:id="76"/>
      </w:r>
      <w:r>
        <w:rPr>
          <w:rFonts w:ascii="Times New Roman" w:hAnsi="Times New Roman" w:cs="Times New Roman"/>
          <w:noProof/>
          <w:sz w:val="24"/>
          <w:szCs w:val="24"/>
          <w:lang w:val="en-GB"/>
        </w:rPr>
        <w:t>. National projects and Community actions were perceived by the persons interviewed as potentially strong tools for cooperation an</w:t>
      </w:r>
      <w:r>
        <w:rPr>
          <w:rFonts w:ascii="Times New Roman" w:hAnsi="Times New Roman" w:cs="Times New Roman"/>
          <w:noProof/>
          <w:sz w:val="24"/>
          <w:szCs w:val="24"/>
          <w:lang w:val="en-GB"/>
        </w:rPr>
        <w:t xml:space="preserve">d methodological progress, but insufficiently used.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Stakeholders' consultations also showed that Community actions could have been more effective. In particular, over half the respondents lacked knowledge of them and some beneficiaries considered that the</w:t>
      </w:r>
      <w:r>
        <w:rPr>
          <w:rFonts w:ascii="Times New Roman" w:hAnsi="Times New Roman" w:cs="Times New Roman"/>
          <w:noProof/>
          <w:sz w:val="24"/>
          <w:szCs w:val="24"/>
          <w:lang w:val="en-GB"/>
        </w:rPr>
        <w:t xml:space="preserve"> funding was somewhat low in the light of the high level of competition in the project management area and in the organisation of projects.</w:t>
      </w:r>
    </w:p>
    <w:p w:rsidR="00832624" w:rsidRDefault="0072318F">
      <w:pPr>
        <w:spacing w:after="240" w:line="240" w:lineRule="auto"/>
        <w:jc w:val="both"/>
        <w:rPr>
          <w:rFonts w:ascii="Times New Roman" w:hAnsi="Times New Roman" w:cs="Times New Roman"/>
          <w:i/>
          <w:noProof/>
          <w:sz w:val="24"/>
          <w:szCs w:val="24"/>
          <w:u w:val="single"/>
          <w:lang w:val="en-GB"/>
        </w:rPr>
      </w:pPr>
      <w:r>
        <w:rPr>
          <w:rFonts w:ascii="Times New Roman" w:hAnsi="Times New Roman" w:cs="Times New Roman"/>
          <w:i/>
          <w:noProof/>
          <w:sz w:val="24"/>
          <w:szCs w:val="24"/>
          <w:u w:val="single"/>
          <w:lang w:val="en-GB"/>
        </w:rPr>
        <w:t>Effectiveness as regards the resettlement of persons (Article 6(e)) — priority 3</w:t>
      </w:r>
    </w:p>
    <w:tbl>
      <w:tblPr>
        <w:tblStyle w:val="TableGrid"/>
        <w:tblW w:w="0" w:type="auto"/>
        <w:tblLook w:val="04A0" w:firstRow="1" w:lastRow="0" w:firstColumn="1" w:lastColumn="0" w:noHBand="0" w:noVBand="1"/>
      </w:tblPr>
      <w:tblGrid>
        <w:gridCol w:w="9288"/>
      </w:tblGrid>
      <w:tr w:rsidR="00832624" w:rsidRPr="0072318F">
        <w:tc>
          <w:tcPr>
            <w:tcW w:w="9288" w:type="dxa"/>
          </w:tcPr>
          <w:p w:rsidR="00832624" w:rsidRDefault="0072318F">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EQ1D: To what extent did the ERF 20</w:t>
            </w:r>
            <w:r>
              <w:rPr>
                <w:rFonts w:ascii="Times New Roman" w:hAnsi="Times New Roman" w:cs="Times New Roman"/>
                <w:i/>
                <w:noProof/>
                <w:sz w:val="24"/>
                <w:szCs w:val="24"/>
              </w:rPr>
              <w:t>11-2013 actions contribute to the resettlement of persons referred to in Article 6(e)?</w:t>
            </w:r>
          </w:p>
          <w:p w:rsidR="00832624" w:rsidRDefault="0072318F">
            <w:pPr>
              <w:spacing w:after="120"/>
              <w:jc w:val="both"/>
              <w:rPr>
                <w:rFonts w:ascii="Times New Roman" w:hAnsi="Times New Roman" w:cs="Times New Roman"/>
                <w:noProof/>
                <w:sz w:val="24"/>
                <w:szCs w:val="24"/>
              </w:rPr>
            </w:pPr>
            <w:r>
              <w:rPr>
                <w:rFonts w:ascii="Times New Roman" w:hAnsi="Times New Roman" w:cs="Times New Roman"/>
                <w:b/>
                <w:noProof/>
                <w:sz w:val="24"/>
                <w:szCs w:val="24"/>
              </w:rPr>
              <w:t>Main conclusions:</w:t>
            </w:r>
            <w:r>
              <w:rPr>
                <w:rFonts w:ascii="Times New Roman" w:hAnsi="Times New Roman" w:cs="Times New Roman"/>
                <w:noProof/>
                <w:sz w:val="24"/>
                <w:szCs w:val="24"/>
              </w:rPr>
              <w:t xml:space="preserve"> During the 2011-2013 period, the ERF better contributed to resettlement activities compared to the previous period (2008-2010), mainly because the fina</w:t>
            </w:r>
            <w:r>
              <w:rPr>
                <w:rFonts w:ascii="Times New Roman" w:hAnsi="Times New Roman" w:cs="Times New Roman"/>
                <w:noProof/>
                <w:sz w:val="24"/>
                <w:szCs w:val="24"/>
              </w:rPr>
              <w:t xml:space="preserve">ncial allocation was higher. However, it emerged that resettlement operations remained marginal at EU level, with only a third of Member States participating. The European Commission, under AMIF Regulation, took specific measures with the aim of promoting </w:t>
            </w:r>
            <w:r>
              <w:rPr>
                <w:rFonts w:ascii="Times New Roman" w:hAnsi="Times New Roman" w:cs="Times New Roman"/>
                <w:noProof/>
                <w:sz w:val="24"/>
                <w:szCs w:val="24"/>
              </w:rPr>
              <w:t xml:space="preserve">the resettlement, such as increasing the lump sum granted per resettled person. </w:t>
            </w:r>
          </w:p>
        </w:tc>
      </w:tr>
    </w:tbl>
    <w:p w:rsidR="00832624" w:rsidRDefault="0072318F">
      <w:pPr>
        <w:spacing w:before="24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Under the ERF several aspects of resettlement have been agreed at Union level for the purpose of providing targeted financial incentives, namely through common resettlement </w:t>
      </w:r>
      <w:r>
        <w:rPr>
          <w:rFonts w:ascii="Times New Roman" w:hAnsi="Times New Roman" w:cs="Times New Roman"/>
          <w:noProof/>
          <w:sz w:val="24"/>
          <w:szCs w:val="24"/>
          <w:lang w:val="en-GB"/>
        </w:rPr>
        <w:t>priorities and lump sums for each resettled person. Between 2011 and 2013, a total of 9 058 people were resettled by 12 Member States</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lang w:val="en-GB"/>
        </w:rPr>
        <w:t xml:space="preserve"> using the ERF, with four</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lang w:val="en-GB"/>
        </w:rPr>
        <w:t xml:space="preserve"> using the ERF exclusively to implement such operations, and with a number of resettled people i</w:t>
      </w:r>
      <w:r>
        <w:rPr>
          <w:rFonts w:ascii="Times New Roman" w:hAnsi="Times New Roman" w:cs="Times New Roman"/>
          <w:noProof/>
          <w:sz w:val="24"/>
          <w:szCs w:val="24"/>
          <w:lang w:val="en-GB"/>
        </w:rPr>
        <w:t>ncreasing over time</w:t>
      </w:r>
      <w:r>
        <w:rPr>
          <w:rFonts w:ascii="Times New Roman" w:hAnsi="Times New Roman" w:cs="Times New Roman"/>
          <w:noProof/>
          <w:sz w:val="24"/>
          <w:szCs w:val="24"/>
          <w:vertAlign w:val="superscript"/>
        </w:rPr>
        <w:footnoteReference w:id="79"/>
      </w:r>
      <w:r>
        <w:rPr>
          <w:rFonts w:ascii="Times New Roman" w:hAnsi="Times New Roman" w:cs="Times New Roman"/>
          <w:noProof/>
          <w:sz w:val="24"/>
          <w:szCs w:val="24"/>
          <w:lang w:val="en-GB"/>
        </w:rPr>
        <w:t>. Compared with 2008 - 2010 the number of resettled people doubled. One of the main reason being that, for Member States receiving the fixed amount for resettlement for the first time, EUR 6 000 was allocated per resettled person instea</w:t>
      </w:r>
      <w:r>
        <w:rPr>
          <w:rFonts w:ascii="Times New Roman" w:hAnsi="Times New Roman" w:cs="Times New Roman"/>
          <w:noProof/>
          <w:sz w:val="24"/>
          <w:szCs w:val="24"/>
          <w:lang w:val="en-GB"/>
        </w:rPr>
        <w:t>d of EUR 4 000</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lang w:val="en-GB"/>
        </w:rPr>
        <w:t xml:space="preserve">. Also, EUR 5 000 per resettled person was allocated for Member States that had received the fixed amount for resettlement once in the previous year. The UK and FI which have actively implemented the resettlement, underlined the increase in </w:t>
      </w:r>
      <w:r>
        <w:rPr>
          <w:rFonts w:ascii="Times New Roman" w:hAnsi="Times New Roman" w:cs="Times New Roman"/>
          <w:noProof/>
          <w:sz w:val="24"/>
          <w:szCs w:val="24"/>
          <w:lang w:val="en-GB"/>
        </w:rPr>
        <w:t>the fixed amount per resettled person as a significant incentive.</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to the funding of resettlement, ERF projects in some Member States</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lang w:val="en-GB"/>
        </w:rPr>
        <w:t xml:space="preserve"> funded preparations for resettlement or aimed to establish and develop resettlement programmes.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Although the E</w:t>
      </w:r>
      <w:r>
        <w:rPr>
          <w:rFonts w:ascii="Times New Roman" w:hAnsi="Times New Roman" w:cs="Times New Roman"/>
          <w:noProof/>
          <w:sz w:val="24"/>
          <w:szCs w:val="24"/>
          <w:lang w:val="en-GB"/>
        </w:rPr>
        <w:t>RF provided incentives for some Member States to conduct resettlement operations, it also appeared that these were too marginal at EU level. A significant number of Member States</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lang w:val="en-GB"/>
        </w:rPr>
        <w:t xml:space="preserve"> did not implement any resettlement projects. This is also true of Community </w:t>
      </w:r>
      <w:r>
        <w:rPr>
          <w:rFonts w:ascii="Times New Roman" w:hAnsi="Times New Roman" w:cs="Times New Roman"/>
          <w:noProof/>
          <w:sz w:val="24"/>
          <w:szCs w:val="24"/>
          <w:lang w:val="en-GB"/>
        </w:rPr>
        <w:t>actions, under which only one resettlement project was financed. For several Member States, resettlement was not considered as a priority, with therefore a lack of interest to engage in or to develop resettlement activities further. Increased migratory pre</w:t>
      </w:r>
      <w:r>
        <w:rPr>
          <w:rFonts w:ascii="Times New Roman" w:hAnsi="Times New Roman" w:cs="Times New Roman"/>
          <w:noProof/>
          <w:sz w:val="24"/>
          <w:szCs w:val="24"/>
          <w:lang w:val="en-GB"/>
        </w:rPr>
        <w:t xml:space="preserve">ssure might also have been considered by Member States as a reason not to engage more in resettlement.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European Commission has promoted the principle of resettlement in the AMIF Regulation</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lang w:val="en-GB"/>
        </w:rPr>
        <w:t xml:space="preserve"> with the progressive establishment of a Union Resettlement Programme. The Fund should provide targeted assistance in the form of financial incentives: EUR 6 000 or EUR 10 000 for each resettled person. In addition, the AMIF legal basis provides that the b</w:t>
      </w:r>
      <w:r>
        <w:rPr>
          <w:rFonts w:ascii="Times New Roman" w:hAnsi="Times New Roman" w:cs="Times New Roman"/>
          <w:noProof/>
          <w:sz w:val="24"/>
          <w:szCs w:val="24"/>
          <w:lang w:val="en-GB"/>
        </w:rPr>
        <w:t>udget allocated to each national programme for the purpose of resettlement could not be used for other purposes</w:t>
      </w:r>
      <w:r>
        <w:rPr>
          <w:rStyle w:val="FootnoteReference"/>
          <w:rFonts w:ascii="Times New Roman" w:hAnsi="Times New Roman" w:cs="Times New Roman"/>
          <w:noProof/>
          <w:sz w:val="24"/>
          <w:szCs w:val="24"/>
          <w:lang w:val="en-GB"/>
        </w:rPr>
        <w:footnoteReference w:id="84"/>
      </w:r>
      <w:r>
        <w:rPr>
          <w:rFonts w:ascii="Times New Roman" w:hAnsi="Times New Roman" w:cs="Times New Roman"/>
          <w:noProof/>
          <w:sz w:val="24"/>
          <w:szCs w:val="24"/>
          <w:lang w:val="en-GB"/>
        </w:rPr>
        <w:t>, i.e. the MS could not request to move this budget to other regular actions</w:t>
      </w:r>
      <w:r>
        <w:rPr>
          <w:rStyle w:val="FootnoteReference"/>
          <w:rFonts w:ascii="Times New Roman" w:hAnsi="Times New Roman" w:cs="Times New Roman"/>
          <w:noProof/>
          <w:sz w:val="24"/>
          <w:szCs w:val="24"/>
          <w:lang w:val="en-GB"/>
        </w:rPr>
        <w:footnoteReference w:id="85"/>
      </w:r>
      <w:r>
        <w:rPr>
          <w:rFonts w:ascii="Times New Roman" w:hAnsi="Times New Roman" w:cs="Times New Roman"/>
          <w:noProof/>
          <w:sz w:val="24"/>
          <w:szCs w:val="24"/>
          <w:lang w:val="en-GB"/>
        </w:rPr>
        <w:t>. The European Commission, in cooperation with the EASO should moni</w:t>
      </w:r>
      <w:r>
        <w:rPr>
          <w:rFonts w:ascii="Times New Roman" w:hAnsi="Times New Roman" w:cs="Times New Roman"/>
          <w:noProof/>
          <w:sz w:val="24"/>
          <w:szCs w:val="24"/>
          <w:lang w:val="en-GB"/>
        </w:rPr>
        <w:t xml:space="preserve">tor the effective implementation of resettlement operations supported under the Fund. For the period 2014-2016, Member States reported the resettlement of over 16 000 people. </w:t>
      </w:r>
    </w:p>
    <w:p w:rsidR="00832624" w:rsidRDefault="0072318F">
      <w:pPr>
        <w:spacing w:after="240" w:line="240" w:lineRule="auto"/>
        <w:jc w:val="both"/>
        <w:rPr>
          <w:rFonts w:ascii="Times New Roman" w:hAnsi="Times New Roman" w:cs="Times New Roman"/>
          <w:i/>
          <w:noProof/>
          <w:sz w:val="24"/>
          <w:szCs w:val="24"/>
          <w:u w:val="single"/>
          <w:lang w:val="en-GB"/>
        </w:rPr>
      </w:pPr>
      <w:r>
        <w:rPr>
          <w:rFonts w:ascii="Times New Roman" w:hAnsi="Times New Roman" w:cs="Times New Roman"/>
          <w:i/>
          <w:noProof/>
          <w:sz w:val="24"/>
          <w:szCs w:val="24"/>
          <w:u w:val="single"/>
          <w:lang w:val="en-GB"/>
        </w:rPr>
        <w:t xml:space="preserve">Effectiveness as regards the transfer of persons under international protection </w:t>
      </w:r>
      <w:r>
        <w:rPr>
          <w:rFonts w:ascii="Times New Roman" w:hAnsi="Times New Roman" w:cs="Times New Roman"/>
          <w:i/>
          <w:noProof/>
          <w:sz w:val="24"/>
          <w:szCs w:val="24"/>
          <w:u w:val="single"/>
          <w:lang w:val="en-GB"/>
        </w:rPr>
        <w:t>(relocation)</w:t>
      </w:r>
    </w:p>
    <w:tbl>
      <w:tblPr>
        <w:tblStyle w:val="TableGrid"/>
        <w:tblW w:w="0" w:type="auto"/>
        <w:tblLook w:val="04A0" w:firstRow="1" w:lastRow="0" w:firstColumn="1" w:lastColumn="0" w:noHBand="0" w:noVBand="1"/>
      </w:tblPr>
      <w:tblGrid>
        <w:gridCol w:w="9288"/>
      </w:tblGrid>
      <w:tr w:rsidR="00832624" w:rsidRPr="0072318F">
        <w:tc>
          <w:tcPr>
            <w:tcW w:w="9288" w:type="dxa"/>
          </w:tcPr>
          <w:p w:rsidR="00832624" w:rsidRDefault="0072318F">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EQ1E: To what extent did the ERF 2011-2013 actions contribute to the transfer of persons falling within the categories referred to in Article 6(a), (b) and (c)?</w:t>
            </w:r>
          </w:p>
          <w:p w:rsidR="00832624" w:rsidRDefault="0072318F">
            <w:pPr>
              <w:spacing w:after="120"/>
              <w:jc w:val="both"/>
              <w:rPr>
                <w:rFonts w:ascii="Times New Roman" w:hAnsi="Times New Roman" w:cs="Times New Roman"/>
                <w:noProof/>
                <w:sz w:val="24"/>
                <w:szCs w:val="24"/>
              </w:rPr>
            </w:pPr>
            <w:r>
              <w:rPr>
                <w:rFonts w:ascii="Times New Roman" w:hAnsi="Times New Roman" w:cs="Times New Roman"/>
                <w:b/>
                <w:noProof/>
                <w:sz w:val="24"/>
                <w:szCs w:val="24"/>
              </w:rPr>
              <w:t>Main conclusions:</w:t>
            </w:r>
            <w:r>
              <w:rPr>
                <w:rFonts w:ascii="Times New Roman" w:hAnsi="Times New Roman" w:cs="Times New Roman"/>
                <w:noProof/>
                <w:sz w:val="24"/>
                <w:szCs w:val="24"/>
              </w:rPr>
              <w:t xml:space="preserve"> The ERF had a very limited impact as regards the transfer of persons benefitting from international protection (relocation). At the level of Member States through the ERF, no transfer of persons under international protection took place, and only one Comm</w:t>
            </w:r>
            <w:r>
              <w:rPr>
                <w:rFonts w:ascii="Times New Roman" w:hAnsi="Times New Roman" w:cs="Times New Roman"/>
                <w:noProof/>
                <w:sz w:val="24"/>
                <w:szCs w:val="24"/>
              </w:rPr>
              <w:t>unity action has been financed over the period. As a consequence of this underperformance under ERF, the European Commission took specific measures under AMIF with the aim of responsibility-sharing between Member States on relocation.</w:t>
            </w:r>
          </w:p>
        </w:tc>
      </w:tr>
    </w:tbl>
    <w:p w:rsidR="00832624" w:rsidRDefault="0072318F">
      <w:pPr>
        <w:spacing w:before="24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Member States’ proje</w:t>
      </w:r>
      <w:r>
        <w:rPr>
          <w:rFonts w:ascii="Times New Roman" w:hAnsi="Times New Roman" w:cs="Times New Roman"/>
          <w:noProof/>
          <w:sz w:val="24"/>
          <w:szCs w:val="24"/>
          <w:lang w:val="en-GB"/>
        </w:rPr>
        <w:t>cts involving the transfer of persons benefitting from international protection were under</w:t>
      </w:r>
      <w:r>
        <w:rPr>
          <w:rFonts w:ascii="Times New Roman" w:hAnsi="Times New Roman" w:cs="Times New Roman"/>
          <w:noProof/>
          <w:sz w:val="24"/>
          <w:szCs w:val="24"/>
          <w:lang w:val="en-GB"/>
        </w:rPr>
        <w:noBreakHyphen/>
        <w:t>developed and the evaluation clearly assessed them as marginal. The main objective of responsibility-sharing between Member States was not achieved. Part of the reas</w:t>
      </w:r>
      <w:r>
        <w:rPr>
          <w:rFonts w:ascii="Times New Roman" w:hAnsi="Times New Roman" w:cs="Times New Roman"/>
          <w:noProof/>
          <w:sz w:val="24"/>
          <w:szCs w:val="24"/>
          <w:lang w:val="en-GB"/>
        </w:rPr>
        <w:t>ons which explain the limited impact is the considerable increase in arrivals of the number of refugees and the newer Member States’ relative lack of experience of managing projects in the field of relocation. However, there was also very limited political</w:t>
      </w:r>
      <w:r>
        <w:rPr>
          <w:rFonts w:ascii="Times New Roman" w:hAnsi="Times New Roman" w:cs="Times New Roman"/>
          <w:noProof/>
          <w:sz w:val="24"/>
          <w:szCs w:val="24"/>
          <w:lang w:val="en-GB"/>
        </w:rPr>
        <w:t xml:space="preserve"> interest from the side of Member States to engage in transferring beneficiaries of international protection. In the absence of any obligation, this made it very difficult to achieve meaningful results. More, the ERF did not foresee any additional financia</w:t>
      </w:r>
      <w:r>
        <w:rPr>
          <w:rFonts w:ascii="Times New Roman" w:hAnsi="Times New Roman" w:cs="Times New Roman"/>
          <w:noProof/>
          <w:sz w:val="24"/>
          <w:szCs w:val="24"/>
          <w:lang w:val="en-GB"/>
        </w:rPr>
        <w:t xml:space="preserve">l incentive for intra-EU transfers of persons under international protection as it was the case for resettlement. </w:t>
      </w:r>
    </w:p>
    <w:p w:rsidR="00832624" w:rsidRDefault="0072318F">
      <w:pPr>
        <w:spacing w:before="24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explains why the European Commission financed through ERF Community action the EUREMA project, which provided an organised framework for</w:t>
      </w:r>
      <w:r>
        <w:rPr>
          <w:rFonts w:ascii="Times New Roman" w:hAnsi="Times New Roman" w:cs="Times New Roman"/>
          <w:noProof/>
          <w:sz w:val="24"/>
          <w:szCs w:val="24"/>
          <w:lang w:val="en-GB"/>
        </w:rPr>
        <w:t xml:space="preserve"> preparing and implementing relocation and thus partially achieved planned outputs. It was innovative in that it fitted into the framework of a previous pilot project and relocated 264 people. Unexpected positive results were observed enabling Member State</w:t>
      </w:r>
      <w:r>
        <w:rPr>
          <w:rFonts w:ascii="Times New Roman" w:hAnsi="Times New Roman" w:cs="Times New Roman"/>
          <w:noProof/>
          <w:sz w:val="24"/>
          <w:szCs w:val="24"/>
          <w:lang w:val="en-GB"/>
        </w:rPr>
        <w:t>s to learn lessons for the future as regards improving and facilitating relocation.</w:t>
      </w:r>
    </w:p>
    <w:p w:rsidR="00832624" w:rsidRDefault="0072318F">
      <w:pPr>
        <w:spacing w:before="24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AMIF Regulation</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lang w:val="en-GB"/>
        </w:rPr>
        <w:t>, the European Commission has promoted the principle of relocation by fixing financing resources which could not be transferred to other actions unde</w:t>
      </w:r>
      <w:r>
        <w:rPr>
          <w:rFonts w:ascii="Times New Roman" w:hAnsi="Times New Roman" w:cs="Times New Roman"/>
          <w:noProof/>
          <w:sz w:val="24"/>
          <w:szCs w:val="24"/>
          <w:lang w:val="en-GB"/>
        </w:rPr>
        <w:t xml:space="preserve">r the national programmes of the Member States. By blocking financial resources specifically dedicated to relocation, the system will probably be more effective than under the ERF. </w:t>
      </w:r>
    </w:p>
    <w:p w:rsidR="00832624" w:rsidRDefault="0072318F">
      <w:pPr>
        <w:spacing w:after="240" w:line="240" w:lineRule="auto"/>
        <w:jc w:val="both"/>
        <w:rPr>
          <w:rFonts w:ascii="Times New Roman" w:hAnsi="Times New Roman" w:cs="Times New Roman"/>
          <w:i/>
          <w:noProof/>
          <w:sz w:val="24"/>
          <w:szCs w:val="24"/>
          <w:u w:val="single"/>
          <w:lang w:val="en-GB"/>
        </w:rPr>
      </w:pPr>
      <w:r>
        <w:rPr>
          <w:rFonts w:ascii="Times New Roman" w:hAnsi="Times New Roman" w:cs="Times New Roman"/>
          <w:i/>
          <w:noProof/>
          <w:sz w:val="24"/>
          <w:szCs w:val="24"/>
          <w:u w:val="single"/>
          <w:lang w:val="en-GB"/>
        </w:rPr>
        <w:t>Effectiveness as regards emergency measures</w:t>
      </w:r>
    </w:p>
    <w:tbl>
      <w:tblPr>
        <w:tblStyle w:val="TableGrid"/>
        <w:tblW w:w="0" w:type="auto"/>
        <w:tblLook w:val="04A0" w:firstRow="1" w:lastRow="0" w:firstColumn="1" w:lastColumn="0" w:noHBand="0" w:noVBand="1"/>
      </w:tblPr>
      <w:tblGrid>
        <w:gridCol w:w="9288"/>
      </w:tblGrid>
      <w:tr w:rsidR="00832624" w:rsidRPr="0072318F">
        <w:tc>
          <w:tcPr>
            <w:tcW w:w="9288" w:type="dxa"/>
          </w:tcPr>
          <w:p w:rsidR="00832624" w:rsidRDefault="0072318F">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EQ2: To what extent did the ER</w:t>
            </w:r>
            <w:r>
              <w:rPr>
                <w:rFonts w:ascii="Times New Roman" w:hAnsi="Times New Roman" w:cs="Times New Roman"/>
                <w:i/>
                <w:noProof/>
                <w:sz w:val="24"/>
                <w:szCs w:val="24"/>
              </w:rPr>
              <w:t>F emergency measures contribute to the achievement of the Fund’s objectives and priorities?</w:t>
            </w:r>
          </w:p>
          <w:p w:rsidR="00832624" w:rsidRDefault="0072318F">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Main conclusions: </w:t>
            </w:r>
            <w:r>
              <w:rPr>
                <w:rFonts w:ascii="Times New Roman" w:hAnsi="Times New Roman" w:cs="Times New Roman"/>
                <w:noProof/>
                <w:sz w:val="24"/>
                <w:szCs w:val="24"/>
              </w:rPr>
              <w:t>All stakeholders agreed that the emergency measures</w:t>
            </w:r>
            <w:r>
              <w:rPr>
                <w:rFonts w:ascii="Times New Roman" w:hAnsi="Times New Roman" w:cs="Times New Roman"/>
                <w:b/>
                <w:noProof/>
                <w:sz w:val="24"/>
                <w:szCs w:val="24"/>
              </w:rPr>
              <w:t xml:space="preserve"> </w:t>
            </w:r>
            <w:r>
              <w:rPr>
                <w:rFonts w:ascii="Times New Roman" w:hAnsi="Times New Roman" w:cs="Times New Roman"/>
                <w:noProof/>
                <w:sz w:val="24"/>
                <w:szCs w:val="24"/>
              </w:rPr>
              <w:t>were highly effective in meeting the specific urgent needs of Member States facing high migrat</w:t>
            </w:r>
            <w:r>
              <w:rPr>
                <w:rFonts w:ascii="Times New Roman" w:hAnsi="Times New Roman" w:cs="Times New Roman"/>
                <w:noProof/>
                <w:sz w:val="24"/>
                <w:szCs w:val="24"/>
              </w:rPr>
              <w:t>ion pressure, which arose mainly from external factors (increase in the number of asylum applicants) and so could not be addressed in full in the national programmes. The rapid reaction of the European Commission with fast awarding of EU funding was highli</w:t>
            </w:r>
            <w:r>
              <w:rPr>
                <w:rFonts w:ascii="Times New Roman" w:hAnsi="Times New Roman" w:cs="Times New Roman"/>
                <w:noProof/>
                <w:sz w:val="24"/>
                <w:szCs w:val="24"/>
              </w:rPr>
              <w:t>ghted as positive.</w:t>
            </w:r>
          </w:p>
        </w:tc>
      </w:tr>
    </w:tbl>
    <w:p w:rsidR="00832624" w:rsidRDefault="0072318F">
      <w:pPr>
        <w:spacing w:before="24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2011-2013, a total of 11 Member States facing urgent needs implemented 51 emergency measures using a programmed budget of EUR 67.1 million. The aim was to provide assistance in fast-moving circumstances with a focus on immediate resu</w:t>
      </w:r>
      <w:r>
        <w:rPr>
          <w:rFonts w:ascii="Times New Roman" w:hAnsi="Times New Roman" w:cs="Times New Roman"/>
          <w:noProof/>
          <w:sz w:val="24"/>
          <w:szCs w:val="24"/>
          <w:lang w:val="en-GB"/>
        </w:rPr>
        <w:t xml:space="preserve">lts. </w:t>
      </w:r>
    </w:p>
    <w:p w:rsidR="00832624" w:rsidRDefault="0072318F">
      <w:pPr>
        <w:spacing w:before="24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first countries of arrival in the Mediterranean, Italy and Greece were the main beneficiaries of emergency measures. Malta and Cyprus also received assistance following an important influx of migrants into these Member States in order to complemen</w:t>
      </w:r>
      <w:r>
        <w:rPr>
          <w:rFonts w:ascii="Times New Roman" w:hAnsi="Times New Roman" w:cs="Times New Roman"/>
          <w:noProof/>
          <w:sz w:val="24"/>
          <w:szCs w:val="24"/>
          <w:lang w:val="en-GB"/>
        </w:rPr>
        <w:t>t their small national allocations, which were too low to address this sudden arrival of migrants. The additional assistance represented 71 % of Cyprus’s 2013 budget and 76 % of Malta’s. Most of the measures were implemented in 2013, in response to the EU’</w:t>
      </w:r>
      <w:r>
        <w:rPr>
          <w:rFonts w:ascii="Times New Roman" w:hAnsi="Times New Roman" w:cs="Times New Roman"/>
          <w:noProof/>
          <w:sz w:val="24"/>
          <w:szCs w:val="24"/>
          <w:lang w:val="en-GB"/>
        </w:rPr>
        <w:t>s asylum crisis, and concerned eight Member States</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lang w:val="en-GB"/>
        </w:rPr>
        <w:t xml:space="preserve"> with immediate needs. </w:t>
      </w:r>
    </w:p>
    <w:p w:rsidR="00832624" w:rsidRDefault="0072318F">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Funding for these types of action was assessed case by case. The main actions focused on:</w:t>
      </w:r>
    </w:p>
    <w:p w:rsidR="00832624" w:rsidRDefault="0072318F">
      <w:pPr>
        <w:pStyle w:val="ListParagraph"/>
        <w:numPr>
          <w:ilvl w:val="0"/>
          <w:numId w:val="7"/>
        </w:numPr>
        <w:spacing w:line="240" w:lineRule="auto"/>
        <w:contextualSpacing w:val="0"/>
        <w:jc w:val="both"/>
        <w:rPr>
          <w:rFonts w:ascii="Times New Roman" w:hAnsi="Times New Roman"/>
          <w:noProof/>
          <w:sz w:val="24"/>
        </w:rPr>
      </w:pPr>
      <w:r>
        <w:rPr>
          <w:rFonts w:ascii="Times New Roman" w:hAnsi="Times New Roman"/>
          <w:noProof/>
          <w:sz w:val="24"/>
        </w:rPr>
        <w:t xml:space="preserve">improving accommodation capacities and renovating reception centres; </w:t>
      </w:r>
    </w:p>
    <w:p w:rsidR="00832624" w:rsidRDefault="0072318F">
      <w:pPr>
        <w:pStyle w:val="ListParagraph"/>
        <w:numPr>
          <w:ilvl w:val="0"/>
          <w:numId w:val="7"/>
        </w:numPr>
        <w:spacing w:line="240" w:lineRule="auto"/>
        <w:contextualSpacing w:val="0"/>
        <w:jc w:val="both"/>
        <w:rPr>
          <w:rFonts w:ascii="Times New Roman" w:hAnsi="Times New Roman"/>
          <w:noProof/>
          <w:sz w:val="24"/>
        </w:rPr>
      </w:pPr>
      <w:r>
        <w:rPr>
          <w:rFonts w:ascii="Times New Roman" w:hAnsi="Times New Roman"/>
          <w:noProof/>
          <w:sz w:val="24"/>
        </w:rPr>
        <w:t>recruiting additional</w:t>
      </w:r>
      <w:r>
        <w:rPr>
          <w:rFonts w:ascii="Times New Roman" w:hAnsi="Times New Roman"/>
          <w:noProof/>
          <w:sz w:val="24"/>
        </w:rPr>
        <w:t xml:space="preserve"> staff in the main institutions dealing with reception and asylum procedures;</w:t>
      </w:r>
    </w:p>
    <w:p w:rsidR="00832624" w:rsidRDefault="0072318F">
      <w:pPr>
        <w:pStyle w:val="ListParagraph"/>
        <w:numPr>
          <w:ilvl w:val="0"/>
          <w:numId w:val="7"/>
        </w:numPr>
        <w:spacing w:line="240" w:lineRule="auto"/>
        <w:contextualSpacing w:val="0"/>
        <w:jc w:val="both"/>
        <w:rPr>
          <w:rFonts w:ascii="Times New Roman" w:hAnsi="Times New Roman"/>
          <w:noProof/>
          <w:sz w:val="24"/>
        </w:rPr>
      </w:pPr>
      <w:r>
        <w:rPr>
          <w:rFonts w:ascii="Times New Roman" w:hAnsi="Times New Roman"/>
          <w:noProof/>
          <w:sz w:val="24"/>
        </w:rPr>
        <w:t>medical and psychological assistance;</w:t>
      </w:r>
    </w:p>
    <w:p w:rsidR="00832624" w:rsidRDefault="0072318F">
      <w:pPr>
        <w:pStyle w:val="ListParagraph"/>
        <w:numPr>
          <w:ilvl w:val="0"/>
          <w:numId w:val="7"/>
        </w:numPr>
        <w:spacing w:line="240" w:lineRule="auto"/>
        <w:contextualSpacing w:val="0"/>
        <w:jc w:val="both"/>
        <w:rPr>
          <w:rFonts w:ascii="Times New Roman" w:hAnsi="Times New Roman"/>
          <w:noProof/>
          <w:sz w:val="24"/>
        </w:rPr>
      </w:pPr>
      <w:r>
        <w:rPr>
          <w:rFonts w:ascii="Times New Roman" w:hAnsi="Times New Roman"/>
          <w:noProof/>
          <w:sz w:val="24"/>
        </w:rPr>
        <w:t>providing for basic needs; and</w:t>
      </w:r>
    </w:p>
    <w:p w:rsidR="00832624" w:rsidRDefault="0072318F">
      <w:pPr>
        <w:pStyle w:val="ListParagraph"/>
        <w:numPr>
          <w:ilvl w:val="0"/>
          <w:numId w:val="7"/>
        </w:numPr>
        <w:spacing w:after="120" w:line="240" w:lineRule="auto"/>
        <w:contextualSpacing w:val="0"/>
        <w:jc w:val="both"/>
        <w:rPr>
          <w:rFonts w:ascii="Times New Roman" w:hAnsi="Times New Roman"/>
          <w:noProof/>
          <w:sz w:val="24"/>
        </w:rPr>
      </w:pPr>
      <w:r>
        <w:rPr>
          <w:rFonts w:ascii="Times New Roman" w:hAnsi="Times New Roman"/>
          <w:noProof/>
          <w:sz w:val="24"/>
        </w:rPr>
        <w:t>legal assistance and translation services.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Generally, emergency measures were perceived as very effective and</w:t>
      </w:r>
      <w:r>
        <w:rPr>
          <w:rFonts w:ascii="Times New Roman" w:hAnsi="Times New Roman" w:cs="Times New Roman"/>
          <w:noProof/>
          <w:sz w:val="24"/>
          <w:szCs w:val="24"/>
          <w:lang w:val="en-GB"/>
        </w:rPr>
        <w:t xml:space="preserve"> described by some Member States</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lang w:val="en-GB"/>
        </w:rPr>
        <w:t xml:space="preserve"> as success stories. This is explained by the fact that the measures are designed to cover specific needs that are easily quantifiable (e.g. the number of additional places in reception centres or the procurement of new med</w:t>
      </w:r>
      <w:r>
        <w:rPr>
          <w:rFonts w:ascii="Times New Roman" w:hAnsi="Times New Roman" w:cs="Times New Roman"/>
          <w:noProof/>
          <w:sz w:val="24"/>
          <w:szCs w:val="24"/>
          <w:lang w:val="en-GB"/>
        </w:rPr>
        <w:t>ical tools/instruments/equipment), allowing some Member States to extend economies of scale with greater effectiveness and efficiency in a short (six</w:t>
      </w:r>
      <w:r>
        <w:rPr>
          <w:rFonts w:ascii="Times New Roman" w:hAnsi="Times New Roman" w:cs="Times New Roman"/>
          <w:noProof/>
          <w:sz w:val="24"/>
          <w:szCs w:val="24"/>
          <w:lang w:val="en-GB"/>
        </w:rPr>
        <w:noBreakHyphen/>
        <w:t>month) timespan. All the interviewees</w:t>
      </w:r>
      <w:r>
        <w:rPr>
          <w:rStyle w:val="FootnoteReference"/>
          <w:rFonts w:ascii="Times New Roman" w:hAnsi="Times New Roman" w:cs="Times New Roman"/>
          <w:noProof/>
          <w:sz w:val="24"/>
          <w:szCs w:val="24"/>
          <w:lang w:val="en-GB"/>
        </w:rPr>
        <w:footnoteReference w:id="89"/>
      </w:r>
      <w:r>
        <w:rPr>
          <w:rFonts w:ascii="Times New Roman" w:hAnsi="Times New Roman" w:cs="Times New Roman"/>
          <w:noProof/>
          <w:sz w:val="24"/>
          <w:szCs w:val="24"/>
          <w:lang w:val="en-GB"/>
        </w:rPr>
        <w:t xml:space="preserve"> saw the rapid implementation of the emergency measures as having be</w:t>
      </w:r>
      <w:r>
        <w:rPr>
          <w:rFonts w:ascii="Times New Roman" w:hAnsi="Times New Roman" w:cs="Times New Roman"/>
          <w:noProof/>
          <w:sz w:val="24"/>
          <w:szCs w:val="24"/>
          <w:lang w:val="en-GB"/>
        </w:rPr>
        <w:t>en essential in meeting the urgent needs. The evaluation also pointed out that the European Commission responded well by being very reactive to this type of difficult situation. Respondents underlined that the situation would have been worse without the ad</w:t>
      </w:r>
      <w:r>
        <w:rPr>
          <w:rFonts w:ascii="Times New Roman" w:hAnsi="Times New Roman" w:cs="Times New Roman"/>
          <w:noProof/>
          <w:sz w:val="24"/>
          <w:szCs w:val="24"/>
          <w:lang w:val="en-GB"/>
        </w:rPr>
        <w:t>ditional assistance provided through emergency measures. On the other hand, three Member States</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lang w:val="en-GB"/>
        </w:rPr>
        <w:t xml:space="preserve"> considered the short timeframe for the implementation of measures as having reduced their effectiveness as the requirement to spend a large amount of money wit</w:t>
      </w:r>
      <w:r>
        <w:rPr>
          <w:rFonts w:ascii="Times New Roman" w:hAnsi="Times New Roman" w:cs="Times New Roman"/>
          <w:noProof/>
          <w:sz w:val="24"/>
          <w:szCs w:val="24"/>
          <w:lang w:val="en-GB"/>
        </w:rPr>
        <w:t>hin a short timeframe proved difficult. ….</w:t>
      </w:r>
    </w:p>
    <w:p w:rsidR="00832624" w:rsidRDefault="0072318F">
      <w:pPr>
        <w:spacing w:before="24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Even if the political context was difficult, the AMIF instrument through its emergency assistance has provided as from 2015 strong support to the Member States most affected by the 2015 migrant crisis. With the ar</w:t>
      </w:r>
      <w:r>
        <w:rPr>
          <w:rFonts w:ascii="Times New Roman" w:hAnsi="Times New Roman" w:cs="Times New Roman"/>
          <w:noProof/>
          <w:sz w:val="24"/>
          <w:szCs w:val="24"/>
          <w:lang w:val="en-GB"/>
        </w:rPr>
        <w:t>rival in the second half of 2015 of more than 1 million third-country nationals via the Western Balkan route, the mechanism was flexible enough to provide at short notice financial assistance to address urgent and specific needs in the event of an emergenc</w:t>
      </w:r>
      <w:r>
        <w:rPr>
          <w:rFonts w:ascii="Times New Roman" w:hAnsi="Times New Roman" w:cs="Times New Roman"/>
          <w:noProof/>
          <w:sz w:val="24"/>
          <w:szCs w:val="24"/>
          <w:lang w:val="en-GB"/>
        </w:rPr>
        <w:t>y situation</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lang w:val="en-GB"/>
        </w:rPr>
        <w:t>. For the period 2014-2016, EUR 498 million have been awarded to 14 Member States</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lang w:val="en-GB"/>
        </w:rPr>
        <w:t>, 2 EU agencies</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lang w:val="en-GB"/>
        </w:rPr>
        <w:t xml:space="preserve"> and 2 international organisations</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lang w:val="en-GB"/>
        </w:rPr>
        <w:t xml:space="preserve"> through AMIF emergency assistance</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lang w:val="en-GB"/>
        </w:rPr>
        <w:t>. Greece, the country most affected by the migrant crisis, is the main benef</w:t>
      </w:r>
      <w:r>
        <w:rPr>
          <w:rFonts w:ascii="Times New Roman" w:hAnsi="Times New Roman" w:cs="Times New Roman"/>
          <w:noProof/>
          <w:sz w:val="24"/>
          <w:szCs w:val="24"/>
          <w:lang w:val="en-GB"/>
        </w:rPr>
        <w:t xml:space="preserve">iciary of emergency assistance.   </w:t>
      </w: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Effectiveness of the ERF for the development of a common approach for asylum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ERF supported Member States in the field of asylum and contributed to the development of reception conditions for asylum applicants and the</w:t>
      </w:r>
      <w:r>
        <w:rPr>
          <w:rFonts w:ascii="Times New Roman" w:hAnsi="Times New Roman" w:cs="Times New Roman"/>
          <w:noProof/>
          <w:sz w:val="24"/>
          <w:szCs w:val="24"/>
          <w:lang w:val="en-GB"/>
        </w:rPr>
        <w:t xml:space="preserve"> integration of beneficiaries of international protection. It has had a direct effect on the field, supporting over a million people through over 1 500 projects, with an estimated coverage of 56 % of all asylum applicants and beneficiaries of international</w:t>
      </w:r>
      <w:r>
        <w:rPr>
          <w:rFonts w:ascii="Times New Roman" w:hAnsi="Times New Roman" w:cs="Times New Roman"/>
          <w:noProof/>
          <w:sz w:val="24"/>
          <w:szCs w:val="24"/>
          <w:lang w:val="en-GB"/>
        </w:rPr>
        <w:t xml:space="preserve"> protection.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However, while EU funding was effective in achieving progress under the various ERF specific objectives, its implementation was not accompanied by the development of a common approach of Member States in the processing asylum applications acr</w:t>
      </w:r>
      <w:r>
        <w:rPr>
          <w:rFonts w:ascii="Times New Roman" w:hAnsi="Times New Roman" w:cs="Times New Roman"/>
          <w:noProof/>
          <w:sz w:val="24"/>
          <w:szCs w:val="24"/>
          <w:lang w:val="en-GB"/>
        </w:rPr>
        <w:t>oss Europe. As described earlier, for instance, Central and Eastern Europe Member States</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lang w:val="en-GB"/>
        </w:rPr>
        <w:t xml:space="preserve"> used the ERF mainly to increase and improve reception conditions, since these were insufficiently developed (due to relatively low numbers of asylum applicants in the</w:t>
      </w:r>
      <w:r>
        <w:rPr>
          <w:rFonts w:ascii="Times New Roman" w:hAnsi="Times New Roman" w:cs="Times New Roman"/>
          <w:noProof/>
          <w:sz w:val="24"/>
          <w:szCs w:val="24"/>
          <w:lang w:val="en-GB"/>
        </w:rPr>
        <w:t xml:space="preserve"> past).  The ERF contributed to a certain extent to the implementation of the asylum '</w:t>
      </w:r>
      <w:r>
        <w:rPr>
          <w:rFonts w:ascii="Times New Roman" w:hAnsi="Times New Roman" w:cs="Times New Roman"/>
          <w:i/>
          <w:noProof/>
          <w:sz w:val="24"/>
          <w:szCs w:val="24"/>
          <w:lang w:val="en-GB"/>
        </w:rPr>
        <w:t>acquis</w:t>
      </w:r>
      <w:r>
        <w:rPr>
          <w:rFonts w:ascii="Times New Roman" w:hAnsi="Times New Roman" w:cs="Times New Roman"/>
          <w:noProof/>
          <w:sz w:val="24"/>
          <w:szCs w:val="24"/>
          <w:lang w:val="en-GB"/>
        </w:rPr>
        <w:t>' in the Member States. The main focus was on the implementation of the Reception Conditions Directive</w:t>
      </w:r>
      <w:r>
        <w:rPr>
          <w:rStyle w:val="FootnoteReference"/>
          <w:rFonts w:ascii="Times New Roman" w:hAnsi="Times New Roman" w:cs="Times New Roman"/>
          <w:noProof/>
          <w:sz w:val="24"/>
          <w:szCs w:val="24"/>
          <w:lang w:val="en-GB"/>
        </w:rPr>
        <w:footnoteReference w:id="97"/>
      </w:r>
      <w:r>
        <w:rPr>
          <w:rFonts w:ascii="Times New Roman" w:hAnsi="Times New Roman" w:cs="Times New Roman"/>
          <w:noProof/>
          <w:sz w:val="24"/>
          <w:szCs w:val="24"/>
          <w:lang w:val="en-GB"/>
        </w:rPr>
        <w:t>. The ERF had little direct influence as regards responsibili</w:t>
      </w:r>
      <w:r>
        <w:rPr>
          <w:rFonts w:ascii="Times New Roman" w:hAnsi="Times New Roman" w:cs="Times New Roman"/>
          <w:noProof/>
          <w:sz w:val="24"/>
          <w:szCs w:val="24"/>
          <w:lang w:val="en-GB"/>
        </w:rPr>
        <w:t>ty-sharing between Member States, especially regarding the transfer of persons under international protection (relocation).</w:t>
      </w:r>
    </w:p>
    <w:p w:rsidR="00832624" w:rsidRDefault="0072318F">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Although the results and achievements of the ERF were assessed differently from one Member State to another, the evaluation </w:t>
      </w:r>
      <w:r>
        <w:rPr>
          <w:rFonts w:ascii="Times New Roman" w:hAnsi="Times New Roman" w:cs="Times New Roman"/>
          <w:noProof/>
          <w:sz w:val="24"/>
          <w:szCs w:val="24"/>
          <w:lang w:val="en-GB"/>
        </w:rPr>
        <w:t>identified several trends at EU level:</w:t>
      </w:r>
    </w:p>
    <w:p w:rsidR="00832624" w:rsidRDefault="0072318F">
      <w:pPr>
        <w:pStyle w:val="ListParagraph"/>
        <w:numPr>
          <w:ilvl w:val="0"/>
          <w:numId w:val="8"/>
        </w:numPr>
        <w:spacing w:after="120" w:line="240" w:lineRule="auto"/>
        <w:contextualSpacing w:val="0"/>
        <w:jc w:val="both"/>
        <w:rPr>
          <w:rFonts w:ascii="Times New Roman" w:hAnsi="Times New Roman"/>
          <w:noProof/>
          <w:sz w:val="24"/>
        </w:rPr>
      </w:pPr>
      <w:r>
        <w:rPr>
          <w:rFonts w:ascii="Times New Roman" w:hAnsi="Times New Roman"/>
          <w:noProof/>
          <w:sz w:val="24"/>
        </w:rPr>
        <w:t>The ERF played a crucial role in the context of the asylum crisis that started in 2012 and provided essential support in situations that called for the adoption of emergency measures. Community actions helped in urgen</w:t>
      </w:r>
      <w:r>
        <w:rPr>
          <w:rFonts w:ascii="Times New Roman" w:hAnsi="Times New Roman"/>
          <w:noProof/>
          <w:sz w:val="24"/>
        </w:rPr>
        <w:t>t situations requiring prompt and fast intervention (in Greece). In that regard, it was also mentioned during the interviews that the Fund contributed to the development of a European approach and to the enhancement of cooperation, for example by developin</w:t>
      </w:r>
      <w:r>
        <w:rPr>
          <w:rFonts w:ascii="Times New Roman" w:hAnsi="Times New Roman"/>
          <w:noProof/>
          <w:sz w:val="24"/>
        </w:rPr>
        <w:t xml:space="preserve">g constant dialogue amongst experts. </w:t>
      </w:r>
    </w:p>
    <w:p w:rsidR="00832624" w:rsidRDefault="0072318F">
      <w:pPr>
        <w:pStyle w:val="ListParagraph"/>
        <w:numPr>
          <w:ilvl w:val="0"/>
          <w:numId w:val="8"/>
        </w:numPr>
        <w:spacing w:after="120" w:line="240" w:lineRule="auto"/>
        <w:contextualSpacing w:val="0"/>
        <w:jc w:val="both"/>
        <w:rPr>
          <w:rFonts w:ascii="Times New Roman" w:hAnsi="Times New Roman"/>
          <w:noProof/>
          <w:sz w:val="24"/>
        </w:rPr>
      </w:pPr>
      <w:r>
        <w:rPr>
          <w:rFonts w:ascii="Times New Roman" w:hAnsi="Times New Roman"/>
          <w:noProof/>
          <w:sz w:val="24"/>
        </w:rPr>
        <w:t>The ERF played a key role in encouraging decision-makers to involve the Member States in resettlement operations, as confirmed by Member States that received a fixed amount per resettled person.</w:t>
      </w:r>
    </w:p>
    <w:p w:rsidR="00832624" w:rsidRDefault="0072318F">
      <w:pPr>
        <w:pStyle w:val="ListParagraph"/>
        <w:numPr>
          <w:ilvl w:val="0"/>
          <w:numId w:val="8"/>
        </w:numPr>
        <w:spacing w:after="120" w:line="240" w:lineRule="auto"/>
        <w:contextualSpacing w:val="0"/>
        <w:jc w:val="both"/>
        <w:rPr>
          <w:rFonts w:ascii="Times New Roman" w:hAnsi="Times New Roman"/>
          <w:noProof/>
          <w:sz w:val="24"/>
        </w:rPr>
      </w:pPr>
      <w:r>
        <w:rPr>
          <w:rFonts w:ascii="Times New Roman" w:hAnsi="Times New Roman"/>
          <w:noProof/>
          <w:sz w:val="24"/>
        </w:rPr>
        <w:t>The ERF gave valuable s</w:t>
      </w:r>
      <w:r>
        <w:rPr>
          <w:rFonts w:ascii="Times New Roman" w:hAnsi="Times New Roman"/>
          <w:noProof/>
          <w:sz w:val="24"/>
        </w:rPr>
        <w:t>upport to Member States’ efforts in financing operational and locally based projects focusing on reception conditions for asylum applicants and the integration of beneficiaries of international protection. Through concrete actions, the ERF contributed to a</w:t>
      </w:r>
      <w:r>
        <w:rPr>
          <w:rFonts w:ascii="Times New Roman" w:hAnsi="Times New Roman"/>
          <w:noProof/>
          <w:sz w:val="24"/>
        </w:rPr>
        <w:t xml:space="preserve"> certain extent to the implementation of the asylum package and raised reception standards and living conditions for asylum applicants;</w:t>
      </w:r>
    </w:p>
    <w:p w:rsidR="00832624" w:rsidRDefault="0072318F">
      <w:pPr>
        <w:pStyle w:val="ListParagraph"/>
        <w:numPr>
          <w:ilvl w:val="0"/>
          <w:numId w:val="8"/>
        </w:numPr>
        <w:spacing w:after="120" w:line="240" w:lineRule="auto"/>
        <w:contextualSpacing w:val="0"/>
        <w:jc w:val="both"/>
        <w:rPr>
          <w:rFonts w:ascii="Times New Roman" w:hAnsi="Times New Roman"/>
          <w:noProof/>
          <w:sz w:val="24"/>
        </w:rPr>
      </w:pPr>
      <w:r>
        <w:rPr>
          <w:rFonts w:ascii="Times New Roman" w:hAnsi="Times New Roman"/>
          <w:noProof/>
          <w:sz w:val="24"/>
        </w:rPr>
        <w:t xml:space="preserve">The ERF had a limited impact on the development of interaction and practical cooperation between Member States. The ERF </w:t>
      </w:r>
      <w:r>
        <w:rPr>
          <w:rFonts w:ascii="Times New Roman" w:hAnsi="Times New Roman"/>
          <w:noProof/>
          <w:sz w:val="24"/>
        </w:rPr>
        <w:t>funded a few large transnational projects that brought clear results but practical cooperation remained overall limited following the creation of EASO which was entrusted with some practical cooperation tasks from 2010 (leading to the reduction of the CAs’</w:t>
      </w:r>
      <w:r>
        <w:rPr>
          <w:rFonts w:ascii="Times New Roman" w:hAnsi="Times New Roman"/>
          <w:noProof/>
          <w:sz w:val="24"/>
        </w:rPr>
        <w:t xml:space="preserve"> envelope in order to free up resources for funding the EASO), as well as by the emphasis put on emergency measures as from 2013. In addition, the results of Community actions were not sufficiently disseminated at EU level and among national stakeholders. </w:t>
      </w:r>
    </w:p>
    <w:p w:rsidR="00832624" w:rsidRDefault="0072318F">
      <w:pPr>
        <w:pStyle w:val="ListParagraph"/>
        <w:numPr>
          <w:ilvl w:val="0"/>
          <w:numId w:val="8"/>
        </w:numPr>
        <w:spacing w:after="240" w:line="240" w:lineRule="auto"/>
        <w:contextualSpacing w:val="0"/>
        <w:jc w:val="both"/>
        <w:rPr>
          <w:rFonts w:ascii="Times New Roman" w:hAnsi="Times New Roman"/>
          <w:i/>
          <w:noProof/>
          <w:sz w:val="24"/>
        </w:rPr>
      </w:pPr>
      <w:r>
        <w:rPr>
          <w:rFonts w:ascii="Times New Roman" w:hAnsi="Times New Roman"/>
          <w:noProof/>
          <w:sz w:val="24"/>
        </w:rPr>
        <w:t>The ERF had a very limited impact in involving Member States in actions involving the transfer of people under international protection.</w:t>
      </w:r>
    </w:p>
    <w:p w:rsidR="00832624" w:rsidRDefault="0072318F">
      <w:pPr>
        <w:spacing w:after="240" w:line="240" w:lineRule="auto"/>
        <w:jc w:val="both"/>
        <w:rPr>
          <w:rFonts w:ascii="Times New Roman" w:hAnsi="Times New Roman"/>
          <w:i/>
          <w:noProof/>
          <w:sz w:val="24"/>
          <w:lang w:val="en-GB"/>
        </w:rPr>
      </w:pPr>
      <w:r>
        <w:rPr>
          <w:rFonts w:ascii="Times New Roman" w:hAnsi="Times New Roman"/>
          <w:b/>
          <w:i/>
          <w:noProof/>
          <w:sz w:val="24"/>
          <w:lang w:val="en-GB"/>
        </w:rPr>
        <w:t xml:space="preserve"> Effectiveness of the principle of solidarity</w:t>
      </w:r>
    </w:p>
    <w:p w:rsidR="00832624" w:rsidRDefault="0072318F">
      <w:pPr>
        <w:spacing w:after="240" w:line="240" w:lineRule="auto"/>
        <w:jc w:val="both"/>
        <w:rPr>
          <w:rFonts w:ascii="Times New Roman" w:hAnsi="Times New Roman"/>
          <w:noProof/>
          <w:sz w:val="24"/>
          <w:lang w:val="en-GB"/>
        </w:rPr>
      </w:pPr>
      <w:r>
        <w:rPr>
          <w:rFonts w:ascii="Times New Roman" w:hAnsi="Times New Roman"/>
          <w:noProof/>
          <w:sz w:val="24"/>
          <w:lang w:val="en-GB"/>
        </w:rPr>
        <w:t>The principle of solidarity, common to the four SOLID Funds has two comp</w:t>
      </w:r>
      <w:r>
        <w:rPr>
          <w:rFonts w:ascii="Times New Roman" w:hAnsi="Times New Roman"/>
          <w:noProof/>
          <w:sz w:val="24"/>
          <w:lang w:val="en-GB"/>
        </w:rPr>
        <w:t xml:space="preserve">onents: the solidarity between Member States and the financial solidarity. </w:t>
      </w:r>
    </w:p>
    <w:p w:rsidR="00832624" w:rsidRDefault="0072318F">
      <w:pPr>
        <w:spacing w:after="240" w:line="240" w:lineRule="auto"/>
        <w:jc w:val="both"/>
        <w:rPr>
          <w:rFonts w:ascii="Times New Roman" w:hAnsi="Times New Roman"/>
          <w:noProof/>
          <w:sz w:val="24"/>
          <w:lang w:val="en-GB"/>
        </w:rPr>
      </w:pPr>
      <w:r>
        <w:rPr>
          <w:rFonts w:ascii="Times New Roman" w:hAnsi="Times New Roman"/>
          <w:noProof/>
          <w:sz w:val="24"/>
          <w:lang w:val="en-GB"/>
        </w:rPr>
        <w:t xml:space="preserve">In terms of </w:t>
      </w:r>
      <w:r>
        <w:rPr>
          <w:rFonts w:ascii="Times New Roman" w:hAnsi="Times New Roman"/>
          <w:b/>
          <w:noProof/>
          <w:sz w:val="24"/>
          <w:lang w:val="en-GB"/>
        </w:rPr>
        <w:t>solidarity between Member States</w:t>
      </w:r>
      <w:r>
        <w:rPr>
          <w:rFonts w:ascii="Times New Roman" w:hAnsi="Times New Roman"/>
          <w:noProof/>
          <w:sz w:val="24"/>
          <w:lang w:val="en-GB"/>
        </w:rPr>
        <w:t xml:space="preserve">, while the EC made significant efforts to advocate for solidarity and a common EU approach in response to present and future migration </w:t>
      </w:r>
      <w:r>
        <w:rPr>
          <w:rFonts w:ascii="Times New Roman" w:hAnsi="Times New Roman"/>
          <w:noProof/>
          <w:sz w:val="24"/>
          <w:lang w:val="en-GB"/>
        </w:rPr>
        <w:t>challenges, this vision was not always shared by all EU Member States to the same extent. The objective of the ERF was to support and encourage through a solidarity mechanism the efforts made by the Member States in receiving and in bearing the consequence</w:t>
      </w:r>
      <w:r>
        <w:rPr>
          <w:rFonts w:ascii="Times New Roman" w:hAnsi="Times New Roman"/>
          <w:noProof/>
          <w:sz w:val="24"/>
          <w:lang w:val="en-GB"/>
        </w:rPr>
        <w:t>s of receiving refugees and displaced persons. The ERF had a slow start due to Member States willing to protect their sovereignty on managing asylum related issues. When the priorities were set, the enhancement of responsibility sharing between Member Stat</w:t>
      </w:r>
      <w:r>
        <w:rPr>
          <w:rFonts w:ascii="Times New Roman" w:hAnsi="Times New Roman"/>
          <w:noProof/>
          <w:sz w:val="24"/>
          <w:lang w:val="en-GB"/>
        </w:rPr>
        <w:t>es and third countries remained optional following bitter discussion with Member States. Whilst the experience under ERF showed the need to increase the solidarity amongst Member States, this remains a difficult subject: the current discussion on the propo</w:t>
      </w:r>
      <w:r>
        <w:rPr>
          <w:rFonts w:ascii="Times New Roman" w:hAnsi="Times New Roman"/>
          <w:noProof/>
          <w:sz w:val="24"/>
          <w:lang w:val="en-GB"/>
        </w:rPr>
        <w:t>sal for a revised Dublin regulation shows that consensus on solidarity matters is far from being achieved.</w:t>
      </w:r>
    </w:p>
    <w:p w:rsidR="00832624" w:rsidRDefault="0072318F">
      <w:pPr>
        <w:spacing w:after="240" w:line="240" w:lineRule="auto"/>
        <w:jc w:val="both"/>
        <w:rPr>
          <w:rFonts w:ascii="Times New Roman" w:hAnsi="Times New Roman"/>
          <w:noProof/>
          <w:sz w:val="24"/>
          <w:lang w:val="en-GB"/>
        </w:rPr>
      </w:pPr>
      <w:r>
        <w:rPr>
          <w:rFonts w:ascii="Times New Roman" w:hAnsi="Times New Roman"/>
          <w:noProof/>
          <w:sz w:val="24"/>
          <w:lang w:val="en-GB"/>
        </w:rPr>
        <w:t xml:space="preserve">As explained above (see section 9.1 on Relevance), in terms of </w:t>
      </w:r>
      <w:r>
        <w:rPr>
          <w:rFonts w:ascii="Times New Roman" w:hAnsi="Times New Roman"/>
          <w:b/>
          <w:noProof/>
          <w:sz w:val="24"/>
          <w:lang w:val="en-GB"/>
        </w:rPr>
        <w:t>financial solidarity,</w:t>
      </w:r>
      <w:r>
        <w:rPr>
          <w:rFonts w:ascii="Times New Roman" w:hAnsi="Times New Roman"/>
          <w:noProof/>
          <w:sz w:val="24"/>
          <w:lang w:val="en-GB"/>
        </w:rPr>
        <w:t xml:space="preserve"> the initial allocation key, which is the first means to achieve </w:t>
      </w:r>
      <w:r>
        <w:rPr>
          <w:rFonts w:ascii="Times New Roman" w:hAnsi="Times New Roman"/>
          <w:noProof/>
          <w:sz w:val="24"/>
          <w:lang w:val="en-GB"/>
        </w:rPr>
        <w:t>solidarity, showed its limitation in the context of the crisis. For this reason, the use of emergency measures proved to be crucial for those Member States which were subject to acute and urgent migration pressure. Emergency measures partially counter-bala</w:t>
      </w:r>
      <w:r>
        <w:rPr>
          <w:rFonts w:ascii="Times New Roman" w:hAnsi="Times New Roman"/>
          <w:noProof/>
          <w:sz w:val="24"/>
          <w:lang w:val="en-GB"/>
        </w:rPr>
        <w:t>nced the lack of flexibility of the distribution key. Indeed, the countries most affected by the sudden arrival of migrants saw their allocations increase by 97 % over the 2011-2013 period thanks to EU funding for emergency measures and partly to the annua</w:t>
      </w:r>
      <w:r>
        <w:rPr>
          <w:rFonts w:ascii="Times New Roman" w:hAnsi="Times New Roman"/>
          <w:noProof/>
          <w:sz w:val="24"/>
          <w:lang w:val="en-GB"/>
        </w:rPr>
        <w:t>l recalculation of the distribution key. This illustrates how the financial solidarity was achieved.</w:t>
      </w:r>
    </w:p>
    <w:p w:rsidR="00832624" w:rsidRDefault="0072318F">
      <w:pPr>
        <w:pStyle w:val="Heading2"/>
        <w:numPr>
          <w:ilvl w:val="1"/>
          <w:numId w:val="2"/>
        </w:numPr>
        <w:rPr>
          <w:rFonts w:ascii="Times New Roman" w:hAnsi="Times New Roman" w:cs="Times New Roman"/>
          <w:noProof/>
          <w:sz w:val="24"/>
          <w:szCs w:val="24"/>
          <w:lang w:val="en-GB"/>
        </w:rPr>
      </w:pPr>
      <w:bookmarkStart w:id="37" w:name="_OBJECTIVE_A"/>
      <w:bookmarkStart w:id="38" w:name="_Evaluation_Question_2:"/>
      <w:bookmarkStart w:id="39" w:name="_Evaluation_Question_5:"/>
      <w:bookmarkStart w:id="40" w:name="_Toc515378895"/>
      <w:bookmarkEnd w:id="37"/>
      <w:bookmarkEnd w:id="38"/>
      <w:bookmarkEnd w:id="39"/>
      <w:r>
        <w:rPr>
          <w:rFonts w:ascii="Times New Roman" w:hAnsi="Times New Roman" w:cs="Times New Roman"/>
          <w:noProof/>
          <w:sz w:val="24"/>
          <w:szCs w:val="24"/>
          <w:lang w:val="en-GB"/>
        </w:rPr>
        <w:t>Efficiency</w:t>
      </w:r>
      <w:bookmarkEnd w:id="40"/>
    </w:p>
    <w:tbl>
      <w:tblPr>
        <w:tblStyle w:val="TableGrid"/>
        <w:tblW w:w="0" w:type="auto"/>
        <w:tblLook w:val="04A0" w:firstRow="1" w:lastRow="0" w:firstColumn="1" w:lastColumn="0" w:noHBand="0" w:noVBand="1"/>
      </w:tblPr>
      <w:tblGrid>
        <w:gridCol w:w="9288"/>
      </w:tblGrid>
      <w:tr w:rsidR="00832624" w:rsidRPr="0072318F">
        <w:trPr>
          <w:trHeight w:val="1093"/>
        </w:trPr>
        <w:tc>
          <w:tcPr>
            <w:tcW w:w="9288" w:type="dxa"/>
          </w:tcPr>
          <w:p w:rsidR="00832624" w:rsidRDefault="0072318F">
            <w:pPr>
              <w:spacing w:after="120"/>
              <w:jc w:val="both"/>
              <w:rPr>
                <w:rFonts w:ascii="Times New Roman" w:hAnsi="Times New Roman" w:cs="Times New Roman"/>
                <w:b/>
                <w:i/>
                <w:noProof/>
                <w:sz w:val="24"/>
                <w:szCs w:val="24"/>
              </w:rPr>
            </w:pPr>
            <w:r>
              <w:rPr>
                <w:rFonts w:ascii="Times New Roman" w:hAnsi="Times New Roman" w:cs="Times New Roman"/>
                <w:i/>
                <w:noProof/>
                <w:sz w:val="24"/>
                <w:szCs w:val="24"/>
              </w:rPr>
              <w:t>EQ 3: To what extent were the effects of the ERF achieved at a reasonable cost in terms of financial and human resources?</w:t>
            </w:r>
          </w:p>
          <w:p w:rsidR="00832624" w:rsidRDefault="0072318F">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Main conclusions: </w:t>
            </w:r>
            <w:r>
              <w:rPr>
                <w:rFonts w:ascii="Times New Roman" w:hAnsi="Times New Roman" w:cs="Times New Roman"/>
                <w:noProof/>
                <w:sz w:val="24"/>
                <w:szCs w:val="24"/>
              </w:rPr>
              <w:t>Although the inconsistency of monitoring data restricted the extent to which it was possible to assess the cost-effectiveness of the ERF, the evaluation concluded that the actions were implemented efficiently for the most part. Management and control syste</w:t>
            </w:r>
            <w:r>
              <w:rPr>
                <w:rFonts w:ascii="Times New Roman" w:hAnsi="Times New Roman" w:cs="Times New Roman"/>
                <w:noProof/>
                <w:sz w:val="24"/>
                <w:szCs w:val="24"/>
              </w:rPr>
              <w:t>ms, such as internal organisation and a clear distribution of tasks within the responsible administrations for managing the Fund, contributed greatly to this result and their benefits were acknowledged by the Member States.</w:t>
            </w:r>
          </w:p>
          <w:p w:rsidR="00832624" w:rsidRDefault="0072318F">
            <w:pPr>
              <w:spacing w:after="120"/>
              <w:jc w:val="both"/>
              <w:rPr>
                <w:rFonts w:ascii="Times New Roman" w:hAnsi="Times New Roman" w:cs="Times New Roman"/>
                <w:noProof/>
                <w:sz w:val="24"/>
                <w:szCs w:val="24"/>
              </w:rPr>
            </w:pPr>
            <w:r>
              <w:rPr>
                <w:rFonts w:ascii="Times New Roman" w:hAnsi="Times New Roman" w:cs="Times New Roman"/>
                <w:noProof/>
                <w:sz w:val="24"/>
                <w:szCs w:val="24"/>
              </w:rPr>
              <w:t>However, the evaluation showed t</w:t>
            </w:r>
            <w:r>
              <w:rPr>
                <w:rFonts w:ascii="Times New Roman" w:hAnsi="Times New Roman" w:cs="Times New Roman"/>
                <w:noProof/>
                <w:sz w:val="24"/>
                <w:szCs w:val="24"/>
              </w:rPr>
              <w:t>hat the annual programming requirements and the complexity relating to the existence of separate funds</w:t>
            </w:r>
            <w:r>
              <w:rPr>
                <w:rStyle w:val="FootnoteReference"/>
                <w:rFonts w:ascii="Times New Roman" w:hAnsi="Times New Roman" w:cs="Times New Roman"/>
                <w:noProof/>
                <w:sz w:val="24"/>
                <w:szCs w:val="24"/>
              </w:rPr>
              <w:footnoteReference w:id="98"/>
            </w:r>
            <w:r>
              <w:rPr>
                <w:rFonts w:ascii="Times New Roman" w:hAnsi="Times New Roman" w:cs="Times New Roman"/>
                <w:noProof/>
                <w:sz w:val="24"/>
                <w:szCs w:val="24"/>
              </w:rPr>
              <w:t xml:space="preserve"> led to a high administrative burden. Small Member States had to deal with a combination of high administrative costs and small programmes. Lack of exper</w:t>
            </w:r>
            <w:r>
              <w:rPr>
                <w:rFonts w:ascii="Times New Roman" w:hAnsi="Times New Roman" w:cs="Times New Roman"/>
                <w:noProof/>
                <w:sz w:val="24"/>
                <w:szCs w:val="24"/>
              </w:rPr>
              <w:t>ience and resources also contributed to the high administrative burden.</w:t>
            </w:r>
          </w:p>
        </w:tc>
      </w:tr>
    </w:tbl>
    <w:p w:rsidR="00832624" w:rsidRDefault="0072318F">
      <w:pPr>
        <w:spacing w:before="240"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Efficiency of ERF programme management</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Overall, RAs considered the ERF costly to manage, although the most experienced Member States were able to reduce the administrative burden. The</w:t>
      </w:r>
      <w:r>
        <w:rPr>
          <w:rFonts w:ascii="Times New Roman" w:hAnsi="Times New Roman" w:cs="Times New Roman"/>
          <w:noProof/>
          <w:sz w:val="24"/>
          <w:szCs w:val="24"/>
          <w:lang w:val="en-GB"/>
        </w:rPr>
        <w:t xml:space="preserve"> evaluation estimated that the administration of national programmes required an average of 0.32 full</w:t>
      </w:r>
      <w:r>
        <w:rPr>
          <w:rFonts w:ascii="Times New Roman" w:hAnsi="Times New Roman" w:cs="Times New Roman"/>
          <w:noProof/>
          <w:sz w:val="24"/>
          <w:szCs w:val="24"/>
          <w:lang w:val="en-GB"/>
        </w:rPr>
        <w:noBreakHyphen/>
        <w:t>time equivalent (FTE) per EUR 1 million of ERF programmed funding. The figure varies a lot between Member States though (from 0.06 FTE in FR to 2.97 FTE i</w:t>
      </w:r>
      <w:r>
        <w:rPr>
          <w:rFonts w:ascii="Times New Roman" w:hAnsi="Times New Roman" w:cs="Times New Roman"/>
          <w:noProof/>
          <w:sz w:val="24"/>
          <w:szCs w:val="24"/>
          <w:lang w:val="en-GB"/>
        </w:rPr>
        <w:t>n LV), and is lower for the Member States with the largest ERF programmes. This average is consistent with the estimate for the cohesion policy</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lang w:val="en-GB"/>
        </w:rPr>
        <w:t xml:space="preserve"> (0.44 FTE).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contribution was also a factor explaining the varying proportions of the ERF budget dedicat</w:t>
      </w:r>
      <w:r>
        <w:rPr>
          <w:rFonts w:ascii="Times New Roman" w:hAnsi="Times New Roman" w:cs="Times New Roman"/>
          <w:noProof/>
          <w:sz w:val="24"/>
          <w:szCs w:val="24"/>
          <w:lang w:val="en-GB"/>
        </w:rPr>
        <w:t>ed to management. The Member States with larger ERF programmes were also those where the smallest percentage of the EU contribution was dedicated to fund management due to a critical mass effect. The main time</w:t>
      </w:r>
      <w:r>
        <w:rPr>
          <w:rFonts w:ascii="Times New Roman" w:hAnsi="Times New Roman" w:cs="Times New Roman"/>
          <w:noProof/>
          <w:sz w:val="24"/>
          <w:szCs w:val="24"/>
          <w:lang w:val="en-GB"/>
        </w:rPr>
        <w:noBreakHyphen/>
        <w:t>consuming tasks (56 % of the RAs’ workload) we</w:t>
      </w:r>
      <w:r>
        <w:rPr>
          <w:rFonts w:ascii="Times New Roman" w:hAnsi="Times New Roman" w:cs="Times New Roman"/>
          <w:noProof/>
          <w:sz w:val="24"/>
          <w:szCs w:val="24"/>
          <w:lang w:val="en-GB"/>
        </w:rPr>
        <w:t>re those relating to ERF management, i.e. project selection, control and verification of deliverables. The workload relating to the preparation of the programmes was estimated at a fifth of the total.</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All Member States pointed to the high administrative bu</w:t>
      </w:r>
      <w:r>
        <w:rPr>
          <w:rFonts w:ascii="Times New Roman" w:hAnsi="Times New Roman" w:cs="Times New Roman"/>
          <w:noProof/>
          <w:sz w:val="24"/>
          <w:szCs w:val="24"/>
          <w:lang w:val="en-GB"/>
        </w:rPr>
        <w:t>rden of ERF management (i.e. the burden linked to multi-annual and annual programming, and addressing asylum and migration issues via three different funds which under the current AMIF has been overcome) but RAs regarded most of the requirements as legitim</w:t>
      </w:r>
      <w:r>
        <w:rPr>
          <w:rFonts w:ascii="Times New Roman" w:hAnsi="Times New Roman" w:cs="Times New Roman"/>
          <w:noProof/>
          <w:sz w:val="24"/>
          <w:szCs w:val="24"/>
          <w:lang w:val="en-GB"/>
        </w:rPr>
        <w:t>ate, in that they ensured the robustness and reliability of the ERF management and control systems. The evaluation showed that, for half of the Member States</w:t>
      </w:r>
      <w:r>
        <w:rPr>
          <w:rStyle w:val="FootnoteReference"/>
          <w:rFonts w:ascii="Times New Roman" w:hAnsi="Times New Roman" w:cs="Times New Roman"/>
          <w:noProof/>
          <w:sz w:val="24"/>
          <w:szCs w:val="24"/>
        </w:rPr>
        <w:footnoteReference w:id="100"/>
      </w:r>
      <w:r>
        <w:rPr>
          <w:rFonts w:ascii="Times New Roman" w:hAnsi="Times New Roman" w:cs="Times New Roman"/>
          <w:noProof/>
          <w:sz w:val="24"/>
          <w:szCs w:val="24"/>
          <w:lang w:val="en-GB"/>
        </w:rPr>
        <w:t>, the administrative burdens, especially verifications by the RAs, were the most problematic. Some</w:t>
      </w:r>
      <w:r>
        <w:rPr>
          <w:rFonts w:ascii="Times New Roman" w:hAnsi="Times New Roman" w:cs="Times New Roman"/>
          <w:noProof/>
          <w:sz w:val="24"/>
          <w:szCs w:val="24"/>
          <w:lang w:val="en-GB"/>
        </w:rPr>
        <w:t xml:space="preserve"> Member States tried to use the same human resources for the ERF as for the other SOLID funds, in order to reduce the administrative burden and secure efficiency gains. In Member States with less experience of managing EU funding, many costs arose from the</w:t>
      </w:r>
      <w:r>
        <w:rPr>
          <w:rFonts w:ascii="Times New Roman" w:hAnsi="Times New Roman" w:cs="Times New Roman"/>
          <w:noProof/>
          <w:sz w:val="24"/>
          <w:szCs w:val="24"/>
          <w:lang w:val="en-GB"/>
        </w:rPr>
        <w:t xml:space="preserve"> need to build technical and administrative capacities.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some cases, the perception of a high administrative burden applied more at national than at EU level. For instance, FR and SE faced financial difficulties (gaps in EU reimbursement) following a mis</w:t>
      </w:r>
      <w:r>
        <w:rPr>
          <w:rFonts w:ascii="Times New Roman" w:hAnsi="Times New Roman" w:cs="Times New Roman"/>
          <w:noProof/>
          <w:sz w:val="24"/>
          <w:szCs w:val="24"/>
          <w:lang w:val="en-GB"/>
        </w:rPr>
        <w:t>leading interpretation of ‘eligible costs’</w:t>
      </w:r>
      <w:r>
        <w:rPr>
          <w:rFonts w:ascii="Times New Roman" w:hAnsi="Times New Roman" w:cs="Times New Roman"/>
          <w:i/>
          <w:noProof/>
          <w:sz w:val="24"/>
          <w:szCs w:val="24"/>
          <w:lang w:val="en-GB"/>
        </w:rPr>
        <w:t>.</w:t>
      </w:r>
      <w:r>
        <w:rPr>
          <w:rFonts w:ascii="Times New Roman" w:hAnsi="Times New Roman" w:cs="Times New Roman"/>
          <w:noProof/>
          <w:sz w:val="24"/>
          <w:szCs w:val="24"/>
          <w:lang w:val="en-GB"/>
        </w:rPr>
        <w:t xml:space="preserve"> Other Member States</w:t>
      </w:r>
      <w:r>
        <w:rPr>
          <w:rStyle w:val="FootnoteReference"/>
          <w:rFonts w:ascii="Times New Roman" w:hAnsi="Times New Roman" w:cs="Times New Roman"/>
          <w:noProof/>
          <w:sz w:val="24"/>
          <w:szCs w:val="24"/>
        </w:rPr>
        <w:footnoteReference w:id="101"/>
      </w:r>
      <w:r>
        <w:rPr>
          <w:rFonts w:ascii="Times New Roman" w:hAnsi="Times New Roman" w:cs="Times New Roman"/>
          <w:noProof/>
          <w:sz w:val="24"/>
          <w:szCs w:val="24"/>
          <w:lang w:val="en-GB"/>
        </w:rPr>
        <w:t xml:space="preserve"> had difficulties due to the long pre-financing phase, which caused cash</w:t>
      </w:r>
      <w:r>
        <w:rPr>
          <w:rFonts w:ascii="Times New Roman" w:hAnsi="Times New Roman" w:cs="Times New Roman"/>
          <w:noProof/>
          <w:sz w:val="24"/>
          <w:szCs w:val="24"/>
          <w:lang w:val="en-GB"/>
        </w:rPr>
        <w:noBreakHyphen/>
        <w:t>flow problems for beneficiaries waiting for EU reimbursement, or the lack of a clear distribution of responsibilities (</w:t>
      </w:r>
      <w:r>
        <w:rPr>
          <w:rFonts w:ascii="Times New Roman" w:hAnsi="Times New Roman" w:cs="Times New Roman"/>
          <w:noProof/>
          <w:sz w:val="24"/>
          <w:szCs w:val="24"/>
          <w:lang w:val="en-GB"/>
        </w:rPr>
        <w:t>BE).</w:t>
      </w: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Efficiency of the ERF for beneficiaries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Time-consuming arrangements for (bi-annual) reporting and payment delays were mentioned by some countries as affecting the efficiency of the Fund. On the other hand, administrative burden is often linked to inst</w:t>
      </w:r>
      <w:r>
        <w:rPr>
          <w:rFonts w:ascii="Times New Roman" w:hAnsi="Times New Roman" w:cs="Times New Roman"/>
          <w:noProof/>
          <w:sz w:val="24"/>
          <w:szCs w:val="24"/>
          <w:lang w:val="en-GB"/>
        </w:rPr>
        <w:t>itutional learning. The evaluation showed that beneficiaries' size, nature and experience of managing EU finding influenced their ability to meet the ERF requirements. Member States and RAs convey the European Commission’s requirements to national benefici</w:t>
      </w:r>
      <w:r>
        <w:rPr>
          <w:rFonts w:ascii="Times New Roman" w:hAnsi="Times New Roman" w:cs="Times New Roman"/>
          <w:noProof/>
          <w:sz w:val="24"/>
          <w:szCs w:val="24"/>
          <w:lang w:val="en-GB"/>
        </w:rPr>
        <w:t>aries, including small organisations, and to build capacity to respond properly to the requirements. Overall, the estimated cost of meeting the European Commission’s administrative requirements is evaluated as high, but reasonable as compared with other EU</w:t>
      </w:r>
      <w:r>
        <w:rPr>
          <w:rFonts w:ascii="Times New Roman" w:hAnsi="Times New Roman" w:cs="Times New Roman"/>
          <w:noProof/>
          <w:sz w:val="24"/>
          <w:szCs w:val="24"/>
          <w:lang w:val="en-GB"/>
        </w:rPr>
        <w:t xml:space="preserve"> funding.</w:t>
      </w: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Cost-effectiveness of projects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quantitative data on ERF reported in the NERs do not adequately reflect the actual performance of ERF actions in the Member States, but 22 Member States considered the costs incurred as reasonable. The data </w:t>
      </w:r>
      <w:r>
        <w:rPr>
          <w:rFonts w:ascii="Times New Roman" w:hAnsi="Times New Roman" w:cs="Times New Roman"/>
          <w:noProof/>
          <w:sz w:val="24"/>
          <w:szCs w:val="24"/>
          <w:lang w:val="en-GB"/>
        </w:rPr>
        <w:t>cannot support any clear conclusion, given the lack of comparability across projects and the shortcomings of the available indicators when it comes to measuring results and impacts.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Each project targeting asylum applicants or persons benefiting from intern</w:t>
      </w:r>
      <w:r>
        <w:rPr>
          <w:rFonts w:ascii="Times New Roman" w:hAnsi="Times New Roman" w:cs="Times New Roman"/>
          <w:noProof/>
          <w:sz w:val="24"/>
          <w:szCs w:val="24"/>
          <w:lang w:val="en-GB"/>
        </w:rPr>
        <w:t>ational protection (priority 1) reached an average of around 700 final project beneficiaries, with an average budget of EUR 150 000. The average committed cost per beneficiary (including emergency measures varied widely between Member States (from EUR 9 06</w:t>
      </w:r>
      <w:r>
        <w:rPr>
          <w:rFonts w:ascii="Times New Roman" w:hAnsi="Times New Roman" w:cs="Times New Roman"/>
          <w:noProof/>
          <w:sz w:val="24"/>
          <w:szCs w:val="24"/>
          <w:lang w:val="en-GB"/>
        </w:rPr>
        <w:t>5 in the UK to EUR 37 in SL). This is probably related to the range and the nature of the activities carried out under the projects. For instance, UK policy in 2011-2013 was focused on resettlement and integration. By nature, this involves high</w:t>
      </w:r>
      <w:r>
        <w:rPr>
          <w:rFonts w:ascii="Times New Roman" w:hAnsi="Times New Roman" w:cs="Times New Roman"/>
          <w:noProof/>
          <w:sz w:val="24"/>
          <w:szCs w:val="24"/>
          <w:lang w:val="en-GB"/>
        </w:rPr>
        <w:noBreakHyphen/>
        <w:t>value proje</w:t>
      </w:r>
      <w:r>
        <w:rPr>
          <w:rFonts w:ascii="Times New Roman" w:hAnsi="Times New Roman" w:cs="Times New Roman"/>
          <w:noProof/>
          <w:sz w:val="24"/>
          <w:szCs w:val="24"/>
          <w:lang w:val="en-GB"/>
        </w:rPr>
        <w:t xml:space="preserve">cts benefiting a relatively small number of people.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priority 2, the average cost of a project was EUR 123 553 and for priority 3 it was EUR 301 037.</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Member States receiving a high number of asylum applicants and beneficiaries of international protecti</w:t>
      </w:r>
      <w:r>
        <w:rPr>
          <w:rFonts w:ascii="Times New Roman" w:hAnsi="Times New Roman" w:cs="Times New Roman"/>
          <w:noProof/>
          <w:sz w:val="24"/>
          <w:szCs w:val="24"/>
          <w:lang w:val="en-GB"/>
        </w:rPr>
        <w:t>on have relatively low budgets per project beneficiary (e.g. only EUR 44 for EL). This is linked to the nature of the projects: these Member States target projects enhancing reception conditions or meeting the basic needs of asylum applicants. The discrepa</w:t>
      </w:r>
      <w:r>
        <w:rPr>
          <w:rFonts w:ascii="Times New Roman" w:hAnsi="Times New Roman" w:cs="Times New Roman"/>
          <w:noProof/>
          <w:sz w:val="24"/>
          <w:szCs w:val="24"/>
          <w:lang w:val="en-GB"/>
        </w:rPr>
        <w:t>ncies put a question mark over the reasonability of costs and the relevance of the allocation system. In HU, for example, the national budget allocated to asylum issues was reduced for political reasons and the ERF became more important in terms of meeting</w:t>
      </w:r>
      <w:r>
        <w:rPr>
          <w:rFonts w:ascii="Times New Roman" w:hAnsi="Times New Roman" w:cs="Times New Roman"/>
          <w:noProof/>
          <w:sz w:val="24"/>
          <w:szCs w:val="24"/>
          <w:lang w:val="en-GB"/>
        </w:rPr>
        <w:t xml:space="preserve"> asylum applicants’ needs.</w:t>
      </w:r>
    </w:p>
    <w:p w:rsidR="00832624" w:rsidRDefault="0072318F">
      <w:pPr>
        <w:pStyle w:val="Heading2"/>
        <w:numPr>
          <w:ilvl w:val="1"/>
          <w:numId w:val="2"/>
        </w:numPr>
        <w:rPr>
          <w:rFonts w:ascii="Times New Roman" w:hAnsi="Times New Roman" w:cs="Times New Roman"/>
          <w:noProof/>
          <w:sz w:val="24"/>
          <w:szCs w:val="24"/>
          <w:lang w:val="en-GB"/>
        </w:rPr>
      </w:pPr>
      <w:bookmarkStart w:id="41" w:name="_Toc515378896"/>
      <w:r>
        <w:rPr>
          <w:rFonts w:ascii="Times New Roman" w:hAnsi="Times New Roman" w:cs="Times New Roman"/>
          <w:noProof/>
          <w:sz w:val="24"/>
          <w:szCs w:val="24"/>
          <w:lang w:val="en-GB"/>
        </w:rPr>
        <w:t>Sustainability</w:t>
      </w:r>
      <w:bookmarkEnd w:id="41"/>
    </w:p>
    <w:tbl>
      <w:tblPr>
        <w:tblStyle w:val="TableGrid"/>
        <w:tblW w:w="0" w:type="auto"/>
        <w:tblLook w:val="04A0" w:firstRow="1" w:lastRow="0" w:firstColumn="1" w:lastColumn="0" w:noHBand="0" w:noVBand="1"/>
      </w:tblPr>
      <w:tblGrid>
        <w:gridCol w:w="9288"/>
      </w:tblGrid>
      <w:tr w:rsidR="00832624" w:rsidRPr="0072318F">
        <w:tc>
          <w:tcPr>
            <w:tcW w:w="9288" w:type="dxa"/>
          </w:tcPr>
          <w:p w:rsidR="00832624" w:rsidRDefault="0072318F">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EQ4:</w:t>
            </w:r>
            <w:r>
              <w:rPr>
                <w:rFonts w:ascii="Times New Roman" w:hAnsi="Times New Roman" w:cs="Times New Roman"/>
                <w:noProof/>
                <w:sz w:val="24"/>
                <w:szCs w:val="24"/>
              </w:rPr>
              <w:t xml:space="preserve"> </w:t>
            </w:r>
            <w:r>
              <w:rPr>
                <w:rFonts w:ascii="Times New Roman" w:hAnsi="Times New Roman" w:cs="Times New Roman"/>
                <w:i/>
                <w:noProof/>
                <w:sz w:val="24"/>
                <w:szCs w:val="24"/>
              </w:rPr>
              <w:t>To what extent did the positive effects of the ERF actions last after the interventions were terminated?</w:t>
            </w:r>
          </w:p>
          <w:p w:rsidR="00832624" w:rsidRDefault="0072318F">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Main conclusions: </w:t>
            </w:r>
            <w:r>
              <w:rPr>
                <w:rFonts w:ascii="Times New Roman" w:hAnsi="Times New Roman" w:cs="Times New Roman"/>
                <w:noProof/>
                <w:sz w:val="24"/>
                <w:szCs w:val="24"/>
              </w:rPr>
              <w:t>The evaluation concluded that the sustainability of the projects' results  funded unde</w:t>
            </w:r>
            <w:r>
              <w:rPr>
                <w:rFonts w:ascii="Times New Roman" w:hAnsi="Times New Roman" w:cs="Times New Roman"/>
                <w:noProof/>
                <w:sz w:val="24"/>
                <w:szCs w:val="24"/>
              </w:rPr>
              <w:t>r the 2011-2013 ERF depended on the type of action funded. In general, the ERF led to the consolidation of sustainable relationships with stakeholders, but the most sustainable actions (presenting structural effects) were Member States’ investments in rece</w:t>
            </w:r>
            <w:r>
              <w:rPr>
                <w:rFonts w:ascii="Times New Roman" w:hAnsi="Times New Roman" w:cs="Times New Roman"/>
                <w:noProof/>
                <w:sz w:val="24"/>
                <w:szCs w:val="24"/>
              </w:rPr>
              <w:t xml:space="preserve">ption capacities. For other types of project, certain conditions regarding the selection of sustainable projects could have been set in order to produce sustainable effects. As for the sustainability of projects after the end of ERF funding, this was more </w:t>
            </w:r>
            <w:r>
              <w:rPr>
                <w:rFonts w:ascii="Times New Roman" w:hAnsi="Times New Roman" w:cs="Times New Roman"/>
                <w:noProof/>
                <w:sz w:val="24"/>
                <w:szCs w:val="24"/>
              </w:rPr>
              <w:t xml:space="preserve">questioned. The selection phase of AMIF projects involved sustainability as criterion for awarding a project. </w:t>
            </w:r>
          </w:p>
        </w:tc>
      </w:tr>
    </w:tbl>
    <w:p w:rsidR="00832624" w:rsidRDefault="0072318F">
      <w:pPr>
        <w:spacing w:before="240"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Sustainability of results and impacts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sustainability of a project is linked to its nature, impacts and results. The creation of reception </w:t>
      </w:r>
      <w:r>
        <w:rPr>
          <w:rFonts w:ascii="Times New Roman" w:hAnsi="Times New Roman" w:cs="Times New Roman"/>
          <w:noProof/>
          <w:sz w:val="24"/>
          <w:szCs w:val="24"/>
          <w:lang w:val="en-GB"/>
        </w:rPr>
        <w:t>capacities is highly sustainable, especially for Member States that lacked them previously. Analysis of the NERs and interviews with RAs and beneficiaries reveal that actions aimed at empowering target groups, those resulting in greater capacities to recei</w:t>
      </w:r>
      <w:r>
        <w:rPr>
          <w:rFonts w:ascii="Times New Roman" w:hAnsi="Times New Roman" w:cs="Times New Roman"/>
          <w:noProof/>
          <w:sz w:val="24"/>
          <w:szCs w:val="24"/>
          <w:lang w:val="en-GB"/>
        </w:rPr>
        <w:t>ve asylum applicants and those resulting in a concrete change of practice are considered among the most sustainable. Actions to improve the drawing</w:t>
      </w:r>
      <w:r>
        <w:rPr>
          <w:rFonts w:ascii="Times New Roman" w:hAnsi="Times New Roman" w:cs="Times New Roman"/>
          <w:noProof/>
          <w:sz w:val="24"/>
          <w:szCs w:val="24"/>
          <w:lang w:val="en-GB"/>
        </w:rPr>
        <w:noBreakHyphen/>
        <w:t>up of studies and to develop platforms, websites and new tools or methodologies have also proven to be susta</w:t>
      </w:r>
      <w:r>
        <w:rPr>
          <w:rFonts w:ascii="Times New Roman" w:hAnsi="Times New Roman" w:cs="Times New Roman"/>
          <w:noProof/>
          <w:sz w:val="24"/>
          <w:szCs w:val="24"/>
          <w:lang w:val="en-GB"/>
        </w:rPr>
        <w:t>inable, since the outputs and materials can continue to be used, provided they are updated and maintained.</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Projects focusing on the integration of beneficiaries of international protection are considered less sustainable in transit Member States, where ben</w:t>
      </w:r>
      <w:r>
        <w:rPr>
          <w:rFonts w:ascii="Times New Roman" w:hAnsi="Times New Roman" w:cs="Times New Roman"/>
          <w:noProof/>
          <w:sz w:val="24"/>
          <w:szCs w:val="24"/>
          <w:lang w:val="en-GB"/>
        </w:rPr>
        <w:t>eficiaries of international protection like asylum applicants tend to seek to move on to another country.</w:t>
      </w: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Sustainability of projects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implementation of ERF projects produced side-effects that improved project sustainability. Thirteen Member States</w:t>
      </w:r>
      <w:r>
        <w:rPr>
          <w:rStyle w:val="FootnoteReference"/>
          <w:rFonts w:ascii="Times New Roman" w:hAnsi="Times New Roman" w:cs="Times New Roman"/>
          <w:noProof/>
          <w:sz w:val="24"/>
          <w:szCs w:val="24"/>
        </w:rPr>
        <w:footnoteReference w:id="102"/>
      </w:r>
      <w:r>
        <w:rPr>
          <w:rFonts w:ascii="Times New Roman" w:hAnsi="Times New Roman" w:cs="Times New Roman"/>
          <w:noProof/>
          <w:sz w:val="24"/>
          <w:szCs w:val="24"/>
          <w:lang w:val="en-GB"/>
        </w:rPr>
        <w:t xml:space="preserve"> high</w:t>
      </w:r>
      <w:r>
        <w:rPr>
          <w:rFonts w:ascii="Times New Roman" w:hAnsi="Times New Roman" w:cs="Times New Roman"/>
          <w:noProof/>
          <w:sz w:val="24"/>
          <w:szCs w:val="24"/>
          <w:lang w:val="en-GB"/>
        </w:rPr>
        <w:t>lighted the importance of capacity</w:t>
      </w:r>
      <w:r>
        <w:rPr>
          <w:rFonts w:ascii="Times New Roman" w:hAnsi="Times New Roman" w:cs="Times New Roman"/>
          <w:noProof/>
          <w:sz w:val="24"/>
          <w:szCs w:val="24"/>
          <w:lang w:val="en-GB"/>
        </w:rPr>
        <w:noBreakHyphen/>
        <w:t>building among stakeholders in the field of asylum as a key factor, since expertise favours actions’ long-term effectiveness. Some Member States</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lang w:val="en-GB"/>
        </w:rPr>
        <w:t xml:space="preserve"> commented that the implementation of ERF</w:t>
      </w:r>
      <w:r>
        <w:rPr>
          <w:rFonts w:ascii="Times New Roman" w:hAnsi="Times New Roman" w:cs="Times New Roman"/>
          <w:noProof/>
          <w:sz w:val="24"/>
          <w:szCs w:val="24"/>
          <w:lang w:val="en-GB"/>
        </w:rPr>
        <w:noBreakHyphen/>
        <w:t xml:space="preserve">funded projects favoured a </w:t>
      </w:r>
      <w:r>
        <w:rPr>
          <w:rFonts w:ascii="Times New Roman" w:hAnsi="Times New Roman" w:cs="Times New Roman"/>
          <w:noProof/>
          <w:sz w:val="24"/>
          <w:szCs w:val="24"/>
          <w:lang w:val="en-GB"/>
        </w:rPr>
        <w:t>‘culture of cooperation’ among stakeholders.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However, the sustainability of projects after the end of ERF funding is uncertain. Beneficiaries’ capacity to sustain the projects’ effects is not ensured without the support of EU funds. A total of 13 Member St</w:t>
      </w:r>
      <w:r>
        <w:rPr>
          <w:rFonts w:ascii="Times New Roman" w:hAnsi="Times New Roman" w:cs="Times New Roman"/>
          <w:noProof/>
          <w:sz w:val="24"/>
          <w:szCs w:val="24"/>
          <w:lang w:val="en-GB"/>
        </w:rPr>
        <w:t>ates</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lang w:val="en-GB"/>
        </w:rPr>
        <w:t xml:space="preserve"> stressed that national beneficiaries rely heavily on EU funds to implement projects. Moreover, some RAs replicate projects over the years in order to ensure a type of sustainability of their effects.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the AMIF during the selection phase of projec</w:t>
      </w:r>
      <w:r>
        <w:rPr>
          <w:rFonts w:ascii="Times New Roman" w:hAnsi="Times New Roman" w:cs="Times New Roman"/>
          <w:noProof/>
          <w:sz w:val="24"/>
          <w:szCs w:val="24"/>
          <w:lang w:val="en-GB"/>
        </w:rPr>
        <w:t xml:space="preserve">ts by the responsible authority, the sustainability is now included as a criteria leading to the award decision. Through the guidance document set by the common monitoring and evaluation framework, Member States will have to report on the measures adopted </w:t>
      </w:r>
      <w:r>
        <w:rPr>
          <w:rFonts w:ascii="Times New Roman" w:hAnsi="Times New Roman" w:cs="Times New Roman"/>
          <w:noProof/>
          <w:sz w:val="24"/>
          <w:szCs w:val="24"/>
          <w:lang w:val="en-GB"/>
        </w:rPr>
        <w:t>to ensure sustainability.</w:t>
      </w:r>
    </w:p>
    <w:p w:rsidR="00832624" w:rsidRDefault="0072318F">
      <w:pPr>
        <w:pStyle w:val="Heading2"/>
        <w:numPr>
          <w:ilvl w:val="1"/>
          <w:numId w:val="2"/>
        </w:numPr>
        <w:rPr>
          <w:rFonts w:ascii="Times New Roman" w:hAnsi="Times New Roman" w:cs="Times New Roman"/>
          <w:noProof/>
          <w:sz w:val="24"/>
          <w:szCs w:val="24"/>
          <w:lang w:val="en-GB"/>
        </w:rPr>
      </w:pPr>
      <w:bookmarkStart w:id="42" w:name="_Toc515378897"/>
      <w:r>
        <w:rPr>
          <w:rFonts w:ascii="Times New Roman" w:hAnsi="Times New Roman" w:cs="Times New Roman"/>
          <w:noProof/>
          <w:sz w:val="24"/>
          <w:szCs w:val="24"/>
          <w:lang w:val="en-GB"/>
        </w:rPr>
        <w:t>Complementarity and coherence</w:t>
      </w:r>
      <w:bookmarkEnd w:id="42"/>
    </w:p>
    <w:tbl>
      <w:tblPr>
        <w:tblStyle w:val="TableGrid"/>
        <w:tblW w:w="0" w:type="auto"/>
        <w:tblLook w:val="04A0" w:firstRow="1" w:lastRow="0" w:firstColumn="1" w:lastColumn="0" w:noHBand="0" w:noVBand="1"/>
      </w:tblPr>
      <w:tblGrid>
        <w:gridCol w:w="9288"/>
      </w:tblGrid>
      <w:tr w:rsidR="00832624" w:rsidRPr="0072318F">
        <w:tc>
          <w:tcPr>
            <w:tcW w:w="9288" w:type="dxa"/>
          </w:tcPr>
          <w:p w:rsidR="00832624" w:rsidRDefault="0072318F">
            <w:pPr>
              <w:spacing w:after="120"/>
              <w:jc w:val="both"/>
              <w:rPr>
                <w:rFonts w:ascii="Times New Roman" w:hAnsi="Times New Roman" w:cs="Times New Roman"/>
                <w:noProof/>
                <w:sz w:val="24"/>
                <w:szCs w:val="24"/>
              </w:rPr>
            </w:pPr>
            <w:r>
              <w:rPr>
                <w:rFonts w:ascii="Times New Roman" w:hAnsi="Times New Roman" w:cs="Times New Roman"/>
                <w:i/>
                <w:noProof/>
                <w:sz w:val="24"/>
                <w:szCs w:val="24"/>
              </w:rPr>
              <w:t>EQ7: To what extent were the ERF actions coherent with and complementary to other actions related to asylum, financed by other EU financial instruments – including the activities of EASO – and from na</w:t>
            </w:r>
            <w:r>
              <w:rPr>
                <w:rFonts w:ascii="Times New Roman" w:hAnsi="Times New Roman" w:cs="Times New Roman"/>
                <w:i/>
                <w:noProof/>
                <w:sz w:val="24"/>
                <w:szCs w:val="24"/>
              </w:rPr>
              <w:t>tional resources of Member States?</w:t>
            </w:r>
          </w:p>
          <w:p w:rsidR="00832624" w:rsidRDefault="0072318F">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Main conclusions: </w:t>
            </w:r>
            <w:r>
              <w:rPr>
                <w:rFonts w:ascii="Times New Roman" w:hAnsi="Times New Roman" w:cs="Times New Roman"/>
                <w:noProof/>
                <w:sz w:val="24"/>
                <w:szCs w:val="24"/>
              </w:rPr>
              <w:t>The evaluation concluded that, in most Member States, the ERF was implemented in coherence with, and complemented, other actions relating to asylum, although there may have been some overlaps between act</w:t>
            </w:r>
            <w:r>
              <w:rPr>
                <w:rFonts w:ascii="Times New Roman" w:hAnsi="Times New Roman" w:cs="Times New Roman"/>
                <w:noProof/>
                <w:sz w:val="24"/>
                <w:szCs w:val="24"/>
              </w:rPr>
              <w:t>ions or EU agencies. There was however a general lack of awareness at national level of the outputs of Community actions and this might have led to a certain risk of incoherence.</w:t>
            </w:r>
          </w:p>
        </w:tc>
      </w:tr>
    </w:tbl>
    <w:p w:rsidR="00832624" w:rsidRDefault="0072318F">
      <w:pPr>
        <w:spacing w:before="240"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Coherence and complementarity at national level</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Of the 27 Member States conc</w:t>
      </w:r>
      <w:r>
        <w:rPr>
          <w:rFonts w:ascii="Times New Roman" w:hAnsi="Times New Roman" w:cs="Times New Roman"/>
          <w:noProof/>
          <w:sz w:val="24"/>
          <w:szCs w:val="24"/>
          <w:lang w:val="en-GB"/>
        </w:rPr>
        <w:t>erned, 26 affirmed that the ERF was used in coherence with, and complemented, other sources of funding, thanks to active cooperation between the ERF RAs and the government authorities responsible for managing other EU funds. Also, in most Member States, co</w:t>
      </w:r>
      <w:r>
        <w:rPr>
          <w:rFonts w:ascii="Times New Roman" w:hAnsi="Times New Roman" w:cs="Times New Roman"/>
          <w:noProof/>
          <w:sz w:val="24"/>
          <w:szCs w:val="24"/>
          <w:lang w:val="en-GB"/>
        </w:rPr>
        <w:t>ordination between the ERF and other SOLID funds was ensured by the fact that they were managed by a single RA.</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However, some risks of duplication were identified. The EIF, the European Social Fund and a significant number of organisations that operate in </w:t>
      </w:r>
      <w:r>
        <w:rPr>
          <w:rFonts w:ascii="Times New Roman" w:hAnsi="Times New Roman" w:cs="Times New Roman"/>
          <w:noProof/>
          <w:sz w:val="24"/>
          <w:szCs w:val="24"/>
          <w:lang w:val="en-GB"/>
        </w:rPr>
        <w:t>the field of asylum at both EU and national level may have created overlaps. Nevertheless, RAs addressed these risks through organisational measures, e.g. adopting national asylum strategies and close cooperation between the stakeholders responsible for ma</w:t>
      </w:r>
      <w:r>
        <w:rPr>
          <w:rFonts w:ascii="Times New Roman" w:hAnsi="Times New Roman" w:cs="Times New Roman"/>
          <w:noProof/>
          <w:sz w:val="24"/>
          <w:szCs w:val="24"/>
          <w:lang w:val="en-GB"/>
        </w:rPr>
        <w:t xml:space="preserve">naging various funds. </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Lastly, many Member States pointed out that Member States’ coordination arrangements were subject to demanding control requirements from the Commission.</w:t>
      </w: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Coherence and complementarity at EU level</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At EU level, the coherence of ERF inte</w:t>
      </w:r>
      <w:r>
        <w:rPr>
          <w:rFonts w:ascii="Times New Roman" w:hAnsi="Times New Roman" w:cs="Times New Roman"/>
          <w:noProof/>
          <w:sz w:val="24"/>
          <w:szCs w:val="24"/>
          <w:lang w:val="en-GB"/>
        </w:rPr>
        <w:t>rventions with those implemented by other organisations (e.g. EASO) and the extent to which ERF Community actions and national projects complemented each other was not raised as an issue. As Community actions and national actions are not supposed to target</w:t>
      </w:r>
      <w:r>
        <w:rPr>
          <w:rFonts w:ascii="Times New Roman" w:hAnsi="Times New Roman" w:cs="Times New Roman"/>
          <w:noProof/>
          <w:sz w:val="24"/>
          <w:szCs w:val="24"/>
          <w:lang w:val="en-GB"/>
        </w:rPr>
        <w:t xml:space="preserve"> the same objectives, the risk of overlaps was limited. Nonetheless, stakeholders</w:t>
      </w:r>
      <w:r>
        <w:rPr>
          <w:rStyle w:val="FootnoteReference"/>
          <w:rFonts w:ascii="Times New Roman" w:hAnsi="Times New Roman" w:cs="Times New Roman"/>
          <w:noProof/>
          <w:sz w:val="24"/>
          <w:szCs w:val="24"/>
          <w:lang w:val="en-GB"/>
        </w:rPr>
        <w:footnoteReference w:id="105"/>
      </w:r>
      <w:r>
        <w:rPr>
          <w:rFonts w:ascii="Times New Roman" w:hAnsi="Times New Roman" w:cs="Times New Roman"/>
          <w:noProof/>
          <w:sz w:val="24"/>
          <w:szCs w:val="24"/>
          <w:lang w:val="en-GB"/>
        </w:rPr>
        <w:t xml:space="preserve"> consulted underlined their lack of awareness about the outputs of Community actions. This was a limit to RAs’ ability to create transnational networks and capitalise on prev</w:t>
      </w:r>
      <w:r>
        <w:rPr>
          <w:rFonts w:ascii="Times New Roman" w:hAnsi="Times New Roman" w:cs="Times New Roman"/>
          <w:noProof/>
          <w:sz w:val="24"/>
          <w:szCs w:val="24"/>
          <w:lang w:val="en-GB"/>
        </w:rPr>
        <w:t>ious outputs when selecting national projects, which in turn could lead raising a potential risk of incoherence between Community and national actions.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Although it remained a theoretical concern as the evaluation could not confirm it, overlaps and duplicat</w:t>
      </w:r>
      <w:r>
        <w:rPr>
          <w:rFonts w:ascii="Times New Roman" w:hAnsi="Times New Roman" w:cs="Times New Roman"/>
          <w:noProof/>
          <w:sz w:val="24"/>
          <w:szCs w:val="24"/>
          <w:lang w:val="en-GB"/>
        </w:rPr>
        <w:t>ions with EASO might have occurred since parts of the agency's mandate were at the time still covered by Community actions. However, the risk of inconsistency in terms of mandate and action remained low, as EASO operated from a ‘continuous activity’ perspe</w:t>
      </w:r>
      <w:r>
        <w:rPr>
          <w:rFonts w:ascii="Times New Roman" w:hAnsi="Times New Roman" w:cs="Times New Roman"/>
          <w:noProof/>
          <w:sz w:val="24"/>
          <w:szCs w:val="24"/>
          <w:lang w:val="en-GB"/>
        </w:rPr>
        <w:t>ctive, while the ERF was project-based. It would have been desirable to involve EASO in the selection of priorities for Community actions.</w:t>
      </w:r>
    </w:p>
    <w:p w:rsidR="00832624" w:rsidRDefault="0072318F">
      <w:pPr>
        <w:pStyle w:val="Heading2"/>
        <w:numPr>
          <w:ilvl w:val="1"/>
          <w:numId w:val="2"/>
        </w:numPr>
        <w:rPr>
          <w:rFonts w:ascii="Times New Roman" w:hAnsi="Times New Roman" w:cs="Times New Roman"/>
          <w:noProof/>
          <w:sz w:val="24"/>
          <w:szCs w:val="24"/>
          <w:lang w:val="en-GB"/>
        </w:rPr>
      </w:pPr>
      <w:bookmarkStart w:id="43" w:name="_Toc515378898"/>
      <w:r>
        <w:rPr>
          <w:rFonts w:ascii="Times New Roman" w:hAnsi="Times New Roman" w:cs="Times New Roman"/>
          <w:noProof/>
          <w:sz w:val="24"/>
          <w:szCs w:val="24"/>
          <w:lang w:val="en-GB"/>
        </w:rPr>
        <w:t>EU added value</w:t>
      </w:r>
      <w:bookmarkEnd w:id="43"/>
    </w:p>
    <w:tbl>
      <w:tblPr>
        <w:tblStyle w:val="TableGrid"/>
        <w:tblW w:w="0" w:type="auto"/>
        <w:tblLook w:val="04A0" w:firstRow="1" w:lastRow="0" w:firstColumn="1" w:lastColumn="0" w:noHBand="0" w:noVBand="1"/>
      </w:tblPr>
      <w:tblGrid>
        <w:gridCol w:w="9288"/>
      </w:tblGrid>
      <w:tr w:rsidR="00832624" w:rsidRPr="0072318F">
        <w:tc>
          <w:tcPr>
            <w:tcW w:w="9288" w:type="dxa"/>
          </w:tcPr>
          <w:p w:rsidR="00832624" w:rsidRDefault="0072318F">
            <w:pPr>
              <w:spacing w:after="120"/>
              <w:jc w:val="both"/>
              <w:rPr>
                <w:rFonts w:ascii="Times New Roman" w:hAnsi="Times New Roman" w:cs="Times New Roman"/>
                <w:noProof/>
                <w:sz w:val="24"/>
                <w:szCs w:val="24"/>
              </w:rPr>
            </w:pPr>
            <w:r>
              <w:rPr>
                <w:rFonts w:ascii="Times New Roman" w:hAnsi="Times New Roman" w:cs="Times New Roman"/>
                <w:i/>
                <w:noProof/>
                <w:sz w:val="24"/>
                <w:szCs w:val="24"/>
              </w:rPr>
              <w:t xml:space="preserve">EQ8: What is the additional value of the ERF actions compared to what the Member States would have </w:t>
            </w:r>
            <w:r>
              <w:rPr>
                <w:rFonts w:ascii="Times New Roman" w:hAnsi="Times New Roman" w:cs="Times New Roman"/>
                <w:i/>
                <w:noProof/>
                <w:sz w:val="24"/>
                <w:szCs w:val="24"/>
              </w:rPr>
              <w:t>been able to carry out through investments necessary for the implementation of EU policies in the field of asylum without the support of the Fund?</w:t>
            </w:r>
          </w:p>
          <w:p w:rsidR="00832624" w:rsidRDefault="0072318F">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Main conclusions: </w:t>
            </w:r>
            <w:r>
              <w:rPr>
                <w:rFonts w:ascii="Times New Roman" w:hAnsi="Times New Roman" w:cs="Times New Roman"/>
                <w:noProof/>
                <w:sz w:val="24"/>
                <w:szCs w:val="24"/>
              </w:rPr>
              <w:t xml:space="preserve">The evaluation concluded that all Member States considered that the EU funds allowed for </w:t>
            </w:r>
            <w:r>
              <w:rPr>
                <w:rFonts w:ascii="Times New Roman" w:hAnsi="Times New Roman" w:cs="Times New Roman"/>
                <w:noProof/>
                <w:sz w:val="24"/>
                <w:szCs w:val="24"/>
              </w:rPr>
              <w:t xml:space="preserve">funding innovative projects or projects aimed at specific target groups which, without the ERF, would not have been implemented. In addition, the added value of the ERF was crucial for Member States with less developed asylum systems. For some priorities, </w:t>
            </w:r>
            <w:r>
              <w:rPr>
                <w:rFonts w:ascii="Times New Roman" w:hAnsi="Times New Roman" w:cs="Times New Roman"/>
                <w:noProof/>
                <w:sz w:val="24"/>
                <w:szCs w:val="24"/>
              </w:rPr>
              <w:t>it is questionable, however: there was no added value as regards Member States’ cooperation and exchange of best practices.</w:t>
            </w:r>
          </w:p>
        </w:tc>
      </w:tr>
    </w:tbl>
    <w:p w:rsidR="00832624" w:rsidRDefault="0072318F">
      <w:pPr>
        <w:spacing w:before="240"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the ERF Decision</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lang w:val="en-GB"/>
        </w:rPr>
        <w:t xml:space="preserve">, the expected added value of the Fund was ‘to promote a balance of efforts between Member States in </w:t>
      </w:r>
      <w:r>
        <w:rPr>
          <w:rFonts w:ascii="Times New Roman" w:hAnsi="Times New Roman" w:cs="Times New Roman"/>
          <w:noProof/>
          <w:sz w:val="24"/>
          <w:szCs w:val="24"/>
          <w:lang w:val="en-GB"/>
        </w:rPr>
        <w:t>receiving refugees and displaced persons’, since this objective could not be sufficiently achieved by the Member States acting alone. Added value brought in by the Fund was therefore assessed as regards the financial impact of the funding ("financial added</w:t>
      </w:r>
      <w:r>
        <w:rPr>
          <w:rFonts w:ascii="Times New Roman" w:hAnsi="Times New Roman" w:cs="Times New Roman"/>
          <w:noProof/>
          <w:sz w:val="24"/>
          <w:szCs w:val="24"/>
          <w:lang w:val="en-GB"/>
        </w:rPr>
        <w:t xml:space="preserve"> value") and the added value resulting from greater cooperation and more effective practices within Member States.</w:t>
      </w: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Financial added value</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financial added value of the ERF was widely recognised by beneficiaries and RAs. All 27 Member States confirmed tha</w:t>
      </w:r>
      <w:r>
        <w:rPr>
          <w:rFonts w:ascii="Times New Roman" w:hAnsi="Times New Roman" w:cs="Times New Roman"/>
          <w:noProof/>
          <w:sz w:val="24"/>
          <w:szCs w:val="24"/>
          <w:lang w:val="en-GB"/>
        </w:rPr>
        <w:t xml:space="preserve">t it would not have been possible to implement additional projects and actions without the support of the Fund. Three quarters of the beneficiaries involved in the </w:t>
      </w:r>
      <w:r>
        <w:rPr>
          <w:rFonts w:ascii="Times New Roman" w:hAnsi="Times New Roman" w:cs="Times New Roman"/>
          <w:i/>
          <w:noProof/>
          <w:sz w:val="24"/>
          <w:szCs w:val="24"/>
          <w:lang w:val="en-GB"/>
        </w:rPr>
        <w:t xml:space="preserve">ex post </w:t>
      </w:r>
      <w:r>
        <w:rPr>
          <w:rFonts w:ascii="Times New Roman" w:hAnsi="Times New Roman" w:cs="Times New Roman"/>
          <w:noProof/>
          <w:sz w:val="24"/>
          <w:szCs w:val="24"/>
          <w:lang w:val="en-GB"/>
        </w:rPr>
        <w:t>evaluation survey confirmed this. A total of 13 Member States stated that the ERF wa</w:t>
      </w:r>
      <w:r>
        <w:rPr>
          <w:rFonts w:ascii="Times New Roman" w:hAnsi="Times New Roman" w:cs="Times New Roman"/>
          <w:noProof/>
          <w:sz w:val="24"/>
          <w:szCs w:val="24"/>
          <w:lang w:val="en-GB"/>
        </w:rPr>
        <w:t>s used to target types of service that go beyond what the state is responsible for or able to deliver. In some Member States</w:t>
      </w:r>
      <w:r>
        <w:rPr>
          <w:rStyle w:val="FootnoteReference"/>
          <w:rFonts w:ascii="Times New Roman" w:hAnsi="Times New Roman" w:cs="Times New Roman"/>
          <w:noProof/>
          <w:sz w:val="24"/>
          <w:szCs w:val="24"/>
        </w:rPr>
        <w:footnoteReference w:id="107"/>
      </w:r>
      <w:r>
        <w:rPr>
          <w:rFonts w:ascii="Times New Roman" w:hAnsi="Times New Roman" w:cs="Times New Roman"/>
          <w:noProof/>
          <w:sz w:val="24"/>
          <w:szCs w:val="24"/>
          <w:lang w:val="en-GB"/>
        </w:rPr>
        <w:t xml:space="preserve"> with less developed or recent asylum systems, where asylum issues were not a priority and national resources were limited</w:t>
      </w:r>
      <w:r>
        <w:rPr>
          <w:rStyle w:val="FootnoteReference"/>
          <w:rFonts w:ascii="Times New Roman" w:hAnsi="Times New Roman" w:cs="Times New Roman"/>
          <w:noProof/>
          <w:sz w:val="24"/>
          <w:szCs w:val="24"/>
        </w:rPr>
        <w:footnoteReference w:id="108"/>
      </w:r>
      <w:r>
        <w:rPr>
          <w:rFonts w:ascii="Times New Roman" w:hAnsi="Times New Roman" w:cs="Times New Roman"/>
          <w:noProof/>
          <w:sz w:val="24"/>
          <w:szCs w:val="24"/>
          <w:lang w:val="en-GB"/>
        </w:rPr>
        <w:t>, the ER</w:t>
      </w:r>
      <w:r>
        <w:rPr>
          <w:rFonts w:ascii="Times New Roman" w:hAnsi="Times New Roman" w:cs="Times New Roman"/>
          <w:noProof/>
          <w:sz w:val="24"/>
          <w:szCs w:val="24"/>
          <w:lang w:val="en-GB"/>
        </w:rPr>
        <w:t>F contributed significantly to the establishment of national asylum systems. In most other contexts, it provided an opportunity to finance innovative projects by testing new methodologies or facilities</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lang w:val="en-GB"/>
        </w:rPr>
        <w:t>, to enlarge the scope of activities by financing addi</w:t>
      </w:r>
      <w:r>
        <w:rPr>
          <w:rFonts w:ascii="Times New Roman" w:hAnsi="Times New Roman" w:cs="Times New Roman"/>
          <w:noProof/>
          <w:sz w:val="24"/>
          <w:szCs w:val="24"/>
          <w:lang w:val="en-GB"/>
        </w:rPr>
        <w:t>tional services outside the remit of the state or to focus more on specific target groups.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Finally, the importance of ERF funding as a proportion of a Member State’s total asylum budget tended to follow two trends. In Western and Northern Member States </w:t>
      </w:r>
      <w:r>
        <w:rPr>
          <w:rFonts w:ascii="Times New Roman" w:hAnsi="Times New Roman" w:cs="Times New Roman"/>
          <w:noProof/>
          <w:sz w:val="24"/>
          <w:szCs w:val="24"/>
          <w:lang w:val="en-GB"/>
        </w:rPr>
        <w:t>with mature asylum systems, it was very low (e.g. less than 3 %) as it only financed a small fraction of the overall costs for Member States of running their asylum systems. For other Member States, it reached up to 50 %, indicating clear and vital added v</w:t>
      </w:r>
      <w:r>
        <w:rPr>
          <w:rFonts w:ascii="Times New Roman" w:hAnsi="Times New Roman" w:cs="Times New Roman"/>
          <w:noProof/>
          <w:sz w:val="24"/>
          <w:szCs w:val="24"/>
          <w:lang w:val="en-GB"/>
        </w:rPr>
        <w:t>alue. In these Member States, the ERF played a crucial role in the modernisation of the asylum system: it allowed the introduction or improvement of structures in compliance with the EU asylum</w:t>
      </w:r>
      <w:r>
        <w:rPr>
          <w:rFonts w:ascii="Times New Roman" w:hAnsi="Times New Roman" w:cs="Times New Roman"/>
          <w:i/>
          <w:noProof/>
          <w:sz w:val="24"/>
          <w:szCs w:val="24"/>
          <w:lang w:val="en-GB"/>
        </w:rPr>
        <w:t xml:space="preserve"> acquis</w:t>
      </w:r>
      <w:r>
        <w:rPr>
          <w:rFonts w:ascii="Times New Roman" w:hAnsi="Times New Roman" w:cs="Times New Roman"/>
          <w:noProof/>
          <w:sz w:val="24"/>
          <w:szCs w:val="24"/>
          <w:lang w:val="en-GB"/>
        </w:rPr>
        <w:t xml:space="preserve"> and it is reasonable to assume that much less or nothing</w:t>
      </w:r>
      <w:r>
        <w:rPr>
          <w:rFonts w:ascii="Times New Roman" w:hAnsi="Times New Roman" w:cs="Times New Roman"/>
          <w:noProof/>
          <w:sz w:val="24"/>
          <w:szCs w:val="24"/>
          <w:lang w:val="en-GB"/>
        </w:rPr>
        <w:t xml:space="preserve"> would have happened without the ERF. In a system of 'perfect' solidarity, the ERF should probably have to finance all costs related to maintaining the asylum systems, however, this would mean that the annual budget of the ERF should have been much more im</w:t>
      </w:r>
      <w:r>
        <w:rPr>
          <w:rFonts w:ascii="Times New Roman" w:hAnsi="Times New Roman" w:cs="Times New Roman"/>
          <w:noProof/>
          <w:sz w:val="24"/>
          <w:szCs w:val="24"/>
          <w:lang w:val="en-GB"/>
        </w:rPr>
        <w:t>portant.</w:t>
      </w: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Added value in terms of cooperation and exchange of best practices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assessment of the added value of the ERF in terms of development of deeper cooperation between stakeholders in the field of asylum was mixt</w:t>
      </w:r>
      <w:r>
        <w:rPr>
          <w:rStyle w:val="FootnoteReference"/>
          <w:rFonts w:ascii="Times New Roman" w:hAnsi="Times New Roman" w:cs="Times New Roman"/>
          <w:noProof/>
          <w:sz w:val="24"/>
          <w:szCs w:val="24"/>
          <w:lang w:val="en-GB"/>
        </w:rPr>
        <w:footnoteReference w:id="110"/>
      </w:r>
      <w:r>
        <w:rPr>
          <w:rFonts w:ascii="Times New Roman" w:hAnsi="Times New Roman" w:cs="Times New Roman"/>
          <w:noProof/>
          <w:sz w:val="24"/>
          <w:szCs w:val="24"/>
          <w:lang w:val="en-GB"/>
        </w:rPr>
        <w:t>. According to the interviews with R</w:t>
      </w:r>
      <w:r>
        <w:rPr>
          <w:rFonts w:ascii="Times New Roman" w:hAnsi="Times New Roman" w:cs="Times New Roman"/>
          <w:noProof/>
          <w:sz w:val="24"/>
          <w:szCs w:val="24"/>
          <w:lang w:val="en-GB"/>
        </w:rPr>
        <w:t>As, only a few networks were created or sustained through ERF funding and the sharing of best practices was not as widespread or intensive as expected. Some Member States</w:t>
      </w:r>
      <w:r>
        <w:rPr>
          <w:rStyle w:val="FootnoteReference"/>
          <w:rFonts w:ascii="Times New Roman" w:hAnsi="Times New Roman" w:cs="Times New Roman"/>
          <w:noProof/>
          <w:sz w:val="24"/>
          <w:szCs w:val="24"/>
        </w:rPr>
        <w:footnoteReference w:id="111"/>
      </w:r>
      <w:r>
        <w:rPr>
          <w:rFonts w:ascii="Times New Roman" w:hAnsi="Times New Roman" w:cs="Times New Roman"/>
          <w:noProof/>
          <w:sz w:val="24"/>
          <w:szCs w:val="24"/>
          <w:lang w:val="en-GB"/>
        </w:rPr>
        <w:t xml:space="preserve"> did not see the ERF as a tool to foster cooperation and responsibility</w:t>
      </w:r>
      <w:r>
        <w:rPr>
          <w:rFonts w:ascii="Times New Roman" w:hAnsi="Times New Roman" w:cs="Times New Roman"/>
          <w:noProof/>
          <w:sz w:val="24"/>
          <w:szCs w:val="24"/>
          <w:lang w:val="en-GB"/>
        </w:rPr>
        <w:noBreakHyphen/>
        <w:t>sharing. Neve</w:t>
      </w:r>
      <w:r>
        <w:rPr>
          <w:rFonts w:ascii="Times New Roman" w:hAnsi="Times New Roman" w:cs="Times New Roman"/>
          <w:noProof/>
          <w:sz w:val="24"/>
          <w:szCs w:val="24"/>
          <w:lang w:val="en-GB"/>
        </w:rPr>
        <w:t>rtheless, some said that the ERF had influenced the design of their national policies.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 the other hand, according beneficiaries, the ERF brought added value to project beneficiaries in terms of professionalisation</w:t>
      </w:r>
      <w:r>
        <w:rPr>
          <w:rStyle w:val="FootnoteReference"/>
          <w:rFonts w:ascii="Times New Roman" w:hAnsi="Times New Roman" w:cs="Times New Roman"/>
          <w:noProof/>
          <w:sz w:val="24"/>
          <w:szCs w:val="24"/>
        </w:rPr>
        <w:footnoteReference w:id="112"/>
      </w:r>
      <w:r>
        <w:rPr>
          <w:rFonts w:ascii="Times New Roman" w:hAnsi="Times New Roman" w:cs="Times New Roman"/>
          <w:noProof/>
          <w:sz w:val="24"/>
          <w:szCs w:val="24"/>
          <w:lang w:val="en-GB"/>
        </w:rPr>
        <w:t xml:space="preserve"> of organisations, improved knowledge of</w:t>
      </w:r>
      <w:r>
        <w:rPr>
          <w:rFonts w:ascii="Times New Roman" w:hAnsi="Times New Roman" w:cs="Times New Roman"/>
          <w:noProof/>
          <w:sz w:val="24"/>
          <w:szCs w:val="24"/>
          <w:lang w:val="en-GB"/>
        </w:rPr>
        <w:t xml:space="preserve"> asylum issues, and recognition and legitimacy due to the European dimension of the ERF. According to 19 Member States</w:t>
      </w:r>
      <w:r>
        <w:rPr>
          <w:rStyle w:val="FootnoteReference"/>
          <w:rFonts w:ascii="Times New Roman" w:hAnsi="Times New Roman" w:cs="Times New Roman"/>
          <w:noProof/>
          <w:sz w:val="24"/>
          <w:szCs w:val="24"/>
        </w:rPr>
        <w:footnoteReference w:id="113"/>
      </w:r>
      <w:r>
        <w:rPr>
          <w:rFonts w:ascii="Times New Roman" w:hAnsi="Times New Roman" w:cs="Times New Roman"/>
          <w:noProof/>
          <w:sz w:val="24"/>
          <w:szCs w:val="24"/>
          <w:lang w:val="en-GB"/>
        </w:rPr>
        <w:t>, the Fund enabled national project beneficiaries to improve their internal processes, enhance their projects and budget management skill</w:t>
      </w:r>
      <w:r>
        <w:rPr>
          <w:rFonts w:ascii="Times New Roman" w:hAnsi="Times New Roman" w:cs="Times New Roman"/>
          <w:noProof/>
          <w:sz w:val="24"/>
          <w:szCs w:val="24"/>
          <w:lang w:val="en-GB"/>
        </w:rPr>
        <w:t>s, and implement new evaluation methodologies.</w:t>
      </w:r>
    </w:p>
    <w:p w:rsidR="00832624" w:rsidRDefault="0072318F">
      <w:pPr>
        <w:pStyle w:val="Heading1"/>
        <w:rPr>
          <w:noProof/>
        </w:rPr>
      </w:pPr>
      <w:bookmarkStart w:id="44" w:name="_Toc515378899"/>
      <w:r>
        <w:rPr>
          <w:noProof/>
        </w:rPr>
        <w:t>Conclusion</w:t>
      </w:r>
      <w:bookmarkEnd w:id="44"/>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Throughout this evaluation, the ERF 2011-2013 actions have been assessed on the basis of their contribution to the establishment of the burden sharing and solidarity system required by Member States</w:t>
      </w:r>
      <w:r>
        <w:rPr>
          <w:rFonts w:ascii="Times New Roman" w:hAnsi="Times New Roman" w:cs="Times New Roman"/>
          <w:noProof/>
          <w:sz w:val="24"/>
          <w:szCs w:val="24"/>
          <w:lang w:val="en-GB"/>
        </w:rPr>
        <w:t xml:space="preserve"> for receiving and bearing the consequences of receiving refugees and displaced persons.</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Over this period, the ERF was implemented in a rapidly changing context which posed many challenges, and was shortly followed by a severe and unexpected migratory and </w:t>
      </w:r>
      <w:r>
        <w:rPr>
          <w:rFonts w:ascii="Times New Roman" w:hAnsi="Times New Roman" w:cs="Times New Roman"/>
          <w:noProof/>
          <w:sz w:val="24"/>
          <w:szCs w:val="24"/>
          <w:lang w:val="en-GB"/>
        </w:rPr>
        <w:t>humanitarian crisis in the Member States. In this context, the ex post evaluation provides evidence that the ERF responded effectively to those challenges and delivered a wide range of results. The ERF has been effective at Member States level to implement</w:t>
      </w:r>
      <w:r>
        <w:rPr>
          <w:rFonts w:ascii="Times New Roman" w:hAnsi="Times New Roman" w:cs="Times New Roman"/>
          <w:noProof/>
          <w:sz w:val="24"/>
          <w:szCs w:val="24"/>
          <w:lang w:val="en-GB"/>
        </w:rPr>
        <w:t xml:space="preserve"> the operational aspects of the European asylum system by increasing the capacities of the Member States. In some Member States  with less developed or recent asylum systems, where asylum issues were not a priority and national resources were limited, the </w:t>
      </w:r>
      <w:r>
        <w:rPr>
          <w:rFonts w:ascii="Times New Roman" w:hAnsi="Times New Roman" w:cs="Times New Roman"/>
          <w:noProof/>
          <w:sz w:val="24"/>
          <w:szCs w:val="24"/>
          <w:lang w:val="en-GB"/>
        </w:rPr>
        <w:t>ERF contributed significantly to the establishment of national asylum systems. The Fund provided an opportunity to finance innovative projects by testing new methodologies or facilities, to enlarge the scope of activities by financing additional services o</w:t>
      </w:r>
      <w:r>
        <w:rPr>
          <w:rFonts w:ascii="Times New Roman" w:hAnsi="Times New Roman" w:cs="Times New Roman"/>
          <w:noProof/>
          <w:sz w:val="24"/>
          <w:szCs w:val="24"/>
          <w:lang w:val="en-GB"/>
        </w:rPr>
        <w:t>utside the remit of the state or to focus more on specific target groups. However, the Fund contributed only partially to the development and implementation of EU policy and legislation in the field of asylum due to the fact that following the unexpected m</w:t>
      </w:r>
      <w:r>
        <w:rPr>
          <w:rFonts w:ascii="Times New Roman" w:hAnsi="Times New Roman" w:cs="Times New Roman"/>
          <w:noProof/>
          <w:sz w:val="24"/>
          <w:szCs w:val="24"/>
          <w:lang w:val="en-GB"/>
        </w:rPr>
        <w:t>igratory crisis, Member States focussed their efforts on the basic needs of the asylum applicants. The allocation system was also not relevant to the EU needs of convergence, solidarity and development of the CEAS. It relied on historical flows of asylum a</w:t>
      </w:r>
      <w:r>
        <w:rPr>
          <w:rFonts w:ascii="Times New Roman" w:hAnsi="Times New Roman" w:cs="Times New Roman"/>
          <w:noProof/>
          <w:sz w:val="24"/>
          <w:szCs w:val="24"/>
          <w:lang w:val="en-GB"/>
        </w:rPr>
        <w:t xml:space="preserve">pplicants. It should be pointed out that the effectiveness of the Emergency Measures mechanism mitigated this inconsistency. They played a key role in providing support to those Member States facing the greatest migration pressure. </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Furthermore, the ERF co</w:t>
      </w:r>
      <w:r>
        <w:rPr>
          <w:rFonts w:ascii="Times New Roman" w:hAnsi="Times New Roman" w:cs="Times New Roman"/>
          <w:noProof/>
          <w:sz w:val="24"/>
          <w:szCs w:val="24"/>
          <w:lang w:val="en-GB"/>
        </w:rPr>
        <w:t>ntributed to the increase of the Member States' capacities and appropriate infrastructures, especially in Member States, which lagged behind in terms of asylum policy development.</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helped to identify some lessons for the future, most of them </w:t>
      </w:r>
      <w:r>
        <w:rPr>
          <w:rFonts w:ascii="Times New Roman" w:hAnsi="Times New Roman" w:cs="Times New Roman"/>
          <w:noProof/>
          <w:sz w:val="24"/>
          <w:szCs w:val="24"/>
          <w:lang w:val="en-GB"/>
        </w:rPr>
        <w:t xml:space="preserve">have been addressed under AMIF. </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First of all, the </w:t>
      </w:r>
      <w:r>
        <w:rPr>
          <w:rFonts w:ascii="Times New Roman" w:hAnsi="Times New Roman" w:cs="Times New Roman"/>
          <w:b/>
          <w:noProof/>
          <w:sz w:val="24"/>
          <w:szCs w:val="24"/>
          <w:lang w:val="en-GB"/>
        </w:rPr>
        <w:t>formulation of Priority 1</w:t>
      </w:r>
      <w:r>
        <w:rPr>
          <w:rFonts w:ascii="Times New Roman" w:hAnsi="Times New Roman" w:cs="Times New Roman"/>
          <w:noProof/>
          <w:sz w:val="24"/>
          <w:szCs w:val="24"/>
          <w:lang w:val="en-GB"/>
        </w:rPr>
        <w:t xml:space="preserve"> was broad and covered potentially all types of needs. This created an unbalanced uptake at national level for the other priorities of the Fund. Under the AMIF Regulation, the arti</w:t>
      </w:r>
      <w:r>
        <w:rPr>
          <w:rFonts w:ascii="Times New Roman" w:hAnsi="Times New Roman" w:cs="Times New Roman"/>
          <w:noProof/>
          <w:sz w:val="24"/>
          <w:szCs w:val="24"/>
          <w:lang w:val="en-GB"/>
        </w:rPr>
        <w:t>cle related to Reception and Asylum Systems is still broad. However, Member States indicated their priorities in the National Programmes that were adopted after policy dialogue with the European Commission. Compared to the ERF programming period, in AMIF t</w:t>
      </w:r>
      <w:r>
        <w:rPr>
          <w:rFonts w:ascii="Times New Roman" w:hAnsi="Times New Roman" w:cs="Times New Roman"/>
          <w:noProof/>
          <w:sz w:val="24"/>
          <w:szCs w:val="24"/>
          <w:lang w:val="en-GB"/>
        </w:rPr>
        <w:t xml:space="preserve">he setting-up of the national programmes is the result of the outcomes of a policy dialogue between the European Commission and the Member States.    </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Another issue identified during the evaluation was the </w:t>
      </w:r>
      <w:r>
        <w:rPr>
          <w:rFonts w:ascii="Times New Roman" w:hAnsi="Times New Roman" w:cs="Times New Roman"/>
          <w:b/>
          <w:noProof/>
          <w:sz w:val="24"/>
          <w:szCs w:val="24"/>
          <w:lang w:val="en-GB"/>
        </w:rPr>
        <w:t>absence in the ERF of effective monitoring and eva</w:t>
      </w:r>
      <w:r>
        <w:rPr>
          <w:rFonts w:ascii="Times New Roman" w:hAnsi="Times New Roman" w:cs="Times New Roman"/>
          <w:b/>
          <w:noProof/>
          <w:sz w:val="24"/>
          <w:szCs w:val="24"/>
          <w:lang w:val="en-GB"/>
        </w:rPr>
        <w:t xml:space="preserve">luation mechanisms. </w:t>
      </w:r>
      <w:r>
        <w:rPr>
          <w:rFonts w:ascii="Times New Roman" w:hAnsi="Times New Roman" w:cs="Times New Roman"/>
          <w:noProof/>
          <w:sz w:val="24"/>
          <w:szCs w:val="24"/>
          <w:lang w:val="en-GB"/>
        </w:rPr>
        <w:t>The European Commission</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has addressed this issue for the 2014-2020 programming period by developing a common monitoring and evaluation framework. </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Regarding </w:t>
      </w:r>
      <w:r>
        <w:rPr>
          <w:rFonts w:ascii="Times New Roman" w:hAnsi="Times New Roman" w:cs="Times New Roman"/>
          <w:b/>
          <w:noProof/>
          <w:sz w:val="24"/>
          <w:szCs w:val="24"/>
          <w:lang w:val="en-GB"/>
        </w:rPr>
        <w:t>efficiency</w:t>
      </w:r>
      <w:r>
        <w:rPr>
          <w:rFonts w:ascii="Times New Roman" w:hAnsi="Times New Roman" w:cs="Times New Roman"/>
          <w:noProof/>
          <w:sz w:val="24"/>
          <w:szCs w:val="24"/>
          <w:lang w:val="en-GB"/>
        </w:rPr>
        <w:t xml:space="preserve">, the evaluation identified the lack of efficiency of funding to </w:t>
      </w:r>
      <w:r>
        <w:rPr>
          <w:rFonts w:ascii="Times New Roman" w:hAnsi="Times New Roman" w:cs="Times New Roman"/>
          <w:noProof/>
          <w:sz w:val="24"/>
          <w:szCs w:val="24"/>
          <w:lang w:val="en-GB"/>
        </w:rPr>
        <w:t>support less experienced Member States or those facing difficulties in the implementation of their management and monitoring systems. In consequence, in the context of AMIF, more emphasis on strategic programming was put through a closely follow-up of thos</w:t>
      </w:r>
      <w:r>
        <w:rPr>
          <w:rFonts w:ascii="Times New Roman" w:hAnsi="Times New Roman" w:cs="Times New Roman"/>
          <w:noProof/>
          <w:sz w:val="24"/>
          <w:szCs w:val="24"/>
          <w:lang w:val="en-GB"/>
        </w:rPr>
        <w:t>e Member States facing difficulties in the implementation of the funds. Furthermore, the AMIF foresees the organisation of a mid-term review of the multiannual national programs where the situation of each Member State is reviewed in the light of the inter</w:t>
      </w:r>
      <w:r>
        <w:rPr>
          <w:rFonts w:ascii="Times New Roman" w:hAnsi="Times New Roman" w:cs="Times New Roman"/>
          <w:noProof/>
          <w:sz w:val="24"/>
          <w:szCs w:val="24"/>
          <w:lang w:val="en-GB"/>
        </w:rPr>
        <w:t>im evaluation reports and in the light of developments in Union policies in the Member State concerned.</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Finally, </w:t>
      </w:r>
      <w:r>
        <w:rPr>
          <w:rFonts w:ascii="Times New Roman" w:hAnsi="Times New Roman" w:cs="Times New Roman"/>
          <w:b/>
          <w:noProof/>
          <w:sz w:val="24"/>
          <w:szCs w:val="24"/>
          <w:lang w:val="en-GB"/>
        </w:rPr>
        <w:t>the administrative burden</w:t>
      </w:r>
      <w:r>
        <w:rPr>
          <w:rFonts w:ascii="Times New Roman" w:hAnsi="Times New Roman" w:cs="Times New Roman"/>
          <w:noProof/>
          <w:sz w:val="24"/>
          <w:szCs w:val="24"/>
          <w:lang w:val="en-GB"/>
        </w:rPr>
        <w:t xml:space="preserve"> of the ERF was perceived as high. Improvements were made for the 2014-2020 programming period by the creation of only</w:t>
      </w:r>
      <w:r>
        <w:rPr>
          <w:rFonts w:ascii="Times New Roman" w:hAnsi="Times New Roman" w:cs="Times New Roman"/>
          <w:noProof/>
          <w:sz w:val="24"/>
          <w:szCs w:val="24"/>
          <w:lang w:val="en-GB"/>
        </w:rPr>
        <w:t xml:space="preserve"> one fund that covers all migration matters, the adoption of one single multiannual programme and the alignment of the eligibility rules on the national rules of the Member State. These latter are also encouraged to use the simplified costs options.</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Anothe</w:t>
      </w:r>
      <w:r>
        <w:rPr>
          <w:rFonts w:ascii="Times New Roman" w:hAnsi="Times New Roman" w:cs="Times New Roman"/>
          <w:noProof/>
          <w:sz w:val="24"/>
          <w:szCs w:val="24"/>
          <w:lang w:val="en-GB"/>
        </w:rPr>
        <w:t xml:space="preserve">r lesson from the evaluation was the </w:t>
      </w:r>
      <w:r>
        <w:rPr>
          <w:rFonts w:ascii="Times New Roman" w:hAnsi="Times New Roman" w:cs="Times New Roman"/>
          <w:b/>
          <w:noProof/>
          <w:sz w:val="24"/>
          <w:szCs w:val="24"/>
          <w:lang w:val="en-GB"/>
        </w:rPr>
        <w:t>solidarity dimension</w:t>
      </w:r>
      <w:r>
        <w:rPr>
          <w:rFonts w:ascii="Times New Roman" w:hAnsi="Times New Roman" w:cs="Times New Roman"/>
          <w:noProof/>
          <w:sz w:val="24"/>
          <w:szCs w:val="24"/>
          <w:lang w:val="en-GB"/>
        </w:rPr>
        <w:t xml:space="preserve">. When the ERF priorities were set, the enhancement of responsibility sharing between Member States and third countries remained optional. For this reason, certain issues related to resettlement and </w:t>
      </w:r>
      <w:r>
        <w:rPr>
          <w:rFonts w:ascii="Times New Roman" w:hAnsi="Times New Roman" w:cs="Times New Roman"/>
          <w:noProof/>
          <w:sz w:val="24"/>
          <w:szCs w:val="24"/>
          <w:lang w:val="en-GB"/>
        </w:rPr>
        <w:t>relocation were already addressed under AMIF by removing the optionality and by putting this specific objective at the same level as the others. However, the current discussion on the proposal for a revised Dublin regulation shows that consensus on solidar</w:t>
      </w:r>
      <w:r>
        <w:rPr>
          <w:rFonts w:ascii="Times New Roman" w:hAnsi="Times New Roman" w:cs="Times New Roman"/>
          <w:noProof/>
          <w:sz w:val="24"/>
          <w:szCs w:val="24"/>
          <w:lang w:val="en-GB"/>
        </w:rPr>
        <w:t>ity is difficult to achieve and that improvements are still needed. This issue should be addressed where possible during the current programming period or during the next MFF.</w:t>
      </w:r>
    </w:p>
    <w:p w:rsidR="00832624" w:rsidRDefault="0072318F">
      <w:pPr>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 xml:space="preserve">Lessons learnt </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stated above, the allocation mechanism of the ERF was based on historic inflows and did not take enough into account evolving needs of the Member States. Under AMIF, the distribution key is still based on the 2011-2013 allocation for the ERF, the EIF an</w:t>
      </w:r>
      <w:r>
        <w:rPr>
          <w:rFonts w:ascii="Times New Roman" w:hAnsi="Times New Roman" w:cs="Times New Roman"/>
          <w:noProof/>
          <w:sz w:val="24"/>
          <w:szCs w:val="24"/>
          <w:lang w:val="en-GB"/>
        </w:rPr>
        <w:t xml:space="preserve">d the RF although more flexibility is ensured by a much more important envelop allocated for emergency assistance. </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Moreover, as explained in section 5, the logical framework of the ERF was not well designed: the articulation between general objective and </w:t>
      </w:r>
      <w:r>
        <w:rPr>
          <w:rFonts w:ascii="Times New Roman" w:hAnsi="Times New Roman" w:cs="Times New Roman"/>
          <w:noProof/>
          <w:sz w:val="24"/>
          <w:szCs w:val="24"/>
          <w:lang w:val="en-GB"/>
        </w:rPr>
        <w:t>eligible actions, on the one hand, and between them and the priorities (and specific priorities) on the other hand, remained confused. Whilst the logical framework has been better defined with the AMIF, under each specific objective there is still the poss</w:t>
      </w:r>
      <w:r>
        <w:rPr>
          <w:rFonts w:ascii="Times New Roman" w:hAnsi="Times New Roman" w:cs="Times New Roman"/>
          <w:noProof/>
          <w:sz w:val="24"/>
          <w:szCs w:val="24"/>
          <w:lang w:val="en-GB"/>
        </w:rPr>
        <w:t>ibility for Member States to avoid investments in areas less "attractive". This issue should be addressed in the new generation of funds post 2020.</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Finally, as enounced above, AMIF successor should pronounce and fund increasingly the activities that promot</w:t>
      </w:r>
      <w:r>
        <w:rPr>
          <w:rFonts w:ascii="Times New Roman" w:hAnsi="Times New Roman" w:cs="Times New Roman"/>
          <w:noProof/>
          <w:sz w:val="24"/>
          <w:szCs w:val="24"/>
          <w:lang w:val="en-GB"/>
        </w:rPr>
        <w:t>e solidarity within the EU to jointly stem the challenges resulting from high migration.</w:t>
      </w:r>
    </w:p>
    <w:p w:rsidR="00832624" w:rsidRDefault="0072318F">
      <w:pPr>
        <w:jc w:val="both"/>
        <w:rPr>
          <w:rFonts w:ascii="Times New Roman" w:eastAsiaTheme="majorEastAsia" w:hAnsi="Times New Roman" w:cs="Times New Roman"/>
          <w:b/>
          <w:bCs/>
          <w:noProof/>
          <w:color w:val="365F91" w:themeColor="accent1" w:themeShade="BF"/>
          <w:sz w:val="24"/>
          <w:szCs w:val="24"/>
          <w:lang w:val="en-GB"/>
        </w:rPr>
      </w:pPr>
      <w:r>
        <w:rPr>
          <w:rFonts w:ascii="Times New Roman" w:hAnsi="Times New Roman" w:cs="Times New Roman"/>
          <w:noProof/>
          <w:sz w:val="24"/>
          <w:szCs w:val="24"/>
          <w:lang w:val="en-GB"/>
        </w:rPr>
        <w:t xml:space="preserve">The interim evaluation of AMIF will be completed in 2018 and will inform if the identified weaknesses have been addressed properly. The interim evaluation is expected </w:t>
      </w:r>
      <w:r>
        <w:rPr>
          <w:rFonts w:ascii="Times New Roman" w:hAnsi="Times New Roman" w:cs="Times New Roman"/>
          <w:noProof/>
          <w:sz w:val="24"/>
          <w:szCs w:val="24"/>
          <w:lang w:val="en-GB"/>
        </w:rPr>
        <w:t>to have an impact on the implementation of the AMIF in the remaining spending period 2019-2020. If not, this input will be taken up in the design of the post 2020 instruments.</w:t>
      </w:r>
      <w:r>
        <w:rPr>
          <w:rFonts w:ascii="Times New Roman" w:hAnsi="Times New Roman" w:cs="Times New Roman"/>
          <w:noProof/>
          <w:sz w:val="24"/>
          <w:szCs w:val="24"/>
          <w:lang w:val="en-GB"/>
        </w:rPr>
        <w:br w:type="page"/>
      </w:r>
    </w:p>
    <w:p w:rsidR="00832624" w:rsidRDefault="0072318F">
      <w:pPr>
        <w:pStyle w:val="Heading1"/>
        <w:rPr>
          <w:b w:val="0"/>
          <w:noProof/>
        </w:rPr>
      </w:pPr>
      <w:bookmarkStart w:id="45" w:name="_Toc515378900"/>
      <w:r>
        <w:rPr>
          <w:noProof/>
        </w:rPr>
        <w:t xml:space="preserve">ANNEX 1 — </w:t>
      </w:r>
      <w:r>
        <w:rPr>
          <w:b w:val="0"/>
          <w:noProof/>
        </w:rPr>
        <w:t>Procedural information</w:t>
      </w:r>
      <w:bookmarkEnd w:id="45"/>
    </w:p>
    <w:p w:rsidR="00832624" w:rsidRDefault="00832624">
      <w:pPr>
        <w:rPr>
          <w:rFonts w:ascii="Times New Roman" w:hAnsi="Times New Roman" w:cs="Times New Roman"/>
          <w:noProof/>
          <w:sz w:val="24"/>
          <w:szCs w:val="24"/>
          <w:lang w:val="en-GB"/>
        </w:rPr>
      </w:pPr>
    </w:p>
    <w:tbl>
      <w:tblPr>
        <w:tblStyle w:val="TableGrid"/>
        <w:tblpPr w:leftFromText="180" w:rightFromText="180" w:vertAnchor="text" w:tblpY="1"/>
        <w:tblOverlap w:val="never"/>
        <w:tblW w:w="0" w:type="auto"/>
        <w:tblLook w:val="04A0" w:firstRow="1" w:lastRow="0" w:firstColumn="1" w:lastColumn="0" w:noHBand="0" w:noVBand="1"/>
      </w:tblPr>
      <w:tblGrid>
        <w:gridCol w:w="3652"/>
        <w:gridCol w:w="5182"/>
      </w:tblGrid>
      <w:tr w:rsidR="00832624">
        <w:tc>
          <w:tcPr>
            <w:tcW w:w="3652" w:type="dxa"/>
            <w:shd w:val="clear" w:color="auto" w:fill="auto"/>
          </w:tcPr>
          <w:p w:rsidR="00832624" w:rsidRDefault="0072318F">
            <w:pPr>
              <w:pStyle w:val="NormalWeb"/>
              <w:rPr>
                <w:noProof/>
              </w:rPr>
            </w:pPr>
            <w:r>
              <w:rPr>
                <w:noProof/>
              </w:rPr>
              <w:t>Leading DG</w:t>
            </w:r>
          </w:p>
        </w:tc>
        <w:tc>
          <w:tcPr>
            <w:tcW w:w="5182" w:type="dxa"/>
          </w:tcPr>
          <w:p w:rsidR="00832624" w:rsidRDefault="0072318F">
            <w:pPr>
              <w:pStyle w:val="NormalWeb"/>
              <w:spacing w:before="0" w:beforeAutospacing="0" w:after="0" w:afterAutospacing="0"/>
              <w:rPr>
                <w:noProof/>
              </w:rPr>
            </w:pPr>
            <w:r>
              <w:rPr>
                <w:noProof/>
              </w:rPr>
              <w:t>DG HOME</w:t>
            </w:r>
          </w:p>
        </w:tc>
      </w:tr>
      <w:tr w:rsidR="00832624" w:rsidRPr="0072318F">
        <w:tc>
          <w:tcPr>
            <w:tcW w:w="3652" w:type="dxa"/>
            <w:shd w:val="clear" w:color="auto" w:fill="auto"/>
          </w:tcPr>
          <w:p w:rsidR="00832624" w:rsidRDefault="0072318F">
            <w:pPr>
              <w:pStyle w:val="NormalWeb"/>
              <w:rPr>
                <w:noProof/>
              </w:rPr>
            </w:pPr>
            <w:r>
              <w:rPr>
                <w:noProof/>
              </w:rPr>
              <w:t>Participating Units of DG</w:t>
            </w:r>
            <w:r>
              <w:rPr>
                <w:noProof/>
              </w:rPr>
              <w:t xml:space="preserve"> HOME</w:t>
            </w:r>
          </w:p>
        </w:tc>
        <w:tc>
          <w:tcPr>
            <w:tcW w:w="5182" w:type="dxa"/>
          </w:tcPr>
          <w:p w:rsidR="00832624" w:rsidRDefault="0072318F">
            <w:pPr>
              <w:pStyle w:val="NormalWeb"/>
              <w:spacing w:after="0"/>
              <w:rPr>
                <w:noProof/>
              </w:rPr>
            </w:pPr>
            <w:r>
              <w:rPr>
                <w:noProof/>
              </w:rPr>
              <w:t>A2 – Legal Affairs</w:t>
            </w:r>
            <w:r>
              <w:rPr>
                <w:noProof/>
              </w:rPr>
              <w:br/>
              <w:t>C3 – Asylum</w:t>
            </w:r>
            <w:r>
              <w:rPr>
                <w:noProof/>
              </w:rPr>
              <w:br/>
              <w:t xml:space="preserve">C4 –  Migration management support </w:t>
            </w:r>
            <w:r>
              <w:rPr>
                <w:noProof/>
              </w:rPr>
              <w:br/>
              <w:t>E1 – Union Actions</w:t>
            </w:r>
            <w:r>
              <w:rPr>
                <w:noProof/>
              </w:rPr>
              <w:br/>
              <w:t>E2 – National programmes for South and East Europe, evaluation, AMF/ISF Committee</w:t>
            </w:r>
            <w:r>
              <w:rPr>
                <w:noProof/>
              </w:rPr>
              <w:br/>
              <w:t>E3 - National programmes for North and West Europe, budget, MFF, agencies</w:t>
            </w:r>
          </w:p>
        </w:tc>
      </w:tr>
      <w:tr w:rsidR="00832624">
        <w:tc>
          <w:tcPr>
            <w:tcW w:w="3652" w:type="dxa"/>
            <w:shd w:val="clear" w:color="auto" w:fill="auto"/>
          </w:tcPr>
          <w:p w:rsidR="00832624" w:rsidRDefault="0072318F">
            <w:pPr>
              <w:pStyle w:val="NormalWeb"/>
              <w:rPr>
                <w:noProof/>
              </w:rPr>
            </w:pPr>
            <w:r>
              <w:rPr>
                <w:noProof/>
              </w:rPr>
              <w:t>Partici</w:t>
            </w:r>
            <w:r>
              <w:rPr>
                <w:noProof/>
              </w:rPr>
              <w:t xml:space="preserve">pating DGs </w:t>
            </w:r>
          </w:p>
        </w:tc>
        <w:tc>
          <w:tcPr>
            <w:tcW w:w="5182" w:type="dxa"/>
          </w:tcPr>
          <w:p w:rsidR="00832624" w:rsidRDefault="0072318F">
            <w:pPr>
              <w:pStyle w:val="NormalWeb"/>
              <w:spacing w:before="0" w:beforeAutospacing="0" w:after="0" w:afterAutospacing="0"/>
              <w:rPr>
                <w:noProof/>
              </w:rPr>
            </w:pPr>
            <w:r>
              <w:rPr>
                <w:noProof/>
              </w:rPr>
              <w:t>Secretariat General</w:t>
            </w:r>
          </w:p>
          <w:p w:rsidR="00832624" w:rsidRDefault="0072318F">
            <w:pPr>
              <w:pStyle w:val="NormalWeb"/>
              <w:spacing w:before="0" w:beforeAutospacing="0" w:after="0" w:afterAutospacing="0"/>
              <w:rPr>
                <w:noProof/>
              </w:rPr>
            </w:pPr>
            <w:r>
              <w:rPr>
                <w:noProof/>
              </w:rPr>
              <w:t>DG BUDG</w:t>
            </w:r>
          </w:p>
          <w:p w:rsidR="00832624" w:rsidRDefault="0072318F">
            <w:pPr>
              <w:pStyle w:val="NormalWeb"/>
              <w:spacing w:before="0" w:beforeAutospacing="0" w:after="0" w:afterAutospacing="0"/>
              <w:rPr>
                <w:noProof/>
              </w:rPr>
            </w:pPr>
            <w:r>
              <w:rPr>
                <w:noProof/>
              </w:rPr>
              <w:t>DG JUST</w:t>
            </w:r>
          </w:p>
          <w:p w:rsidR="00832624" w:rsidRDefault="0072318F">
            <w:pPr>
              <w:pStyle w:val="NormalWeb"/>
              <w:spacing w:before="0" w:beforeAutospacing="0" w:after="0" w:afterAutospacing="0"/>
              <w:rPr>
                <w:noProof/>
              </w:rPr>
            </w:pPr>
            <w:r>
              <w:rPr>
                <w:noProof/>
              </w:rPr>
              <w:t>Legal service (SJ)</w:t>
            </w:r>
          </w:p>
        </w:tc>
      </w:tr>
      <w:tr w:rsidR="00832624">
        <w:tc>
          <w:tcPr>
            <w:tcW w:w="3652" w:type="dxa"/>
            <w:shd w:val="clear" w:color="auto" w:fill="auto"/>
          </w:tcPr>
          <w:p w:rsidR="00832624" w:rsidRDefault="0072318F">
            <w:pPr>
              <w:pStyle w:val="NormalWeb"/>
              <w:rPr>
                <w:noProof/>
              </w:rPr>
            </w:pPr>
            <w:r>
              <w:rPr>
                <w:noProof/>
              </w:rPr>
              <w:t>Roadmap approval</w:t>
            </w:r>
          </w:p>
        </w:tc>
        <w:tc>
          <w:tcPr>
            <w:tcW w:w="5182" w:type="dxa"/>
          </w:tcPr>
          <w:p w:rsidR="00832624" w:rsidRDefault="0072318F">
            <w:pPr>
              <w:pStyle w:val="NormalWeb"/>
              <w:rPr>
                <w:noProof/>
              </w:rPr>
            </w:pPr>
            <w:r>
              <w:rPr>
                <w:noProof/>
              </w:rPr>
              <w:t>December 2015</w:t>
            </w:r>
          </w:p>
        </w:tc>
      </w:tr>
      <w:tr w:rsidR="00832624" w:rsidRPr="0072318F">
        <w:tc>
          <w:tcPr>
            <w:tcW w:w="3652" w:type="dxa"/>
            <w:shd w:val="clear" w:color="auto" w:fill="auto"/>
          </w:tcPr>
          <w:p w:rsidR="00832624" w:rsidRDefault="0072318F">
            <w:pPr>
              <w:pStyle w:val="NormalWeb"/>
              <w:rPr>
                <w:noProof/>
              </w:rPr>
            </w:pPr>
            <w:r>
              <w:rPr>
                <w:noProof/>
              </w:rPr>
              <w:t>External consulting firm specialised in evaluation</w:t>
            </w:r>
          </w:p>
        </w:tc>
        <w:tc>
          <w:tcPr>
            <w:tcW w:w="5182" w:type="dxa"/>
          </w:tcPr>
          <w:p w:rsidR="00832624" w:rsidRDefault="0072318F">
            <w:pPr>
              <w:pStyle w:val="NormalWeb"/>
              <w:spacing w:before="0" w:beforeAutospacing="0" w:after="0" w:afterAutospacing="0"/>
              <w:rPr>
                <w:noProof/>
              </w:rPr>
            </w:pPr>
            <w:r>
              <w:rPr>
                <w:noProof/>
              </w:rPr>
              <w:t>Contract signed in April 2016 with consortium of:</w:t>
            </w:r>
          </w:p>
          <w:p w:rsidR="00832624" w:rsidRDefault="0072318F">
            <w:pPr>
              <w:pStyle w:val="NormalWeb"/>
              <w:spacing w:before="0" w:beforeAutospacing="0" w:after="0" w:afterAutospacing="0"/>
              <w:ind w:left="317"/>
              <w:rPr>
                <w:noProof/>
              </w:rPr>
            </w:pPr>
            <w:r>
              <w:rPr>
                <w:noProof/>
              </w:rPr>
              <w:t xml:space="preserve">Ernst &amp; Young Special Business Services (lead partner) </w:t>
            </w:r>
          </w:p>
          <w:p w:rsidR="00832624" w:rsidRDefault="0072318F">
            <w:pPr>
              <w:pStyle w:val="NormalWeb"/>
              <w:spacing w:before="0" w:beforeAutospacing="0" w:after="0" w:afterAutospacing="0"/>
              <w:ind w:left="317"/>
              <w:rPr>
                <w:noProof/>
              </w:rPr>
            </w:pPr>
            <w:r>
              <w:rPr>
                <w:noProof/>
              </w:rPr>
              <w:t xml:space="preserve">Center for International Legal Cooperation Rand Europa Community Interest Company </w:t>
            </w:r>
          </w:p>
        </w:tc>
      </w:tr>
      <w:tr w:rsidR="00832624">
        <w:tc>
          <w:tcPr>
            <w:tcW w:w="3652" w:type="dxa"/>
            <w:shd w:val="clear" w:color="auto" w:fill="auto"/>
          </w:tcPr>
          <w:p w:rsidR="00832624" w:rsidRDefault="0072318F">
            <w:pPr>
              <w:pStyle w:val="NormalWeb"/>
              <w:rPr>
                <w:noProof/>
              </w:rPr>
            </w:pPr>
            <w:r>
              <w:rPr>
                <w:noProof/>
              </w:rPr>
              <w:t>Number of steering group meetings</w:t>
            </w:r>
          </w:p>
        </w:tc>
        <w:tc>
          <w:tcPr>
            <w:tcW w:w="5182" w:type="dxa"/>
          </w:tcPr>
          <w:p w:rsidR="00832624" w:rsidRDefault="0072318F">
            <w:pPr>
              <w:pStyle w:val="NormalWeb"/>
              <w:rPr>
                <w:noProof/>
              </w:rPr>
            </w:pPr>
            <w:r>
              <w:rPr>
                <w:noProof/>
              </w:rPr>
              <w:t>6</w:t>
            </w:r>
          </w:p>
        </w:tc>
      </w:tr>
      <w:tr w:rsidR="00832624">
        <w:tc>
          <w:tcPr>
            <w:tcW w:w="3652" w:type="dxa"/>
            <w:shd w:val="clear" w:color="auto" w:fill="auto"/>
          </w:tcPr>
          <w:p w:rsidR="00832624" w:rsidRDefault="0072318F">
            <w:pPr>
              <w:pStyle w:val="NormalWeb"/>
              <w:rPr>
                <w:noProof/>
              </w:rPr>
            </w:pPr>
            <w:r>
              <w:rPr>
                <w:noProof/>
              </w:rPr>
              <w:t>Last deliverable handed in</w:t>
            </w:r>
          </w:p>
        </w:tc>
        <w:tc>
          <w:tcPr>
            <w:tcW w:w="5182" w:type="dxa"/>
          </w:tcPr>
          <w:p w:rsidR="00832624" w:rsidRDefault="0072318F">
            <w:pPr>
              <w:pStyle w:val="NormalWeb"/>
              <w:rPr>
                <w:noProof/>
              </w:rPr>
            </w:pPr>
            <w:r>
              <w:rPr>
                <w:noProof/>
              </w:rPr>
              <w:t>March 2017</w:t>
            </w:r>
          </w:p>
        </w:tc>
      </w:tr>
      <w:tr w:rsidR="00832624">
        <w:tc>
          <w:tcPr>
            <w:tcW w:w="3652" w:type="dxa"/>
            <w:shd w:val="clear" w:color="auto" w:fill="auto"/>
          </w:tcPr>
          <w:p w:rsidR="00832624" w:rsidRDefault="0072318F">
            <w:pPr>
              <w:pStyle w:val="NormalWeb"/>
              <w:rPr>
                <w:noProof/>
              </w:rPr>
            </w:pPr>
            <w:r>
              <w:rPr>
                <w:noProof/>
              </w:rPr>
              <w:t>Approval of the final report by Steering Group</w:t>
            </w:r>
          </w:p>
        </w:tc>
        <w:tc>
          <w:tcPr>
            <w:tcW w:w="5182" w:type="dxa"/>
          </w:tcPr>
          <w:p w:rsidR="00832624" w:rsidRDefault="0072318F">
            <w:pPr>
              <w:pStyle w:val="NormalWeb"/>
              <w:rPr>
                <w:noProof/>
              </w:rPr>
            </w:pPr>
            <w:r>
              <w:rPr>
                <w:noProof/>
              </w:rPr>
              <w:t>March 2017</w:t>
            </w:r>
          </w:p>
        </w:tc>
      </w:tr>
      <w:tr w:rsidR="00832624">
        <w:tc>
          <w:tcPr>
            <w:tcW w:w="3652" w:type="dxa"/>
            <w:shd w:val="clear" w:color="auto" w:fill="auto"/>
          </w:tcPr>
          <w:p w:rsidR="00832624" w:rsidRDefault="0072318F">
            <w:pPr>
              <w:pStyle w:val="NormalWeb"/>
              <w:rPr>
                <w:noProof/>
              </w:rPr>
            </w:pPr>
            <w:r>
              <w:rPr>
                <w:noProof/>
              </w:rPr>
              <w:t>RSB consultation</w:t>
            </w:r>
          </w:p>
        </w:tc>
        <w:tc>
          <w:tcPr>
            <w:tcW w:w="5182" w:type="dxa"/>
          </w:tcPr>
          <w:p w:rsidR="00832624" w:rsidRDefault="00832624">
            <w:pPr>
              <w:pStyle w:val="NormalWeb"/>
              <w:rPr>
                <w:noProof/>
              </w:rPr>
            </w:pPr>
          </w:p>
        </w:tc>
      </w:tr>
      <w:tr w:rsidR="00832624">
        <w:tc>
          <w:tcPr>
            <w:tcW w:w="3652" w:type="dxa"/>
            <w:shd w:val="clear" w:color="auto" w:fill="auto"/>
          </w:tcPr>
          <w:p w:rsidR="00832624" w:rsidRDefault="0072318F">
            <w:pPr>
              <w:rPr>
                <w:rFonts w:ascii="Times New Roman" w:hAnsi="Times New Roman" w:cs="Times New Roman"/>
                <w:noProof/>
                <w:sz w:val="24"/>
                <w:szCs w:val="24"/>
              </w:rPr>
            </w:pPr>
            <w:r>
              <w:rPr>
                <w:rFonts w:ascii="Times New Roman" w:hAnsi="Times New Roman" w:cs="Times New Roman"/>
                <w:noProof/>
                <w:sz w:val="24"/>
                <w:szCs w:val="24"/>
              </w:rPr>
              <w:t xml:space="preserve">Agenda planning </w:t>
            </w:r>
          </w:p>
        </w:tc>
        <w:tc>
          <w:tcPr>
            <w:tcW w:w="5182" w:type="dxa"/>
          </w:tcPr>
          <w:p w:rsidR="00832624" w:rsidRDefault="0072318F">
            <w:pPr>
              <w:pStyle w:val="NormalWeb"/>
              <w:rPr>
                <w:noProof/>
              </w:rPr>
            </w:pPr>
            <w:r>
              <w:rPr>
                <w:noProof/>
              </w:rPr>
              <w:t>2016/HOME/081</w:t>
            </w:r>
          </w:p>
        </w:tc>
      </w:tr>
    </w:tbl>
    <w:p w:rsidR="00832624" w:rsidRDefault="0072318F">
      <w:pPr>
        <w:pStyle w:val="BodyText"/>
        <w:rPr>
          <w:noProof/>
          <w:szCs w:val="24"/>
        </w:rPr>
      </w:pPr>
      <w:r>
        <w:rPr>
          <w:b/>
          <w:noProof/>
          <w:szCs w:val="24"/>
          <w:highlight w:val="lightGray"/>
        </w:rPr>
        <w:br w:type="textWrapping" w:clear="all"/>
      </w:r>
      <w:bookmarkStart w:id="46" w:name="_Toc495591364"/>
      <w:r>
        <w:rPr>
          <w:noProof/>
          <w:szCs w:val="24"/>
        </w:rPr>
        <w:t>Changes in response to the Regulatory Scrutiny Board's recommendations (Ares(2017)287965 of 8/06/2017)</w:t>
      </w:r>
      <w:bookmarkEnd w:id="46"/>
      <w:r>
        <w:rPr>
          <w:noProof/>
          <w:szCs w:val="24"/>
        </w:rPr>
        <w:t xml:space="preserve"> </w:t>
      </w:r>
    </w:p>
    <w:tbl>
      <w:tblPr>
        <w:tblStyle w:val="TableGrid"/>
        <w:tblW w:w="0" w:type="auto"/>
        <w:tblLook w:val="04A0" w:firstRow="1" w:lastRow="0" w:firstColumn="1" w:lastColumn="0" w:noHBand="0" w:noVBand="1"/>
      </w:tblPr>
      <w:tblGrid>
        <w:gridCol w:w="4644"/>
        <w:gridCol w:w="4253"/>
      </w:tblGrid>
      <w:tr w:rsidR="00832624">
        <w:tc>
          <w:tcPr>
            <w:tcW w:w="8897" w:type="dxa"/>
            <w:gridSpan w:val="2"/>
          </w:tcPr>
          <w:p w:rsidR="00832624" w:rsidRDefault="0072318F">
            <w:pPr>
              <w:autoSpaceDE w:val="0"/>
              <w:autoSpaceDN w:val="0"/>
              <w:adjustRightInd w:val="0"/>
              <w:spacing w:before="120"/>
              <w:rPr>
                <w:rFonts w:ascii="Times New Roman" w:hAnsi="Times New Roman" w:cs="Times New Roman"/>
                <w:noProof/>
                <w:sz w:val="24"/>
                <w:szCs w:val="24"/>
              </w:rPr>
            </w:pPr>
            <w:r>
              <w:rPr>
                <w:rFonts w:ascii="Times New Roman" w:hAnsi="Times New Roman" w:cs="Times New Roman"/>
                <w:b/>
                <w:bCs/>
                <w:noProof/>
                <w:color w:val="000000"/>
                <w:sz w:val="24"/>
                <w:szCs w:val="24"/>
              </w:rPr>
              <w:t xml:space="preserve"> Main considerations</w:t>
            </w:r>
          </w:p>
        </w:tc>
      </w:tr>
      <w:tr w:rsidR="00832624" w:rsidRPr="0072318F">
        <w:trPr>
          <w:trHeight w:val="1395"/>
        </w:trPr>
        <w:tc>
          <w:tcPr>
            <w:tcW w:w="4644" w:type="dxa"/>
          </w:tcPr>
          <w:p w:rsidR="00832624" w:rsidRDefault="00832624">
            <w:pPr>
              <w:autoSpaceDE w:val="0"/>
              <w:autoSpaceDN w:val="0"/>
              <w:adjustRightInd w:val="0"/>
              <w:rPr>
                <w:rFonts w:ascii="Times New Roman" w:hAnsi="Times New Roman" w:cs="Times New Roman"/>
                <w:bCs/>
                <w:noProof/>
                <w:color w:val="000000"/>
                <w:sz w:val="24"/>
                <w:szCs w:val="24"/>
              </w:rPr>
            </w:pPr>
          </w:p>
          <w:p w:rsidR="00832624" w:rsidRDefault="0072318F">
            <w:pPr>
              <w:autoSpaceDE w:val="0"/>
              <w:autoSpaceDN w:val="0"/>
              <w:adjustRightInd w:val="0"/>
              <w:rPr>
                <w:rFonts w:ascii="Times New Roman" w:hAnsi="Times New Roman" w:cs="Times New Roman"/>
                <w:bCs/>
                <w:noProof/>
                <w:color w:val="000000"/>
                <w:sz w:val="24"/>
                <w:szCs w:val="24"/>
                <w:u w:val="single"/>
              </w:rPr>
            </w:pPr>
            <w:r>
              <w:rPr>
                <w:rFonts w:ascii="Times New Roman" w:hAnsi="Times New Roman" w:cs="Times New Roman"/>
                <w:bCs/>
                <w:noProof/>
                <w:color w:val="000000"/>
                <w:sz w:val="24"/>
                <w:szCs w:val="24"/>
                <w:u w:val="single"/>
              </w:rPr>
              <w:t xml:space="preserve">Explicitly acknowledge that the intervention logic is weak, and that this makes it harder to evaluate the </w:t>
            </w:r>
            <w:r>
              <w:rPr>
                <w:rFonts w:ascii="Times New Roman" w:hAnsi="Times New Roman" w:cs="Times New Roman"/>
                <w:bCs/>
                <w:noProof/>
                <w:color w:val="000000"/>
                <w:sz w:val="24"/>
                <w:szCs w:val="24"/>
                <w:u w:val="single"/>
              </w:rPr>
              <w:t>programme's results.</w:t>
            </w:r>
          </w:p>
          <w:p w:rsidR="00832624" w:rsidRDefault="00832624">
            <w:pPr>
              <w:autoSpaceDE w:val="0"/>
              <w:autoSpaceDN w:val="0"/>
              <w:adjustRightInd w:val="0"/>
              <w:rPr>
                <w:rFonts w:ascii="Times New Roman" w:hAnsi="Times New Roman" w:cs="Times New Roman"/>
                <w:bCs/>
                <w:noProof/>
                <w:color w:val="000000"/>
                <w:sz w:val="24"/>
                <w:szCs w:val="24"/>
                <w:u w:val="single"/>
              </w:rPr>
            </w:pPr>
          </w:p>
        </w:tc>
        <w:tc>
          <w:tcPr>
            <w:tcW w:w="4253" w:type="dxa"/>
          </w:tcPr>
          <w:p w:rsidR="00832624" w:rsidRDefault="0072318F">
            <w:pPr>
              <w:rPr>
                <w:rFonts w:ascii="Times New Roman" w:hAnsi="Times New Roman" w:cs="Times New Roman"/>
                <w:noProof/>
                <w:sz w:val="24"/>
                <w:szCs w:val="24"/>
              </w:rPr>
            </w:pPr>
            <w:r>
              <w:rPr>
                <w:rFonts w:ascii="Times New Roman" w:hAnsi="Times New Roman" w:cs="Times New Roman"/>
                <w:noProof/>
                <w:sz w:val="24"/>
                <w:szCs w:val="24"/>
              </w:rPr>
              <w:t>Section 4 ‘The ERF as funding instrument</w:t>
            </w:r>
          </w:p>
        </w:tc>
      </w:tr>
      <w:tr w:rsidR="00832624" w:rsidRPr="0072318F">
        <w:trPr>
          <w:trHeight w:val="1082"/>
        </w:trPr>
        <w:tc>
          <w:tcPr>
            <w:tcW w:w="4644" w:type="dxa"/>
          </w:tcPr>
          <w:p w:rsidR="00832624" w:rsidRDefault="0072318F">
            <w:pPr>
              <w:autoSpaceDE w:val="0"/>
              <w:autoSpaceDN w:val="0"/>
              <w:adjustRightInd w:val="0"/>
              <w:rPr>
                <w:rFonts w:ascii="Times New Roman" w:hAnsi="Times New Roman" w:cs="Times New Roman"/>
                <w:bCs/>
                <w:noProof/>
                <w:color w:val="000000"/>
                <w:sz w:val="24"/>
                <w:szCs w:val="24"/>
                <w:u w:val="single"/>
              </w:rPr>
            </w:pPr>
            <w:r>
              <w:rPr>
                <w:rFonts w:ascii="Times New Roman" w:hAnsi="Times New Roman" w:cs="Times New Roman"/>
                <w:bCs/>
                <w:noProof/>
                <w:color w:val="000000"/>
                <w:sz w:val="24"/>
                <w:szCs w:val="24"/>
                <w:u w:val="single"/>
              </w:rPr>
              <w:t xml:space="preserve">Clarify how the evaluation assessed the Fund's effectiveness in the absence of specific EU-level objectives and targets. </w:t>
            </w:r>
          </w:p>
          <w:p w:rsidR="00832624" w:rsidRDefault="00832624">
            <w:pPr>
              <w:autoSpaceDE w:val="0"/>
              <w:autoSpaceDN w:val="0"/>
              <w:adjustRightInd w:val="0"/>
              <w:rPr>
                <w:rFonts w:ascii="Times New Roman" w:hAnsi="Times New Roman" w:cs="Times New Roman"/>
                <w:bCs/>
                <w:noProof/>
                <w:color w:val="000000"/>
                <w:sz w:val="24"/>
                <w:szCs w:val="24"/>
                <w:u w:val="single"/>
              </w:rPr>
            </w:pPr>
          </w:p>
        </w:tc>
        <w:tc>
          <w:tcPr>
            <w:tcW w:w="4253" w:type="dxa"/>
          </w:tcPr>
          <w:p w:rsidR="00832624" w:rsidRDefault="0072318F">
            <w:pPr>
              <w:rPr>
                <w:rFonts w:ascii="Times New Roman" w:hAnsi="Times New Roman" w:cs="Times New Roman"/>
                <w:noProof/>
                <w:sz w:val="24"/>
                <w:szCs w:val="24"/>
              </w:rPr>
            </w:pPr>
            <w:r>
              <w:rPr>
                <w:rFonts w:ascii="Times New Roman" w:hAnsi="Times New Roman" w:cs="Times New Roman"/>
                <w:noProof/>
                <w:sz w:val="24"/>
                <w:szCs w:val="24"/>
              </w:rPr>
              <w:t>Section 6 ‘Method’ and Section 9.2 ‘Effectiveness’</w:t>
            </w:r>
          </w:p>
        </w:tc>
      </w:tr>
      <w:tr w:rsidR="00832624" w:rsidRPr="0072318F">
        <w:trPr>
          <w:trHeight w:val="630"/>
        </w:trPr>
        <w:tc>
          <w:tcPr>
            <w:tcW w:w="4644" w:type="dxa"/>
          </w:tcPr>
          <w:p w:rsidR="00832624" w:rsidRDefault="0072318F">
            <w:pPr>
              <w:autoSpaceDE w:val="0"/>
              <w:autoSpaceDN w:val="0"/>
              <w:adjustRightInd w:val="0"/>
              <w:rPr>
                <w:rFonts w:ascii="Times New Roman" w:hAnsi="Times New Roman" w:cs="Times New Roman"/>
                <w:bCs/>
                <w:noProof/>
                <w:color w:val="000000"/>
                <w:sz w:val="24"/>
                <w:szCs w:val="24"/>
                <w:u w:val="single"/>
              </w:rPr>
            </w:pPr>
            <w:r>
              <w:rPr>
                <w:rFonts w:ascii="Times New Roman" w:hAnsi="Times New Roman" w:cs="Times New Roman"/>
                <w:bCs/>
                <w:noProof/>
                <w:color w:val="000000"/>
                <w:sz w:val="24"/>
                <w:szCs w:val="24"/>
                <w:u w:val="single"/>
              </w:rPr>
              <w:t xml:space="preserve">Demonstrate how the ERF applied the solidarity principle in practice. </w:t>
            </w:r>
          </w:p>
          <w:p w:rsidR="00832624" w:rsidRDefault="00832624">
            <w:pPr>
              <w:autoSpaceDE w:val="0"/>
              <w:autoSpaceDN w:val="0"/>
              <w:adjustRightInd w:val="0"/>
              <w:rPr>
                <w:rFonts w:ascii="Times New Roman" w:hAnsi="Times New Roman" w:cs="Times New Roman"/>
                <w:bCs/>
                <w:noProof/>
                <w:color w:val="000000"/>
                <w:sz w:val="24"/>
                <w:szCs w:val="24"/>
                <w:u w:val="single"/>
              </w:rPr>
            </w:pPr>
          </w:p>
        </w:tc>
        <w:tc>
          <w:tcPr>
            <w:tcW w:w="4253" w:type="dxa"/>
          </w:tcPr>
          <w:p w:rsidR="00832624" w:rsidRDefault="0072318F">
            <w:pPr>
              <w:keepNext/>
              <w:numPr>
                <w:ilvl w:val="1"/>
                <w:numId w:val="0"/>
              </w:numPr>
              <w:spacing w:after="240"/>
              <w:ind w:left="576" w:hanging="576"/>
              <w:outlineLvl w:val="1"/>
              <w:rPr>
                <w:rFonts w:ascii="Times New Roman" w:eastAsia="Times New Roman" w:hAnsi="Times New Roman" w:cs="Times New Roman"/>
                <w:b/>
                <w:bCs/>
                <w:noProof/>
                <w:sz w:val="24"/>
                <w:szCs w:val="24"/>
              </w:rPr>
            </w:pPr>
            <w:bookmarkStart w:id="47" w:name="_Toc515378901"/>
            <w:r>
              <w:rPr>
                <w:rFonts w:ascii="Times New Roman" w:hAnsi="Times New Roman" w:cs="Times New Roman"/>
                <w:noProof/>
                <w:sz w:val="24"/>
                <w:szCs w:val="24"/>
              </w:rPr>
              <w:t>Section 7.1 ‘</w:t>
            </w:r>
            <w:r>
              <w:rPr>
                <w:rFonts w:ascii="Times New Roman" w:eastAsia="Times New Roman" w:hAnsi="Times New Roman" w:cs="Times New Roman"/>
                <w:bCs/>
                <w:noProof/>
                <w:sz w:val="24"/>
                <w:szCs w:val="24"/>
                <w:lang w:eastAsia="de-DE"/>
              </w:rPr>
              <w:t>Shared management: Multiannual and Annual Programmes of the Member States’ and the explanations related to the allocation key</w:t>
            </w:r>
            <w:bookmarkEnd w:id="47"/>
          </w:p>
          <w:p w:rsidR="00832624" w:rsidRDefault="00832624">
            <w:pPr>
              <w:rPr>
                <w:rFonts w:ascii="Times New Roman" w:hAnsi="Times New Roman" w:cs="Times New Roman"/>
                <w:noProof/>
                <w:sz w:val="24"/>
                <w:szCs w:val="24"/>
              </w:rPr>
            </w:pPr>
          </w:p>
        </w:tc>
      </w:tr>
      <w:tr w:rsidR="00832624">
        <w:trPr>
          <w:trHeight w:val="720"/>
        </w:trPr>
        <w:tc>
          <w:tcPr>
            <w:tcW w:w="4644" w:type="dxa"/>
          </w:tcPr>
          <w:p w:rsidR="00832624" w:rsidRDefault="0072318F">
            <w:pPr>
              <w:autoSpaceDE w:val="0"/>
              <w:autoSpaceDN w:val="0"/>
              <w:adjustRightInd w:val="0"/>
              <w:rPr>
                <w:rFonts w:ascii="Times New Roman" w:hAnsi="Times New Roman" w:cs="Times New Roman"/>
                <w:bCs/>
                <w:noProof/>
                <w:color w:val="000000"/>
                <w:sz w:val="24"/>
                <w:szCs w:val="24"/>
                <w:u w:val="single"/>
              </w:rPr>
            </w:pPr>
            <w:r>
              <w:rPr>
                <w:rFonts w:ascii="Times New Roman" w:hAnsi="Times New Roman" w:cs="Times New Roman"/>
                <w:bCs/>
                <w:noProof/>
                <w:color w:val="000000"/>
                <w:sz w:val="24"/>
                <w:szCs w:val="24"/>
                <w:u w:val="single"/>
              </w:rPr>
              <w:t xml:space="preserve"> Show the extent to which emergency measures contributed to the Fund's flexibility.</w:t>
            </w:r>
          </w:p>
        </w:tc>
        <w:tc>
          <w:tcPr>
            <w:tcW w:w="4253" w:type="dxa"/>
          </w:tcPr>
          <w:p w:rsidR="00832624" w:rsidRDefault="0072318F">
            <w:pPr>
              <w:rPr>
                <w:rFonts w:ascii="Times New Roman" w:hAnsi="Times New Roman" w:cs="Times New Roman"/>
                <w:noProof/>
                <w:sz w:val="24"/>
                <w:szCs w:val="24"/>
              </w:rPr>
            </w:pPr>
            <w:r>
              <w:rPr>
                <w:rFonts w:ascii="Times New Roman" w:hAnsi="Times New Roman" w:cs="Times New Roman"/>
                <w:noProof/>
                <w:sz w:val="24"/>
                <w:szCs w:val="24"/>
              </w:rPr>
              <w:t>Section 9.1</w:t>
            </w:r>
          </w:p>
        </w:tc>
      </w:tr>
      <w:tr w:rsidR="00832624">
        <w:tc>
          <w:tcPr>
            <w:tcW w:w="4644" w:type="dxa"/>
          </w:tcPr>
          <w:p w:rsidR="00832624" w:rsidRDefault="0072318F">
            <w:pPr>
              <w:autoSpaceDE w:val="0"/>
              <w:autoSpaceDN w:val="0"/>
              <w:adjustRightInd w:val="0"/>
              <w:spacing w:before="120"/>
              <w:rPr>
                <w:rFonts w:ascii="Times New Roman" w:hAnsi="Times New Roman" w:cs="Times New Roman"/>
                <w:noProof/>
                <w:sz w:val="24"/>
                <w:szCs w:val="24"/>
              </w:rPr>
            </w:pPr>
            <w:r>
              <w:rPr>
                <w:rFonts w:ascii="Times New Roman" w:hAnsi="Times New Roman" w:cs="Times New Roman"/>
                <w:noProof/>
                <w:sz w:val="24"/>
                <w:szCs w:val="24"/>
              </w:rPr>
              <w:t>Streamline and harmonise the conclusions, and indicate lessons that are relevant for future action</w:t>
            </w:r>
          </w:p>
        </w:tc>
        <w:tc>
          <w:tcPr>
            <w:tcW w:w="4253" w:type="dxa"/>
          </w:tcPr>
          <w:p w:rsidR="00832624" w:rsidRDefault="0072318F">
            <w:pPr>
              <w:autoSpaceDE w:val="0"/>
              <w:autoSpaceDN w:val="0"/>
              <w:adjustRightInd w:val="0"/>
              <w:spacing w:before="120"/>
              <w:rPr>
                <w:rFonts w:ascii="Times New Roman" w:hAnsi="Times New Roman" w:cs="Times New Roman"/>
                <w:noProof/>
                <w:sz w:val="24"/>
                <w:szCs w:val="24"/>
              </w:rPr>
            </w:pPr>
            <w:r>
              <w:rPr>
                <w:rFonts w:ascii="Times New Roman" w:hAnsi="Times New Roman" w:cs="Times New Roman"/>
                <w:noProof/>
                <w:sz w:val="24"/>
                <w:szCs w:val="24"/>
              </w:rPr>
              <w:t>Conclusion</w:t>
            </w:r>
          </w:p>
        </w:tc>
      </w:tr>
    </w:tbl>
    <w:p w:rsidR="00832624" w:rsidRDefault="00832624">
      <w:pPr>
        <w:spacing w:before="120" w:after="120"/>
        <w:rPr>
          <w:rFonts w:ascii="Times New Roman" w:hAnsi="Times New Roman" w:cs="Times New Roman"/>
          <w:b/>
          <w:noProof/>
          <w:sz w:val="24"/>
          <w:szCs w:val="24"/>
          <w:lang w:val="en-GB"/>
        </w:rPr>
      </w:pPr>
    </w:p>
    <w:p w:rsidR="00832624" w:rsidRDefault="00832624">
      <w:pPr>
        <w:spacing w:line="240" w:lineRule="auto"/>
        <w:rPr>
          <w:rFonts w:ascii="Times New Roman" w:hAnsi="Times New Roman" w:cs="Times New Roman"/>
          <w:b/>
          <w:noProof/>
          <w:sz w:val="24"/>
          <w:szCs w:val="24"/>
          <w:highlight w:val="lightGray"/>
          <w:lang w:val="en-IE"/>
        </w:rPr>
      </w:pPr>
    </w:p>
    <w:p w:rsidR="00832624" w:rsidRDefault="0072318F">
      <w:pPr>
        <w:rPr>
          <w:rFonts w:ascii="Times New Roman" w:eastAsiaTheme="majorEastAsia" w:hAnsi="Times New Roman" w:cs="Times New Roman"/>
          <w:b/>
          <w:bCs/>
          <w:noProof/>
          <w:color w:val="365F91" w:themeColor="accent1" w:themeShade="BF"/>
          <w:sz w:val="24"/>
          <w:szCs w:val="24"/>
          <w:lang w:val="en-GB"/>
        </w:rPr>
      </w:pPr>
      <w:r>
        <w:rPr>
          <w:rFonts w:ascii="Times New Roman" w:hAnsi="Times New Roman" w:cs="Times New Roman"/>
          <w:noProof/>
          <w:sz w:val="24"/>
          <w:szCs w:val="24"/>
          <w:lang w:val="en-GB"/>
        </w:rPr>
        <w:br w:type="page"/>
      </w:r>
    </w:p>
    <w:p w:rsidR="00832624" w:rsidRDefault="0072318F">
      <w:pPr>
        <w:pStyle w:val="Heading1"/>
        <w:rPr>
          <w:b w:val="0"/>
          <w:noProof/>
        </w:rPr>
      </w:pPr>
      <w:bookmarkStart w:id="48" w:name="_Toc515378902"/>
      <w:r>
        <w:rPr>
          <w:noProof/>
        </w:rPr>
        <w:t xml:space="preserve">ANNEX 2 — </w:t>
      </w:r>
      <w:r>
        <w:rPr>
          <w:b w:val="0"/>
          <w:noProof/>
        </w:rPr>
        <w:t>Stakeholders’ consultation</w:t>
      </w:r>
      <w:bookmarkEnd w:id="48"/>
    </w:p>
    <w:p w:rsidR="00832624" w:rsidRDefault="00832624">
      <w:pPr>
        <w:spacing w:after="120"/>
        <w:rPr>
          <w:noProof/>
          <w:lang w:val="en-GB"/>
        </w:rPr>
      </w:pPr>
    </w:p>
    <w:p w:rsidR="00832624" w:rsidRDefault="0072318F">
      <w:pPr>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Overview</w:t>
      </w:r>
    </w:p>
    <w:p w:rsidR="00832624" w:rsidRDefault="0072318F">
      <w:pPr>
        <w:pStyle w:val="Default"/>
        <w:jc w:val="both"/>
        <w:rPr>
          <w:noProof/>
        </w:rPr>
      </w:pPr>
      <w:r>
        <w:rPr>
          <w:noProof/>
        </w:rPr>
        <w:t xml:space="preserve">In order to inform the </w:t>
      </w:r>
      <w:r>
        <w:rPr>
          <w:i/>
          <w:noProof/>
        </w:rPr>
        <w:t>ex post</w:t>
      </w:r>
      <w:r>
        <w:rPr>
          <w:noProof/>
        </w:rPr>
        <w:t xml:space="preserve"> evaluation of the European Refugee Fund (ERF) 2011-2013, several stakeholders were consulted through open public consultations conducted by the European Commission and other stakeholder consultations carried out by t</w:t>
      </w:r>
      <w:r>
        <w:rPr>
          <w:noProof/>
        </w:rPr>
        <w:t xml:space="preserve">he external evaluator, in the framework of its </w:t>
      </w:r>
      <w:r>
        <w:rPr>
          <w:noProof/>
          <w:color w:val="auto"/>
        </w:rPr>
        <w:t xml:space="preserve">contract </w:t>
      </w:r>
      <w:r>
        <w:rPr>
          <w:noProof/>
        </w:rPr>
        <w:t xml:space="preserve">with the European Commission. </w:t>
      </w:r>
    </w:p>
    <w:p w:rsidR="00832624" w:rsidRDefault="00832624">
      <w:pPr>
        <w:pStyle w:val="Default"/>
        <w:jc w:val="both"/>
        <w:rPr>
          <w:noProof/>
        </w:rPr>
      </w:pPr>
    </w:p>
    <w:p w:rsidR="00832624" w:rsidRDefault="0072318F">
      <w:pPr>
        <w:pStyle w:val="Default"/>
        <w:jc w:val="both"/>
        <w:rPr>
          <w:noProof/>
        </w:rPr>
      </w:pPr>
      <w:r>
        <w:rPr>
          <w:noProof/>
        </w:rPr>
        <w:t>This annex provides an overview of the consultation processes and the type of stakeholders consulted, and presents the results of these consultations. These results hav</w:t>
      </w:r>
      <w:r>
        <w:rPr>
          <w:noProof/>
        </w:rPr>
        <w:t>e been compiled and summarised from the responses received by the European Commission to its public consultation, and from the final evaluation report of the ERF submitted to the European Commission by the external evaluator</w:t>
      </w:r>
      <w:r>
        <w:rPr>
          <w:noProof/>
          <w:color w:val="auto"/>
        </w:rPr>
        <w:t xml:space="preserve">. </w:t>
      </w:r>
      <w:r>
        <w:rPr>
          <w:noProof/>
        </w:rPr>
        <w:t xml:space="preserve">The stakeholder consultations </w:t>
      </w:r>
      <w:r>
        <w:rPr>
          <w:noProof/>
        </w:rPr>
        <w:t>presented below have met the European Commission's general principles and minimum standards for stakeholder consultation</w:t>
      </w:r>
      <w:r>
        <w:rPr>
          <w:rStyle w:val="FootnoteReference"/>
          <w:noProof/>
        </w:rPr>
        <w:footnoteReference w:id="114"/>
      </w:r>
      <w:r>
        <w:rPr>
          <w:noProof/>
        </w:rPr>
        <w:t>.</w:t>
      </w:r>
    </w:p>
    <w:p w:rsidR="00832624" w:rsidRDefault="00832624">
      <w:pPr>
        <w:pStyle w:val="Default"/>
        <w:jc w:val="both"/>
        <w:rPr>
          <w:noProof/>
        </w:rPr>
      </w:pPr>
    </w:p>
    <w:p w:rsidR="00832624" w:rsidRDefault="0072318F">
      <w:pPr>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The public consultation conducted by the European Commission</w:t>
      </w:r>
    </w:p>
    <w:p w:rsidR="00832624" w:rsidRDefault="0072318F">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Between 10 May 2016 and 9 August 2016, the European Commission held an </w:t>
      </w:r>
      <w:r>
        <w:rPr>
          <w:rFonts w:ascii="Times New Roman" w:hAnsi="Times New Roman" w:cs="Times New Roman"/>
          <w:noProof/>
          <w:sz w:val="24"/>
          <w:szCs w:val="24"/>
        </w:rPr>
        <w:t>Internet-based open public consultation on the ex-post evaluation of the ERF 2011-2013 in the form of an online questionnaire. Contributions were sought in particular from individuals (experts, beneficiaries), local and national Member State authorities, i</w:t>
      </w:r>
      <w:r>
        <w:rPr>
          <w:rFonts w:ascii="Times New Roman" w:hAnsi="Times New Roman" w:cs="Times New Roman"/>
          <w:noProof/>
          <w:sz w:val="24"/>
          <w:szCs w:val="24"/>
        </w:rPr>
        <w:t xml:space="preserve">ntergovernmental and non-governmental organisations, social partners and civil society, academic institutions, international organisations, and EU Institutions and Agencies. The final number of respondents was very small: 12 participants from eight Member </w:t>
      </w:r>
      <w:r>
        <w:rPr>
          <w:rFonts w:ascii="Times New Roman" w:hAnsi="Times New Roman" w:cs="Times New Roman"/>
          <w:noProof/>
          <w:sz w:val="24"/>
          <w:szCs w:val="24"/>
        </w:rPr>
        <w:t>States</w:t>
      </w:r>
      <w:r>
        <w:rPr>
          <w:rStyle w:val="FootnoteReference"/>
          <w:rFonts w:ascii="Times New Roman" w:hAnsi="Times New Roman" w:cs="Times New Roman"/>
          <w:noProof/>
          <w:sz w:val="24"/>
          <w:szCs w:val="24"/>
        </w:rPr>
        <w:footnoteReference w:id="115"/>
      </w:r>
      <w:r>
        <w:rPr>
          <w:rFonts w:ascii="Times New Roman" w:hAnsi="Times New Roman" w:cs="Times New Roman"/>
          <w:noProof/>
          <w:sz w:val="24"/>
          <w:szCs w:val="24"/>
        </w:rPr>
        <w:t>. This is clearly a limitation of the public consultation. Eight representatives of a non-profit organisation, two representatives of a public authority, one representative of an academic/research institution and one representative of a private comp</w:t>
      </w:r>
      <w:r>
        <w:rPr>
          <w:rFonts w:ascii="Times New Roman" w:hAnsi="Times New Roman" w:cs="Times New Roman"/>
          <w:noProof/>
          <w:sz w:val="24"/>
          <w:szCs w:val="24"/>
        </w:rPr>
        <w:t>any.</w:t>
      </w:r>
    </w:p>
    <w:p w:rsidR="00832624" w:rsidRDefault="0072318F">
      <w:pPr>
        <w:pStyle w:val="NoSpacing"/>
        <w:jc w:val="both"/>
        <w:rPr>
          <w:rFonts w:ascii="Times New Roman" w:hAnsi="Times New Roman" w:cs="Times New Roman"/>
          <w:noProof/>
          <w:sz w:val="24"/>
          <w:szCs w:val="24"/>
        </w:rPr>
      </w:pPr>
      <w:r>
        <w:rPr>
          <w:rFonts w:ascii="Times New Roman" w:hAnsi="Times New Roman" w:cs="Times New Roman"/>
          <w:noProof/>
          <w:sz w:val="24"/>
          <w:szCs w:val="24"/>
        </w:rPr>
        <w:t>A limitation to take into consideration is the fact that the information available on the identities of the participants is based on self-reported values which cannot be verified.</w:t>
      </w:r>
    </w:p>
    <w:p w:rsidR="00832624" w:rsidRDefault="00832624">
      <w:pPr>
        <w:pStyle w:val="NoSpacing"/>
        <w:rPr>
          <w:rFonts w:ascii="Times New Roman" w:hAnsi="Times New Roman" w:cs="Times New Roman"/>
          <w:noProof/>
          <w:sz w:val="24"/>
          <w:szCs w:val="24"/>
        </w:rPr>
      </w:pPr>
    </w:p>
    <w:p w:rsidR="00832624" w:rsidRDefault="0072318F">
      <w:pPr>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The consultations conducted by the external evaluators</w:t>
      </w:r>
    </w:p>
    <w:p w:rsidR="00832624" w:rsidRDefault="0072318F">
      <w:pPr>
        <w:pStyle w:val="Default"/>
        <w:spacing w:line="276" w:lineRule="auto"/>
        <w:jc w:val="both"/>
        <w:rPr>
          <w:noProof/>
        </w:rPr>
      </w:pPr>
      <w:r>
        <w:rPr>
          <w:noProof/>
        </w:rPr>
        <w:t>The external ev</w:t>
      </w:r>
      <w:r>
        <w:rPr>
          <w:noProof/>
        </w:rPr>
        <w:t>aluator conducted several types of stakeholder consultations, including: 8 case studies, 4 types of face-to-face or telephone interviews, and 2 e-surveys targeted at 2 specific types of stakeholders. This section provides an overview of each type of consul</w:t>
      </w:r>
      <w:r>
        <w:rPr>
          <w:noProof/>
        </w:rPr>
        <w:t>tation, as well as possible difficulties or limitations encountered. The design of these consultations was informed by previous desk research carried out by the external evaluator. When relevant, findings from this desk research will also be presented, par</w:t>
      </w:r>
      <w:r>
        <w:rPr>
          <w:noProof/>
        </w:rPr>
        <w:t>ticularly those of the National Evaluation Reports (NERs).</w:t>
      </w:r>
    </w:p>
    <w:p w:rsidR="00832624" w:rsidRDefault="00832624">
      <w:pPr>
        <w:pStyle w:val="Default"/>
        <w:spacing w:line="276" w:lineRule="auto"/>
        <w:jc w:val="both"/>
        <w:rPr>
          <w:noProof/>
        </w:rPr>
      </w:pPr>
    </w:p>
    <w:p w:rsidR="00832624" w:rsidRDefault="0072318F">
      <w:pPr>
        <w:pStyle w:val="Default"/>
        <w:numPr>
          <w:ilvl w:val="0"/>
          <w:numId w:val="18"/>
        </w:numPr>
        <w:spacing w:line="276" w:lineRule="auto"/>
        <w:jc w:val="both"/>
        <w:rPr>
          <w:b/>
          <w:noProof/>
        </w:rPr>
      </w:pPr>
      <w:r>
        <w:rPr>
          <w:b/>
          <w:noProof/>
        </w:rPr>
        <w:t>Case Studies</w:t>
      </w:r>
    </w:p>
    <w:p w:rsidR="00832624" w:rsidRDefault="00832624">
      <w:pPr>
        <w:pStyle w:val="Default"/>
        <w:spacing w:line="276" w:lineRule="auto"/>
        <w:ind w:left="720"/>
        <w:jc w:val="both"/>
        <w:rPr>
          <w:b/>
          <w:noProof/>
        </w:rPr>
      </w:pPr>
    </w:p>
    <w:p w:rsidR="00832624" w:rsidRDefault="0072318F">
      <w:pPr>
        <w:spacing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order to gain an in-depth understanding of the ERF's implementation at the national level, 8 case studies were completed on Austria, Belgium, Bulgaria, France, Hungary, Italy, Swe</w:t>
      </w:r>
      <w:r>
        <w:rPr>
          <w:rFonts w:ascii="Times New Roman" w:hAnsi="Times New Roman" w:cs="Times New Roman"/>
          <w:noProof/>
          <w:sz w:val="24"/>
          <w:szCs w:val="24"/>
          <w:lang w:val="en-GB"/>
        </w:rPr>
        <w:t>den and the United Kingdom. As part of these case studies, interviews with organisations benefitting from the ERF were carried out. The following activities were carried out for each case study country:</w:t>
      </w:r>
    </w:p>
    <w:p w:rsidR="00832624" w:rsidRDefault="0072318F">
      <w:pPr>
        <w:pStyle w:val="ListParagraph"/>
        <w:numPr>
          <w:ilvl w:val="0"/>
          <w:numId w:val="16"/>
        </w:numPr>
        <w:spacing w:after="200" w:line="276" w:lineRule="auto"/>
        <w:rPr>
          <w:rFonts w:ascii="Times New Roman" w:hAnsi="Times New Roman"/>
          <w:noProof/>
          <w:sz w:val="24"/>
        </w:rPr>
      </w:pPr>
      <w:r>
        <w:rPr>
          <w:rFonts w:ascii="Times New Roman" w:hAnsi="Times New Roman"/>
          <w:noProof/>
          <w:sz w:val="24"/>
        </w:rPr>
        <w:t>Austria: 10 interviews conducted during a field visit</w:t>
      </w:r>
      <w:r>
        <w:rPr>
          <w:rFonts w:ascii="Times New Roman" w:hAnsi="Times New Roman"/>
          <w:noProof/>
          <w:sz w:val="24"/>
        </w:rPr>
        <w:t xml:space="preserve"> which took place in July 2016;</w:t>
      </w:r>
    </w:p>
    <w:p w:rsidR="00832624" w:rsidRDefault="0072318F">
      <w:pPr>
        <w:pStyle w:val="ListParagraph"/>
        <w:numPr>
          <w:ilvl w:val="0"/>
          <w:numId w:val="16"/>
        </w:numPr>
        <w:spacing w:after="200" w:line="276" w:lineRule="auto"/>
        <w:rPr>
          <w:rFonts w:ascii="Times New Roman" w:hAnsi="Times New Roman"/>
          <w:noProof/>
          <w:sz w:val="24"/>
        </w:rPr>
      </w:pPr>
      <w:r>
        <w:rPr>
          <w:rFonts w:ascii="Times New Roman" w:hAnsi="Times New Roman"/>
          <w:noProof/>
          <w:sz w:val="24"/>
        </w:rPr>
        <w:t>Belgium: 10 interviews conducted during a field visit which took place in September 2016;</w:t>
      </w:r>
    </w:p>
    <w:p w:rsidR="00832624" w:rsidRDefault="0072318F">
      <w:pPr>
        <w:pStyle w:val="ListParagraph"/>
        <w:numPr>
          <w:ilvl w:val="0"/>
          <w:numId w:val="16"/>
        </w:numPr>
        <w:spacing w:after="200" w:line="276" w:lineRule="auto"/>
        <w:rPr>
          <w:rFonts w:ascii="Times New Roman" w:hAnsi="Times New Roman"/>
          <w:noProof/>
          <w:sz w:val="24"/>
        </w:rPr>
      </w:pPr>
      <w:r>
        <w:rPr>
          <w:rFonts w:ascii="Times New Roman" w:hAnsi="Times New Roman"/>
          <w:noProof/>
          <w:sz w:val="24"/>
        </w:rPr>
        <w:t>Bulgaria: 12 interviews conducted during a field visit which took place in July 2016;</w:t>
      </w:r>
    </w:p>
    <w:p w:rsidR="00832624" w:rsidRDefault="0072318F">
      <w:pPr>
        <w:pStyle w:val="ListParagraph"/>
        <w:numPr>
          <w:ilvl w:val="0"/>
          <w:numId w:val="16"/>
        </w:numPr>
        <w:spacing w:after="200" w:line="276" w:lineRule="auto"/>
        <w:rPr>
          <w:rFonts w:ascii="Times New Roman" w:hAnsi="Times New Roman"/>
          <w:noProof/>
          <w:sz w:val="24"/>
        </w:rPr>
      </w:pPr>
      <w:r>
        <w:rPr>
          <w:rFonts w:ascii="Times New Roman" w:hAnsi="Times New Roman"/>
          <w:noProof/>
          <w:sz w:val="24"/>
        </w:rPr>
        <w:t xml:space="preserve">France: 11 interviews conducted during a field </w:t>
      </w:r>
      <w:r>
        <w:rPr>
          <w:rFonts w:ascii="Times New Roman" w:hAnsi="Times New Roman"/>
          <w:noProof/>
          <w:sz w:val="24"/>
        </w:rPr>
        <w:t>visit which took place in July and September 2016;</w:t>
      </w:r>
    </w:p>
    <w:p w:rsidR="00832624" w:rsidRDefault="0072318F">
      <w:pPr>
        <w:pStyle w:val="ListParagraph"/>
        <w:numPr>
          <w:ilvl w:val="0"/>
          <w:numId w:val="16"/>
        </w:numPr>
        <w:spacing w:after="200" w:line="276" w:lineRule="auto"/>
        <w:rPr>
          <w:rFonts w:ascii="Times New Roman" w:hAnsi="Times New Roman"/>
          <w:noProof/>
          <w:sz w:val="24"/>
        </w:rPr>
      </w:pPr>
      <w:r>
        <w:rPr>
          <w:rFonts w:ascii="Times New Roman" w:hAnsi="Times New Roman"/>
          <w:noProof/>
          <w:sz w:val="24"/>
        </w:rPr>
        <w:t>Hungary: 11 interviews conducted during a field visit which took place in July 2016;</w:t>
      </w:r>
    </w:p>
    <w:p w:rsidR="00832624" w:rsidRDefault="0072318F">
      <w:pPr>
        <w:pStyle w:val="ListParagraph"/>
        <w:numPr>
          <w:ilvl w:val="0"/>
          <w:numId w:val="16"/>
        </w:numPr>
        <w:spacing w:after="200" w:line="276" w:lineRule="auto"/>
        <w:rPr>
          <w:rFonts w:ascii="Times New Roman" w:hAnsi="Times New Roman"/>
          <w:noProof/>
          <w:sz w:val="24"/>
        </w:rPr>
      </w:pPr>
      <w:r>
        <w:rPr>
          <w:rFonts w:ascii="Times New Roman" w:hAnsi="Times New Roman"/>
          <w:noProof/>
          <w:sz w:val="24"/>
        </w:rPr>
        <w:t>Italy: 9 interviews conducted during a field visit which took place in July 2016;</w:t>
      </w:r>
    </w:p>
    <w:p w:rsidR="00832624" w:rsidRDefault="0072318F">
      <w:pPr>
        <w:pStyle w:val="ListParagraph"/>
        <w:numPr>
          <w:ilvl w:val="0"/>
          <w:numId w:val="16"/>
        </w:numPr>
        <w:spacing w:after="200" w:line="276" w:lineRule="auto"/>
        <w:rPr>
          <w:rFonts w:ascii="Times New Roman" w:hAnsi="Times New Roman"/>
          <w:noProof/>
          <w:sz w:val="24"/>
        </w:rPr>
      </w:pPr>
      <w:r>
        <w:rPr>
          <w:rFonts w:ascii="Times New Roman" w:hAnsi="Times New Roman"/>
          <w:noProof/>
          <w:sz w:val="24"/>
        </w:rPr>
        <w:t xml:space="preserve">Sweden: 9 interviews conducted during </w:t>
      </w:r>
      <w:r>
        <w:rPr>
          <w:rFonts w:ascii="Times New Roman" w:hAnsi="Times New Roman"/>
          <w:noProof/>
          <w:sz w:val="24"/>
        </w:rPr>
        <w:t>a field visit which took place in August 2016;</w:t>
      </w:r>
    </w:p>
    <w:p w:rsidR="00832624" w:rsidRDefault="0072318F">
      <w:pPr>
        <w:pStyle w:val="ListParagraph"/>
        <w:numPr>
          <w:ilvl w:val="0"/>
          <w:numId w:val="16"/>
        </w:numPr>
        <w:spacing w:after="200" w:line="276" w:lineRule="auto"/>
        <w:rPr>
          <w:rFonts w:ascii="Times New Roman" w:hAnsi="Times New Roman"/>
          <w:noProof/>
          <w:sz w:val="24"/>
        </w:rPr>
      </w:pPr>
      <w:r>
        <w:rPr>
          <w:rFonts w:ascii="Times New Roman" w:hAnsi="Times New Roman"/>
          <w:noProof/>
          <w:sz w:val="24"/>
        </w:rPr>
        <w:t>United Kingdom: 11 interviews conducted during a field visit which took place in July 2016.</w:t>
      </w:r>
    </w:p>
    <w:p w:rsidR="00832624" w:rsidRDefault="0072318F">
      <w:pPr>
        <w:pStyle w:val="Default"/>
        <w:numPr>
          <w:ilvl w:val="0"/>
          <w:numId w:val="18"/>
        </w:numPr>
        <w:spacing w:line="276" w:lineRule="auto"/>
        <w:jc w:val="both"/>
        <w:rPr>
          <w:b/>
          <w:noProof/>
        </w:rPr>
      </w:pPr>
      <w:r>
        <w:rPr>
          <w:b/>
          <w:noProof/>
        </w:rPr>
        <w:t>Interviews</w:t>
      </w:r>
    </w:p>
    <w:p w:rsidR="00832624" w:rsidRDefault="00832624">
      <w:pPr>
        <w:pStyle w:val="Default"/>
        <w:spacing w:line="276" w:lineRule="auto"/>
        <w:jc w:val="both"/>
        <w:rPr>
          <w:b/>
          <w:noProof/>
        </w:rPr>
      </w:pPr>
    </w:p>
    <w:p w:rsidR="00832624" w:rsidRDefault="0072318F">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Interviews with Responsible Authorities (RAs):</w:t>
      </w:r>
      <w:r>
        <w:rPr>
          <w:rFonts w:ascii="Times New Roman" w:hAnsi="Times New Roman" w:cs="Times New Roman"/>
          <w:noProof/>
          <w:sz w:val="24"/>
          <w:szCs w:val="24"/>
          <w:lang w:val="en-GB"/>
        </w:rPr>
        <w:t xml:space="preserve"> 19 telephone interviews with RAs were initially planned, but only 17 of these were conducted. In addition, two Member States</w:t>
      </w:r>
      <w:r>
        <w:rPr>
          <w:rStyle w:val="FootnoteReference"/>
          <w:rFonts w:ascii="Times New Roman" w:hAnsi="Times New Roman" w:cs="Times New Roman"/>
          <w:noProof/>
          <w:sz w:val="24"/>
          <w:szCs w:val="24"/>
        </w:rPr>
        <w:footnoteReference w:id="116"/>
      </w:r>
      <w:r>
        <w:rPr>
          <w:rFonts w:ascii="Times New Roman" w:hAnsi="Times New Roman" w:cs="Times New Roman"/>
          <w:noProof/>
          <w:sz w:val="24"/>
          <w:szCs w:val="24"/>
          <w:lang w:val="en-GB"/>
        </w:rPr>
        <w:t xml:space="preserve"> provided written feedback.</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Interviews with EU-level stakeholders:</w:t>
      </w:r>
      <w:r>
        <w:rPr>
          <w:rFonts w:ascii="Times New Roman" w:hAnsi="Times New Roman" w:cs="Times New Roman"/>
          <w:noProof/>
          <w:sz w:val="24"/>
          <w:szCs w:val="24"/>
          <w:lang w:val="en-GB"/>
        </w:rPr>
        <w:t xml:space="preserve"> 3 interviews were conducted in September 2016 with officers fro</w:t>
      </w:r>
      <w:r>
        <w:rPr>
          <w:rFonts w:ascii="Times New Roman" w:hAnsi="Times New Roman" w:cs="Times New Roman"/>
          <w:noProof/>
          <w:sz w:val="24"/>
          <w:szCs w:val="24"/>
          <w:lang w:val="en-GB"/>
        </w:rPr>
        <w:t>m the Directorate-General for Regional and Urban Policy (DG REGIO), the Directorate-General Migration and Home Affairs (DG HOME) and the European Asylum Support Office (EASO). Two other stakeholders initially contacted declined interview requests or sugges</w:t>
      </w:r>
      <w:r>
        <w:rPr>
          <w:rFonts w:ascii="Times New Roman" w:hAnsi="Times New Roman" w:cs="Times New Roman"/>
          <w:noProof/>
          <w:sz w:val="24"/>
          <w:szCs w:val="24"/>
          <w:lang w:val="en-GB"/>
        </w:rPr>
        <w:t>ted another stakeholder, and there were no replies to interview requests sent to members of the LIBE Committee, ECRE and the European Union (EU) Council.</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Interviews with other International Organisations</w:t>
      </w:r>
      <w:r>
        <w:rPr>
          <w:rFonts w:ascii="Times New Roman" w:hAnsi="Times New Roman" w:cs="Times New Roman"/>
          <w:noProof/>
          <w:sz w:val="24"/>
          <w:szCs w:val="24"/>
          <w:lang w:val="en-GB"/>
        </w:rPr>
        <w:t>: field visits were carried out to Member States sele</w:t>
      </w:r>
      <w:r>
        <w:rPr>
          <w:rFonts w:ascii="Times New Roman" w:hAnsi="Times New Roman" w:cs="Times New Roman"/>
          <w:noProof/>
          <w:sz w:val="24"/>
          <w:szCs w:val="24"/>
          <w:lang w:val="en-GB"/>
        </w:rPr>
        <w:t>cted for case studies, which provided an opportunity for the external evaluator to meet local branches of UNHCR and/or IOM. A complementary interview was carried out with the UNHCR representation in Brussels.</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Beneficiaries of the 5 Selected Community Actio</w:t>
      </w:r>
      <w:r>
        <w:rPr>
          <w:rFonts w:ascii="Times New Roman" w:hAnsi="Times New Roman" w:cs="Times New Roman"/>
          <w:b/>
          <w:noProof/>
          <w:sz w:val="24"/>
          <w:szCs w:val="24"/>
          <w:lang w:val="en-GB"/>
        </w:rPr>
        <w:t>ns (CAs):</w:t>
      </w:r>
      <w:r>
        <w:rPr>
          <w:rFonts w:ascii="Times New Roman" w:hAnsi="Times New Roman" w:cs="Times New Roman"/>
          <w:noProof/>
          <w:sz w:val="24"/>
          <w:szCs w:val="24"/>
          <w:lang w:val="en-GB"/>
        </w:rPr>
        <w:t xml:space="preserve"> Following the initial selection of 5 CAs, interviews were conducted with 13 organisations: all the selected CA project leaders were interviewed as well as a selection of co-beneficiaries in 8 Member States chosen for the case study visits.</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Diffic</w:t>
      </w:r>
      <w:r>
        <w:rPr>
          <w:rFonts w:ascii="Times New Roman" w:hAnsi="Times New Roman" w:cs="Times New Roman"/>
          <w:b/>
          <w:noProof/>
          <w:sz w:val="24"/>
          <w:szCs w:val="24"/>
          <w:lang w:val="en-GB"/>
        </w:rPr>
        <w:t>ulties encountered regarding the availability of key stakeholders</w:t>
      </w:r>
      <w:r>
        <w:rPr>
          <w:rFonts w:ascii="Times New Roman" w:hAnsi="Times New Roman" w:cs="Times New Roman"/>
          <w:noProof/>
          <w:sz w:val="24"/>
          <w:szCs w:val="24"/>
          <w:lang w:val="en-GB"/>
        </w:rPr>
        <w:t>: the external evaluator encountered challenges with the scheduling of interviews and case study field visits, due to the fact that interviews took place during the vacation period. Some Memb</w:t>
      </w:r>
      <w:r>
        <w:rPr>
          <w:rFonts w:ascii="Times New Roman" w:hAnsi="Times New Roman" w:cs="Times New Roman"/>
          <w:noProof/>
          <w:sz w:val="24"/>
          <w:szCs w:val="24"/>
          <w:lang w:val="en-GB"/>
        </w:rPr>
        <w:t>er States also faced work overload, or had particular national contexts which limited interview availabilities of RAs. The external evaluation team had to postpone some case study field visits and phone interviews with RAs until after the summer break, bet</w:t>
      </w:r>
      <w:r>
        <w:rPr>
          <w:rFonts w:ascii="Times New Roman" w:hAnsi="Times New Roman" w:cs="Times New Roman"/>
          <w:noProof/>
          <w:sz w:val="24"/>
          <w:szCs w:val="24"/>
          <w:lang w:val="en-GB"/>
        </w:rPr>
        <w:t>ween the end of August and the beginning of September. In addition, given high staff turnover rates in national administrations and beneficiary organisations, the external evaluation team sometimes encountered difficulties finding the appropriate.</w:t>
      </w:r>
    </w:p>
    <w:p w:rsidR="00832624" w:rsidRDefault="0072318F">
      <w:pPr>
        <w:pStyle w:val="ListParagraph"/>
        <w:numPr>
          <w:ilvl w:val="0"/>
          <w:numId w:val="18"/>
        </w:numPr>
        <w:jc w:val="both"/>
        <w:rPr>
          <w:rFonts w:ascii="Times New Roman" w:hAnsi="Times New Roman"/>
          <w:b/>
          <w:noProof/>
          <w:sz w:val="24"/>
        </w:rPr>
      </w:pPr>
      <w:r>
        <w:rPr>
          <w:rFonts w:ascii="Times New Roman" w:hAnsi="Times New Roman"/>
          <w:b/>
          <w:noProof/>
          <w:sz w:val="24"/>
        </w:rPr>
        <w:t>E-Survey</w:t>
      </w:r>
      <w:r>
        <w:rPr>
          <w:rFonts w:ascii="Times New Roman" w:hAnsi="Times New Roman"/>
          <w:b/>
          <w:noProof/>
          <w:sz w:val="24"/>
        </w:rPr>
        <w:t>s</w:t>
      </w:r>
    </w:p>
    <w:p w:rsidR="00832624" w:rsidRDefault="00832624">
      <w:pPr>
        <w:spacing w:after="0"/>
        <w:jc w:val="both"/>
        <w:rPr>
          <w:rFonts w:ascii="Times New Roman" w:hAnsi="Times New Roman" w:cs="Times New Roman"/>
          <w:noProof/>
          <w:sz w:val="24"/>
          <w:szCs w:val="24"/>
        </w:rPr>
      </w:pP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Two specific e-surveys were launched targeting two different stakeholder groups:</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1) </w:t>
      </w:r>
      <w:r>
        <w:rPr>
          <w:rFonts w:ascii="Times New Roman" w:hAnsi="Times New Roman" w:cs="Times New Roman"/>
          <w:b/>
          <w:noProof/>
          <w:sz w:val="24"/>
          <w:szCs w:val="24"/>
          <w:lang w:val="en-GB"/>
        </w:rPr>
        <w:t>E-survey targeting beneficiaries of CAs (leading partners) for 2008-2013:</w:t>
      </w:r>
      <w:r>
        <w:rPr>
          <w:rFonts w:ascii="Times New Roman" w:hAnsi="Times New Roman" w:cs="Times New Roman"/>
          <w:noProof/>
          <w:sz w:val="24"/>
          <w:szCs w:val="24"/>
          <w:lang w:val="en-GB"/>
        </w:rPr>
        <w:t xml:space="preserve"> this e-survey was open between 11 July and 1 September 2016 and sent to 56 leading partners. Re</w:t>
      </w:r>
      <w:r>
        <w:rPr>
          <w:rFonts w:ascii="Times New Roman" w:hAnsi="Times New Roman" w:cs="Times New Roman"/>
          <w:noProof/>
          <w:sz w:val="24"/>
          <w:szCs w:val="24"/>
          <w:lang w:val="en-GB"/>
        </w:rPr>
        <w:t>sponses from 17 participants were received, 13 of which were exploitable for analysis.</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2) </w:t>
      </w:r>
      <w:r>
        <w:rPr>
          <w:rFonts w:ascii="Times New Roman" w:hAnsi="Times New Roman" w:cs="Times New Roman"/>
          <w:b/>
          <w:noProof/>
          <w:sz w:val="24"/>
          <w:szCs w:val="24"/>
          <w:lang w:val="en-GB"/>
        </w:rPr>
        <w:t>E-survey targeting all beneficiaries of the Annual Programmes for 2011-2013 in the 8 case study countries</w:t>
      </w:r>
      <w:r>
        <w:rPr>
          <w:rFonts w:ascii="Times New Roman" w:hAnsi="Times New Roman" w:cs="Times New Roman"/>
          <w:noProof/>
          <w:sz w:val="24"/>
          <w:szCs w:val="24"/>
          <w:lang w:val="en-GB"/>
        </w:rPr>
        <w:t xml:space="preserve">: this e-survey was open between 29 September and 20 October </w:t>
      </w:r>
      <w:r>
        <w:rPr>
          <w:rFonts w:ascii="Times New Roman" w:hAnsi="Times New Roman" w:cs="Times New Roman"/>
          <w:noProof/>
          <w:sz w:val="24"/>
          <w:szCs w:val="24"/>
          <w:lang w:val="en-GB"/>
        </w:rPr>
        <w:t>2016. 64 participants provided responses out of the total 276 who received the e-survey invitation. 55 of these responses were exploitable for analysis.</w:t>
      </w:r>
    </w:p>
    <w:p w:rsidR="00832624" w:rsidRDefault="0072318F">
      <w:pPr>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Results</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most relevant results of the consultations carried out by the European Commission and the </w:t>
      </w:r>
      <w:r>
        <w:rPr>
          <w:rFonts w:ascii="Times New Roman" w:hAnsi="Times New Roman" w:cs="Times New Roman"/>
          <w:noProof/>
          <w:sz w:val="24"/>
          <w:szCs w:val="24"/>
          <w:lang w:val="en-GB"/>
        </w:rPr>
        <w:t>external evaluator are grouped in this section and presented according to the following evaluation criteria: relevance, effectiveness, efficiency, sustainability, coherence and complementarity, and EU added value.</w:t>
      </w:r>
    </w:p>
    <w:p w:rsidR="00832624" w:rsidRDefault="0072318F">
      <w:pPr>
        <w:pStyle w:val="Default"/>
        <w:spacing w:after="120"/>
        <w:ind w:left="720"/>
        <w:rPr>
          <w:b/>
          <w:noProof/>
        </w:rPr>
      </w:pPr>
      <w:r>
        <w:rPr>
          <w:b/>
          <w:noProof/>
        </w:rPr>
        <w:t>Relevance</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Generally, the RAs and beneficia</w:t>
      </w:r>
      <w:r>
        <w:rPr>
          <w:rFonts w:ascii="Times New Roman" w:hAnsi="Times New Roman" w:cs="Times New Roman"/>
          <w:noProof/>
          <w:sz w:val="24"/>
          <w:szCs w:val="24"/>
          <w:lang w:val="en-GB"/>
        </w:rPr>
        <w:t>ries consulted found that the actions funded by the ERF were relevant (ERF objectives corresponded to their needs) both at EU level and for individual Member States. Question 10 of the Commission's public consultation asked participants whether, in their o</w:t>
      </w:r>
      <w:r>
        <w:rPr>
          <w:rFonts w:ascii="Times New Roman" w:hAnsi="Times New Roman" w:cs="Times New Roman"/>
          <w:noProof/>
          <w:sz w:val="24"/>
          <w:szCs w:val="24"/>
          <w:lang w:val="en-GB"/>
        </w:rPr>
        <w:t xml:space="preserve">pinion, the projects and activities supported or financed by the ERF in their country of residence addressed the needs of the potential beneficiaries. 50% of respondents replied "Yes" and the other 50% replied "Generally yes, but with some problems". Some </w:t>
      </w:r>
      <w:r>
        <w:rPr>
          <w:rFonts w:ascii="Times New Roman" w:hAnsi="Times New Roman" w:cs="Times New Roman"/>
          <w:noProof/>
          <w:sz w:val="24"/>
          <w:szCs w:val="24"/>
          <w:lang w:val="en-GB"/>
        </w:rPr>
        <w:t>of the problems highlighted by these respondents for this period were:</w:t>
      </w:r>
    </w:p>
    <w:p w:rsidR="00832624" w:rsidRDefault="0072318F">
      <w:pPr>
        <w:pStyle w:val="ListParagraph"/>
        <w:numPr>
          <w:ilvl w:val="0"/>
          <w:numId w:val="17"/>
        </w:numPr>
        <w:spacing w:after="200" w:line="276" w:lineRule="auto"/>
        <w:rPr>
          <w:rFonts w:ascii="Times New Roman" w:hAnsi="Times New Roman"/>
          <w:noProof/>
          <w:sz w:val="24"/>
        </w:rPr>
      </w:pPr>
      <w:r>
        <w:rPr>
          <w:rFonts w:ascii="Times New Roman" w:hAnsi="Times New Roman"/>
          <w:noProof/>
          <w:sz w:val="24"/>
        </w:rPr>
        <w:t>small associations were said to have difficulty fulfilling all the requirements or "rules" of the projects;</w:t>
      </w:r>
    </w:p>
    <w:p w:rsidR="00832624" w:rsidRDefault="0072318F">
      <w:pPr>
        <w:pStyle w:val="ListParagraph"/>
        <w:numPr>
          <w:ilvl w:val="0"/>
          <w:numId w:val="17"/>
        </w:numPr>
        <w:spacing w:after="200" w:line="276" w:lineRule="auto"/>
        <w:rPr>
          <w:rFonts w:ascii="Times New Roman" w:hAnsi="Times New Roman"/>
          <w:noProof/>
          <w:sz w:val="24"/>
        </w:rPr>
      </w:pPr>
      <w:r>
        <w:rPr>
          <w:rFonts w:ascii="Times New Roman" w:hAnsi="Times New Roman"/>
          <w:noProof/>
          <w:sz w:val="24"/>
        </w:rPr>
        <w:t xml:space="preserve">there was thought to be a lack of financial resources at times, for example, </w:t>
      </w:r>
      <w:r>
        <w:rPr>
          <w:rFonts w:ascii="Times New Roman" w:hAnsi="Times New Roman"/>
          <w:noProof/>
          <w:sz w:val="24"/>
        </w:rPr>
        <w:t>sometimes resources were insufficient in relation to the number of applicants or potential beneficiaries;</w:t>
      </w:r>
    </w:p>
    <w:p w:rsidR="00832624" w:rsidRDefault="0072318F">
      <w:pPr>
        <w:pStyle w:val="ListParagraph"/>
        <w:numPr>
          <w:ilvl w:val="0"/>
          <w:numId w:val="17"/>
        </w:numPr>
        <w:spacing w:after="200" w:line="276" w:lineRule="auto"/>
        <w:rPr>
          <w:rFonts w:ascii="Times New Roman" w:hAnsi="Times New Roman"/>
          <w:noProof/>
          <w:sz w:val="24"/>
        </w:rPr>
      </w:pPr>
      <w:r>
        <w:rPr>
          <w:rFonts w:ascii="Times New Roman" w:hAnsi="Times New Roman"/>
          <w:noProof/>
          <w:sz w:val="24"/>
        </w:rPr>
        <w:t>limiting the eligibility for funding to TCNs was thought to exclude naturalized citizens of immigrant origin;</w:t>
      </w:r>
    </w:p>
    <w:p w:rsidR="00832624" w:rsidRDefault="0072318F">
      <w:pPr>
        <w:pStyle w:val="ListParagraph"/>
        <w:numPr>
          <w:ilvl w:val="0"/>
          <w:numId w:val="17"/>
        </w:numPr>
        <w:spacing w:after="200" w:line="276" w:lineRule="auto"/>
        <w:rPr>
          <w:rFonts w:ascii="Times New Roman" w:hAnsi="Times New Roman"/>
          <w:noProof/>
          <w:sz w:val="24"/>
        </w:rPr>
      </w:pPr>
      <w:r>
        <w:rPr>
          <w:rFonts w:ascii="Times New Roman" w:hAnsi="Times New Roman"/>
          <w:noProof/>
          <w:sz w:val="24"/>
        </w:rPr>
        <w:t>it was also mentioned that the limited i</w:t>
      </w:r>
      <w:r>
        <w:rPr>
          <w:rFonts w:ascii="Times New Roman" w:hAnsi="Times New Roman"/>
          <w:noProof/>
          <w:sz w:val="24"/>
        </w:rPr>
        <w:t>mplementation period in relation to a large gap time period resulted in the development of a belief from the side of the target group that the projects did not make any difference to their lives;</w:t>
      </w:r>
    </w:p>
    <w:p w:rsidR="00832624" w:rsidRDefault="0072318F">
      <w:pPr>
        <w:pStyle w:val="ListParagraph"/>
        <w:numPr>
          <w:ilvl w:val="0"/>
          <w:numId w:val="17"/>
        </w:numPr>
        <w:spacing w:after="200" w:line="276" w:lineRule="auto"/>
        <w:rPr>
          <w:rFonts w:ascii="Times New Roman" w:hAnsi="Times New Roman"/>
          <w:noProof/>
          <w:sz w:val="24"/>
        </w:rPr>
      </w:pPr>
      <w:r>
        <w:rPr>
          <w:rFonts w:ascii="Times New Roman" w:hAnsi="Times New Roman"/>
          <w:noProof/>
          <w:sz w:val="24"/>
        </w:rPr>
        <w:t>the amount of resources available was limited compared to th</w:t>
      </w:r>
      <w:r>
        <w:rPr>
          <w:rFonts w:ascii="Times New Roman" w:hAnsi="Times New Roman"/>
          <w:noProof/>
          <w:sz w:val="24"/>
        </w:rPr>
        <w:t>e increasing number of asylum-seekers arriving in Member States from 2013 onwards.</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problem highlighted by Member States was the restrictive definition of the target group of the fund, which was found to create difficulties for beneficiaries</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lang w:val="en-GB"/>
        </w:rPr>
        <w:t xml:space="preserve"> in impleme</w:t>
      </w:r>
      <w:r>
        <w:rPr>
          <w:rFonts w:ascii="Times New Roman" w:hAnsi="Times New Roman" w:cs="Times New Roman"/>
          <w:noProof/>
          <w:sz w:val="24"/>
          <w:szCs w:val="24"/>
          <w:lang w:val="en-GB"/>
        </w:rPr>
        <w:t>nting projects. An additional problem mentioned by national authorities was the fact that the amount of resources available was limited compared to the increasing number of asylum-seekers arriving in Member States from 2013 onwards.</w:t>
      </w:r>
    </w:p>
    <w:p w:rsidR="00832624" w:rsidRDefault="0072318F">
      <w:pPr>
        <w:pStyle w:val="Default"/>
        <w:spacing w:after="120"/>
        <w:rPr>
          <w:b/>
          <w:noProof/>
        </w:rPr>
      </w:pPr>
      <w:r>
        <w:rPr>
          <w:b/>
          <w:noProof/>
        </w:rPr>
        <w:tab/>
        <w:t>Effectiveness</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a</w:t>
      </w:r>
      <w:r>
        <w:rPr>
          <w:rFonts w:ascii="Times New Roman" w:hAnsi="Times New Roman" w:cs="Times New Roman"/>
          <w:noProof/>
          <w:sz w:val="24"/>
          <w:szCs w:val="24"/>
          <w:lang w:val="en-GB"/>
        </w:rPr>
        <w:t>rea of effectiveness, the two most relevant questionnaire questions in the European Commission's public consultations were questions 2 and 5. Question 2 asked participants whether the result(s) sought in the general objective of the ERF had been achieved i</w:t>
      </w:r>
      <w:r>
        <w:rPr>
          <w:rFonts w:ascii="Times New Roman" w:hAnsi="Times New Roman" w:cs="Times New Roman"/>
          <w:noProof/>
          <w:sz w:val="24"/>
          <w:szCs w:val="24"/>
          <w:lang w:val="en-GB"/>
        </w:rPr>
        <w:t xml:space="preserve">n the respondent's country. Question 5 asked whether, based on respondents' experience, the actions financed by the ERF in their country were consistent with the general and specific objectives of the fund. </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question 2, the vast majority of participant</w:t>
      </w:r>
      <w:r>
        <w:rPr>
          <w:rFonts w:ascii="Times New Roman" w:hAnsi="Times New Roman" w:cs="Times New Roman"/>
          <w:noProof/>
          <w:sz w:val="24"/>
          <w:szCs w:val="24"/>
          <w:lang w:val="en-GB"/>
        </w:rPr>
        <w:t>s considered that the general objective of the ERF had been achieved in their country at least to some extent. For question 5, the majority of participants found that actions financed under the funds were indeed consistent with the fund objectives. However</w:t>
      </w:r>
      <w:r>
        <w:rPr>
          <w:rFonts w:ascii="Times New Roman" w:hAnsi="Times New Roman" w:cs="Times New Roman"/>
          <w:noProof/>
          <w:sz w:val="24"/>
          <w:szCs w:val="24"/>
          <w:lang w:val="en-GB"/>
        </w:rPr>
        <w:t xml:space="preserve"> 50% of respondents thought this was so to a limited extent.</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w:t xml:space="preserve">Results from other stakeholder consultations provide additional details regarding </w:t>
      </w:r>
      <w:r>
        <w:rPr>
          <w:rFonts w:ascii="Times New Roman" w:hAnsi="Times New Roman" w:cs="Times New Roman"/>
          <w:noProof/>
          <w:sz w:val="24"/>
          <w:szCs w:val="24"/>
          <w:lang w:val="en-GB"/>
        </w:rPr>
        <w:t>whether the results sought in the general objective of the ERF have been achieved in the respondent's country</w:t>
      </w:r>
      <w:r>
        <w:rPr>
          <w:rFonts w:ascii="Times New Roman" w:hAnsi="Times New Roman" w:cs="Times New Roman"/>
          <w:noProof/>
          <w:sz w:val="24"/>
          <w:szCs w:val="24"/>
          <w:lang w:val="en-GB" w:eastAsia="en-GB"/>
        </w:rPr>
        <w:t>. On</w:t>
      </w:r>
      <w:r>
        <w:rPr>
          <w:rFonts w:ascii="Times New Roman" w:hAnsi="Times New Roman" w:cs="Times New Roman"/>
          <w:noProof/>
          <w:sz w:val="24"/>
          <w:szCs w:val="24"/>
          <w:lang w:val="en-GB" w:eastAsia="en-GB"/>
        </w:rPr>
        <w:t>e of the main specific objectives of the ERF was the improvement of reception conditions. In the NERs, Member States reported that the ERF brought strong support to the improvement of reception conditions of asylum applicants or other persons seeking prote</w:t>
      </w:r>
      <w:r>
        <w:rPr>
          <w:rFonts w:ascii="Times New Roman" w:hAnsi="Times New Roman" w:cs="Times New Roman"/>
          <w:noProof/>
          <w:sz w:val="24"/>
          <w:szCs w:val="24"/>
          <w:lang w:val="en-GB" w:eastAsia="en-GB"/>
        </w:rPr>
        <w:t>ction. T</w:t>
      </w:r>
      <w:r>
        <w:rPr>
          <w:rFonts w:ascii="Times New Roman" w:hAnsi="Times New Roman" w:cs="Times New Roman"/>
          <w:noProof/>
          <w:sz w:val="24"/>
          <w:szCs w:val="24"/>
          <w:lang w:val="en-GB"/>
        </w:rPr>
        <w:t>his support was mainly dedicated to providing social assistance, counselling and legal aid and language/interpretation assistance (38% of operations), as well as bringing medical and psychological care (19%) and providing accommodation infrastructu</w:t>
      </w:r>
      <w:r>
        <w:rPr>
          <w:rFonts w:ascii="Times New Roman" w:hAnsi="Times New Roman" w:cs="Times New Roman"/>
          <w:noProof/>
          <w:sz w:val="24"/>
          <w:szCs w:val="24"/>
          <w:lang w:val="en-GB"/>
        </w:rPr>
        <w:t>res and services (15%).</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Regarding integration, which was the second main area of focus, in Member State NERs, the ERF contribution to changes and improvements in the field of integration was mostly positively assessed. The ERF supported 904 operations in t</w:t>
      </w:r>
      <w:r>
        <w:rPr>
          <w:rFonts w:ascii="Times New Roman" w:hAnsi="Times New Roman" w:cs="Times New Roman"/>
          <w:noProof/>
          <w:sz w:val="24"/>
          <w:szCs w:val="24"/>
          <w:lang w:val="en-GB"/>
        </w:rPr>
        <w:t>his field, i.e. 42% of all operations co-financed by the ERF in the Member States from 2011 to 2013, which reached more than 95,000 persons in total. Except for Finland, Poland, Luxembourg and the UK, all Member States reached their targets.</w:t>
      </w:r>
    </w:p>
    <w:p w:rsidR="00832624" w:rsidRDefault="0072318F">
      <w:pPr>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Regarding rese</w:t>
      </w:r>
      <w:r>
        <w:rPr>
          <w:rFonts w:ascii="Times New Roman" w:hAnsi="Times New Roman" w:cs="Times New Roman"/>
          <w:noProof/>
          <w:sz w:val="24"/>
          <w:szCs w:val="24"/>
          <w:lang w:val="en-GB"/>
        </w:rPr>
        <w:t>ttlement, according to the NERs, resettlement measures increased from being implemented by 9 Member States in 2008-2010 to being implemented by 12 Member States in 2011-2013</w:t>
      </w:r>
      <w:r>
        <w:rPr>
          <w:rStyle w:val="FootnoteReference"/>
          <w:rFonts w:ascii="Times New Roman" w:hAnsi="Times New Roman" w:cs="Times New Roman"/>
          <w:noProof/>
          <w:sz w:val="24"/>
          <w:szCs w:val="24"/>
        </w:rPr>
        <w:footnoteReference w:id="118"/>
      </w:r>
      <w:r>
        <w:rPr>
          <w:rFonts w:ascii="Times New Roman" w:hAnsi="Times New Roman" w:cs="Times New Roman"/>
          <w:noProof/>
          <w:sz w:val="24"/>
          <w:szCs w:val="24"/>
          <w:lang w:val="en-GB"/>
        </w:rPr>
        <w:t>. The total number of people resettled doubled from 4,378 in 2008-2010 to 9,058 ov</w:t>
      </w:r>
      <w:r>
        <w:rPr>
          <w:rFonts w:ascii="Times New Roman" w:hAnsi="Times New Roman" w:cs="Times New Roman"/>
          <w:noProof/>
          <w:sz w:val="24"/>
          <w:szCs w:val="24"/>
          <w:lang w:val="en-GB"/>
        </w:rPr>
        <w:t>er 2011-2013.</w:t>
      </w:r>
    </w:p>
    <w:p w:rsidR="00832624" w:rsidRDefault="0072318F">
      <w:pPr>
        <w:pStyle w:val="Default"/>
        <w:rPr>
          <w:b/>
          <w:noProof/>
        </w:rPr>
      </w:pPr>
      <w:r>
        <w:rPr>
          <w:b/>
          <w:noProof/>
        </w:rPr>
        <w:tab/>
        <w:t>Efficiency</w:t>
      </w:r>
    </w:p>
    <w:p w:rsidR="00832624" w:rsidRDefault="00832624">
      <w:pPr>
        <w:pStyle w:val="Default"/>
        <w:rPr>
          <w:b/>
          <w:noProof/>
        </w:rPr>
      </w:pP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Regarding efficiency, the most relevant question in the Commission's public consultations was question 11, which asked whether participants considered that the effects of the actions carried out under the ERF were achieved at a r</w:t>
      </w:r>
      <w:r>
        <w:rPr>
          <w:rFonts w:ascii="Times New Roman" w:hAnsi="Times New Roman" w:cs="Times New Roman"/>
          <w:noProof/>
          <w:sz w:val="24"/>
          <w:szCs w:val="24"/>
          <w:lang w:val="en-GB"/>
        </w:rPr>
        <w:t>easonable cost in terms of financial and human resources deployed. The vast majority of respondents found that the effects of the actions carried out under the fund were achieved at reasonable cost at least to some extent. They found that the effects of th</w:t>
      </w:r>
      <w:r>
        <w:rPr>
          <w:rFonts w:ascii="Times New Roman" w:hAnsi="Times New Roman" w:cs="Times New Roman"/>
          <w:noProof/>
          <w:sz w:val="24"/>
          <w:szCs w:val="24"/>
          <w:lang w:val="en-GB"/>
        </w:rPr>
        <w:t xml:space="preserve">e actions carried out under the fund were achieved at reasonable cost at least to some extent. </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results of other stakeholder consultations provide additional insights to the responses provided by the respondents to the public consultation (see above). </w:t>
      </w:r>
      <w:r>
        <w:rPr>
          <w:rFonts w:ascii="Times New Roman" w:hAnsi="Times New Roman" w:cs="Times New Roman"/>
          <w:noProof/>
          <w:sz w:val="24"/>
          <w:szCs w:val="24"/>
          <w:lang w:val="en-GB"/>
        </w:rPr>
        <w:t>The costs incurred to achieve national programmes and project outputs were assessed by the vast majority of Member States (22) as reasonable compared to observed results or to the costs engaged to implement projects (according to NERs).</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All Member States </w:t>
      </w:r>
      <w:r>
        <w:rPr>
          <w:rFonts w:ascii="Times New Roman" w:hAnsi="Times New Roman" w:cs="Times New Roman"/>
          <w:noProof/>
          <w:sz w:val="24"/>
          <w:szCs w:val="24"/>
          <w:lang w:val="en-GB"/>
        </w:rPr>
        <w:t>claimed that the administrative burden related to the management of the ERF was high, but they also found that it was justified to ensure reliable management. Issues highlighted by several Member States as contributing to the administrative burden of the E</w:t>
      </w:r>
      <w:r>
        <w:rPr>
          <w:rFonts w:ascii="Times New Roman" w:hAnsi="Times New Roman" w:cs="Times New Roman"/>
          <w:noProof/>
          <w:sz w:val="24"/>
          <w:szCs w:val="24"/>
          <w:lang w:val="en-GB"/>
        </w:rPr>
        <w:t>RF were the burden linked to multi-annual and annual programming, and the burden linked to the division of asylum and migration issues into three separate funds, which was said to encourage the multiplication of administrative requirements. These issues ha</w:t>
      </w:r>
      <w:r>
        <w:rPr>
          <w:rFonts w:ascii="Times New Roman" w:hAnsi="Times New Roman" w:cs="Times New Roman"/>
          <w:noProof/>
          <w:sz w:val="24"/>
          <w:szCs w:val="24"/>
          <w:lang w:val="en-GB"/>
        </w:rPr>
        <w:t>ve been under the Asylum, Migration and Integration Fund (AMIF) (2014-2020).</w:t>
      </w:r>
    </w:p>
    <w:p w:rsidR="00832624" w:rsidRDefault="0072318F">
      <w:pPr>
        <w:pStyle w:val="Default"/>
        <w:spacing w:after="120"/>
        <w:rPr>
          <w:b/>
          <w:noProof/>
        </w:rPr>
      </w:pPr>
      <w:r>
        <w:rPr>
          <w:b/>
          <w:noProof/>
        </w:rPr>
        <w:tab/>
        <w:t>Sustainability</w:t>
      </w:r>
    </w:p>
    <w:p w:rsidR="00832624" w:rsidRDefault="0072318F">
      <w:pPr>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GB"/>
        </w:rPr>
        <w:t>Regarding sustainability, the most relevant question from the Commission's public consultations was question 16. Under this question participants were asked whethe</w:t>
      </w:r>
      <w:r>
        <w:rPr>
          <w:rFonts w:ascii="Times New Roman" w:hAnsi="Times New Roman" w:cs="Times New Roman"/>
          <w:noProof/>
          <w:sz w:val="24"/>
          <w:szCs w:val="24"/>
          <w:lang w:val="en-GB"/>
        </w:rPr>
        <w:t xml:space="preserve">r, after the end of the project supported by the ERF, the services/assistance had remained available. </w:t>
      </w:r>
      <w:r>
        <w:rPr>
          <w:rFonts w:ascii="Times New Roman" w:hAnsi="Times New Roman" w:cs="Times New Roman"/>
          <w:noProof/>
          <w:sz w:val="24"/>
          <w:szCs w:val="24"/>
          <w:lang w:val="en-GB" w:eastAsia="en-GB"/>
        </w:rPr>
        <w:t>There were very few responses to question 16. The majority of respondents reported that services/assistance ended after the end of the project in their co</w:t>
      </w:r>
      <w:r>
        <w:rPr>
          <w:rFonts w:ascii="Times New Roman" w:hAnsi="Times New Roman" w:cs="Times New Roman"/>
          <w:noProof/>
          <w:sz w:val="24"/>
          <w:szCs w:val="24"/>
          <w:lang w:val="en-GB" w:eastAsia="en-GB"/>
        </w:rPr>
        <w:t>untry.</w:t>
      </w:r>
    </w:p>
    <w:p w:rsidR="00832624" w:rsidRDefault="0072318F">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Interviews with RAs and beneficiaries revealed that the actions viewed as being more sustainable were: actions resulting in the increase of capacities for the reception of asylum-seekers, particularly for Member States with low capacity beforehand (</w:t>
      </w:r>
      <w:r>
        <w:rPr>
          <w:rFonts w:ascii="Times New Roman" w:hAnsi="Times New Roman" w:cs="Times New Roman"/>
          <w:noProof/>
          <w:sz w:val="24"/>
          <w:szCs w:val="24"/>
          <w:lang w:val="en-US"/>
        </w:rPr>
        <w:t>e.g. BG); projects aimed at the elaboration of studies, the development of platforms, IT tools and methodologies</w:t>
      </w:r>
      <w:r>
        <w:rPr>
          <w:rStyle w:val="FootnoteReference"/>
          <w:rFonts w:ascii="Times New Roman" w:hAnsi="Times New Roman" w:cs="Times New Roman"/>
          <w:noProof/>
          <w:sz w:val="24"/>
          <w:szCs w:val="24"/>
          <w:lang w:val="en-US"/>
        </w:rPr>
        <w:footnoteReference w:id="119"/>
      </w:r>
      <w:r>
        <w:rPr>
          <w:rFonts w:ascii="Times New Roman" w:hAnsi="Times New Roman" w:cs="Times New Roman"/>
          <w:noProof/>
          <w:sz w:val="24"/>
          <w:szCs w:val="24"/>
          <w:lang w:val="en-US"/>
        </w:rPr>
        <w:t xml:space="preserve">; and actions aimed at empowering target groups, such as educational or language training, workshops, or counselling sessions to help refugees </w:t>
      </w:r>
      <w:r>
        <w:rPr>
          <w:rFonts w:ascii="Times New Roman" w:hAnsi="Times New Roman" w:cs="Times New Roman"/>
          <w:noProof/>
          <w:sz w:val="24"/>
          <w:szCs w:val="24"/>
          <w:lang w:val="en-US"/>
        </w:rPr>
        <w:t>find employment or accommodation; actions resulting in a concrete change of practice, such as improvement in asylum procedure</w:t>
      </w:r>
      <w:r>
        <w:rPr>
          <w:rStyle w:val="FootnoteReference"/>
          <w:rFonts w:ascii="Times New Roman" w:hAnsi="Times New Roman" w:cs="Times New Roman"/>
          <w:noProof/>
          <w:sz w:val="24"/>
          <w:szCs w:val="24"/>
          <w:lang w:val="en-US"/>
        </w:rPr>
        <w:footnoteReference w:id="120"/>
      </w:r>
      <w:r>
        <w:rPr>
          <w:rFonts w:ascii="Times New Roman" w:hAnsi="Times New Roman" w:cs="Times New Roman"/>
          <w:noProof/>
          <w:sz w:val="24"/>
          <w:szCs w:val="24"/>
          <w:lang w:val="en-US"/>
        </w:rPr>
        <w:t>. Projects focused on the integration of refugees were reported as having the most fluctuating sustainability, and being highly de</w:t>
      </w:r>
      <w:r>
        <w:rPr>
          <w:rFonts w:ascii="Times New Roman" w:hAnsi="Times New Roman" w:cs="Times New Roman"/>
          <w:noProof/>
          <w:sz w:val="24"/>
          <w:szCs w:val="24"/>
          <w:lang w:val="en-US"/>
        </w:rPr>
        <w:t>pendent on the socio-economic context of Member States</w:t>
      </w:r>
      <w:r>
        <w:rPr>
          <w:rStyle w:val="FootnoteReference"/>
          <w:rFonts w:ascii="Times New Roman" w:hAnsi="Times New Roman" w:cs="Times New Roman"/>
          <w:noProof/>
          <w:sz w:val="24"/>
          <w:szCs w:val="24"/>
          <w:lang w:val="en-US"/>
        </w:rPr>
        <w:footnoteReference w:id="121"/>
      </w:r>
      <w:r>
        <w:rPr>
          <w:rFonts w:ascii="Times New Roman" w:hAnsi="Times New Roman" w:cs="Times New Roman"/>
          <w:noProof/>
          <w:sz w:val="24"/>
          <w:szCs w:val="24"/>
          <w:lang w:val="en-US"/>
        </w:rPr>
        <w:t>.</w:t>
      </w:r>
    </w:p>
    <w:p w:rsidR="00832624" w:rsidRDefault="0072318F">
      <w:pPr>
        <w:pStyle w:val="Default"/>
        <w:rPr>
          <w:b/>
          <w:noProof/>
        </w:rPr>
      </w:pPr>
      <w:r>
        <w:rPr>
          <w:b/>
          <w:noProof/>
        </w:rPr>
        <w:tab/>
        <w:t>Coherence and Complementarity</w:t>
      </w:r>
    </w:p>
    <w:p w:rsidR="00832624" w:rsidRDefault="00832624">
      <w:pPr>
        <w:pStyle w:val="Default"/>
        <w:rPr>
          <w:b/>
          <w:noProof/>
        </w:rPr>
      </w:pP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most relevant question from the Commission's public consultations regarding coherence and complementarity is question 12. This question asked participants whether </w:t>
      </w:r>
      <w:r>
        <w:rPr>
          <w:rFonts w:ascii="Times New Roman" w:hAnsi="Times New Roman" w:cs="Times New Roman"/>
          <w:noProof/>
          <w:sz w:val="24"/>
          <w:szCs w:val="24"/>
          <w:lang w:val="en-GB"/>
        </w:rPr>
        <w:t>they considered that projects and actions supported by the fund were coherent and complementary to other actions in the same field funded by other EU financial instruments and national resources of the Member States. Over 50% of respondents considered that</w:t>
      </w:r>
      <w:r>
        <w:rPr>
          <w:rFonts w:ascii="Times New Roman" w:hAnsi="Times New Roman" w:cs="Times New Roman"/>
          <w:noProof/>
          <w:sz w:val="24"/>
          <w:szCs w:val="24"/>
          <w:lang w:val="en-GB"/>
        </w:rPr>
        <w:t xml:space="preserve"> only few actions were coherent and complementary to others. One of the respondents which considered this also reported that in his/her experience, in comparison with TCNs, refugees have higher needs and face stronger barriers to access the job market and </w:t>
      </w:r>
      <w:r>
        <w:rPr>
          <w:rFonts w:ascii="Times New Roman" w:hAnsi="Times New Roman" w:cs="Times New Roman"/>
          <w:noProof/>
          <w:sz w:val="24"/>
          <w:szCs w:val="24"/>
          <w:lang w:val="en-GB"/>
        </w:rPr>
        <w:t>integrate into Irish society. He/she thus considered that specialised and tailored intervention strategies should be designed for this particular target group so that they may successfully secure employment.</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Regarding coherence and complementarity at natio</w:t>
      </w:r>
      <w:r>
        <w:rPr>
          <w:rFonts w:ascii="Times New Roman" w:hAnsi="Times New Roman" w:cs="Times New Roman"/>
          <w:noProof/>
          <w:sz w:val="24"/>
          <w:szCs w:val="24"/>
          <w:lang w:val="en-GB"/>
        </w:rPr>
        <w:t>nal level, in their NERs, 26 Member States out of the total 27</w:t>
      </w:r>
      <w:r>
        <w:rPr>
          <w:rStyle w:val="FootnoteReference"/>
          <w:rFonts w:ascii="Times New Roman" w:hAnsi="Times New Roman" w:cs="Times New Roman"/>
          <w:noProof/>
          <w:sz w:val="24"/>
          <w:szCs w:val="24"/>
        </w:rPr>
        <w:footnoteReference w:id="122"/>
      </w:r>
      <w:r>
        <w:rPr>
          <w:rFonts w:ascii="Times New Roman" w:hAnsi="Times New Roman" w:cs="Times New Roman"/>
          <w:noProof/>
          <w:sz w:val="24"/>
          <w:szCs w:val="24"/>
          <w:lang w:val="en-GB"/>
        </w:rPr>
        <w:t xml:space="preserve"> that participated in this fund reported that the ERF 2011-2013 was used in coherence and complementarity with other mechanisms and actions implemented. Regarding risks of duplication and overl</w:t>
      </w:r>
      <w:r>
        <w:rPr>
          <w:rFonts w:ascii="Times New Roman" w:hAnsi="Times New Roman" w:cs="Times New Roman"/>
          <w:noProof/>
          <w:sz w:val="24"/>
          <w:szCs w:val="24"/>
          <w:lang w:val="en-GB"/>
        </w:rPr>
        <w:t>aps, some Member States thought that this was more likely for the European Integration Fund (EIF) and the European Social Fund (ESF), and they sought to address these risks through organisational corrective actions. At EU level, coherence between Community</w:t>
      </w:r>
      <w:r>
        <w:rPr>
          <w:rFonts w:ascii="Times New Roman" w:hAnsi="Times New Roman" w:cs="Times New Roman"/>
          <w:noProof/>
          <w:sz w:val="24"/>
          <w:szCs w:val="24"/>
          <w:lang w:val="en-GB"/>
        </w:rPr>
        <w:t xml:space="preserve"> Actions and national actions was not raised as an issue by stakeholders, since these actions do not target the same objectives. However, interviews with RAs and beneficiaries revealed a lack of knowledge of the outputs of ERF Community Actions, which redu</w:t>
      </w:r>
      <w:r>
        <w:rPr>
          <w:rFonts w:ascii="Times New Roman" w:hAnsi="Times New Roman" w:cs="Times New Roman"/>
          <w:noProof/>
          <w:sz w:val="24"/>
          <w:szCs w:val="24"/>
          <w:lang w:val="en-GB"/>
        </w:rPr>
        <w:t>ces the possibilities for synergies.</w:t>
      </w:r>
    </w:p>
    <w:p w:rsidR="00832624" w:rsidRDefault="0072318F">
      <w:pPr>
        <w:pStyle w:val="Default"/>
        <w:spacing w:after="120"/>
        <w:rPr>
          <w:b/>
          <w:noProof/>
        </w:rPr>
      </w:pPr>
      <w:r>
        <w:rPr>
          <w:b/>
          <w:noProof/>
        </w:rPr>
        <w:tab/>
        <w:t>EU Added Value</w:t>
      </w:r>
    </w:p>
    <w:p w:rsidR="00832624" w:rsidRDefault="0072318F">
      <w:pPr>
        <w:jc w:val="both"/>
        <w:rPr>
          <w:rFonts w:ascii="Times New Roman" w:hAnsi="Times New Roman" w:cs="Times New Roman"/>
          <w:noProof/>
          <w:sz w:val="24"/>
          <w:szCs w:val="24"/>
        </w:rPr>
      </w:pPr>
      <w:r>
        <w:rPr>
          <w:rFonts w:ascii="Times New Roman" w:hAnsi="Times New Roman" w:cs="Times New Roman"/>
          <w:noProof/>
          <w:sz w:val="24"/>
          <w:szCs w:val="24"/>
          <w:lang w:val="en-GB"/>
        </w:rPr>
        <w:t>Regarding EU added value, Question 1 of the Commission's public consultations asked participants whether they considered that the implementation of the ERF in their country had affected positively the wo</w:t>
      </w:r>
      <w:r>
        <w:rPr>
          <w:rFonts w:ascii="Times New Roman" w:hAnsi="Times New Roman" w:cs="Times New Roman"/>
          <w:noProof/>
          <w:sz w:val="24"/>
          <w:szCs w:val="24"/>
          <w:lang w:val="en-GB"/>
        </w:rPr>
        <w:t>rk of the public administrations in the field of asylum. Question 13 asked participants whether they considered that the contribution of the fund had been crucial to the implementation of EU policies in their country in this field. 50% of respondents to qu</w:t>
      </w:r>
      <w:r>
        <w:rPr>
          <w:rFonts w:ascii="Times New Roman" w:hAnsi="Times New Roman" w:cs="Times New Roman"/>
          <w:noProof/>
          <w:sz w:val="24"/>
          <w:szCs w:val="24"/>
          <w:lang w:val="en-GB"/>
        </w:rPr>
        <w:t xml:space="preserve">estion 1 thought that this was to a great extent. Regarding question 13, 50% of respondents thought that the contribution of the ERF "made a huge difference". </w:t>
      </w:r>
      <w:r>
        <w:rPr>
          <w:rFonts w:ascii="Times New Roman" w:hAnsi="Times New Roman" w:cs="Times New Roman"/>
          <w:noProof/>
          <w:sz w:val="24"/>
          <w:szCs w:val="24"/>
        </w:rPr>
        <w:t xml:space="preserve">Some respondents provided specific reasons for this: </w:t>
      </w:r>
    </w:p>
    <w:p w:rsidR="00832624" w:rsidRDefault="0072318F">
      <w:pPr>
        <w:pStyle w:val="ListParagraph"/>
        <w:numPr>
          <w:ilvl w:val="0"/>
          <w:numId w:val="15"/>
        </w:numPr>
        <w:spacing w:after="200" w:line="276" w:lineRule="auto"/>
        <w:jc w:val="both"/>
        <w:rPr>
          <w:rFonts w:ascii="Times New Roman" w:hAnsi="Times New Roman"/>
          <w:noProof/>
          <w:sz w:val="24"/>
        </w:rPr>
      </w:pPr>
      <w:r>
        <w:rPr>
          <w:rFonts w:ascii="Times New Roman" w:hAnsi="Times New Roman"/>
          <w:noProof/>
          <w:sz w:val="24"/>
        </w:rPr>
        <w:t xml:space="preserve">A participant considered that changes had </w:t>
      </w:r>
      <w:r>
        <w:rPr>
          <w:rFonts w:ascii="Times New Roman" w:hAnsi="Times New Roman"/>
          <w:noProof/>
          <w:sz w:val="24"/>
        </w:rPr>
        <w:t>been made and new ideas implemented thanks to the fund's contribution, but that the results and the level of change had not been assessed at national level, or there were no relevant available publications.</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Overall, the responses of Member States (NERs) we</w:t>
      </w:r>
      <w:r>
        <w:rPr>
          <w:rFonts w:ascii="Times New Roman" w:hAnsi="Times New Roman" w:cs="Times New Roman"/>
          <w:noProof/>
          <w:sz w:val="24"/>
          <w:szCs w:val="24"/>
          <w:lang w:val="en-GB"/>
        </w:rPr>
        <w:t xml:space="preserve">re very positive regarding the EU added value of the ERF. </w:t>
      </w:r>
      <w:r>
        <w:rPr>
          <w:rFonts w:ascii="Times New Roman" w:hAnsi="Times New Roman" w:cs="Times New Roman"/>
          <w:noProof/>
          <w:sz w:val="24"/>
          <w:szCs w:val="24"/>
          <w:lang w:val="en-GB" w:eastAsia="en-GB"/>
        </w:rPr>
        <w:t>Reports from 27 Member States (NERs) and the majority of responses to interviews conducted at national level by the external evaluators suggest that the ERF brought a more or less significant financ</w:t>
      </w:r>
      <w:r>
        <w:rPr>
          <w:rFonts w:ascii="Times New Roman" w:hAnsi="Times New Roman" w:cs="Times New Roman"/>
          <w:noProof/>
          <w:sz w:val="24"/>
          <w:szCs w:val="24"/>
          <w:lang w:val="en-GB" w:eastAsia="en-GB"/>
        </w:rPr>
        <w:t>ial added value,</w:t>
      </w:r>
      <w:r>
        <w:rPr>
          <w:rFonts w:ascii="Times New Roman" w:hAnsi="Times New Roman" w:cs="Times New Roman"/>
          <w:noProof/>
          <w:sz w:val="24"/>
          <w:szCs w:val="24"/>
          <w:lang w:val="en-GB"/>
        </w:rPr>
        <w:t xml:space="preserve"> as it enabled the implementation of additional projects that would probably not have been financed by national public resources or other sources of financing. The additional funding provided by the ERF to national beneficiaries was the mos</w:t>
      </w:r>
      <w:r>
        <w:rPr>
          <w:rFonts w:ascii="Times New Roman" w:hAnsi="Times New Roman" w:cs="Times New Roman"/>
          <w:noProof/>
          <w:sz w:val="24"/>
          <w:szCs w:val="24"/>
          <w:lang w:val="en-GB"/>
        </w:rPr>
        <w:t>t cited nature of added value resulting from the EU intervention during interviews with RAs and beneficiaries. Beneficiaries of Community Actions also found the added value to be strong (only 1/13 respondents believed that projects could be implemented wit</w:t>
      </w:r>
      <w:r>
        <w:rPr>
          <w:rFonts w:ascii="Times New Roman" w:hAnsi="Times New Roman" w:cs="Times New Roman"/>
          <w:noProof/>
          <w:sz w:val="24"/>
          <w:szCs w:val="24"/>
          <w:lang w:val="en-GB"/>
        </w:rPr>
        <w:t>hout the ERF). In many Member States facing budget constraints and with relatively little experience with asylum issues, the ERF was found to have helped compensate the lack of national resources, either because of budget cuts and financial constraints, or</w:t>
      </w:r>
      <w:r>
        <w:rPr>
          <w:rFonts w:ascii="Times New Roman" w:hAnsi="Times New Roman" w:cs="Times New Roman"/>
          <w:noProof/>
          <w:sz w:val="24"/>
          <w:szCs w:val="24"/>
          <w:lang w:val="en-GB"/>
        </w:rPr>
        <w:t xml:space="preserve"> because asylum issues remained at the bottom of the countries' list of priorities. This was the case in “new” Member States, such as Bulgaria, Croatia, Estonia, Hungary, Latvia, and Slovakia, where the ERF contributed extensively to the development of an </w:t>
      </w:r>
      <w:r>
        <w:rPr>
          <w:rFonts w:ascii="Times New Roman" w:hAnsi="Times New Roman" w:cs="Times New Roman"/>
          <w:noProof/>
          <w:sz w:val="24"/>
          <w:szCs w:val="24"/>
          <w:lang w:val="en-GB"/>
        </w:rPr>
        <w:t>asylum system</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and corresponding facilities, and where nothing was previously needed or foreseen.</w:t>
      </w:r>
      <w:r>
        <w:rPr>
          <w:rStyle w:val="FootnoteReference"/>
          <w:rFonts w:ascii="Times New Roman" w:hAnsi="Times New Roman" w:cs="Times New Roman"/>
          <w:noProof/>
          <w:sz w:val="24"/>
          <w:szCs w:val="24"/>
          <w:lang w:val="en-GB"/>
        </w:rPr>
        <w:t xml:space="preserve"> </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Regarding cooperation and exchange of best practices, 18 Member States declared in their NERs that the ERF allowed for the development of deeper cooperation b</w:t>
      </w:r>
      <w:r>
        <w:rPr>
          <w:rFonts w:ascii="Times New Roman" w:hAnsi="Times New Roman" w:cs="Times New Roman"/>
          <w:noProof/>
          <w:sz w:val="24"/>
          <w:szCs w:val="24"/>
          <w:lang w:val="en-GB"/>
        </w:rPr>
        <w:t>etween the different stakeholders working in the field of asylum. But this finding is contradicted by interview responses from RAs, who considered that few networks were created or sustained through ERF funding. Member States also reported in their NERs th</w:t>
      </w:r>
      <w:r>
        <w:rPr>
          <w:rFonts w:ascii="Times New Roman" w:hAnsi="Times New Roman" w:cs="Times New Roman"/>
          <w:noProof/>
          <w:sz w:val="24"/>
          <w:szCs w:val="24"/>
          <w:lang w:val="en-GB"/>
        </w:rPr>
        <w:t>at the ERF brought some unexpected "soft" added value to international organisations and beneficiaries in terms of professionalization, expertise and recognition.</w:t>
      </w:r>
    </w:p>
    <w:p w:rsidR="00832624" w:rsidRDefault="0072318F">
      <w:pPr>
        <w:rPr>
          <w:rFonts w:ascii="Times New Roman" w:eastAsiaTheme="majorEastAsia" w:hAnsi="Times New Roman" w:cs="Times New Roman"/>
          <w:b/>
          <w:bCs/>
          <w:noProof/>
          <w:color w:val="365F91" w:themeColor="accent1" w:themeShade="BF"/>
          <w:sz w:val="24"/>
          <w:szCs w:val="24"/>
          <w:lang w:val="en-GB"/>
        </w:rPr>
      </w:pPr>
      <w:r>
        <w:rPr>
          <w:rFonts w:ascii="Times New Roman" w:hAnsi="Times New Roman" w:cs="Times New Roman"/>
          <w:noProof/>
          <w:sz w:val="24"/>
          <w:szCs w:val="24"/>
          <w:lang w:val="en-GB"/>
        </w:rPr>
        <w:br w:type="page"/>
      </w:r>
    </w:p>
    <w:p w:rsidR="00832624" w:rsidRDefault="0072318F">
      <w:pPr>
        <w:pStyle w:val="Heading1"/>
        <w:rPr>
          <w:noProof/>
        </w:rPr>
      </w:pPr>
      <w:bookmarkStart w:id="49" w:name="_Toc515378903"/>
      <w:r>
        <w:rPr>
          <w:noProof/>
        </w:rPr>
        <w:t xml:space="preserve">ANNEX 3 — </w:t>
      </w:r>
      <w:r>
        <w:rPr>
          <w:b w:val="0"/>
          <w:noProof/>
        </w:rPr>
        <w:t>Methodology</w:t>
      </w:r>
      <w:bookmarkEnd w:id="49"/>
    </w:p>
    <w:p w:rsidR="00832624" w:rsidRDefault="00832624">
      <w:pPr>
        <w:spacing w:after="120" w:line="240" w:lineRule="auto"/>
        <w:jc w:val="both"/>
        <w:rPr>
          <w:rFonts w:ascii="Times New Roman" w:hAnsi="Times New Roman" w:cs="Times New Roman"/>
          <w:b/>
          <w:i/>
          <w:noProof/>
          <w:sz w:val="24"/>
          <w:szCs w:val="24"/>
          <w:lang w:val="en-GB"/>
        </w:rPr>
      </w:pP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Study conducted by external evaluators  </w:t>
      </w:r>
    </w:p>
    <w:p w:rsidR="00832624" w:rsidRDefault="0072318F">
      <w:pPr>
        <w:spacing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relied on a </w:t>
      </w:r>
      <w:r>
        <w:rPr>
          <w:rFonts w:ascii="Times New Roman" w:hAnsi="Times New Roman" w:cs="Times New Roman"/>
          <w:noProof/>
          <w:sz w:val="24"/>
          <w:szCs w:val="24"/>
          <w:lang w:val="en-GB"/>
        </w:rPr>
        <w:t>supporting study conducted by an external company. It was decided to rely on an external study so as to obtain a robust and impartial overview of the Fund. A number of elements ensured the high quality of the study:</w:t>
      </w:r>
    </w:p>
    <w:p w:rsidR="00832624" w:rsidRDefault="0072318F">
      <w:pPr>
        <w:pStyle w:val="ListParagraph"/>
        <w:numPr>
          <w:ilvl w:val="0"/>
          <w:numId w:val="20"/>
        </w:numPr>
        <w:spacing w:line="240" w:lineRule="auto"/>
        <w:jc w:val="both"/>
        <w:rPr>
          <w:rFonts w:ascii="Times New Roman" w:hAnsi="Times New Roman"/>
          <w:noProof/>
          <w:sz w:val="24"/>
        </w:rPr>
      </w:pPr>
      <w:r>
        <w:rPr>
          <w:rFonts w:ascii="Times New Roman" w:hAnsi="Times New Roman"/>
          <w:noProof/>
          <w:sz w:val="24"/>
        </w:rPr>
        <w:t xml:space="preserve">A regular and transparent dialogue took </w:t>
      </w:r>
      <w:r>
        <w:rPr>
          <w:rFonts w:ascii="Times New Roman" w:hAnsi="Times New Roman"/>
          <w:noProof/>
          <w:sz w:val="24"/>
        </w:rPr>
        <w:t>place between the European Commission sand the external evaluator;</w:t>
      </w:r>
    </w:p>
    <w:p w:rsidR="00832624" w:rsidRDefault="0072318F">
      <w:pPr>
        <w:pStyle w:val="ListParagraph"/>
        <w:numPr>
          <w:ilvl w:val="0"/>
          <w:numId w:val="20"/>
        </w:numPr>
        <w:spacing w:line="240" w:lineRule="auto"/>
        <w:jc w:val="both"/>
        <w:rPr>
          <w:rFonts w:ascii="Times New Roman" w:hAnsi="Times New Roman"/>
          <w:noProof/>
          <w:sz w:val="24"/>
        </w:rPr>
      </w:pPr>
      <w:r>
        <w:rPr>
          <w:rFonts w:ascii="Times New Roman" w:hAnsi="Times New Roman"/>
          <w:noProof/>
          <w:sz w:val="24"/>
        </w:rPr>
        <w:t>The terms of reference of the contract were clearly set out and respected;</w:t>
      </w:r>
    </w:p>
    <w:p w:rsidR="00832624" w:rsidRDefault="0072318F">
      <w:pPr>
        <w:pStyle w:val="ListParagraph"/>
        <w:numPr>
          <w:ilvl w:val="0"/>
          <w:numId w:val="20"/>
        </w:numPr>
        <w:spacing w:line="240" w:lineRule="auto"/>
        <w:jc w:val="both"/>
        <w:rPr>
          <w:rFonts w:ascii="Times New Roman" w:hAnsi="Times New Roman"/>
          <w:noProof/>
          <w:sz w:val="24"/>
        </w:rPr>
      </w:pPr>
      <w:r>
        <w:rPr>
          <w:rFonts w:ascii="Times New Roman" w:hAnsi="Times New Roman"/>
          <w:noProof/>
          <w:sz w:val="24"/>
        </w:rPr>
        <w:t>The Fund's management modes were clearly distinguished in the methodology;</w:t>
      </w:r>
    </w:p>
    <w:p w:rsidR="00832624" w:rsidRDefault="0072318F">
      <w:pPr>
        <w:pStyle w:val="ListParagraph"/>
        <w:numPr>
          <w:ilvl w:val="0"/>
          <w:numId w:val="20"/>
        </w:numPr>
        <w:spacing w:line="240" w:lineRule="auto"/>
        <w:jc w:val="both"/>
        <w:rPr>
          <w:rFonts w:ascii="Times New Roman" w:hAnsi="Times New Roman"/>
          <w:noProof/>
          <w:sz w:val="24"/>
        </w:rPr>
      </w:pPr>
      <w:r>
        <w:rPr>
          <w:rFonts w:ascii="Times New Roman" w:hAnsi="Times New Roman"/>
          <w:noProof/>
          <w:sz w:val="24"/>
        </w:rPr>
        <w:t xml:space="preserve">The evaluation applied a mixed-methods </w:t>
      </w:r>
      <w:r>
        <w:rPr>
          <w:rFonts w:ascii="Times New Roman" w:hAnsi="Times New Roman"/>
          <w:noProof/>
          <w:sz w:val="24"/>
        </w:rPr>
        <w:t>approach in order to address the evaluation questions more fully and to ensure all relevant stakeholders were consulted;</w:t>
      </w:r>
    </w:p>
    <w:p w:rsidR="00832624" w:rsidRDefault="0072318F">
      <w:pPr>
        <w:pStyle w:val="ListParagraph"/>
        <w:numPr>
          <w:ilvl w:val="0"/>
          <w:numId w:val="20"/>
        </w:numPr>
        <w:spacing w:line="240" w:lineRule="auto"/>
        <w:jc w:val="both"/>
        <w:rPr>
          <w:rFonts w:ascii="Times New Roman" w:hAnsi="Times New Roman"/>
          <w:noProof/>
          <w:sz w:val="24"/>
        </w:rPr>
      </w:pPr>
      <w:r>
        <w:rPr>
          <w:rFonts w:ascii="Times New Roman" w:hAnsi="Times New Roman"/>
          <w:noProof/>
          <w:sz w:val="24"/>
        </w:rPr>
        <w:t>All data sources were assessed for validity and presented data are clearly labelled.</w:t>
      </w:r>
    </w:p>
    <w:p w:rsidR="00832624" w:rsidRDefault="0072318F">
      <w:pPr>
        <w:pStyle w:val="ListParagraph"/>
        <w:numPr>
          <w:ilvl w:val="0"/>
          <w:numId w:val="20"/>
        </w:numPr>
        <w:spacing w:line="240" w:lineRule="auto"/>
        <w:jc w:val="both"/>
        <w:rPr>
          <w:rFonts w:ascii="Times New Roman" w:hAnsi="Times New Roman"/>
          <w:noProof/>
          <w:sz w:val="24"/>
        </w:rPr>
      </w:pPr>
      <w:r>
        <w:rPr>
          <w:rFonts w:ascii="Times New Roman" w:hAnsi="Times New Roman"/>
          <w:noProof/>
          <w:sz w:val="24"/>
        </w:rPr>
        <w:t>Triangulation analysis was elaborated.</w:t>
      </w:r>
    </w:p>
    <w:p w:rsidR="00832624" w:rsidRDefault="00832624">
      <w:pPr>
        <w:pStyle w:val="ListParagraph"/>
        <w:spacing w:line="240" w:lineRule="auto"/>
        <w:jc w:val="both"/>
        <w:rPr>
          <w:rFonts w:ascii="Times New Roman" w:hAnsi="Times New Roman"/>
          <w:noProof/>
          <w:sz w:val="24"/>
        </w:rPr>
      </w:pP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Communicat</w:t>
      </w:r>
      <w:r>
        <w:rPr>
          <w:rFonts w:ascii="Times New Roman" w:hAnsi="Times New Roman" w:cs="Times New Roman"/>
          <w:b/>
          <w:i/>
          <w:noProof/>
          <w:sz w:val="24"/>
          <w:szCs w:val="24"/>
          <w:lang w:val="en-GB"/>
        </w:rPr>
        <w:t>ion between the European Commission and the external company</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study's progress was followed by an Inter-service Steering Group (ISSG) comprised of officials from the SG, SJ, DG BUDG, DG REGIO, DG HOME (particularly Units A2, C3, C4, E1, E2 and E3). Four</w:t>
      </w:r>
      <w:r>
        <w:rPr>
          <w:rFonts w:ascii="Times New Roman" w:hAnsi="Times New Roman" w:cs="Times New Roman"/>
          <w:noProof/>
          <w:sz w:val="24"/>
          <w:szCs w:val="24"/>
          <w:lang w:val="en-GB"/>
        </w:rPr>
        <w:t xml:space="preserve"> meetings took place between the contractors and the ISSG and structured feedback (in both directions) was provided on a weekly basis throughout the duration of the contract. This two-way dialogue was enriched by the active participation in the ISSG of pol</w:t>
      </w:r>
      <w:r>
        <w:rPr>
          <w:rFonts w:ascii="Times New Roman" w:hAnsi="Times New Roman" w:cs="Times New Roman"/>
          <w:noProof/>
          <w:sz w:val="24"/>
          <w:szCs w:val="24"/>
          <w:lang w:val="en-GB"/>
        </w:rPr>
        <w:t>icy and implementation units and shadowed by horizontal units and the Secretariat General. The quality assessment of the overall process (external contractor's work and report) took place with the participation of the ISSG (A2, C3, E2 and SG); the other me</w:t>
      </w:r>
      <w:r>
        <w:rPr>
          <w:rFonts w:ascii="Times New Roman" w:hAnsi="Times New Roman" w:cs="Times New Roman"/>
          <w:noProof/>
          <w:sz w:val="24"/>
          <w:szCs w:val="24"/>
          <w:lang w:val="en-GB"/>
        </w:rPr>
        <w:t xml:space="preserve">mbers were consulted by email.  </w:t>
      </w: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Phases</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structuring feature of the external evaluation was the segmentation of the tasks into clearly defined phases which were closely observed by all parties. These phases had been determined in the Terms of Reference.</w:t>
      </w:r>
      <w:r>
        <w:rPr>
          <w:rFonts w:ascii="Times New Roman" w:hAnsi="Times New Roman" w:cs="Times New Roman"/>
          <w:noProof/>
          <w:sz w:val="24"/>
          <w:szCs w:val="24"/>
          <w:lang w:val="en-GB"/>
        </w:rPr>
        <w:t xml:space="preserve"> Adherence to the Terms of Reference made the study itself more efficient and transparent.</w:t>
      </w: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Data sources and quality</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information analysed by the contractors through desk research can be grouped into two categories:</w:t>
      </w:r>
    </w:p>
    <w:p w:rsidR="00832624" w:rsidRDefault="0072318F">
      <w:pPr>
        <w:pStyle w:val="ListParagraph"/>
        <w:numPr>
          <w:ilvl w:val="0"/>
          <w:numId w:val="21"/>
        </w:numPr>
        <w:spacing w:after="240" w:line="240" w:lineRule="auto"/>
        <w:jc w:val="both"/>
        <w:rPr>
          <w:rFonts w:ascii="Times New Roman" w:hAnsi="Times New Roman"/>
          <w:noProof/>
          <w:sz w:val="24"/>
        </w:rPr>
      </w:pPr>
      <w:r>
        <w:rPr>
          <w:rFonts w:ascii="Times New Roman" w:hAnsi="Times New Roman"/>
          <w:noProof/>
          <w:sz w:val="24"/>
        </w:rPr>
        <w:t>Documentation relating to implementation – legal acts; high-level contextual documents; programme documents (Annual Work Programmes) and addition evaluation documents (National evaluation reports for shared management and technical implementation reports f</w:t>
      </w:r>
      <w:r>
        <w:rPr>
          <w:rFonts w:ascii="Times New Roman" w:hAnsi="Times New Roman"/>
          <w:noProof/>
          <w:sz w:val="24"/>
        </w:rPr>
        <w:t xml:space="preserve">or direct management); </w:t>
      </w:r>
    </w:p>
    <w:p w:rsidR="00832624" w:rsidRDefault="00832624">
      <w:pPr>
        <w:pStyle w:val="ListParagraph"/>
        <w:spacing w:after="240" w:line="240" w:lineRule="auto"/>
        <w:jc w:val="both"/>
        <w:rPr>
          <w:rFonts w:ascii="Times New Roman" w:hAnsi="Times New Roman"/>
          <w:noProof/>
          <w:sz w:val="24"/>
        </w:rPr>
      </w:pPr>
    </w:p>
    <w:p w:rsidR="00832624" w:rsidRDefault="0072318F">
      <w:pPr>
        <w:pStyle w:val="ListParagraph"/>
        <w:numPr>
          <w:ilvl w:val="0"/>
          <w:numId w:val="21"/>
        </w:numPr>
        <w:spacing w:after="240" w:line="240" w:lineRule="auto"/>
        <w:jc w:val="both"/>
        <w:rPr>
          <w:rFonts w:ascii="Times New Roman" w:hAnsi="Times New Roman"/>
          <w:noProof/>
          <w:sz w:val="24"/>
        </w:rPr>
      </w:pPr>
      <w:r>
        <w:rPr>
          <w:rFonts w:ascii="Times New Roman" w:hAnsi="Times New Roman"/>
          <w:noProof/>
          <w:sz w:val="24"/>
        </w:rPr>
        <w:t>Statistical data – this includes:</w:t>
      </w:r>
    </w:p>
    <w:p w:rsidR="00832624" w:rsidRDefault="0072318F">
      <w:pPr>
        <w:pStyle w:val="ListParagraph"/>
        <w:numPr>
          <w:ilvl w:val="1"/>
          <w:numId w:val="22"/>
        </w:numPr>
        <w:spacing w:after="240" w:line="240" w:lineRule="auto"/>
        <w:jc w:val="both"/>
        <w:rPr>
          <w:rFonts w:ascii="Times New Roman" w:hAnsi="Times New Roman"/>
          <w:noProof/>
          <w:sz w:val="24"/>
        </w:rPr>
      </w:pPr>
      <w:r>
        <w:rPr>
          <w:rFonts w:ascii="Times New Roman" w:hAnsi="Times New Roman"/>
          <w:noProof/>
          <w:sz w:val="24"/>
        </w:rPr>
        <w:t>Official statistics from Eurostat, EASO and UNHCR;</w:t>
      </w:r>
    </w:p>
    <w:p w:rsidR="00832624" w:rsidRDefault="0072318F">
      <w:pPr>
        <w:pStyle w:val="ListParagraph"/>
        <w:numPr>
          <w:ilvl w:val="1"/>
          <w:numId w:val="22"/>
        </w:numPr>
        <w:spacing w:after="240" w:line="240" w:lineRule="auto"/>
        <w:jc w:val="both"/>
        <w:rPr>
          <w:rFonts w:ascii="Times New Roman" w:hAnsi="Times New Roman"/>
          <w:noProof/>
          <w:sz w:val="24"/>
        </w:rPr>
      </w:pPr>
      <w:r>
        <w:rPr>
          <w:rFonts w:ascii="Times New Roman" w:hAnsi="Times New Roman"/>
          <w:noProof/>
          <w:sz w:val="24"/>
        </w:rPr>
        <w:t xml:space="preserve">Financial data extracted from ABAC for ERF and all SOLID Funds in order to present Programmed and Net EU contributions and absorption rates;  </w:t>
      </w:r>
    </w:p>
    <w:p w:rsidR="00832624" w:rsidRDefault="0072318F">
      <w:pPr>
        <w:pStyle w:val="ListParagraph"/>
        <w:numPr>
          <w:ilvl w:val="1"/>
          <w:numId w:val="22"/>
        </w:numPr>
        <w:spacing w:after="240" w:line="240" w:lineRule="auto"/>
        <w:jc w:val="both"/>
        <w:rPr>
          <w:rFonts w:ascii="Times New Roman" w:hAnsi="Times New Roman"/>
          <w:noProof/>
          <w:sz w:val="24"/>
        </w:rPr>
      </w:pPr>
      <w:r>
        <w:rPr>
          <w:rFonts w:ascii="Times New Roman" w:hAnsi="Times New Roman"/>
          <w:noProof/>
          <w:sz w:val="24"/>
        </w:rPr>
        <w:t>Fin</w:t>
      </w:r>
      <w:r>
        <w:rPr>
          <w:rFonts w:ascii="Times New Roman" w:hAnsi="Times New Roman"/>
          <w:noProof/>
          <w:sz w:val="24"/>
        </w:rPr>
        <w:t xml:space="preserve">ancial data extracted from SFC2007 to present the breakdowns by Priority and Specific Priority; </w:t>
      </w:r>
    </w:p>
    <w:p w:rsidR="00832624" w:rsidRDefault="0072318F">
      <w:pPr>
        <w:pStyle w:val="ListParagraph"/>
        <w:numPr>
          <w:ilvl w:val="1"/>
          <w:numId w:val="22"/>
        </w:numPr>
        <w:spacing w:after="240" w:line="240" w:lineRule="auto"/>
        <w:jc w:val="both"/>
        <w:rPr>
          <w:rFonts w:ascii="Times New Roman" w:hAnsi="Times New Roman"/>
          <w:noProof/>
          <w:sz w:val="24"/>
        </w:rPr>
      </w:pPr>
      <w:r>
        <w:rPr>
          <w:rFonts w:ascii="Times New Roman" w:hAnsi="Times New Roman"/>
          <w:noProof/>
          <w:sz w:val="24"/>
        </w:rPr>
        <w:t>Financial data extracted from SFC2007 to present Programmed and Net EU contributions and absorption rates for Annual Programmes;</w:t>
      </w:r>
    </w:p>
    <w:p w:rsidR="00832624" w:rsidRDefault="0072318F">
      <w:pPr>
        <w:pStyle w:val="ListParagraph"/>
        <w:numPr>
          <w:ilvl w:val="1"/>
          <w:numId w:val="22"/>
        </w:numPr>
        <w:spacing w:after="240" w:line="240" w:lineRule="auto"/>
        <w:jc w:val="both"/>
        <w:rPr>
          <w:rFonts w:ascii="Times New Roman" w:hAnsi="Times New Roman"/>
          <w:noProof/>
          <w:sz w:val="24"/>
        </w:rPr>
      </w:pPr>
      <w:r>
        <w:rPr>
          <w:rFonts w:ascii="Times New Roman" w:hAnsi="Times New Roman"/>
          <w:noProof/>
          <w:sz w:val="24"/>
        </w:rPr>
        <w:t>Financial data for direct mana</w:t>
      </w:r>
      <w:r>
        <w:rPr>
          <w:rFonts w:ascii="Times New Roman" w:hAnsi="Times New Roman"/>
          <w:noProof/>
          <w:sz w:val="24"/>
        </w:rPr>
        <w:t>gement were provided by the Eurpean Commission. Figures presented are the sum of the cost claims minus the ineligible costs.</w:t>
      </w: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Open Public Consultation</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Between 10 May 2016 and 9 August 2016, the European Commission also held an Internet-based public consulta</w:t>
      </w:r>
      <w:r>
        <w:rPr>
          <w:rFonts w:ascii="Times New Roman" w:hAnsi="Times New Roman" w:cs="Times New Roman"/>
          <w:noProof/>
          <w:sz w:val="24"/>
          <w:szCs w:val="24"/>
          <w:lang w:val="en-GB"/>
        </w:rPr>
        <w:t>tion on the ERF 2011-2013 in the form of an online questionnaire. Contributions were particularly sought from: individuals (experts, beneficiaries), local and national Member State Authorities, intergovernmental and non-governmental organisations, social p</w:t>
      </w:r>
      <w:r>
        <w:rPr>
          <w:rFonts w:ascii="Times New Roman" w:hAnsi="Times New Roman" w:cs="Times New Roman"/>
          <w:noProof/>
          <w:sz w:val="24"/>
          <w:szCs w:val="24"/>
          <w:lang w:val="en-GB"/>
        </w:rPr>
        <w:t>artners and civil society, academic institutions, international organisations, and EU Institutions and Agencies. The final number of respondents was small: twelve participants from eight Member States</w:t>
      </w:r>
      <w:r>
        <w:rPr>
          <w:rStyle w:val="FootnoteReference"/>
          <w:rFonts w:ascii="Times New Roman" w:hAnsi="Times New Roman" w:cs="Times New Roman"/>
          <w:noProof/>
          <w:sz w:val="24"/>
          <w:szCs w:val="24"/>
          <w:lang w:val="en-GB"/>
        </w:rPr>
        <w:footnoteReference w:id="123"/>
      </w:r>
      <w:r>
        <w:rPr>
          <w:rFonts w:ascii="Times New Roman" w:hAnsi="Times New Roman" w:cs="Times New Roman"/>
          <w:noProof/>
          <w:sz w:val="24"/>
          <w:szCs w:val="24"/>
          <w:lang w:val="en-GB"/>
        </w:rPr>
        <w:t xml:space="preserve">. This means that contributions are not representative </w:t>
      </w:r>
      <w:r>
        <w:rPr>
          <w:rFonts w:ascii="Times New Roman" w:hAnsi="Times New Roman" w:cs="Times New Roman"/>
          <w:noProof/>
          <w:sz w:val="24"/>
          <w:szCs w:val="24"/>
          <w:lang w:val="en-GB"/>
        </w:rPr>
        <w:t>of the targeted stakeholders, but the results provide additional insights. Eight representatives of a non-profit organisation, two representatives of a public authority, one representative of an academic/research institution and one representative of a pri</w:t>
      </w:r>
      <w:r>
        <w:rPr>
          <w:rFonts w:ascii="Times New Roman" w:hAnsi="Times New Roman" w:cs="Times New Roman"/>
          <w:noProof/>
          <w:sz w:val="24"/>
          <w:szCs w:val="24"/>
          <w:lang w:val="en-GB"/>
        </w:rPr>
        <w:t>vate company.</w:t>
      </w: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Analysis</w:t>
      </w:r>
    </w:p>
    <w:p w:rsidR="00832624" w:rsidRDefault="0072318F">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Three different levels of analysis were undertaken by the external company:</w:t>
      </w:r>
    </w:p>
    <w:p w:rsidR="00832624" w:rsidRDefault="0072318F">
      <w:pPr>
        <w:pStyle w:val="ListParagraph"/>
        <w:numPr>
          <w:ilvl w:val="0"/>
          <w:numId w:val="23"/>
        </w:numPr>
        <w:spacing w:before="120" w:after="120" w:line="240" w:lineRule="auto"/>
        <w:jc w:val="both"/>
        <w:rPr>
          <w:rFonts w:ascii="Times New Roman" w:hAnsi="Times New Roman"/>
          <w:noProof/>
          <w:sz w:val="24"/>
        </w:rPr>
      </w:pPr>
      <w:r>
        <w:rPr>
          <w:rFonts w:ascii="Times New Roman" w:hAnsi="Times New Roman"/>
          <w:noProof/>
          <w:sz w:val="24"/>
          <w:u w:val="single"/>
        </w:rPr>
        <w:t>Descriptive analysis</w:t>
      </w:r>
      <w:r>
        <w:rPr>
          <w:rFonts w:ascii="Times New Roman" w:hAnsi="Times New Roman"/>
          <w:noProof/>
          <w:sz w:val="24"/>
        </w:rPr>
        <w:t>, at two levels, to provide context and a basis for the development of other types of analysis:</w:t>
      </w:r>
    </w:p>
    <w:p w:rsidR="00832624" w:rsidRDefault="0072318F">
      <w:pPr>
        <w:pStyle w:val="ListParagraph"/>
        <w:numPr>
          <w:ilvl w:val="0"/>
          <w:numId w:val="24"/>
        </w:numPr>
        <w:spacing w:before="120" w:after="120" w:line="240" w:lineRule="auto"/>
        <w:jc w:val="both"/>
        <w:rPr>
          <w:rFonts w:ascii="Times New Roman" w:hAnsi="Times New Roman"/>
          <w:noProof/>
          <w:sz w:val="24"/>
        </w:rPr>
      </w:pPr>
      <w:r>
        <w:rPr>
          <w:rFonts w:ascii="Times New Roman" w:hAnsi="Times New Roman"/>
          <w:noProof/>
          <w:sz w:val="24"/>
        </w:rPr>
        <w:t>EU level: Different official documentation, such as the Decision establishing the ERF, as well as interviews with DG HOME were analysed and used to describe the context of the ERF, such as the objectives it was aiming to achieve and the type of actions eli</w:t>
      </w:r>
      <w:r>
        <w:rPr>
          <w:rFonts w:ascii="Times New Roman" w:hAnsi="Times New Roman"/>
          <w:noProof/>
          <w:sz w:val="24"/>
        </w:rPr>
        <w:t xml:space="preserve">gible for funding under the ERF. </w:t>
      </w:r>
    </w:p>
    <w:p w:rsidR="00832624" w:rsidRDefault="00832624">
      <w:pPr>
        <w:pStyle w:val="ListParagraph"/>
        <w:spacing w:before="120" w:after="120" w:line="240" w:lineRule="auto"/>
        <w:ind w:left="1440"/>
        <w:jc w:val="both"/>
        <w:rPr>
          <w:rFonts w:ascii="Times New Roman" w:hAnsi="Times New Roman"/>
          <w:noProof/>
          <w:sz w:val="24"/>
        </w:rPr>
      </w:pPr>
    </w:p>
    <w:p w:rsidR="00832624" w:rsidRDefault="0072318F">
      <w:pPr>
        <w:pStyle w:val="ListParagraph"/>
        <w:numPr>
          <w:ilvl w:val="0"/>
          <w:numId w:val="24"/>
        </w:numPr>
        <w:spacing w:before="120" w:after="120" w:line="240" w:lineRule="auto"/>
        <w:jc w:val="both"/>
        <w:rPr>
          <w:rFonts w:ascii="Times New Roman" w:hAnsi="Times New Roman"/>
          <w:noProof/>
          <w:sz w:val="24"/>
        </w:rPr>
      </w:pPr>
      <w:r>
        <w:rPr>
          <w:rFonts w:ascii="Times New Roman" w:hAnsi="Times New Roman"/>
          <w:noProof/>
          <w:sz w:val="24"/>
        </w:rPr>
        <w:t>Case studies: The analysis of the data collected relating to the national actions as part of the case studies (all programmatic documents, national evaluation reports and interview notes) was carried out and described acc</w:t>
      </w:r>
      <w:r>
        <w:rPr>
          <w:rFonts w:ascii="Times New Roman" w:hAnsi="Times New Roman"/>
          <w:noProof/>
          <w:sz w:val="24"/>
        </w:rPr>
        <w:t>ording to the intervention logic elements, as well as all the evaluation criteria in the case study reports. The case studies were selected according to four fixed criteria to improve representativeness (Objectives, Priorities, types of intervention); rele</w:t>
      </w:r>
      <w:r>
        <w:rPr>
          <w:rFonts w:ascii="Times New Roman" w:hAnsi="Times New Roman"/>
          <w:noProof/>
          <w:sz w:val="24"/>
        </w:rPr>
        <w:t>vance (external borders and migratory pressure); solidarity (where investments exceed input) and coverage of the evaluation questions in the national evaluation reports.</w:t>
      </w:r>
    </w:p>
    <w:p w:rsidR="00832624" w:rsidRDefault="00832624">
      <w:pPr>
        <w:pStyle w:val="ListParagraph"/>
        <w:spacing w:before="120" w:after="120" w:line="240" w:lineRule="auto"/>
        <w:ind w:left="1440"/>
        <w:jc w:val="both"/>
        <w:rPr>
          <w:rFonts w:ascii="Times New Roman" w:hAnsi="Times New Roman"/>
          <w:noProof/>
          <w:sz w:val="24"/>
        </w:rPr>
      </w:pPr>
    </w:p>
    <w:p w:rsidR="00832624" w:rsidRDefault="0072318F">
      <w:pPr>
        <w:pStyle w:val="ListParagraph"/>
        <w:numPr>
          <w:ilvl w:val="0"/>
          <w:numId w:val="23"/>
        </w:numPr>
        <w:spacing w:before="120" w:after="120" w:line="240" w:lineRule="auto"/>
        <w:jc w:val="both"/>
        <w:rPr>
          <w:rFonts w:ascii="Times New Roman" w:hAnsi="Times New Roman"/>
          <w:noProof/>
          <w:sz w:val="24"/>
        </w:rPr>
      </w:pPr>
      <w:r>
        <w:rPr>
          <w:rFonts w:ascii="Times New Roman" w:hAnsi="Times New Roman"/>
          <w:noProof/>
          <w:sz w:val="24"/>
          <w:u w:val="single"/>
        </w:rPr>
        <w:t>Thematic analysis:</w:t>
      </w:r>
      <w:r>
        <w:rPr>
          <w:rFonts w:ascii="Times New Roman" w:hAnsi="Times New Roman"/>
          <w:noProof/>
          <w:sz w:val="24"/>
        </w:rPr>
        <w:t xml:space="preserve"> For this analysis, N-vivo, a qualitative analysis tool, was used to encode and subsequently analyse the information from the national evaluation reports and relevant interviews (EU level and interviews with RAs). The encoding was done according to a Codin</w:t>
      </w:r>
      <w:r>
        <w:rPr>
          <w:rFonts w:ascii="Times New Roman" w:hAnsi="Times New Roman"/>
          <w:noProof/>
          <w:sz w:val="24"/>
        </w:rPr>
        <w:t>g Framework which included all the different intervention logic elements, as well as all the evaluation criteria, and allowed for the creation of “sub-nodes” as further themes emerged from the analysis. Through the encoding, trends and themes emerged acros</w:t>
      </w:r>
      <w:r>
        <w:rPr>
          <w:rFonts w:ascii="Times New Roman" w:hAnsi="Times New Roman"/>
          <w:noProof/>
          <w:sz w:val="24"/>
        </w:rPr>
        <w:t>s the participating countries under the different evaluation criteria and ERF objectives and priorities. In addition, quantitative data collected was analysed, such as the context and effectiveness indicators from the final closure reports submitted by the</w:t>
      </w:r>
      <w:r>
        <w:rPr>
          <w:rFonts w:ascii="Times New Roman" w:hAnsi="Times New Roman"/>
          <w:noProof/>
          <w:sz w:val="24"/>
        </w:rPr>
        <w:t xml:space="preserve"> Member States (as presented in the SFC 2007 database) and national evaluation reports. This quantitative analysis also allowed for key messages to emerge from the data (such as type of priority receiving the most funding). </w:t>
      </w:r>
    </w:p>
    <w:p w:rsidR="00832624" w:rsidRDefault="00832624">
      <w:pPr>
        <w:pStyle w:val="ListParagraph"/>
        <w:spacing w:before="120" w:after="120" w:line="240" w:lineRule="auto"/>
        <w:jc w:val="both"/>
        <w:rPr>
          <w:rFonts w:ascii="Times New Roman" w:hAnsi="Times New Roman"/>
          <w:noProof/>
          <w:sz w:val="24"/>
        </w:rPr>
      </w:pPr>
    </w:p>
    <w:p w:rsidR="00832624" w:rsidRDefault="0072318F">
      <w:pPr>
        <w:pStyle w:val="ListParagraph"/>
        <w:numPr>
          <w:ilvl w:val="0"/>
          <w:numId w:val="23"/>
        </w:numPr>
        <w:spacing w:before="120" w:after="120" w:line="240" w:lineRule="auto"/>
        <w:jc w:val="both"/>
        <w:rPr>
          <w:rFonts w:ascii="Times New Roman" w:hAnsi="Times New Roman"/>
          <w:noProof/>
          <w:sz w:val="24"/>
        </w:rPr>
      </w:pPr>
      <w:r>
        <w:rPr>
          <w:rFonts w:ascii="Times New Roman" w:hAnsi="Times New Roman"/>
          <w:noProof/>
          <w:sz w:val="24"/>
          <w:u w:val="single"/>
        </w:rPr>
        <w:t>Comparative analysis:</w:t>
      </w:r>
      <w:r>
        <w:rPr>
          <w:rFonts w:ascii="Times New Roman" w:hAnsi="Times New Roman"/>
          <w:noProof/>
          <w:sz w:val="24"/>
        </w:rPr>
        <w:t xml:space="preserve"> Building</w:t>
      </w:r>
      <w:r>
        <w:rPr>
          <w:rFonts w:ascii="Times New Roman" w:hAnsi="Times New Roman"/>
          <w:noProof/>
          <w:sz w:val="24"/>
        </w:rPr>
        <w:t xml:space="preserve"> on the descriptive and thematic analysis, a comparative analysis was undertaken, comparing the findings from different participating countries under each of the evaluation criteria. The comparative analysis allowed the study team to assess the extent to w</w:t>
      </w:r>
      <w:r>
        <w:rPr>
          <w:rFonts w:ascii="Times New Roman" w:hAnsi="Times New Roman"/>
          <w:noProof/>
          <w:sz w:val="24"/>
        </w:rPr>
        <w:t xml:space="preserve">hich the research findings were coherent. The case studies were also included in the analysis and used to illustrate certain findings. </w:t>
      </w:r>
    </w:p>
    <w:p w:rsidR="00832624" w:rsidRDefault="00832624">
      <w:pPr>
        <w:pStyle w:val="ListParagraph"/>
        <w:spacing w:before="120" w:after="120" w:line="240" w:lineRule="auto"/>
        <w:jc w:val="both"/>
        <w:rPr>
          <w:rFonts w:ascii="Times New Roman" w:hAnsi="Times New Roman"/>
          <w:noProof/>
          <w:sz w:val="24"/>
        </w:rPr>
      </w:pPr>
    </w:p>
    <w:p w:rsidR="00832624" w:rsidRDefault="0072318F">
      <w:pPr>
        <w:pStyle w:val="ListParagraph"/>
        <w:numPr>
          <w:ilvl w:val="0"/>
          <w:numId w:val="23"/>
        </w:numPr>
        <w:spacing w:before="120" w:after="120" w:line="240" w:lineRule="auto"/>
        <w:jc w:val="both"/>
        <w:rPr>
          <w:rFonts w:ascii="Times New Roman" w:hAnsi="Times New Roman"/>
          <w:noProof/>
          <w:sz w:val="24"/>
        </w:rPr>
      </w:pPr>
      <w:r>
        <w:rPr>
          <w:rFonts w:ascii="Times New Roman" w:hAnsi="Times New Roman"/>
          <w:noProof/>
          <w:sz w:val="24"/>
          <w:u w:val="single"/>
        </w:rPr>
        <w:t>Interviews</w:t>
      </w:r>
      <w:r>
        <w:rPr>
          <w:rFonts w:ascii="Times New Roman" w:hAnsi="Times New Roman"/>
          <w:noProof/>
          <w:sz w:val="24"/>
        </w:rPr>
        <w:t xml:space="preserve">: Over 120 interviews were organized by telephone and in person by the contractor to gather additional input </w:t>
      </w:r>
      <w:r>
        <w:rPr>
          <w:rFonts w:ascii="Times New Roman" w:hAnsi="Times New Roman"/>
          <w:noProof/>
          <w:sz w:val="24"/>
        </w:rPr>
        <w:t xml:space="preserve">from several stakeholder groups (European Institutions, EU Agencies, national responsible authorities and other stakeholders).  </w:t>
      </w:r>
    </w:p>
    <w:p w:rsidR="00832624" w:rsidRDefault="00832624">
      <w:pPr>
        <w:pStyle w:val="ListParagraph"/>
        <w:spacing w:after="240" w:line="240" w:lineRule="auto"/>
        <w:jc w:val="both"/>
        <w:rPr>
          <w:rFonts w:ascii="Times New Roman" w:hAnsi="Times New Roman"/>
          <w:b/>
          <w:i/>
          <w:noProof/>
          <w:sz w:val="24"/>
          <w:u w:val="single"/>
        </w:rPr>
      </w:pPr>
    </w:p>
    <w:p w:rsidR="00832624" w:rsidRDefault="0072318F">
      <w:pPr>
        <w:spacing w:after="240" w:line="240" w:lineRule="auto"/>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Assessing the Impacts of the ERF</w:t>
      </w:r>
    </w:p>
    <w:p w:rsidR="00832624" w:rsidRDefault="0072318F">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Evaluating the impacts of the ERF at national level is more complicated as it requires experi</w:t>
      </w:r>
      <w:r>
        <w:rPr>
          <w:rFonts w:ascii="Times New Roman" w:hAnsi="Times New Roman" w:cs="Times New Roman"/>
          <w:noProof/>
          <w:sz w:val="24"/>
          <w:szCs w:val="24"/>
          <w:lang w:val="en-GB"/>
        </w:rPr>
        <w:t>ment conditions with a matched control where ERF was not utilised. In order to mitigate this, the study used information from the case studies and interviews, as well as the evaluators’ own judgment.</w:t>
      </w:r>
    </w:p>
    <w:p w:rsidR="00832624" w:rsidRDefault="00832624">
      <w:pPr>
        <w:spacing w:line="240" w:lineRule="auto"/>
        <w:rPr>
          <w:rFonts w:ascii="Times New Roman" w:hAnsi="Times New Roman" w:cs="Times New Roman"/>
          <w:noProof/>
          <w:sz w:val="24"/>
          <w:szCs w:val="24"/>
          <w:lang w:val="en-GB"/>
        </w:rPr>
      </w:pPr>
    </w:p>
    <w:p w:rsidR="00832624" w:rsidRDefault="0072318F">
      <w:pPr>
        <w:rPr>
          <w:noProof/>
          <w:lang w:val="en-GB"/>
        </w:rPr>
        <w:sectPr w:rsidR="00832624">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pPr>
      <w:r>
        <w:rPr>
          <w:rFonts w:ascii="Times New Roman" w:hAnsi="Times New Roman" w:cs="Times New Roman"/>
          <w:noProof/>
          <w:sz w:val="24"/>
          <w:szCs w:val="24"/>
          <w:lang w:val="en-GB"/>
        </w:rPr>
        <w:br w:type="page"/>
      </w:r>
    </w:p>
    <w:p w:rsidR="00832624" w:rsidRDefault="0072318F">
      <w:pPr>
        <w:pStyle w:val="Heading1"/>
        <w:numPr>
          <w:ilvl w:val="0"/>
          <w:numId w:val="0"/>
        </w:numPr>
        <w:rPr>
          <w:b w:val="0"/>
          <w:noProof/>
        </w:rPr>
      </w:pPr>
      <w:bookmarkStart w:id="50" w:name="_Toc515378904"/>
      <w:r>
        <w:rPr>
          <w:b w:val="0"/>
          <w:noProof/>
        </w:rPr>
        <w:t>14</w:t>
      </w:r>
      <w:r>
        <w:rPr>
          <w:noProof/>
        </w:rPr>
        <w:tab/>
      </w:r>
      <w:r>
        <w:rPr>
          <w:noProof/>
        </w:rPr>
        <w:t xml:space="preserve">ANNEX 4 — </w:t>
      </w:r>
      <w:r>
        <w:rPr>
          <w:b w:val="0"/>
          <w:noProof/>
        </w:rPr>
        <w:t>List of evaluation questions</w:t>
      </w:r>
      <w:bookmarkEnd w:id="50"/>
    </w:p>
    <w:p w:rsidR="00832624" w:rsidRDefault="00832624">
      <w:pPr>
        <w:spacing w:after="120"/>
        <w:rPr>
          <w:noProof/>
          <w:lang w:val="en-GB"/>
        </w:rPr>
      </w:pPr>
    </w:p>
    <w:p w:rsidR="00832624" w:rsidRDefault="0072318F">
      <w:pPr>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Theme 1 Effectiveness </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1. To what extent did the ERF 2011-2013 (or 2008-2010) actions contributed to the achievement of the objectives defined in Articles 2 and 3 of Decision No 2007/573/EC and to the priorities defined by the Strategic guidelines (Decision No 2007/815/EC)? </w:t>
      </w:r>
    </w:p>
    <w:p w:rsidR="00832624" w:rsidRDefault="0072318F">
      <w:pPr>
        <w:rPr>
          <w:rFonts w:ascii="Times New Roman" w:hAnsi="Times New Roman" w:cs="Times New Roman"/>
          <w:noProof/>
          <w:sz w:val="24"/>
          <w:szCs w:val="24"/>
          <w:lang w:val="en-GB"/>
        </w:rPr>
      </w:pPr>
      <w:r>
        <w:rPr>
          <w:rFonts w:ascii="Times New Roman" w:hAnsi="Times New Roman" w:cs="Times New Roman"/>
          <w:noProof/>
          <w:sz w:val="24"/>
          <w:szCs w:val="24"/>
          <w:lang w:val="en-GB"/>
        </w:rPr>
        <w:tab/>
        <w:t>a)</w:t>
      </w:r>
      <w:r>
        <w:rPr>
          <w:rFonts w:ascii="Times New Roman" w:hAnsi="Times New Roman" w:cs="Times New Roman"/>
          <w:noProof/>
          <w:sz w:val="24"/>
          <w:szCs w:val="24"/>
          <w:lang w:val="en-GB"/>
        </w:rPr>
        <w:t xml:space="preserve"> To what extent did the ERF 2011-2013 (or 2008-2010) actions contribute to the </w:t>
      </w:r>
      <w:r>
        <w:rPr>
          <w:rFonts w:ascii="Times New Roman" w:hAnsi="Times New Roman" w:cs="Times New Roman"/>
          <w:noProof/>
          <w:sz w:val="24"/>
          <w:szCs w:val="24"/>
          <w:lang w:val="en-GB"/>
        </w:rPr>
        <w:tab/>
        <w:t xml:space="preserve">reception conditions and asylum procedures? </w:t>
      </w:r>
    </w:p>
    <w:p w:rsidR="00832624" w:rsidRDefault="0072318F">
      <w:pPr>
        <w:rPr>
          <w:rFonts w:ascii="Times New Roman" w:hAnsi="Times New Roman" w:cs="Times New Roman"/>
          <w:noProof/>
          <w:sz w:val="24"/>
          <w:szCs w:val="24"/>
          <w:lang w:val="en-GB"/>
        </w:rPr>
      </w:pPr>
      <w:r>
        <w:rPr>
          <w:rFonts w:ascii="Times New Roman" w:hAnsi="Times New Roman" w:cs="Times New Roman"/>
          <w:noProof/>
          <w:sz w:val="24"/>
          <w:szCs w:val="24"/>
          <w:lang w:val="en-GB"/>
        </w:rPr>
        <w:tab/>
        <w:t xml:space="preserve">b) To what extent did the ERF 2011-2013 (or 2008-2010) actions contribute to the </w:t>
      </w:r>
      <w:r>
        <w:rPr>
          <w:rFonts w:ascii="Times New Roman" w:hAnsi="Times New Roman" w:cs="Times New Roman"/>
          <w:noProof/>
          <w:sz w:val="24"/>
          <w:szCs w:val="24"/>
          <w:lang w:val="en-GB"/>
        </w:rPr>
        <w:tab/>
        <w:t>integration of persons referred to in Art 6 (tar</w:t>
      </w:r>
      <w:r>
        <w:rPr>
          <w:rFonts w:ascii="Times New Roman" w:hAnsi="Times New Roman" w:cs="Times New Roman"/>
          <w:noProof/>
          <w:sz w:val="24"/>
          <w:szCs w:val="24"/>
          <w:lang w:val="en-GB"/>
        </w:rPr>
        <w:t>get group)?</w:t>
      </w:r>
    </w:p>
    <w:p w:rsidR="00832624" w:rsidRDefault="0072318F">
      <w:pPr>
        <w:rPr>
          <w:rFonts w:ascii="Times New Roman" w:hAnsi="Times New Roman" w:cs="Times New Roman"/>
          <w:noProof/>
          <w:sz w:val="24"/>
          <w:szCs w:val="24"/>
          <w:lang w:val="en-GB"/>
        </w:rPr>
      </w:pPr>
      <w:r>
        <w:rPr>
          <w:rFonts w:ascii="Times New Roman" w:hAnsi="Times New Roman" w:cs="Times New Roman"/>
          <w:noProof/>
          <w:sz w:val="24"/>
          <w:szCs w:val="24"/>
          <w:lang w:val="en-GB"/>
        </w:rPr>
        <w:tab/>
        <w:t xml:space="preserve">c) To what extent did the ERF 2011-2013 (or 2008-2010) actions contribute to the </w:t>
      </w:r>
      <w:r>
        <w:rPr>
          <w:rFonts w:ascii="Times New Roman" w:hAnsi="Times New Roman" w:cs="Times New Roman"/>
          <w:noProof/>
          <w:sz w:val="24"/>
          <w:szCs w:val="24"/>
          <w:lang w:val="en-GB"/>
        </w:rPr>
        <w:tab/>
        <w:t xml:space="preserve">enhancement of Member States’ capacity to develop, monitor and evaluate their </w:t>
      </w:r>
      <w:r>
        <w:rPr>
          <w:rFonts w:ascii="Times New Roman" w:hAnsi="Times New Roman" w:cs="Times New Roman"/>
          <w:noProof/>
          <w:sz w:val="24"/>
          <w:szCs w:val="24"/>
          <w:lang w:val="en-GB"/>
        </w:rPr>
        <w:tab/>
        <w:t>asylum policies in the light of their obligations under existing and future Commun</w:t>
      </w:r>
      <w:r>
        <w:rPr>
          <w:rFonts w:ascii="Times New Roman" w:hAnsi="Times New Roman" w:cs="Times New Roman"/>
          <w:noProof/>
          <w:sz w:val="24"/>
          <w:szCs w:val="24"/>
          <w:lang w:val="en-GB"/>
        </w:rPr>
        <w:t xml:space="preserve">ity </w:t>
      </w:r>
      <w:r>
        <w:rPr>
          <w:rFonts w:ascii="Times New Roman" w:hAnsi="Times New Roman" w:cs="Times New Roman"/>
          <w:noProof/>
          <w:sz w:val="24"/>
          <w:szCs w:val="24"/>
          <w:lang w:val="en-GB"/>
        </w:rPr>
        <w:tab/>
        <w:t xml:space="preserve">legislation relating to the Common European Asylum System (in particular practical </w:t>
      </w:r>
      <w:r>
        <w:rPr>
          <w:rFonts w:ascii="Times New Roman" w:hAnsi="Times New Roman" w:cs="Times New Roman"/>
          <w:noProof/>
          <w:sz w:val="24"/>
          <w:szCs w:val="24"/>
          <w:lang w:val="en-GB"/>
        </w:rPr>
        <w:tab/>
        <w:t>cooperation activities between Member States)?</w:t>
      </w:r>
    </w:p>
    <w:p w:rsidR="00832624" w:rsidRDefault="0072318F">
      <w:pPr>
        <w:rPr>
          <w:rFonts w:ascii="Times New Roman" w:hAnsi="Times New Roman" w:cs="Times New Roman"/>
          <w:noProof/>
          <w:sz w:val="24"/>
          <w:szCs w:val="24"/>
          <w:lang w:val="en-GB"/>
        </w:rPr>
      </w:pPr>
      <w:r>
        <w:rPr>
          <w:rFonts w:ascii="Times New Roman" w:hAnsi="Times New Roman" w:cs="Times New Roman"/>
          <w:noProof/>
          <w:sz w:val="24"/>
          <w:szCs w:val="24"/>
          <w:lang w:val="en-GB"/>
        </w:rPr>
        <w:tab/>
        <w:t xml:space="preserve">d) To what extent did the ERF 2011-2013 (or 2008-2010) actions contribute to the </w:t>
      </w:r>
      <w:r>
        <w:rPr>
          <w:rFonts w:ascii="Times New Roman" w:hAnsi="Times New Roman" w:cs="Times New Roman"/>
          <w:noProof/>
          <w:sz w:val="24"/>
          <w:szCs w:val="24"/>
          <w:lang w:val="en-GB"/>
        </w:rPr>
        <w:tab/>
        <w:t>resettlement of persons referred to i</w:t>
      </w:r>
      <w:r>
        <w:rPr>
          <w:rFonts w:ascii="Times New Roman" w:hAnsi="Times New Roman" w:cs="Times New Roman"/>
          <w:noProof/>
          <w:sz w:val="24"/>
          <w:szCs w:val="24"/>
          <w:lang w:val="en-GB"/>
        </w:rPr>
        <w:t>n Article 6(e)?</w:t>
      </w:r>
    </w:p>
    <w:p w:rsidR="00832624" w:rsidRDefault="0072318F">
      <w:pPr>
        <w:rPr>
          <w:rFonts w:ascii="Times New Roman" w:hAnsi="Times New Roman" w:cs="Times New Roman"/>
          <w:noProof/>
          <w:sz w:val="24"/>
          <w:szCs w:val="24"/>
          <w:lang w:val="en-GB"/>
        </w:rPr>
      </w:pPr>
      <w:r>
        <w:rPr>
          <w:rFonts w:ascii="Times New Roman" w:hAnsi="Times New Roman" w:cs="Times New Roman"/>
          <w:noProof/>
          <w:sz w:val="24"/>
          <w:szCs w:val="24"/>
          <w:lang w:val="en-GB"/>
        </w:rPr>
        <w:tab/>
        <w:t xml:space="preserve">e) To what extent did the ERF 2011-2013 (or 2008-2010) actions contribute to the </w:t>
      </w:r>
      <w:r>
        <w:rPr>
          <w:rFonts w:ascii="Times New Roman" w:hAnsi="Times New Roman" w:cs="Times New Roman"/>
          <w:noProof/>
          <w:sz w:val="24"/>
          <w:szCs w:val="24"/>
          <w:lang w:val="en-GB"/>
        </w:rPr>
        <w:tab/>
        <w:t xml:space="preserve">transfer of persons falling within the categories referred to in Article 6(a) and 6(b) and </w:t>
      </w:r>
      <w:r>
        <w:rPr>
          <w:rFonts w:ascii="Times New Roman" w:hAnsi="Times New Roman" w:cs="Times New Roman"/>
          <w:noProof/>
          <w:sz w:val="24"/>
          <w:szCs w:val="24"/>
          <w:lang w:val="en-GB"/>
        </w:rPr>
        <w:tab/>
        <w:t>6(c)?</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2. To what extend did the ERF 2011-2013 (or 2008-2010) emer</w:t>
      </w:r>
      <w:r>
        <w:rPr>
          <w:rFonts w:ascii="Times New Roman" w:hAnsi="Times New Roman" w:cs="Times New Roman"/>
          <w:noProof/>
          <w:sz w:val="24"/>
          <w:szCs w:val="24"/>
          <w:lang w:val="en-GB"/>
        </w:rPr>
        <w:t>gency actions contributed to the achievement of these same objectives and to the priorities?</w:t>
      </w:r>
    </w:p>
    <w:p w:rsidR="00832624" w:rsidRDefault="0072318F">
      <w:pPr>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Theme 2 Efficiency </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3. To what extent were the effects of the ERF 2011-2013 (or 2008-2010) actions achieved at a reasonable cost in terms of financial and human re</w:t>
      </w:r>
      <w:r>
        <w:rPr>
          <w:rFonts w:ascii="Times New Roman" w:hAnsi="Times New Roman" w:cs="Times New Roman"/>
          <w:noProof/>
          <w:sz w:val="24"/>
          <w:szCs w:val="24"/>
          <w:lang w:val="en-GB"/>
        </w:rPr>
        <w:t xml:space="preserve">sources deployed? </w:t>
      </w:r>
    </w:p>
    <w:p w:rsidR="00832624" w:rsidRDefault="0072318F">
      <w:pPr>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Theme 3 Sustainability</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4. To what extent have the positive effects of the ERF 2011-2013 (or 2008-2010) actions lasted after the interventions were terminated?</w:t>
      </w:r>
    </w:p>
    <w:p w:rsidR="00832624" w:rsidRDefault="0072318F">
      <w:pPr>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Theme 4 Relevance </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5. To what extent did the ERF objectives correspond to the </w:t>
      </w:r>
      <w:r>
        <w:rPr>
          <w:rFonts w:ascii="Times New Roman" w:hAnsi="Times New Roman" w:cs="Times New Roman"/>
          <w:noProof/>
          <w:sz w:val="24"/>
          <w:szCs w:val="24"/>
          <w:lang w:val="en-GB"/>
        </w:rPr>
        <w:t>needs related to receiving, and in bearing the consequences of receiving, refugees and displaced persons by the Member States?</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6. To what extent did the ERF actions correspond to the needs related to receiving, and in bearing the consequences of receiving,</w:t>
      </w:r>
      <w:r>
        <w:rPr>
          <w:rFonts w:ascii="Times New Roman" w:hAnsi="Times New Roman" w:cs="Times New Roman"/>
          <w:noProof/>
          <w:sz w:val="24"/>
          <w:szCs w:val="24"/>
          <w:lang w:val="en-GB"/>
        </w:rPr>
        <w:t xml:space="preserve"> refugees and displaced persons by the Member States?</w:t>
      </w:r>
    </w:p>
    <w:p w:rsidR="00832624" w:rsidRDefault="0072318F">
      <w:pPr>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Theme 5 Coherence and complementarity </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7. To what extent were the ERF 2011-2013 (or 2008-2010) actions coherent with and complementary to other actions related to asylum, financed by other EU financial </w:t>
      </w:r>
      <w:r>
        <w:rPr>
          <w:rFonts w:ascii="Times New Roman" w:hAnsi="Times New Roman" w:cs="Times New Roman"/>
          <w:noProof/>
          <w:sz w:val="24"/>
          <w:szCs w:val="24"/>
          <w:lang w:val="en-GB"/>
        </w:rPr>
        <w:t>instruments and from national resources of the Member States, including the activities of the European Asylum Support Office (EASO), supporting EU Member States on asylum?</w:t>
      </w:r>
    </w:p>
    <w:p w:rsidR="00832624" w:rsidRDefault="0072318F">
      <w:pPr>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Theme 6 EU added value</w:t>
      </w:r>
    </w:p>
    <w:p w:rsidR="00832624" w:rsidRDefault="0072318F">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8. What is the additional value resulting from the ERF 2011-2</w:t>
      </w:r>
      <w:r>
        <w:rPr>
          <w:rFonts w:ascii="Times New Roman" w:hAnsi="Times New Roman" w:cs="Times New Roman"/>
          <w:noProof/>
          <w:sz w:val="24"/>
          <w:szCs w:val="24"/>
          <w:lang w:val="en-GB"/>
        </w:rPr>
        <w:t>013 (or 2008-2010) actions compared to what the Member States would be able to carry out through investments necessary for the implementation of the EU policies in the field of asylum without the support of the ERF 2011-2013 (or 2008-2010) actions?</w:t>
      </w:r>
    </w:p>
    <w:p w:rsidR="00832624" w:rsidRDefault="0072318F">
      <w:pPr>
        <w:pStyle w:val="Heading1"/>
        <w:rPr>
          <w:noProof/>
        </w:rPr>
      </w:pPr>
      <w:r>
        <w:rPr>
          <w:noProof/>
        </w:rPr>
        <w:br w:type="page"/>
      </w:r>
    </w:p>
    <w:p w:rsidR="00832624" w:rsidRDefault="0072318F">
      <w:pPr>
        <w:pStyle w:val="Heading1"/>
        <w:numPr>
          <w:ilvl w:val="0"/>
          <w:numId w:val="0"/>
        </w:numPr>
        <w:rPr>
          <w:b w:val="0"/>
          <w:noProof/>
        </w:rPr>
      </w:pPr>
      <w:bookmarkStart w:id="51" w:name="_Toc515378905"/>
      <w:r>
        <w:rPr>
          <w:b w:val="0"/>
          <w:noProof/>
        </w:rPr>
        <w:t>15</w:t>
      </w:r>
      <w:r>
        <w:rPr>
          <w:noProof/>
        </w:rPr>
        <w:tab/>
        <w:t>AN</w:t>
      </w:r>
      <w:r>
        <w:rPr>
          <w:noProof/>
        </w:rPr>
        <w:t xml:space="preserve">NEX 5 — </w:t>
      </w:r>
      <w:r>
        <w:rPr>
          <w:b w:val="0"/>
          <w:noProof/>
        </w:rPr>
        <w:t>List of abbreviations and country codes</w:t>
      </w:r>
      <w:bookmarkEnd w:id="51"/>
    </w:p>
    <w:p w:rsidR="00832624" w:rsidRDefault="00832624">
      <w:pPr>
        <w:spacing w:after="0"/>
        <w:rPr>
          <w:rFonts w:ascii="Times New Roman" w:hAnsi="Times New Roman" w:cs="Times New Roman"/>
          <w:noProof/>
          <w:sz w:val="24"/>
          <w:szCs w:val="24"/>
          <w:lang w:val="en-GB"/>
        </w:rPr>
      </w:pP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ABAC</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Accrual Basic Accounting</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AMIF</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Asylum, Migration and Integration Fund</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AP</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Annual Programme</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AWP</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Annual Work Programme</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CA</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Community Action</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CEAS</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Common European Asylum System</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COI</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 xml:space="preserve">Country of Origin </w:t>
      </w:r>
      <w:r>
        <w:rPr>
          <w:rFonts w:ascii="Times New Roman" w:hAnsi="Times New Roman" w:cs="Times New Roman"/>
          <w:noProof/>
          <w:sz w:val="24"/>
          <w:szCs w:val="24"/>
          <w:lang w:val="en-GB"/>
        </w:rPr>
        <w:t>Information</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EAC</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European Asylum Curriculum</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EASO</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European Asylum Support Office</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EBF</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European Borders Fund</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EC</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European Commission</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EIA</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Extended Impact Assessment</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EIF</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 xml:space="preserve">European Integration Fund </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EQ</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Evaluation Question</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ERF</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European Refugee Fund</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IOM</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Inte</w:t>
      </w:r>
      <w:r>
        <w:rPr>
          <w:rFonts w:ascii="Times New Roman" w:hAnsi="Times New Roman" w:cs="Times New Roman"/>
          <w:noProof/>
          <w:sz w:val="24"/>
          <w:szCs w:val="24"/>
          <w:lang w:val="en-GB"/>
        </w:rPr>
        <w:t>rnational Organisation for Migration</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ISF</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Internal Security Fund</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ISSG</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Inter Service Steering Group</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MPI</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Migration Policy Institute</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MS</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Member State(s)</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NGO</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Non-Governmental Organisation</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RA</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Responsible Authority</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RF</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European Return Fund</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SFC 2007</w:t>
      </w:r>
      <w:r>
        <w:rPr>
          <w:rFonts w:ascii="Times New Roman" w:hAnsi="Times New Roman" w:cs="Times New Roman"/>
          <w:noProof/>
          <w:sz w:val="24"/>
          <w:szCs w:val="24"/>
          <w:lang w:val="en-GB"/>
        </w:rPr>
        <w:tab/>
        <w:t>System fo</w:t>
      </w:r>
      <w:r>
        <w:rPr>
          <w:rFonts w:ascii="Times New Roman" w:hAnsi="Times New Roman" w:cs="Times New Roman"/>
          <w:noProof/>
          <w:sz w:val="24"/>
          <w:szCs w:val="24"/>
          <w:lang w:val="en-GB"/>
        </w:rPr>
        <w:t>r Fund Management 2007</w:t>
      </w:r>
    </w:p>
    <w:p w:rsidR="00832624" w:rsidRDefault="0072318F">
      <w:pPr>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SOLID</w:t>
      </w: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Solidarity and Management of Migration Flows</w:t>
      </w:r>
    </w:p>
    <w:p w:rsidR="00832624" w:rsidRDefault="00832624">
      <w:pPr>
        <w:pStyle w:val="Body"/>
        <w:rPr>
          <w:rFonts w:ascii="Times New Roman" w:hAnsi="Times New Roman" w:cs="Times New Roman"/>
          <w:b/>
          <w:i/>
          <w:noProof/>
          <w:sz w:val="24"/>
          <w:szCs w:val="24"/>
          <w:lang w:val="en-GB"/>
        </w:rPr>
      </w:pPr>
    </w:p>
    <w:p w:rsidR="00832624" w:rsidRDefault="0072318F">
      <w:pPr>
        <w:pStyle w:val="Body"/>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List of country codes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696"/>
        <w:gridCol w:w="7082"/>
      </w:tblGrid>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AT</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Austria </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BE</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Belgium</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BG</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Bulgaria</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CH</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Switzerland</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CY</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Cyprus</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CZ</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Czech Republic</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DE</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Germany</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DK</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Denmark</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EE</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Estonia</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EL</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Greece</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ES</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Spain</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FI</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Finland</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FR</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France</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HR</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Croatia</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HU</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Hungary</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IE</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Ireland</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IS</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Iceland</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IT</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Italy</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LT</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Lithuania</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LU</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Luxembourg</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LV</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Latvia</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MT</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Malta</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NL</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Netherlands</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NO</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Norway </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PL</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Poland</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PT</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Portugal</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RO</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Romania</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SE</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Sweden</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SI</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Slovenia</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SK</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Slovakia</w:t>
            </w:r>
          </w:p>
        </w:tc>
      </w:tr>
      <w:tr w:rsidR="00832624">
        <w:tc>
          <w:tcPr>
            <w:tcW w:w="1696" w:type="dxa"/>
            <w:shd w:val="clear" w:color="auto" w:fill="auto"/>
            <w:vAlign w:val="center"/>
          </w:tcPr>
          <w:p w:rsidR="00832624" w:rsidRDefault="0072318F">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UK</w:t>
            </w:r>
          </w:p>
        </w:tc>
        <w:tc>
          <w:tcPr>
            <w:tcW w:w="7082" w:type="dxa"/>
            <w:shd w:val="clear" w:color="auto" w:fill="auto"/>
            <w:vAlign w:val="center"/>
          </w:tcPr>
          <w:p w:rsidR="00832624" w:rsidRDefault="0072318F">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United Kingdom </w:t>
            </w:r>
          </w:p>
        </w:tc>
      </w:tr>
    </w:tbl>
    <w:p w:rsidR="00832624" w:rsidRDefault="00832624">
      <w:pPr>
        <w:spacing w:line="240" w:lineRule="auto"/>
        <w:jc w:val="both"/>
        <w:rPr>
          <w:noProof/>
        </w:rPr>
      </w:pPr>
    </w:p>
    <w:p w:rsidR="00832624" w:rsidRDefault="00832624">
      <w:pPr>
        <w:rPr>
          <w:noProof/>
          <w:lang w:val="en-GB"/>
        </w:rPr>
      </w:pPr>
    </w:p>
    <w:sectPr w:rsidR="00832624">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24" w:rsidRDefault="0072318F">
      <w:pPr>
        <w:spacing w:after="0" w:line="240" w:lineRule="auto"/>
      </w:pPr>
      <w:r>
        <w:separator/>
      </w:r>
    </w:p>
  </w:endnote>
  <w:endnote w:type="continuationSeparator" w:id="0">
    <w:p w:rsidR="00832624" w:rsidRDefault="0072318F">
      <w:pPr>
        <w:spacing w:after="0" w:line="240" w:lineRule="auto"/>
      </w:pPr>
      <w:r>
        <w:continuationSeparator/>
      </w:r>
    </w:p>
  </w:endnote>
  <w:endnote w:type="continuationNotice" w:id="1">
    <w:p w:rsidR="00832624" w:rsidRDefault="00832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YInterstate Regular">
    <w:altName w:val="Times New Roman"/>
    <w:charset w:val="00"/>
    <w:family w:val="auto"/>
    <w:pitch w:val="variable"/>
    <w:sig w:usb0="00000001" w:usb1="5000206A"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8F" w:rsidRPr="0072318F" w:rsidRDefault="0072318F" w:rsidP="007231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8F" w:rsidRPr="0072318F" w:rsidRDefault="0072318F" w:rsidP="0072318F">
    <w:pPr>
      <w:pStyle w:val="FooterCoverPage"/>
      <w:rPr>
        <w:rFonts w:ascii="Arial" w:hAnsi="Arial" w:cs="Arial"/>
        <w:b/>
        <w:sz w:val="48"/>
      </w:rPr>
    </w:pPr>
    <w:r w:rsidRPr="0072318F">
      <w:rPr>
        <w:rFonts w:ascii="Arial" w:hAnsi="Arial" w:cs="Arial"/>
        <w:b/>
        <w:sz w:val="48"/>
      </w:rPr>
      <w:t>EN</w:t>
    </w:r>
    <w:r w:rsidRPr="0072318F">
      <w:rPr>
        <w:rFonts w:ascii="Arial" w:hAnsi="Arial" w:cs="Arial"/>
        <w:b/>
        <w:sz w:val="48"/>
      </w:rPr>
      <w:tab/>
    </w:r>
    <w:r w:rsidRPr="0072318F">
      <w:rPr>
        <w:rFonts w:ascii="Arial" w:hAnsi="Arial" w:cs="Arial"/>
        <w:b/>
        <w:sz w:val="48"/>
      </w:rPr>
      <w:tab/>
    </w:r>
    <w:r w:rsidRPr="0072318F">
      <w:tab/>
    </w:r>
    <w:r w:rsidRPr="0072318F">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8F" w:rsidRPr="0072318F" w:rsidRDefault="0072318F" w:rsidP="0072318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24" w:rsidRDefault="008326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944169"/>
      <w:docPartObj>
        <w:docPartGallery w:val="Page Numbers (Bottom of Page)"/>
        <w:docPartUnique/>
      </w:docPartObj>
    </w:sdtPr>
    <w:sdtEndPr>
      <w:rPr>
        <w:noProof/>
      </w:rPr>
    </w:sdtEndPr>
    <w:sdtContent>
      <w:p w:rsidR="00832624" w:rsidRDefault="0072318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32624" w:rsidRDefault="008326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24" w:rsidRDefault="0083262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24" w:rsidRDefault="0083262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291917"/>
      <w:docPartObj>
        <w:docPartGallery w:val="Page Numbers (Bottom of Page)"/>
        <w:docPartUnique/>
      </w:docPartObj>
    </w:sdtPr>
    <w:sdtEndPr>
      <w:rPr>
        <w:noProof/>
      </w:rPr>
    </w:sdtEndPr>
    <w:sdtContent>
      <w:p w:rsidR="00832624" w:rsidRDefault="0072318F">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rsidR="00832624" w:rsidRDefault="0083262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24" w:rsidRDefault="00832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24" w:rsidRDefault="0072318F">
      <w:pPr>
        <w:spacing w:after="0" w:line="240" w:lineRule="auto"/>
      </w:pPr>
      <w:r>
        <w:separator/>
      </w:r>
    </w:p>
  </w:footnote>
  <w:footnote w:type="continuationSeparator" w:id="0">
    <w:p w:rsidR="00832624" w:rsidRDefault="0072318F">
      <w:pPr>
        <w:spacing w:after="0" w:line="240" w:lineRule="auto"/>
      </w:pPr>
      <w:r>
        <w:continuationSeparator/>
      </w:r>
    </w:p>
  </w:footnote>
  <w:footnote w:type="continuationNotice" w:id="1">
    <w:p w:rsidR="00832624" w:rsidRDefault="00832624">
      <w:pPr>
        <w:spacing w:after="0" w:line="240" w:lineRule="auto"/>
      </w:pPr>
    </w:p>
  </w:footnote>
  <w:footnote w:id="2">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Denmark does not participate in accordance with Articles 1 and 2 of the Protocol on the position of Denmark, annexed to the Treaty on European Union and to the Treaty establishing the European Community. Croatia </w:t>
      </w:r>
      <w:r>
        <w:rPr>
          <w:rFonts w:ascii="Times New Roman" w:hAnsi="Times New Roman" w:cs="Times New Roman"/>
          <w:sz w:val="20"/>
          <w:szCs w:val="20"/>
        </w:rPr>
        <w:t>participated as from 2013 only, upon accession to the EU.</w:t>
      </w:r>
    </w:p>
  </w:footnote>
  <w:footnote w:id="3">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annual programmes implemented by the Member States under the ERF 2008-2010 annual programmes are already covered by the ERF 2008-2010 </w:t>
      </w:r>
      <w:r>
        <w:rPr>
          <w:rFonts w:ascii="Times New Roman" w:hAnsi="Times New Roman" w:cs="Times New Roman"/>
          <w:i/>
          <w:sz w:val="20"/>
          <w:szCs w:val="20"/>
        </w:rPr>
        <w:t>ex post</w:t>
      </w:r>
      <w:r>
        <w:rPr>
          <w:rFonts w:ascii="Times New Roman" w:hAnsi="Times New Roman" w:cs="Times New Roman"/>
          <w:sz w:val="20"/>
          <w:szCs w:val="20"/>
        </w:rPr>
        <w:t xml:space="preserve"> evaluation. The evaluation also covers the 2008-2</w:t>
      </w:r>
      <w:r>
        <w:rPr>
          <w:rFonts w:ascii="Times New Roman" w:hAnsi="Times New Roman" w:cs="Times New Roman"/>
          <w:sz w:val="20"/>
          <w:szCs w:val="20"/>
        </w:rPr>
        <w:t>010 Community actions.</w:t>
      </w:r>
    </w:p>
  </w:footnote>
  <w:footnote w:id="4">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Regulation (EU) No 516/2014 of the European Parliament and of the Council of 16 April 2014 establishing the Asylum, Migration and Integration Fund (OJ L 150, 20.5.2014, p. 168).</w:t>
      </w:r>
    </w:p>
  </w:footnote>
  <w:footnote w:id="5">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Part of the interim evaluation is the mid-term re</w:t>
      </w:r>
      <w:r>
        <w:rPr>
          <w:rFonts w:ascii="Times New Roman" w:hAnsi="Times New Roman" w:cs="Times New Roman"/>
          <w:sz w:val="20"/>
          <w:szCs w:val="20"/>
        </w:rPr>
        <w:t>view of the AMIF national programmes of the Member States (Regulation (EU) No 514/2014, Article 15) which will take place in 2017 and 2018. The purpose of the mid-term review is for the Commission and the Member States to review the national programmes and</w:t>
      </w:r>
      <w:r>
        <w:rPr>
          <w:rFonts w:ascii="Times New Roman" w:hAnsi="Times New Roman" w:cs="Times New Roman"/>
          <w:sz w:val="20"/>
          <w:szCs w:val="20"/>
        </w:rPr>
        <w:t xml:space="preserve"> assess the need for a possible revision of the programme, in the light of </w:t>
      </w:r>
      <w:r>
        <w:rPr>
          <w:rFonts w:ascii="Times New Roman" w:hAnsi="Times New Roman" w:cs="Times New Roman"/>
          <w:sz w:val="20"/>
          <w:szCs w:val="20"/>
          <w:lang w:eastAsia="en-GB"/>
        </w:rPr>
        <w:t>developments in Union and national policies through a questionnaire and bilateral dialogues with the Member States. In addition if the need arises, the results of the mid-term revie</w:t>
      </w:r>
      <w:r>
        <w:rPr>
          <w:rFonts w:ascii="Times New Roman" w:hAnsi="Times New Roman" w:cs="Times New Roman"/>
          <w:sz w:val="20"/>
          <w:szCs w:val="20"/>
          <w:lang w:eastAsia="en-GB"/>
        </w:rPr>
        <w:t xml:space="preserve">w of the national programmes may support requests for additional funding made by the Commission to the budgetary authorities for the remaining implementation period.  </w:t>
      </w:r>
    </w:p>
  </w:footnote>
  <w:footnote w:id="6">
    <w:p w:rsidR="00832624" w:rsidRDefault="0072318F">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Council Decision 2000/596/EC of 28 September 2000 establishing the European Refugee F</w:t>
      </w:r>
      <w:r>
        <w:rPr>
          <w:rFonts w:ascii="Times New Roman" w:hAnsi="Times New Roman" w:cs="Times New Roman"/>
          <w:sz w:val="20"/>
          <w:szCs w:val="20"/>
        </w:rPr>
        <w:t>und for the period 2000-2004 - OJ L 252, 6.10.200, p.12., with a EUR 216 million budget.</w:t>
      </w:r>
    </w:p>
  </w:footnote>
  <w:footnote w:id="7">
    <w:p w:rsidR="00832624" w:rsidRDefault="0072318F">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Followed by ERF II, for 2005-2007, with a budget of EUR 114 million (Council Decision 2004/904/EC)</w:t>
      </w:r>
    </w:p>
  </w:footnote>
  <w:footnote w:id="8">
    <w:p w:rsidR="00832624" w:rsidRDefault="0072318F">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Annex to the General Programme Solidarity and Management of M</w:t>
      </w:r>
      <w:r>
        <w:rPr>
          <w:rFonts w:ascii="Times New Roman" w:hAnsi="Times New Roman" w:cs="Times New Roman"/>
          <w:sz w:val="20"/>
          <w:szCs w:val="20"/>
        </w:rPr>
        <w:t>igration Flows – Extended impact assessment 2005 – SEC(2005) 435 of 6/04/2005.</w:t>
      </w:r>
    </w:p>
  </w:footnote>
  <w:footnote w:id="9">
    <w:p w:rsidR="00832624" w:rsidRDefault="0072318F">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Including share of financial responsibility.</w:t>
      </w:r>
    </w:p>
  </w:footnote>
  <w:footnote w:id="10">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Established by Decision No 573/2007/EC of the European Parliament of the Council of 23 May 2007 establishing the European Refug</w:t>
      </w:r>
      <w:r>
        <w:rPr>
          <w:rFonts w:ascii="Times New Roman" w:hAnsi="Times New Roman" w:cs="Times New Roman"/>
          <w:sz w:val="20"/>
          <w:szCs w:val="20"/>
        </w:rPr>
        <w:t>ee Fund for the period 2008 to 2013 as part of the General programme 'Solidarity and Management of Migration Flows'.</w:t>
      </w:r>
    </w:p>
  </w:footnote>
  <w:footnote w:id="11">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General Programme “Solidarity and Management of Migration Flows” (SOLID) consisted of four instruments: External Borders Fund (EBF),</w:t>
      </w:r>
      <w:r>
        <w:rPr>
          <w:rFonts w:ascii="Times New Roman" w:hAnsi="Times New Roman" w:cs="Times New Roman"/>
          <w:sz w:val="20"/>
          <w:szCs w:val="20"/>
        </w:rPr>
        <w:t xml:space="preserve"> European Return Fund (RF), European Refugee Fund (ERF) and European Fund for the Integration of third-country nationals (EIF).</w:t>
      </w:r>
    </w:p>
  </w:footnote>
  <w:footnote w:id="12">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Commission Communication establishing </w:t>
      </w:r>
      <w:r>
        <w:rPr>
          <w:rFonts w:ascii="Times New Roman" w:hAnsi="Times New Roman" w:cs="Times New Roman"/>
          <w:i/>
          <w:sz w:val="20"/>
          <w:szCs w:val="20"/>
        </w:rPr>
        <w:t>A framework programme on solidarity and the management of migration flows for the period</w:t>
      </w:r>
      <w:r>
        <w:rPr>
          <w:rFonts w:ascii="Times New Roman" w:hAnsi="Times New Roman" w:cs="Times New Roman"/>
          <w:i/>
          <w:sz w:val="20"/>
          <w:szCs w:val="20"/>
        </w:rPr>
        <w:t xml:space="preserve"> 2007-2013</w:t>
      </w:r>
      <w:r>
        <w:rPr>
          <w:rFonts w:ascii="Times New Roman" w:hAnsi="Times New Roman" w:cs="Times New Roman"/>
          <w:sz w:val="20"/>
          <w:szCs w:val="20"/>
        </w:rPr>
        <w:t xml:space="preserve"> (COM(2005) 123 final).</w:t>
      </w:r>
    </w:p>
  </w:footnote>
  <w:footnote w:id="13">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Dublin II Regulation - Council Regulation (EC) No. 343/2003 of 18 February 2003 establishing the criteria and mechanisms for determining the Member State responsible for examining an asylum application lodged in one of </w:t>
      </w:r>
      <w:r>
        <w:rPr>
          <w:rFonts w:ascii="Times New Roman" w:hAnsi="Times New Roman" w:cs="Times New Roman"/>
          <w:sz w:val="20"/>
          <w:szCs w:val="20"/>
        </w:rPr>
        <w:t>the Member States by a third-country national &amp; Dublin III Regulation - Regulation (EU) No 604/2013 of the European Parliament and of the Council of 26 June 2013 establishing the criteria and mechanisms for determining the Member State responsible for exam</w:t>
      </w:r>
      <w:r>
        <w:rPr>
          <w:rFonts w:ascii="Times New Roman" w:hAnsi="Times New Roman" w:cs="Times New Roman"/>
          <w:sz w:val="20"/>
          <w:szCs w:val="20"/>
        </w:rPr>
        <w:t>ining an application for international protection lodged in one of the Member States by a third-country national or a stateless person.</w:t>
      </w:r>
    </w:p>
  </w:footnote>
  <w:footnote w:id="14">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Established by Council Regulation (EC) No 2725/2000 of 11 December 2000 concerning the establishment of ‘Eurodac’ for </w:t>
      </w:r>
      <w:r>
        <w:rPr>
          <w:rFonts w:ascii="Times New Roman" w:hAnsi="Times New Roman" w:cs="Times New Roman"/>
          <w:sz w:val="20"/>
          <w:szCs w:val="20"/>
        </w:rPr>
        <w:t>the comparison of fingerprints for the effective application of the Dublin Convention (OJ L 316, 15.12.2000, p. 1) and Council Regulation (EC) No 343/2003 of 18 February 2003 establishing the criteria and mechanisms for determining the Member State respons</w:t>
      </w:r>
      <w:r>
        <w:rPr>
          <w:rFonts w:ascii="Times New Roman" w:hAnsi="Times New Roman" w:cs="Times New Roman"/>
          <w:sz w:val="20"/>
          <w:szCs w:val="20"/>
        </w:rPr>
        <w:t>ible for examining an asylum application lodged in one of the Member States by a third-country national (OJ L 50, 25.2.2003, p. 1).</w:t>
      </w:r>
    </w:p>
  </w:footnote>
  <w:footnote w:id="15">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Taken pursuant to Council Directive 2001/55/EC to provide temporary protection in the event of a mass influx of refugees.</w:t>
      </w:r>
    </w:p>
  </w:footnote>
  <w:footnote w:id="16">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CEAS provides common minimum standards for the treatment of all asylum applicants and applications. It consists of a legal framework covering all aspects of the asylum process and a support agency, the European Asylum Support Office (EASO).</w:t>
      </w:r>
    </w:p>
  </w:footnote>
  <w:footnote w:id="17">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r</w:t>
      </w:r>
      <w:r>
        <w:rPr>
          <w:rFonts w:ascii="Times New Roman" w:hAnsi="Times New Roman" w:cs="Times New Roman"/>
          <w:sz w:val="20"/>
          <w:szCs w:val="20"/>
        </w:rPr>
        <w:t>evised Asylum Procedures Directive, the revised Reception Conditions Directive, the revised Qualification Directive, the revised Dublin Regulation and the revised Eurodac Regulation.</w:t>
      </w:r>
    </w:p>
  </w:footnote>
  <w:footnote w:id="18">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Implementation period from 1 January 2011 to 30 June 2015.</w:t>
      </w:r>
    </w:p>
  </w:footnote>
  <w:footnote w:id="19">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Annex to</w:t>
      </w:r>
      <w:r>
        <w:rPr>
          <w:rFonts w:ascii="Times New Roman" w:hAnsi="Times New Roman" w:cs="Times New Roman"/>
          <w:sz w:val="20"/>
          <w:szCs w:val="20"/>
        </w:rPr>
        <w:t xml:space="preserve"> the General Programme Solidarity and Management of Migration Flows – Extended impact assessment 2005 – SEC(2005) 435 of 6/04/2005.</w:t>
      </w:r>
    </w:p>
  </w:footnote>
  <w:footnote w:id="20">
    <w:p w:rsidR="00832624" w:rsidRDefault="0072318F">
      <w:pPr>
        <w:autoSpaceDE w:val="0"/>
        <w:autoSpaceDN w:val="0"/>
        <w:adjustRightInd w:val="0"/>
        <w:spacing w:after="0" w:line="240" w:lineRule="auto"/>
        <w:ind w:left="360" w:hanging="360"/>
        <w:jc w:val="both"/>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Article 2(1) of Decision No 573/2007/EC: "The general objective of the Fund shall be to support and encourage the effort</w:t>
      </w:r>
      <w:r>
        <w:rPr>
          <w:rFonts w:ascii="Times New Roman" w:hAnsi="Times New Roman" w:cs="Times New Roman"/>
          <w:sz w:val="20"/>
          <w:szCs w:val="20"/>
          <w:lang w:val="en-GB"/>
        </w:rPr>
        <w:t>s made by the Member States in receiving, and in bearing the consequences of receiving, refugees and displaced persons, taking account of Community legislation on those matters, by co-financing the actions provided for in this Decision".</w:t>
      </w:r>
    </w:p>
  </w:footnote>
  <w:footnote w:id="21">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Due to strong </w:t>
      </w:r>
      <w:r>
        <w:rPr>
          <w:rFonts w:ascii="Times New Roman" w:hAnsi="Times New Roman" w:cs="Times New Roman"/>
          <w:sz w:val="20"/>
          <w:szCs w:val="20"/>
        </w:rPr>
        <w:t>opposition from MSs.</w:t>
      </w:r>
    </w:p>
  </w:footnote>
  <w:footnote w:id="22">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Article 17 of Decision 573/2007/EC.</w:t>
      </w:r>
    </w:p>
  </w:footnote>
  <w:footnote w:id="23">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Commission Decision of 29 November 2007 implementing Decision No 573/2007/EC of the European Parliament and of the Council as regards the adoption of the strategic guidelines 2008 to 2013 (not</w:t>
      </w:r>
      <w:r>
        <w:rPr>
          <w:rFonts w:ascii="Times New Roman" w:hAnsi="Times New Roman" w:cs="Times New Roman"/>
          <w:sz w:val="20"/>
          <w:szCs w:val="20"/>
        </w:rPr>
        <w:t>ified under document number C(2007) 5738), OJ L 326, 12.12.2007, p. 29.</w:t>
      </w:r>
    </w:p>
  </w:footnote>
  <w:footnote w:id="24">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Commission Decision of 29 November 2007 implementing decision No 573/ 2007/ EC of the European Parliament and of the Council as regards the adoption of the strategic guidelines 2008</w:t>
      </w:r>
      <w:r>
        <w:rPr>
          <w:rFonts w:ascii="Times New Roman" w:hAnsi="Times New Roman" w:cs="Times New Roman"/>
          <w:sz w:val="20"/>
          <w:szCs w:val="20"/>
        </w:rPr>
        <w:t xml:space="preserve"> to 2013).  </w:t>
      </w:r>
    </w:p>
    <w:p w:rsidR="00832624" w:rsidRDefault="00832624">
      <w:pPr>
        <w:pStyle w:val="FootnoteText"/>
        <w:spacing w:after="0"/>
        <w:ind w:firstLine="0"/>
        <w:rPr>
          <w:rFonts w:ascii="Times New Roman" w:hAnsi="Times New Roman" w:cs="Times New Roman"/>
          <w:sz w:val="20"/>
          <w:szCs w:val="20"/>
        </w:rPr>
      </w:pPr>
    </w:p>
  </w:footnote>
  <w:footnote w:id="25">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Article 14.4 of Decision 573/2007/EC.</w:t>
      </w:r>
    </w:p>
  </w:footnote>
  <w:footnote w:id="26">
    <w:p w:rsidR="00832624" w:rsidRDefault="0072318F">
      <w:pPr>
        <w:pStyle w:val="FootnoteText"/>
        <w:spacing w:after="0"/>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Commission Delegated Regulation (EU) 2017/207 of 3 October 2016 on the Common monitoring and evaluation framework provided for in Regulation (EU) No 514/2014 of the European Parliament ad of the Cou</w:t>
      </w:r>
      <w:r>
        <w:rPr>
          <w:rFonts w:ascii="Times New Roman" w:hAnsi="Times New Roman" w:cs="Times New Roman"/>
          <w:sz w:val="20"/>
          <w:szCs w:val="20"/>
        </w:rPr>
        <w:t>ncil laying down general provisions on the asylum, migration and integration Fund and on the instrument for financial support for police cooperation, preventing and combating crime, and crisis management, OJ, 8.2.2017, L 33, p.1.</w:t>
      </w:r>
    </w:p>
  </w:footnote>
  <w:footnote w:id="27">
    <w:p w:rsidR="00832624" w:rsidRDefault="0072318F">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AT, BE, BG, FR, IT, SE </w:t>
      </w:r>
      <w:r>
        <w:rPr>
          <w:rFonts w:ascii="Times New Roman" w:hAnsi="Times New Roman" w:cs="Times New Roman"/>
          <w:sz w:val="20"/>
          <w:szCs w:val="20"/>
        </w:rPr>
        <w:t>and UK.</w:t>
      </w:r>
    </w:p>
  </w:footnote>
  <w:footnote w:id="28">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System for Fund Management 2007 (SFC) is an online monitoring tool managed by the Commission services and used for certain funding programmes, where Member States can upload implementation reports and financial information.</w:t>
      </w:r>
    </w:p>
  </w:footnote>
  <w:footnote w:id="29">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ABAC is the Commis</w:t>
      </w:r>
      <w:r>
        <w:rPr>
          <w:rFonts w:ascii="Times New Roman" w:hAnsi="Times New Roman" w:cs="Times New Roman"/>
          <w:sz w:val="20"/>
          <w:szCs w:val="20"/>
        </w:rPr>
        <w:t>sion’s accrual-based online accounting system.</w:t>
      </w:r>
    </w:p>
  </w:footnote>
  <w:footnote w:id="30">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is explained by the fact that the Better Regulation agenda, which formalised the criteria of the evaluations to be carried out by the Commission, was adopted after the ERF was established.</w:t>
      </w:r>
    </w:p>
  </w:footnote>
  <w:footnote w:id="31">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Some Memb</w:t>
      </w:r>
      <w:r>
        <w:rPr>
          <w:rFonts w:ascii="Times New Roman" w:hAnsi="Times New Roman" w:cs="Times New Roman"/>
          <w:sz w:val="20"/>
          <w:szCs w:val="20"/>
        </w:rPr>
        <w:t xml:space="preserve">er States recorded the total compound number relating to an indicator in a given year (i.e. the total for the year in question and all the previous ones), while others provided only the additional number for that year (i.e. the change in the number). Some </w:t>
      </w:r>
      <w:r>
        <w:rPr>
          <w:rFonts w:ascii="Times New Roman" w:hAnsi="Times New Roman" w:cs="Times New Roman"/>
          <w:sz w:val="20"/>
          <w:szCs w:val="20"/>
        </w:rPr>
        <w:t>were not consistent in the units used for the indicators.</w:t>
      </w:r>
    </w:p>
  </w:footnote>
  <w:footnote w:id="32">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Commission Delegated Regulation (EU) 2017/207 on the common monitoring and evaluation framework provided for in Regulation (EU) No 514/2014 of the European Parliament and of the Council laying do</w:t>
      </w:r>
      <w:r>
        <w:rPr>
          <w:rFonts w:ascii="Times New Roman" w:hAnsi="Times New Roman" w:cs="Times New Roman"/>
          <w:sz w:val="20"/>
          <w:szCs w:val="20"/>
        </w:rPr>
        <w:t>wn general provisions on the Asylum, Migration and Integration Fund and on the instrument for financial support for police cooperation, preventing and combating crime, and crisis management.</w:t>
      </w:r>
    </w:p>
  </w:footnote>
  <w:footnote w:id="33">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Decision No 573/2007/EC, Article 13. </w:t>
      </w:r>
    </w:p>
  </w:footnote>
  <w:footnote w:id="34">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Decision No 573/2007/E</w:t>
      </w:r>
      <w:r>
        <w:rPr>
          <w:rFonts w:ascii="Times New Roman" w:hAnsi="Times New Roman" w:cs="Times New Roman"/>
          <w:sz w:val="20"/>
          <w:szCs w:val="20"/>
        </w:rPr>
        <w:t>C, Article 20.2</w:t>
      </w:r>
    </w:p>
  </w:footnote>
  <w:footnote w:id="35">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 Decision No 573/2007/EC, Article 6.</w:t>
      </w:r>
    </w:p>
  </w:footnote>
  <w:footnote w:id="36">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Decision No 573/2007/EC, Article 14.4. </w:t>
      </w:r>
    </w:p>
  </w:footnote>
  <w:footnote w:id="37">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Decision No 573/2007/EC, Article 16.</w:t>
      </w:r>
    </w:p>
  </w:footnote>
  <w:footnote w:id="38">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Decision No 573/2007/EC, Article 5.</w:t>
      </w:r>
    </w:p>
  </w:footnote>
  <w:footnote w:id="39">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Fund’s contribution to projects in Member States is set at maximum 50% </w:t>
      </w:r>
      <w:r>
        <w:rPr>
          <w:rFonts w:ascii="Times New Roman" w:hAnsi="Times New Roman" w:cs="Times New Roman"/>
          <w:sz w:val="20"/>
          <w:szCs w:val="20"/>
        </w:rPr>
        <w:t>of the total eligible costs of an action and at 75% for Member States covered by the Cohesion Fund and for projects reflecting specific priorities mentioned in the strategic guidelines. For projects carried out under direct management, the contribution may</w:t>
      </w:r>
      <w:r>
        <w:rPr>
          <w:rFonts w:ascii="Times New Roman" w:hAnsi="Times New Roman" w:cs="Times New Roman"/>
          <w:sz w:val="20"/>
          <w:szCs w:val="20"/>
        </w:rPr>
        <w:t xml:space="preserve"> amount to 90% of the total eligible costs of a project.</w:t>
      </w:r>
    </w:p>
  </w:footnote>
  <w:footnote w:id="40">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Ratio between the final EU contribution and the Programmed EC contribution.</w:t>
      </w:r>
    </w:p>
  </w:footnote>
  <w:footnote w:id="41">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NGOs, International Organisations.</w:t>
      </w:r>
    </w:p>
  </w:footnote>
  <w:footnote w:id="42">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IT, SE, FR, UK and DE.</w:t>
      </w:r>
    </w:p>
  </w:footnote>
  <w:footnote w:id="43">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BG, CY, DE, EL, FR, HU, IT, MT and NL.</w:t>
      </w:r>
    </w:p>
  </w:footnote>
  <w:footnote w:id="44">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(1) Impleme</w:t>
      </w:r>
      <w:r>
        <w:rPr>
          <w:rFonts w:ascii="Times New Roman" w:hAnsi="Times New Roman" w:cs="Times New Roman"/>
          <w:sz w:val="20"/>
          <w:szCs w:val="20"/>
        </w:rPr>
        <w:t>ntation of the principles and measures set out in the Community acquis in the field of asylum, including those related to integration objectives; (2) Development of reference tools and evaluation methodologies to assess and improve the quality of procedure</w:t>
      </w:r>
      <w:r>
        <w:rPr>
          <w:rFonts w:ascii="Times New Roman" w:hAnsi="Times New Roman" w:cs="Times New Roman"/>
          <w:sz w:val="20"/>
          <w:szCs w:val="20"/>
        </w:rPr>
        <w:t>s for the examination of claims for international protection and to underpin administrative structures in an effort to respond to the challenges brought forward by enhanced practical cooperation with other Member States; (3) Actions helping to enhance resp</w:t>
      </w:r>
      <w:r>
        <w:rPr>
          <w:rFonts w:ascii="Times New Roman" w:hAnsi="Times New Roman" w:cs="Times New Roman"/>
          <w:sz w:val="20"/>
          <w:szCs w:val="20"/>
        </w:rPr>
        <w:t>onsibility sharing between Member States and third countries (optional priority).</w:t>
      </w:r>
    </w:p>
  </w:footnote>
  <w:footnote w:id="45">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EL, IT, LU, SV and HR only implemented projects under priority 1.</w:t>
      </w:r>
    </w:p>
  </w:footnote>
  <w:footnote w:id="46">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Improvement of the accommodation facilities, psychological and social support, legal assistance.</w:t>
      </w:r>
    </w:p>
  </w:footnote>
  <w:footnote w:id="47">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Source: SFC2007 (27.02.2017). These data were aggregated manually.</w:t>
      </w:r>
    </w:p>
  </w:footnote>
  <w:footnote w:id="48">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4 378 persons were resettled from 2008 to 2010.</w:t>
      </w:r>
    </w:p>
  </w:footnote>
  <w:footnote w:id="49">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Women at risk and unaccompanied minors.</w:t>
      </w:r>
    </w:p>
  </w:footnote>
  <w:footnote w:id="50">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Study on the feasibility of developing Eurodac into a supporting tool for the CEAS, Study on</w:t>
      </w:r>
      <w:r>
        <w:rPr>
          <w:rFonts w:ascii="Times New Roman" w:hAnsi="Times New Roman" w:cs="Times New Roman"/>
          <w:sz w:val="20"/>
          <w:szCs w:val="20"/>
        </w:rPr>
        <w:t xml:space="preserve"> the implementation of the Qualification Directive and Study on the implementation of the CEAS.</w:t>
      </w:r>
    </w:p>
  </w:footnote>
  <w:footnote w:id="51">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Grant agreements signed between the European Commission and awarded beneficiaries.</w:t>
      </w:r>
    </w:p>
  </w:footnote>
  <w:footnote w:id="52">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Projects are regarded as closed/completed once the technical implementa</w:t>
      </w:r>
      <w:r>
        <w:rPr>
          <w:rFonts w:ascii="Times New Roman" w:hAnsi="Times New Roman" w:cs="Times New Roman"/>
          <w:sz w:val="20"/>
          <w:szCs w:val="20"/>
        </w:rPr>
        <w:t>tion report has been received and approved and final payment (and de-commitment, if applicable) has been made.</w:t>
      </w:r>
    </w:p>
  </w:footnote>
  <w:footnote w:id="53">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Annex 6 for more details on programmed and awarded contributions for ERF direct management.</w:t>
      </w:r>
    </w:p>
  </w:footnote>
  <w:footnote w:id="54">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issue seems to be still valid under the</w:t>
      </w:r>
      <w:r>
        <w:rPr>
          <w:rFonts w:ascii="Times New Roman" w:hAnsi="Times New Roman" w:cs="Times New Roman"/>
          <w:sz w:val="20"/>
          <w:szCs w:val="20"/>
        </w:rPr>
        <w:t xml:space="preserve"> AMIF, although specific actions and emergency assistance have helped to introduce more flexibility.</w:t>
      </w:r>
    </w:p>
  </w:footnote>
  <w:footnote w:id="55">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According to the Dublin system, asylum applicants cannot choose the EU country where their application will be processed. However, some migrants seek to</w:t>
      </w:r>
      <w:r>
        <w:rPr>
          <w:rFonts w:ascii="Times New Roman" w:hAnsi="Times New Roman" w:cs="Times New Roman"/>
          <w:sz w:val="20"/>
          <w:szCs w:val="20"/>
        </w:rPr>
        <w:t xml:space="preserve"> avoid registration and fingerprinting and then move on to the country where they wish to get asylum and settle which create an incentive for asylum shopping. These secondary movements create imbalances in the distribution of asylum applicants and place di</w:t>
      </w:r>
      <w:r>
        <w:rPr>
          <w:rFonts w:ascii="Times New Roman" w:hAnsi="Times New Roman" w:cs="Times New Roman"/>
          <w:sz w:val="20"/>
          <w:szCs w:val="20"/>
        </w:rPr>
        <w:t>sproportionate pressure on the favoured destination countries.</w:t>
      </w:r>
    </w:p>
  </w:footnote>
  <w:footnote w:id="56">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31 eligible actions grouped into five categories relating to the ERF’s specific objectives: </w:t>
      </w:r>
    </w:p>
    <w:p w:rsidR="00832624" w:rsidRDefault="0072318F">
      <w:pPr>
        <w:pStyle w:val="FootnoteText"/>
        <w:spacing w:after="0"/>
        <w:ind w:left="709" w:hanging="425"/>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sz w:val="20"/>
          <w:szCs w:val="20"/>
        </w:rPr>
        <w:tab/>
        <w:t xml:space="preserve">reception conditions and asylum procedures; </w:t>
      </w:r>
    </w:p>
    <w:p w:rsidR="00832624" w:rsidRDefault="0072318F">
      <w:pPr>
        <w:pStyle w:val="FootnoteText"/>
        <w:spacing w:after="0"/>
        <w:ind w:left="709" w:hanging="425"/>
        <w:rPr>
          <w:rFonts w:ascii="Times New Roman" w:hAnsi="Times New Roman" w:cs="Times New Roman"/>
          <w:sz w:val="20"/>
          <w:szCs w:val="20"/>
        </w:rPr>
      </w:pPr>
      <w:r>
        <w:rPr>
          <w:rFonts w:ascii="Times New Roman" w:hAnsi="Times New Roman" w:cs="Times New Roman"/>
          <w:sz w:val="20"/>
          <w:szCs w:val="20"/>
        </w:rPr>
        <w:t>(ii)</w:t>
      </w:r>
      <w:r>
        <w:rPr>
          <w:rFonts w:ascii="Times New Roman" w:hAnsi="Times New Roman" w:cs="Times New Roman"/>
          <w:sz w:val="20"/>
          <w:szCs w:val="20"/>
        </w:rPr>
        <w:tab/>
        <w:t xml:space="preserve">integration; </w:t>
      </w:r>
    </w:p>
    <w:p w:rsidR="00832624" w:rsidRDefault="0072318F">
      <w:pPr>
        <w:pStyle w:val="FootnoteText"/>
        <w:spacing w:after="0"/>
        <w:ind w:left="709" w:hanging="425"/>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sz w:val="20"/>
          <w:szCs w:val="20"/>
        </w:rPr>
        <w:tab/>
        <w:t>enhancement of Member</w:t>
      </w:r>
      <w:r>
        <w:rPr>
          <w:rFonts w:ascii="Times New Roman" w:hAnsi="Times New Roman" w:cs="Times New Roman"/>
          <w:sz w:val="20"/>
          <w:szCs w:val="20"/>
        </w:rPr>
        <w:t xml:space="preserve"> States’ capacity to develop, monitor and evaluate their asylum policies; </w:t>
      </w:r>
    </w:p>
    <w:p w:rsidR="00832624" w:rsidRDefault="0072318F">
      <w:pPr>
        <w:pStyle w:val="FootnoteText"/>
        <w:spacing w:after="0"/>
        <w:ind w:left="709" w:hanging="425"/>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sz w:val="20"/>
          <w:szCs w:val="20"/>
        </w:rPr>
        <w:tab/>
        <w:t xml:space="preserve">resettlement; and </w:t>
      </w:r>
    </w:p>
    <w:p w:rsidR="00832624" w:rsidRDefault="0072318F">
      <w:pPr>
        <w:pStyle w:val="FootnoteText"/>
        <w:spacing w:after="0"/>
        <w:ind w:left="709" w:hanging="425"/>
        <w:rPr>
          <w:rFonts w:ascii="Times New Roman" w:hAnsi="Times New Roman" w:cs="Times New Roman"/>
          <w:sz w:val="20"/>
          <w:szCs w:val="20"/>
        </w:rPr>
      </w:pPr>
      <w:r>
        <w:rPr>
          <w:rFonts w:ascii="Times New Roman" w:hAnsi="Times New Roman" w:cs="Times New Roman"/>
          <w:sz w:val="20"/>
          <w:szCs w:val="20"/>
        </w:rPr>
        <w:t xml:space="preserve">(v) </w:t>
      </w:r>
      <w:r>
        <w:rPr>
          <w:rFonts w:ascii="Times New Roman" w:hAnsi="Times New Roman" w:cs="Times New Roman"/>
          <w:sz w:val="20"/>
          <w:szCs w:val="20"/>
        </w:rPr>
        <w:tab/>
        <w:t>transfer of people (relocation).</w:t>
      </w:r>
    </w:p>
  </w:footnote>
  <w:footnote w:id="57">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UK and SE were the main beneficiaries of the resettlement programme.</w:t>
      </w:r>
    </w:p>
  </w:footnote>
  <w:footnote w:id="58">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9 058 persons were resettled in 2011-2013 co</w:t>
      </w:r>
      <w:r>
        <w:rPr>
          <w:rFonts w:ascii="Times New Roman" w:hAnsi="Times New Roman" w:cs="Times New Roman"/>
          <w:sz w:val="20"/>
          <w:szCs w:val="20"/>
        </w:rPr>
        <w:t>mpared to 4 378 resettled in 2008-2010.</w:t>
      </w:r>
    </w:p>
  </w:footnote>
  <w:footnote w:id="59">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Article 16 and Annex II of Regulation (EU) No 516/2014. An additional amount can be granted to Member States provided that the additional amount is earmarked as such in the national programme and that it is used to implement the specific actions set in Ann</w:t>
      </w:r>
      <w:r>
        <w:rPr>
          <w:rFonts w:ascii="Times New Roman" w:hAnsi="Times New Roman" w:cs="Times New Roman"/>
          <w:sz w:val="20"/>
          <w:szCs w:val="20"/>
        </w:rPr>
        <w:t>ex II to the Regulation. These specific actions mainly include actions implemented by more than one Member State (joint action) in the field of integration, joint return operations, joint initiative in the field of legal migration, joint reintegration proj</w:t>
      </w:r>
      <w:r>
        <w:rPr>
          <w:rFonts w:ascii="Times New Roman" w:hAnsi="Times New Roman" w:cs="Times New Roman"/>
          <w:sz w:val="20"/>
          <w:szCs w:val="20"/>
        </w:rPr>
        <w:t xml:space="preserve">ects etc. </w:t>
      </w:r>
    </w:p>
  </w:footnote>
  <w:footnote w:id="60">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SI, EE, HU, LT, CZ, SK, HR, CY and BG.</w:t>
      </w:r>
    </w:p>
  </w:footnote>
  <w:footnote w:id="61">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Development of reference tools and evaluation methodologies to assess and improve procedures for examining claims for international protection and to underpin administrative structures in response to </w:t>
      </w:r>
      <w:r>
        <w:rPr>
          <w:rFonts w:ascii="Times New Roman" w:hAnsi="Times New Roman" w:cs="Times New Roman"/>
          <w:sz w:val="20"/>
          <w:szCs w:val="20"/>
        </w:rPr>
        <w:t>the challenges of greater cooperation between Member States.</w:t>
      </w:r>
    </w:p>
  </w:footnote>
  <w:footnote w:id="62">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Actions helping to enhance responsibility-sharing between Member States and non</w:t>
      </w:r>
      <w:r>
        <w:rPr>
          <w:rFonts w:ascii="Times New Roman" w:hAnsi="Times New Roman" w:cs="Times New Roman"/>
          <w:sz w:val="20"/>
          <w:szCs w:val="20"/>
        </w:rPr>
        <w:noBreakHyphen/>
        <w:t>EU countries (optional priority).</w:t>
      </w:r>
    </w:p>
  </w:footnote>
  <w:footnote w:id="63">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Under the AMIF, the European Commission is making considerable efforts to a</w:t>
      </w:r>
      <w:r>
        <w:rPr>
          <w:rFonts w:ascii="Times New Roman" w:hAnsi="Times New Roman" w:cs="Times New Roman"/>
          <w:sz w:val="20"/>
          <w:szCs w:val="20"/>
        </w:rPr>
        <w:t>ddress this issue by developing a common monitoring and evaluation framework with active cooperation of the Member States.</w:t>
      </w:r>
    </w:p>
  </w:footnote>
  <w:footnote w:id="64">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UK and LU.</w:t>
      </w:r>
    </w:p>
  </w:footnote>
  <w:footnote w:id="65">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Indicators mostly related to a number of asylum seekers and refugees to be received and/or integrated, and did not d</w:t>
      </w:r>
      <w:r>
        <w:rPr>
          <w:rFonts w:ascii="Times New Roman" w:hAnsi="Times New Roman" w:cs="Times New Roman"/>
          <w:sz w:val="20"/>
          <w:szCs w:val="20"/>
        </w:rPr>
        <w:t>etail qualitative aspects under Priority 1 (how the reception and integration and asylum procedures would be improved) or expected progress under Priority 2 (what is expected from the development of tools and methodologies and from the improvement of admin</w:t>
      </w:r>
      <w:r>
        <w:rPr>
          <w:rFonts w:ascii="Times New Roman" w:hAnsi="Times New Roman" w:cs="Times New Roman"/>
          <w:sz w:val="20"/>
          <w:szCs w:val="20"/>
        </w:rPr>
        <w:t>istrative structures).</w:t>
      </w:r>
    </w:p>
  </w:footnote>
  <w:footnote w:id="66">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BG, FI, FR, LU, PT, RO and UK.</w:t>
      </w:r>
    </w:p>
  </w:footnote>
  <w:footnote w:id="67">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Over a million new migrants entered the 27 Member States between 2011 and 2013.</w:t>
      </w:r>
    </w:p>
  </w:footnote>
  <w:footnote w:id="68">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EL, FR, LT, RO, BE, BG, CY and LU.</w:t>
      </w:r>
    </w:p>
  </w:footnote>
  <w:footnote w:id="69">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target groups comprise the following categories: (a) any third-country </w:t>
      </w:r>
      <w:r>
        <w:rPr>
          <w:rFonts w:ascii="Times New Roman" w:hAnsi="Times New Roman" w:cs="Times New Roman"/>
          <w:sz w:val="20"/>
          <w:szCs w:val="20"/>
        </w:rPr>
        <w:t xml:space="preserve">national or stateless person having the status defined by the Geneva Convention and who is permitted to reside as a refugee in one of the Member States; (b) any third-country national or stateless person enjoying a form of subsidiary protection within the </w:t>
      </w:r>
      <w:r>
        <w:rPr>
          <w:rFonts w:ascii="Times New Roman" w:hAnsi="Times New Roman" w:cs="Times New Roman"/>
          <w:sz w:val="20"/>
          <w:szCs w:val="20"/>
        </w:rPr>
        <w:t xml:space="preserve">meaning of Directive 2004/83/EC; (c) any third-country national or stateless person who has applied for one of the forms of protection described in points (a) and (b); (d) any third-country national or stateless person enjoying temporary protection within </w:t>
      </w:r>
      <w:r>
        <w:rPr>
          <w:rFonts w:ascii="Times New Roman" w:hAnsi="Times New Roman" w:cs="Times New Roman"/>
          <w:sz w:val="20"/>
          <w:szCs w:val="20"/>
        </w:rPr>
        <w:t>the meaning of Directive 2001/55/EC; (e) any third-country national or stateless person who is being or has been resettled in a Member State.</w:t>
      </w:r>
    </w:p>
  </w:footnote>
  <w:footnote w:id="70">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To be compared with 73,000 new asylum applications accepted during 2011-2013. France, Greece, Germany, and Hunga</w:t>
      </w:r>
      <w:r>
        <w:rPr>
          <w:rFonts w:ascii="Times New Roman" w:hAnsi="Times New Roman" w:cs="Times New Roman"/>
          <w:sz w:val="20"/>
          <w:szCs w:val="20"/>
        </w:rPr>
        <w:t>ry were the MS having the higher number of beneficiaries in absolute data.</w:t>
      </w:r>
    </w:p>
  </w:footnote>
  <w:footnote w:id="71">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BG, CY, DE, EE, FR, IT, LT, LU, MT, NL, PL, PT and SI.</w:t>
      </w:r>
    </w:p>
  </w:footnote>
  <w:footnote w:id="72">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BE and NL.</w:t>
      </w:r>
    </w:p>
  </w:footnote>
  <w:footnote w:id="73">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DE, IT, LT, LU, NL and SI.</w:t>
      </w:r>
    </w:p>
  </w:footnote>
  <w:footnote w:id="74">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MT, PT and RO.</w:t>
      </w:r>
    </w:p>
  </w:footnote>
  <w:footnote w:id="75">
    <w:p w:rsidR="00832624" w:rsidRDefault="0072318F">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Council Regulation (EC) No. 343/2003 of 18 </w:t>
      </w:r>
      <w:r>
        <w:rPr>
          <w:rFonts w:ascii="Times New Roman" w:hAnsi="Times New Roman" w:cs="Times New Roman"/>
          <w:sz w:val="20"/>
          <w:szCs w:val="20"/>
        </w:rPr>
        <w:t>February 2003 establishing the criteria and mechanisms for determining the Member State responsible for examining an asylum application lodged in one of the Member States by a third-country national.</w:t>
      </w:r>
    </w:p>
  </w:footnote>
  <w:footnote w:id="76">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CEAS foresees the establishment of a fully effici</w:t>
      </w:r>
      <w:r>
        <w:rPr>
          <w:rFonts w:ascii="Times New Roman" w:hAnsi="Times New Roman" w:cs="Times New Roman"/>
          <w:sz w:val="20"/>
          <w:szCs w:val="20"/>
        </w:rPr>
        <w:t>ent, fair and humane asylum policy which functions effectively both in times of normal and in times of high migratory pressure. It ensures a fair allocation of asylum applications among Member States and provides for a common set of rules at EU level to si</w:t>
      </w:r>
      <w:r>
        <w:rPr>
          <w:rFonts w:ascii="Times New Roman" w:hAnsi="Times New Roman" w:cs="Times New Roman"/>
          <w:sz w:val="20"/>
          <w:szCs w:val="20"/>
        </w:rPr>
        <w:t>mplify and shorten the asylum procedure, discourage secondary movements and increase the prospect of integration.</w:t>
      </w:r>
    </w:p>
  </w:footnote>
  <w:footnote w:id="77">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BE, CZ, DE, FR, FI, ES, HU, IE, NL, PT, SE and UK.</w:t>
      </w:r>
    </w:p>
  </w:footnote>
  <w:footnote w:id="78">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BE, DE, HU and PT.</w:t>
      </w:r>
    </w:p>
  </w:footnote>
  <w:footnote w:id="79">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2 463 in 2011, 2 786 in 2012 and 3 809 in 2013.</w:t>
      </w:r>
    </w:p>
  </w:footnote>
  <w:footnote w:id="80">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Decision No </w:t>
      </w:r>
      <w:r>
        <w:rPr>
          <w:rFonts w:ascii="Times New Roman" w:hAnsi="Times New Roman" w:cs="Times New Roman"/>
          <w:sz w:val="20"/>
          <w:szCs w:val="20"/>
        </w:rPr>
        <w:t>281/2012/EU (revising Decision No 573/2007/EC) increased the fixed amount for Member States resettling people for the first time.</w:t>
      </w:r>
    </w:p>
  </w:footnote>
  <w:footnote w:id="81">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BE, BG, HU, NL, RO, SE and UK.</w:t>
      </w:r>
    </w:p>
  </w:footnote>
  <w:footnote w:id="82">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CY, EE, EL, HR, IE, IT, LT, LU, LV, MT, PL, SI and SK.</w:t>
      </w:r>
    </w:p>
  </w:footnote>
  <w:footnote w:id="83">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According to Article 17 (3)</w:t>
      </w:r>
      <w:r>
        <w:rPr>
          <w:rFonts w:ascii="Times New Roman" w:hAnsi="Times New Roman" w:cs="Times New Roman"/>
          <w:sz w:val="20"/>
          <w:szCs w:val="20"/>
        </w:rPr>
        <w:t xml:space="preserve"> of Regulation (EU) No 516/2014 establishing the Asylum, Migration and Integration Fund.</w:t>
      </w:r>
    </w:p>
  </w:footnote>
  <w:footnote w:id="84">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Regulation (EU) No 516/2014, Article 17.9, last sentence of the paragraph: "Those amounts shall not be transferred to other actions under the national programme".</w:t>
      </w:r>
    </w:p>
  </w:footnote>
  <w:footnote w:id="85">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In 2016, the Commission proposed a regulation establishing a Union Resettlement Framework and amending Regulation (EU) No 516/2014 . The aim of the legislative proposal is to create a more structured, harmonised, and permanent framework for resettlement a</w:t>
      </w:r>
      <w:r>
        <w:rPr>
          <w:rFonts w:ascii="Times New Roman" w:hAnsi="Times New Roman" w:cs="Times New Roman"/>
          <w:sz w:val="20"/>
          <w:szCs w:val="20"/>
        </w:rPr>
        <w:t xml:space="preserve">cross the Union with the view to create a more robust and collective approach. The objective is to reduce the divergences among the national resettlement practices and put the Union in a stronger position to also achieve its policy objectives globally. It </w:t>
      </w:r>
      <w:r>
        <w:rPr>
          <w:rFonts w:ascii="Times New Roman" w:hAnsi="Times New Roman" w:cs="Times New Roman"/>
          <w:sz w:val="20"/>
          <w:szCs w:val="20"/>
        </w:rPr>
        <w:t>would allow the Union to make a single pledge to contribute to global resettlement initiatives. The proposal foresees that Member States will be entitled to EUR 10 000 from the Union's budget for each resettled person.</w:t>
      </w:r>
    </w:p>
  </w:footnote>
  <w:footnote w:id="86">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According to Article 18 (3) of Reg</w:t>
      </w:r>
      <w:r>
        <w:rPr>
          <w:rFonts w:ascii="Times New Roman" w:hAnsi="Times New Roman" w:cs="Times New Roman"/>
          <w:sz w:val="20"/>
          <w:szCs w:val="20"/>
        </w:rPr>
        <w:t>ulation (EU) No 516/2014  establishing the Asylum, Migration and Integration Fund.</w:t>
      </w:r>
    </w:p>
  </w:footnote>
  <w:footnote w:id="87">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IT, EL, MT, CY, FR, DE, HU and BG.</w:t>
      </w:r>
    </w:p>
  </w:footnote>
  <w:footnote w:id="88">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BE, CY, EL and MT.</w:t>
      </w:r>
    </w:p>
  </w:footnote>
  <w:footnote w:id="89">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Responsible authorities and beneficiaries.</w:t>
      </w:r>
    </w:p>
  </w:footnote>
  <w:footnote w:id="90">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BG, EL and HU.</w:t>
      </w:r>
    </w:p>
  </w:footnote>
  <w:footnote w:id="91">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'Emergency situation' means a situation result</w:t>
      </w:r>
      <w:r>
        <w:rPr>
          <w:rFonts w:ascii="Times New Roman" w:hAnsi="Times New Roman" w:cs="Times New Roman"/>
          <w:sz w:val="20"/>
          <w:szCs w:val="20"/>
        </w:rPr>
        <w:t>ing from a heavy migratory pressure in one or more Member States characterised by a large and disproportionate inflow of third-country nationals, which places significant and urgent demands on their reception and detention facilities, asylum systems and pr</w:t>
      </w:r>
      <w:r>
        <w:rPr>
          <w:rFonts w:ascii="Times New Roman" w:hAnsi="Times New Roman" w:cs="Times New Roman"/>
          <w:sz w:val="20"/>
          <w:szCs w:val="20"/>
        </w:rPr>
        <w:t xml:space="preserve">ocedures. </w:t>
      </w:r>
    </w:p>
  </w:footnote>
  <w:footnote w:id="92">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BE, BG, HR, CY, FI, FR, DE, EL, HU, IT, NL, SI and SE.</w:t>
      </w:r>
    </w:p>
  </w:footnote>
  <w:footnote w:id="93">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EASO and EUROPOL.</w:t>
      </w:r>
    </w:p>
  </w:footnote>
  <w:footnote w:id="94">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UNHCR and IOM.</w:t>
      </w:r>
    </w:p>
  </w:footnote>
  <w:footnote w:id="95">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https://ec.europa.eu/home-affairs/sites/homeaffairs/files/what-we-do/policies/european-agenda-migration/press-material/financial_support_to_mm</w:t>
      </w:r>
      <w:r>
        <w:rPr>
          <w:rFonts w:ascii="Times New Roman" w:hAnsi="Times New Roman" w:cs="Times New Roman"/>
          <w:sz w:val="20"/>
          <w:szCs w:val="20"/>
        </w:rPr>
        <w:t>s_under_amif_and_isf_en.pdf</w:t>
      </w:r>
    </w:p>
  </w:footnote>
  <w:footnote w:id="96">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SI, EE, HU, LT, CZ, SK, HR, CY and BG.</w:t>
      </w:r>
    </w:p>
  </w:footnote>
  <w:footnote w:id="97">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Council Directive 2003/9/EC of 27 January 2003 laying down minimum standards for the reception of asylum seekers. In the meantime this Directive has been repealed and replaced by DIREC</w:t>
      </w:r>
      <w:r>
        <w:rPr>
          <w:rFonts w:ascii="Times New Roman" w:hAnsi="Times New Roman" w:cs="Times New Roman"/>
          <w:sz w:val="20"/>
          <w:szCs w:val="20"/>
        </w:rPr>
        <w:t>TIVE 2013/33/EU of the European parliament and of the Council of 26 June 2013 laying down standards for the reception of applicants for international protection (recast).</w:t>
      </w:r>
    </w:p>
  </w:footnote>
  <w:footnote w:id="98">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the period 2007-13, almost EUR 4 billion was allocated for the management of t</w:t>
      </w:r>
      <w:r>
        <w:rPr>
          <w:rFonts w:ascii="Times New Roman" w:hAnsi="Times New Roman" w:cs="Times New Roman"/>
          <w:sz w:val="20"/>
          <w:szCs w:val="20"/>
        </w:rPr>
        <w:t>he Union's external borders and for the implementation of common asylum and immigration policies through the General Programme “Solidarity and Management of Migration Flows” (SOLID). This General Programme consisted of four instruments: External Borders Fu</w:t>
      </w:r>
      <w:r>
        <w:rPr>
          <w:rFonts w:ascii="Times New Roman" w:hAnsi="Times New Roman" w:cs="Times New Roman"/>
          <w:sz w:val="20"/>
          <w:szCs w:val="20"/>
        </w:rPr>
        <w:t>nd (EBF), European Return Fund (RF), European Refugee Fund (ERF) and European Fund for the Integration of third-country nationals (EIF).</w:t>
      </w:r>
    </w:p>
  </w:footnote>
  <w:footnote w:id="99">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governance and administrative structures and costs at national and regional levels for European Regional Develop</w:t>
      </w:r>
      <w:r>
        <w:rPr>
          <w:rFonts w:ascii="Times New Roman" w:hAnsi="Times New Roman" w:cs="Times New Roman"/>
          <w:sz w:val="20"/>
          <w:szCs w:val="20"/>
        </w:rPr>
        <w:t>ment Fund (ERDF) and Cohesion Fund (CF) programmes over the 2007-2013 programming period were reviewed in 2010.</w:t>
      </w:r>
    </w:p>
  </w:footnote>
  <w:footnote w:id="100">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BE, BU, CY, CZ, DE, ES, FI, LT, PT, SE, SI and UK.</w:t>
      </w:r>
    </w:p>
  </w:footnote>
  <w:footnote w:id="101">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BE and LT.</w:t>
      </w:r>
    </w:p>
  </w:footnote>
  <w:footnote w:id="102">
    <w:p w:rsidR="00832624" w:rsidRDefault="0072318F">
      <w:pPr>
        <w:pStyle w:val="FootnoteText"/>
        <w:spacing w:after="0"/>
        <w:ind w:left="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AT, FR, DE, EL, ES, IE, IT, LT, LV, MT, PL, RO and SE.</w:t>
      </w:r>
    </w:p>
  </w:footnote>
  <w:footnote w:id="103">
    <w:p w:rsidR="00832624" w:rsidRDefault="0072318F">
      <w:pPr>
        <w:pStyle w:val="FootnoteText"/>
        <w:spacing w:after="0"/>
        <w:ind w:left="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BG, DE,</w:t>
      </w:r>
      <w:r>
        <w:rPr>
          <w:rFonts w:ascii="Times New Roman" w:hAnsi="Times New Roman" w:cs="Times New Roman"/>
          <w:sz w:val="20"/>
          <w:szCs w:val="20"/>
          <w:lang w:val="es-ES"/>
        </w:rPr>
        <w:t xml:space="preserve"> IE, EL, ES, IT, MT, NL, PL and UK.</w:t>
      </w:r>
    </w:p>
  </w:footnote>
  <w:footnote w:id="104">
    <w:p w:rsidR="00832624" w:rsidRDefault="0072318F">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AT, CZ, EE, EL, ES, FI, FR, HU, IE, LU, LV, SK and UK.</w:t>
      </w:r>
    </w:p>
  </w:footnote>
  <w:footnote w:id="105">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Respondents to the e-survey.</w:t>
      </w:r>
    </w:p>
  </w:footnote>
  <w:footnote w:id="106">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Established by Decision No 573/2007/EC of 23 May 2007.</w:t>
      </w:r>
    </w:p>
  </w:footnote>
  <w:footnote w:id="107">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BG, HR, EE, HU, LV and SK.</w:t>
      </w:r>
    </w:p>
  </w:footnote>
  <w:footnote w:id="108">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was due to budget cuts and financia</w:t>
      </w:r>
      <w:r>
        <w:rPr>
          <w:rFonts w:ascii="Times New Roman" w:hAnsi="Times New Roman" w:cs="Times New Roman"/>
          <w:sz w:val="20"/>
          <w:szCs w:val="20"/>
        </w:rPr>
        <w:t>l constraints.</w:t>
      </w:r>
    </w:p>
  </w:footnote>
  <w:footnote w:id="109">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NL, UK and IT particularly insisted on the experimental aspect of ERF-funded projects.</w:t>
      </w:r>
    </w:p>
  </w:footnote>
  <w:footnote w:id="110">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Based on assessment by 18 Member States.</w:t>
      </w:r>
    </w:p>
  </w:footnote>
  <w:footnote w:id="111">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Cs/>
          <w:iCs/>
          <w:sz w:val="20"/>
          <w:szCs w:val="20"/>
        </w:rPr>
        <w:t>BE, CY, EE, ES, HU, IT and MY.</w:t>
      </w:r>
    </w:p>
  </w:footnote>
  <w:footnote w:id="112">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benefit for beneficiaries that was cited most often.</w:t>
      </w:r>
    </w:p>
  </w:footnote>
  <w:footnote w:id="113">
    <w:p w:rsidR="00832624" w:rsidRDefault="0072318F">
      <w:pPr>
        <w:pStyle w:val="FootnoteText"/>
        <w:spacing w:after="0"/>
        <w:ind w:left="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AT, BE, </w:t>
      </w:r>
      <w:r>
        <w:rPr>
          <w:rFonts w:ascii="Times New Roman" w:hAnsi="Times New Roman" w:cs="Times New Roman"/>
          <w:sz w:val="20"/>
          <w:szCs w:val="20"/>
        </w:rPr>
        <w:t>BG, HR, CY, CZ, EE, FI, FR, EL, HU, IE, IT, LV, LT, MT, NL, PL and ES.</w:t>
      </w:r>
    </w:p>
  </w:footnote>
  <w:footnote w:id="114">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See European Commission Better Regulation guidelines (SWD(2015)111).</w:t>
      </w:r>
    </w:p>
  </w:footnote>
  <w:footnote w:id="115">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AT, BG, CY, HU, IE, LV, MT and SK.</w:t>
      </w:r>
    </w:p>
  </w:footnote>
  <w:footnote w:id="116">
    <w:p w:rsidR="00832624" w:rsidRDefault="0072318F">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MT and RO.</w:t>
      </w:r>
    </w:p>
  </w:footnote>
  <w:footnote w:id="117">
    <w:p w:rsidR="00832624" w:rsidRDefault="0072318F">
      <w:pPr>
        <w:pStyle w:val="FootnoteText"/>
        <w:spacing w:after="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ab/>
        <w:t>FI, NL.</w:t>
      </w:r>
    </w:p>
  </w:footnote>
  <w:footnote w:id="118">
    <w:p w:rsidR="00832624" w:rsidRDefault="0072318F">
      <w:pPr>
        <w:pStyle w:val="FootnoteText"/>
        <w:spacing w:after="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ab/>
        <w:t>BE, CZ, DE, FR, FI, ES, HU, IE, NL, PT, SE, UK.</w:t>
      </w:r>
    </w:p>
  </w:footnote>
  <w:footnote w:id="119">
    <w:p w:rsidR="00832624" w:rsidRDefault="0072318F">
      <w:pPr>
        <w:pStyle w:val="FootnoteText"/>
        <w:spacing w:after="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ab/>
        <w:t>IT</w:t>
      </w:r>
      <w:r>
        <w:rPr>
          <w:rFonts w:ascii="Times New Roman" w:hAnsi="Times New Roman" w:cs="Times New Roman"/>
          <w:sz w:val="20"/>
          <w:szCs w:val="20"/>
          <w:lang w:val="da-DK"/>
        </w:rPr>
        <w:t>, BG, CZ, ES, FR, DE, NL, PL, AT, BE, SE.</w:t>
      </w:r>
    </w:p>
  </w:footnote>
  <w:footnote w:id="120">
    <w:p w:rsidR="00832624" w:rsidRDefault="0072318F">
      <w:pPr>
        <w:pStyle w:val="FootnoteText"/>
        <w:spacing w:after="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ab/>
        <w:t>PT, EE, DE, FI.</w:t>
      </w:r>
    </w:p>
  </w:footnote>
  <w:footnote w:id="121">
    <w:p w:rsidR="00832624" w:rsidRDefault="0072318F">
      <w:pPr>
        <w:pStyle w:val="FootnoteText"/>
        <w:spacing w:after="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ab/>
        <w:t>AT, DE, LV, PT, SK, NL.</w:t>
      </w:r>
    </w:p>
  </w:footnote>
  <w:footnote w:id="122">
    <w:p w:rsidR="00832624" w:rsidRDefault="0072318F">
      <w:pPr>
        <w:pStyle w:val="FootnoteText"/>
        <w:spacing w:after="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ab/>
        <w:t>AT is the exception.</w:t>
      </w:r>
    </w:p>
  </w:footnote>
  <w:footnote w:id="123">
    <w:p w:rsidR="00832624" w:rsidRDefault="0072318F">
      <w:pPr>
        <w:pStyle w:val="FootnoteText"/>
        <w:spacing w:after="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 xml:space="preserve"> </w:t>
      </w:r>
      <w:r>
        <w:rPr>
          <w:rFonts w:ascii="Times New Roman" w:hAnsi="Times New Roman" w:cs="Times New Roman"/>
          <w:sz w:val="20"/>
          <w:szCs w:val="20"/>
          <w:lang w:val="da-DK"/>
        </w:rPr>
        <w:tab/>
        <w:t>AT, BG, CY, HU, IE, LV, MT and SK.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8F" w:rsidRPr="0072318F" w:rsidRDefault="0072318F" w:rsidP="007231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8F" w:rsidRPr="0072318F" w:rsidRDefault="0072318F" w:rsidP="0072318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8F" w:rsidRPr="0072318F" w:rsidRDefault="0072318F" w:rsidP="0072318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24" w:rsidRDefault="008326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24" w:rsidRDefault="008326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24" w:rsidRDefault="0083262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24" w:rsidRDefault="0083262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24" w:rsidRDefault="0083262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24" w:rsidRDefault="00832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19E"/>
    <w:multiLevelType w:val="hybridMultilevel"/>
    <w:tmpl w:val="E98C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F620EF"/>
    <w:multiLevelType w:val="hybridMultilevel"/>
    <w:tmpl w:val="4240F1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48275ED"/>
    <w:multiLevelType w:val="hybridMultilevel"/>
    <w:tmpl w:val="47528BC4"/>
    <w:lvl w:ilvl="0" w:tplc="41165DA4">
      <w:start w:val="1"/>
      <w:numFmt w:val="bullet"/>
      <w:pStyle w:val="Bullet1"/>
      <w:lvlText w:val="►"/>
      <w:lvlJc w:val="left"/>
      <w:pPr>
        <w:ind w:left="720" w:hanging="360"/>
      </w:pPr>
      <w:rPr>
        <w:rFonts w:ascii="Arial" w:hAnsi="Arial" w:cs="Times New Roman" w:hint="default"/>
        <w:b w:val="0"/>
        <w:i w:val="0"/>
        <w:color w:val="FFCC00"/>
        <w:sz w:val="16"/>
        <w:szCs w:val="16"/>
        <w:u w:color="808080"/>
        <w:lang w:val="en-U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CB5C76"/>
    <w:multiLevelType w:val="hybridMultilevel"/>
    <w:tmpl w:val="EE34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1A3E93"/>
    <w:multiLevelType w:val="hybridMultilevel"/>
    <w:tmpl w:val="7EC4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210AB3"/>
    <w:multiLevelType w:val="hybridMultilevel"/>
    <w:tmpl w:val="7336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AB4670"/>
    <w:multiLevelType w:val="hybridMultilevel"/>
    <w:tmpl w:val="03285322"/>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E83134"/>
    <w:multiLevelType w:val="hybridMultilevel"/>
    <w:tmpl w:val="BB9E0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8C37CF"/>
    <w:multiLevelType w:val="hybridMultilevel"/>
    <w:tmpl w:val="9B0204E6"/>
    <w:lvl w:ilvl="0" w:tplc="21C2988E">
      <w:start w:val="1"/>
      <w:numFmt w:val="bullet"/>
      <w:lvlText w:val="►"/>
      <w:lvlJc w:val="left"/>
      <w:pPr>
        <w:ind w:left="720" w:hanging="360"/>
      </w:pPr>
      <w:rPr>
        <w:rFonts w:ascii="Arial" w:hAnsi="Arial" w:cs="Times New Roman" w:hint="default"/>
        <w:b w:val="0"/>
        <w:i w:val="0"/>
        <w:color w:val="FFCC00"/>
        <w:sz w:val="16"/>
        <w:szCs w:val="16"/>
        <w:u w:color="808080"/>
        <w:lang w:val="en-US"/>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0B4C38"/>
    <w:multiLevelType w:val="hybridMultilevel"/>
    <w:tmpl w:val="7D64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F05A9A"/>
    <w:multiLevelType w:val="hybridMultilevel"/>
    <w:tmpl w:val="BB9E0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21086C"/>
    <w:multiLevelType w:val="hybridMultilevel"/>
    <w:tmpl w:val="06820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144BD4"/>
    <w:multiLevelType w:val="hybridMultilevel"/>
    <w:tmpl w:val="FFAE75A2"/>
    <w:lvl w:ilvl="0" w:tplc="475E5210">
      <w:start w:val="1"/>
      <w:numFmt w:val="bullet"/>
      <w:pStyle w:val="bullet"/>
      <w:lvlText w:val=""/>
      <w:lvlJc w:val="left"/>
      <w:pPr>
        <w:ind w:left="720" w:hanging="360"/>
      </w:pPr>
      <w:rPr>
        <w:rFonts w:ascii="Symbol" w:hAnsi="Symbol" w:cs="Symbol" w:hint="default"/>
        <w:color w:val="auto"/>
      </w:rPr>
    </w:lvl>
    <w:lvl w:ilvl="1" w:tplc="E5CA32CC">
      <w:start w:val="1"/>
      <w:numFmt w:val="bullet"/>
      <w:lvlText w:val="-"/>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nsid w:val="399C5AEE"/>
    <w:multiLevelType w:val="hybridMultilevel"/>
    <w:tmpl w:val="4EF4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241F6A"/>
    <w:multiLevelType w:val="hybridMultilevel"/>
    <w:tmpl w:val="ABF42F76"/>
    <w:lvl w:ilvl="0" w:tplc="5FF0E1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EF0A28"/>
    <w:multiLevelType w:val="hybridMultilevel"/>
    <w:tmpl w:val="90C2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1F7101"/>
    <w:multiLevelType w:val="hybridMultilevel"/>
    <w:tmpl w:val="ED68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A8278E"/>
    <w:multiLevelType w:val="hybridMultilevel"/>
    <w:tmpl w:val="A25AE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9295FA8"/>
    <w:multiLevelType w:val="hybridMultilevel"/>
    <w:tmpl w:val="F95CD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324C3A"/>
    <w:multiLevelType w:val="hybridMultilevel"/>
    <w:tmpl w:val="384E8DE2"/>
    <w:lvl w:ilvl="0" w:tplc="5FF0E1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6E18AA"/>
    <w:multiLevelType w:val="hybridMultilevel"/>
    <w:tmpl w:val="BE707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594165"/>
    <w:multiLevelType w:val="hybridMultilevel"/>
    <w:tmpl w:val="06820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F6D15D4"/>
    <w:multiLevelType w:val="hybridMultilevel"/>
    <w:tmpl w:val="091E1D6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nsid w:val="6AA7586F"/>
    <w:multiLevelType w:val="multilevel"/>
    <w:tmpl w:val="2736C5D6"/>
    <w:lvl w:ilvl="0">
      <w:start w:val="1"/>
      <w:numFmt w:val="decimal"/>
      <w:pStyle w:val="Heading1"/>
      <w:lvlText w:val="%1"/>
      <w:lvlJc w:val="left"/>
      <w:pPr>
        <w:ind w:left="432" w:hanging="432"/>
      </w:pPr>
      <w:rPr>
        <w:rFonts w:hint="default"/>
        <w:i w:val="0"/>
        <w:iCs w:val="0"/>
        <w:sz w:val="22"/>
        <w:szCs w:val="22"/>
      </w:rPr>
    </w:lvl>
    <w:lvl w:ilvl="1">
      <w:start w:val="1"/>
      <w:numFmt w:val="decimal"/>
      <w:lvlText w:val="%1.%2"/>
      <w:lvlJc w:val="left"/>
      <w:pPr>
        <w:ind w:left="576" w:hanging="576"/>
      </w:pPr>
      <w:rPr>
        <w:rFonts w:hint="default"/>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4C86B41"/>
    <w:multiLevelType w:val="hybridMultilevel"/>
    <w:tmpl w:val="4CBC2C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nsid w:val="767117A9"/>
    <w:multiLevelType w:val="hybridMultilevel"/>
    <w:tmpl w:val="C72E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
  </w:num>
  <w:num w:numId="4">
    <w:abstractNumId w:val="5"/>
  </w:num>
  <w:num w:numId="5">
    <w:abstractNumId w:val="9"/>
  </w:num>
  <w:num w:numId="6">
    <w:abstractNumId w:val="0"/>
  </w:num>
  <w:num w:numId="7">
    <w:abstractNumId w:val="16"/>
  </w:num>
  <w:num w:numId="8">
    <w:abstractNumId w:val="15"/>
  </w:num>
  <w:num w:numId="9">
    <w:abstractNumId w:val="6"/>
  </w:num>
  <w:num w:numId="10">
    <w:abstractNumId w:val="22"/>
  </w:num>
  <w:num w:numId="11">
    <w:abstractNumId w:val="3"/>
  </w:num>
  <w:num w:numId="12">
    <w:abstractNumId w:val="25"/>
  </w:num>
  <w:num w:numId="13">
    <w:abstractNumId w:val="17"/>
  </w:num>
  <w:num w:numId="14">
    <w:abstractNumId w:val="8"/>
  </w:num>
  <w:num w:numId="15">
    <w:abstractNumId w:val="13"/>
  </w:num>
  <w:num w:numId="16">
    <w:abstractNumId w:val="14"/>
  </w:num>
  <w:num w:numId="17">
    <w:abstractNumId w:val="19"/>
  </w:num>
  <w:num w:numId="18">
    <w:abstractNumId w:val="21"/>
  </w:num>
  <w:num w:numId="19">
    <w:abstractNumId w:val="7"/>
  </w:num>
  <w:num w:numId="20">
    <w:abstractNumId w:val="4"/>
  </w:num>
  <w:num w:numId="21">
    <w:abstractNumId w:val="10"/>
  </w:num>
  <w:num w:numId="22">
    <w:abstractNumId w:val="20"/>
  </w:num>
  <w:num w:numId="23">
    <w:abstractNumId w:val="18"/>
  </w:num>
  <w:num w:numId="24">
    <w:abstractNumId w:val="1"/>
  </w:num>
  <w:num w:numId="25">
    <w:abstractNumId w:val="11"/>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ED2FA5D-DFE8-4767-8FE0-5E7A83D2BEB2"/>
    <w:docVar w:name="LW_COVERPAGE_TYPE" w:val="1"/>
    <w:docVar w:name="LW_CROSSREFERENCE" w:val="{COM(2018) 456 final}_x000d__x000a_{SWD(2018) 333 final}_x000d__x000a_{SWD(2018) 335 final}_x000d__x000a_{SWD(2018) 336 final}"/>
    <w:docVar w:name="LW_DocType" w:val="NORMAL"/>
    <w:docVar w:name="LW_EMISSION" w:val="12.6.2018"/>
    <w:docVar w:name="LW_EMISSION_ISODATE" w:val="2018-06-12"/>
    <w:docVar w:name="LW_EMISSION_LOCATION" w:val="BRX"/>
    <w:docVar w:name="LW_EMISSION_PREFIX" w:val="Brussels,"/>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x post evaluation reports for the period 2011 to 2013 of actions co-financed by the four Funds under the framework programme 'Solidarity and Management of Migration Flows'"/>
    <w:docVar w:name="LW_PART_NBR" w:val="1"/>
    <w:docVar w:name="LW_PART_NBR_TOTAL" w:val="1"/>
    <w:docVar w:name="LW_REF.INST.NEW" w:val="SWD"/>
    <w:docVar w:name="LW_REF.INST.NEW_ADOPTED" w:val="final"/>
    <w:docVar w:name="LW_REF.INST.NEW_TEXT" w:val="(2018) 3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Ex Post Evaluation of the European Refugee Fund 2011-2013 and 2007-2010"/>
    <w:docVar w:name="LW_TYPE.DOC.CP" w:val="COMMISSION STAFF WORKING DOCUMENT"/>
    <w:docVar w:name="LW_TYPEACTEPRINCIPAL.CP" w:val="Report from the Commission to the European Parliament, the Council, the European Economic and Social Committee and the Committee of the Regions "/>
  </w:docVars>
  <w:rsids>
    <w:rsidRoot w:val="00832624"/>
    <w:rsid w:val="0072318F"/>
    <w:rsid w:val="008326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numPr>
        <w:numId w:val="2"/>
      </w:numPr>
      <w:spacing w:after="240" w:line="240" w:lineRule="auto"/>
      <w:jc w:val="both"/>
      <w:outlineLvl w:val="0"/>
    </w:pPr>
    <w:rPr>
      <w:rFonts w:ascii="Times New Roman" w:eastAsiaTheme="majorEastAsia" w:hAnsi="Times New Roman" w:cs="Times New Roman"/>
      <w:b/>
      <w:bCs/>
      <w:color w:val="365F91" w:themeColor="accent1" w:themeShade="BF"/>
      <w:sz w:val="24"/>
      <w:szCs w:val="24"/>
      <w:lang w:val="en-GB"/>
    </w:rPr>
  </w:style>
  <w:style w:type="paragraph" w:styleId="Heading2">
    <w:name w:val="heading 2"/>
    <w:basedOn w:val="Normal"/>
    <w:next w:val="Normal"/>
    <w:link w:val="Heading2Char"/>
    <w:uiPriority w:val="9"/>
    <w:qFormat/>
    <w:pPr>
      <w:keepNext/>
      <w:spacing w:after="240" w:line="240" w:lineRule="auto"/>
      <w:ind w:left="576" w:hanging="576"/>
      <w:jc w:val="both"/>
      <w:outlineLvl w:val="1"/>
    </w:pPr>
    <w:rPr>
      <w:rFonts w:ascii="Verdana" w:eastAsia="Times New Roman" w:hAnsi="Verdana" w:cs="Verdana"/>
      <w:b/>
      <w:bCs/>
      <w:sz w:val="20"/>
      <w:szCs w:val="20"/>
      <w:lang w:val="fr-FR"/>
    </w:rPr>
  </w:style>
  <w:style w:type="paragraph" w:styleId="Heading3">
    <w:name w:val="heading 3"/>
    <w:basedOn w:val="Normal"/>
    <w:next w:val="Normal"/>
    <w:link w:val="Heading3Char"/>
    <w:uiPriority w:val="9"/>
    <w:qFormat/>
    <w:pPr>
      <w:keepNext/>
      <w:spacing w:after="240" w:line="240" w:lineRule="auto"/>
      <w:ind w:left="720" w:hanging="720"/>
      <w:jc w:val="both"/>
      <w:outlineLvl w:val="2"/>
    </w:pPr>
    <w:rPr>
      <w:rFonts w:ascii="Verdana" w:eastAsia="Times New Roman" w:hAnsi="Verdana" w:cs="Verdana"/>
      <w:i/>
      <w:iCs/>
      <w:sz w:val="20"/>
      <w:szCs w:val="20"/>
      <w:lang w:val="fr-FR"/>
    </w:rPr>
  </w:style>
  <w:style w:type="paragraph" w:styleId="Heading4">
    <w:name w:val="heading 4"/>
    <w:basedOn w:val="Normal"/>
    <w:next w:val="Normal"/>
    <w:link w:val="Heading4Char"/>
    <w:uiPriority w:val="9"/>
    <w:qFormat/>
    <w:pPr>
      <w:keepNext/>
      <w:spacing w:after="240" w:line="240" w:lineRule="auto"/>
      <w:ind w:left="864" w:hanging="864"/>
      <w:jc w:val="both"/>
      <w:outlineLvl w:val="3"/>
    </w:pPr>
    <w:rPr>
      <w:rFonts w:ascii="Verdana" w:eastAsia="Times New Roman" w:hAnsi="Verdana" w:cs="Verdana"/>
      <w:sz w:val="20"/>
      <w:szCs w:val="20"/>
      <w:lang w:val="fr-FR"/>
    </w:rPr>
  </w:style>
  <w:style w:type="paragraph" w:styleId="Heading5">
    <w:name w:val="heading 5"/>
    <w:basedOn w:val="Normal"/>
    <w:next w:val="Normal"/>
    <w:link w:val="Heading5Char"/>
    <w:uiPriority w:val="99"/>
    <w:qFormat/>
    <w:pPr>
      <w:tabs>
        <w:tab w:val="num" w:pos="0"/>
      </w:tabs>
      <w:spacing w:before="240" w:after="60" w:line="240" w:lineRule="auto"/>
      <w:ind w:left="1008" w:hanging="1008"/>
      <w:jc w:val="both"/>
      <w:outlineLvl w:val="4"/>
    </w:pPr>
    <w:rPr>
      <w:rFonts w:ascii="Arial" w:eastAsia="Times New Roman" w:hAnsi="Arial" w:cs="Arial"/>
      <w:lang w:val="fr-FR"/>
    </w:rPr>
  </w:style>
  <w:style w:type="paragraph" w:styleId="Heading6">
    <w:name w:val="heading 6"/>
    <w:basedOn w:val="Normal"/>
    <w:next w:val="Normal"/>
    <w:link w:val="Heading6Char"/>
    <w:uiPriority w:val="99"/>
    <w:qFormat/>
    <w:pPr>
      <w:tabs>
        <w:tab w:val="num" w:pos="0"/>
      </w:tabs>
      <w:spacing w:before="240" w:after="60" w:line="240" w:lineRule="auto"/>
      <w:ind w:left="1152" w:hanging="1152"/>
      <w:jc w:val="both"/>
      <w:outlineLvl w:val="5"/>
    </w:pPr>
    <w:rPr>
      <w:rFonts w:ascii="Arial" w:eastAsia="Times New Roman" w:hAnsi="Arial" w:cs="Arial"/>
      <w:i/>
      <w:iCs/>
      <w:lang w:val="fr-FR"/>
    </w:rPr>
  </w:style>
  <w:style w:type="paragraph" w:styleId="Heading7">
    <w:name w:val="heading 7"/>
    <w:basedOn w:val="Normal"/>
    <w:next w:val="Normal"/>
    <w:link w:val="Heading7Char"/>
    <w:uiPriority w:val="99"/>
    <w:qFormat/>
    <w:pPr>
      <w:tabs>
        <w:tab w:val="num" w:pos="0"/>
      </w:tabs>
      <w:spacing w:before="240" w:after="60" w:line="240" w:lineRule="auto"/>
      <w:ind w:left="1296" w:hanging="1296"/>
      <w:jc w:val="both"/>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tabs>
        <w:tab w:val="num" w:pos="0"/>
      </w:tabs>
      <w:spacing w:before="240" w:after="60" w:line="240" w:lineRule="auto"/>
      <w:ind w:left="1440" w:hanging="1440"/>
      <w:jc w:val="both"/>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tabs>
        <w:tab w:val="num" w:pos="0"/>
      </w:tabs>
      <w:spacing w:before="240" w:after="60" w:line="240" w:lineRule="auto"/>
      <w:ind w:left="1584" w:hanging="1584"/>
      <w:jc w:val="both"/>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365F91" w:themeColor="accent1" w:themeShade="BF"/>
      <w:sz w:val="24"/>
      <w:szCs w:val="24"/>
      <w:lang w:val="en-GB"/>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spacing w:after="100"/>
    </w:pPr>
    <w:rPr>
      <w:lang w:val="en-GB"/>
    </w:rPr>
  </w:style>
  <w:style w:type="paragraph" w:styleId="TOC2">
    <w:name w:val="toc 2"/>
    <w:basedOn w:val="Normal"/>
    <w:next w:val="Normal"/>
    <w:autoRedefine/>
    <w:uiPriority w:val="39"/>
    <w:unhideWhenUsed/>
    <w:pPr>
      <w:spacing w:after="100"/>
      <w:ind w:left="220"/>
    </w:pPr>
    <w:rPr>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Verdana" w:eastAsia="Times New Roman" w:hAnsi="Verdana" w:cs="Verdana"/>
      <w:b/>
      <w:bCs/>
      <w:sz w:val="20"/>
      <w:szCs w:val="20"/>
      <w:lang w:val="fr-FR"/>
    </w:rPr>
  </w:style>
  <w:style w:type="character" w:customStyle="1" w:styleId="Heading3Char">
    <w:name w:val="Heading 3 Char"/>
    <w:basedOn w:val="DefaultParagraphFont"/>
    <w:link w:val="Heading3"/>
    <w:uiPriority w:val="9"/>
    <w:rPr>
      <w:rFonts w:ascii="Verdana" w:eastAsia="Times New Roman" w:hAnsi="Verdana" w:cs="Verdana"/>
      <w:i/>
      <w:iCs/>
      <w:sz w:val="20"/>
      <w:szCs w:val="20"/>
      <w:lang w:val="fr-FR"/>
    </w:rPr>
  </w:style>
  <w:style w:type="character" w:customStyle="1" w:styleId="Heading4Char">
    <w:name w:val="Heading 4 Char"/>
    <w:basedOn w:val="DefaultParagraphFont"/>
    <w:link w:val="Heading4"/>
    <w:uiPriority w:val="9"/>
    <w:rPr>
      <w:rFonts w:ascii="Verdana" w:eastAsia="Times New Roman" w:hAnsi="Verdana" w:cs="Verdana"/>
      <w:sz w:val="20"/>
      <w:szCs w:val="20"/>
      <w:lang w:val="fr-FR"/>
    </w:rPr>
  </w:style>
  <w:style w:type="character" w:customStyle="1" w:styleId="Heading5Char">
    <w:name w:val="Heading 5 Char"/>
    <w:basedOn w:val="DefaultParagraphFont"/>
    <w:link w:val="Heading5"/>
    <w:uiPriority w:val="99"/>
    <w:rPr>
      <w:rFonts w:ascii="Arial" w:eastAsia="Times New Roman" w:hAnsi="Arial" w:cs="Arial"/>
      <w:lang w:val="fr-FR"/>
    </w:rPr>
  </w:style>
  <w:style w:type="character" w:customStyle="1" w:styleId="Heading6Char">
    <w:name w:val="Heading 6 Char"/>
    <w:basedOn w:val="DefaultParagraphFont"/>
    <w:link w:val="Heading6"/>
    <w:uiPriority w:val="99"/>
    <w:rPr>
      <w:rFonts w:ascii="Arial" w:eastAsia="Times New Roman" w:hAnsi="Arial" w:cs="Arial"/>
      <w:i/>
      <w:iCs/>
      <w:lang w:val="fr-FR"/>
    </w:rPr>
  </w:style>
  <w:style w:type="character" w:customStyle="1" w:styleId="Heading7Char">
    <w:name w:val="Heading 7 Char"/>
    <w:basedOn w:val="DefaultParagraphFont"/>
    <w:link w:val="Heading7"/>
    <w:uiPriority w:val="99"/>
    <w:rPr>
      <w:rFonts w:ascii="Arial" w:eastAsia="Times New Roman" w:hAnsi="Arial" w:cs="Arial"/>
      <w:sz w:val="20"/>
      <w:szCs w:val="20"/>
      <w:lang w:val="fr-FR"/>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r-FR"/>
    </w:rPr>
  </w:style>
  <w:style w:type="paragraph" w:styleId="FootnoteText">
    <w:name w:val="footnote text"/>
    <w:aliases w:val="Footnote Text Char Char1,Footnote Text Char Char Char Char Carácter Carácter,Footnote Text Char Char1 Char Car Carácter Carácter,Footnote,Footnote1,Footnote2,Footnote3,Footnote4,Footnote5,Footnote6,Footnote7,o"/>
    <w:basedOn w:val="Normal"/>
    <w:link w:val="FootnoteTextChar"/>
    <w:uiPriority w:val="99"/>
    <w:qFormat/>
    <w:pPr>
      <w:spacing w:after="60" w:line="240" w:lineRule="auto"/>
      <w:ind w:left="357" w:hanging="357"/>
      <w:jc w:val="both"/>
    </w:pPr>
    <w:rPr>
      <w:rFonts w:ascii="Verdana" w:eastAsia="Times New Roman" w:hAnsi="Verdana" w:cs="Verdana"/>
      <w:sz w:val="16"/>
      <w:szCs w:val="16"/>
      <w:lang w:val="en-GB"/>
    </w:rPr>
  </w:style>
  <w:style w:type="character" w:customStyle="1" w:styleId="FootnoteTextChar">
    <w:name w:val="Footnote Text Char"/>
    <w:aliases w:val="Footnote Text Char Char1 Char,Footnote Text Char Char Char Char Carácter Carácter Char,Footnote Text Char Char1 Char Car Carácter Carácter Char,Footnote Char1,Footnote1 Char,Footnote2 Char,Footnote3 Char,Footnote4 Char,Footnote5 Char"/>
    <w:basedOn w:val="DefaultParagraphFont"/>
    <w:link w:val="FootnoteText"/>
    <w:uiPriority w:val="99"/>
    <w:rPr>
      <w:rFonts w:ascii="Verdana" w:eastAsia="Times New Roman" w:hAnsi="Verdana" w:cs="Verdana"/>
      <w:sz w:val="16"/>
      <w:szCs w:val="16"/>
      <w:lang w:val="en-GB"/>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qFormat/>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Verdana"/>
      <w:sz w:val="20"/>
      <w:szCs w:val="20"/>
      <w:lang w:val="fr-FR"/>
    </w:rPr>
  </w:style>
  <w:style w:type="character" w:customStyle="1" w:styleId="BodyChar">
    <w:name w:val="Body Char"/>
    <w:link w:val="Body"/>
    <w:rPr>
      <w:rFonts w:ascii="Verdana" w:eastAsia="Times New Roman" w:hAnsi="Verdana" w:cs="Verdana"/>
      <w:sz w:val="20"/>
      <w:szCs w:val="20"/>
      <w:lang w:val="fr-FR"/>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uiPriority w:val="99"/>
    <w:rPr>
      <w:rFonts w:ascii="Verdana" w:eastAsia="Times New Roman" w:hAnsi="Verdana" w:cs="Verdana"/>
      <w:sz w:val="16"/>
      <w:szCs w:val="16"/>
    </w:rPr>
  </w:style>
  <w:style w:type="character" w:styleId="CommentReference">
    <w:name w:val="annotation reference"/>
    <w:basedOn w:val="DefaultParagraphFont"/>
    <w:uiPriority w:val="99"/>
    <w:semiHidden/>
    <w:rPr>
      <w:sz w:val="16"/>
      <w:szCs w:val="16"/>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customStyle="1" w:styleId="Bulletpoint1">
    <w:name w:val="Bullet point1"/>
    <w:basedOn w:val="NormalIndent"/>
    <w:link w:val="Bulletpoint1Char"/>
    <w:uiPriority w:val="99"/>
    <w:pPr>
      <w:spacing w:after="0"/>
      <w:ind w:hanging="360"/>
      <w:jc w:val="left"/>
    </w:pPr>
    <w:rPr>
      <w:rFonts w:cs="Times New Roman"/>
      <w:sz w:val="24"/>
      <w:szCs w:val="24"/>
      <w:lang w:val="en-GB" w:eastAsia="de-DE"/>
    </w:rPr>
  </w:style>
  <w:style w:type="character" w:customStyle="1" w:styleId="Bulletpoint1Char">
    <w:name w:val="Bullet point1 Char"/>
    <w:basedOn w:val="DefaultParagraphFont"/>
    <w:link w:val="Bulletpoint1"/>
    <w:uiPriority w:val="99"/>
    <w:rPr>
      <w:rFonts w:ascii="Verdana" w:eastAsia="Times New Roman" w:hAnsi="Verdana" w:cs="Times New Roman"/>
      <w:sz w:val="24"/>
      <w:szCs w:val="24"/>
      <w:lang w:val="en-GB" w:eastAsia="de-DE"/>
    </w:rPr>
  </w:style>
  <w:style w:type="paragraph" w:customStyle="1" w:styleId="bullet">
    <w:name w:val="bullet"/>
    <w:basedOn w:val="Bulletpoint1"/>
    <w:link w:val="bulletChar"/>
    <w:qFormat/>
    <w:pPr>
      <w:numPr>
        <w:numId w:val="1"/>
      </w:numPr>
      <w:jc w:val="both"/>
    </w:pPr>
    <w:rPr>
      <w:sz w:val="20"/>
      <w:szCs w:val="20"/>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lang w:val="fr-FR"/>
    </w:rPr>
  </w:style>
  <w:style w:type="table" w:styleId="TableGrid">
    <w:name w:val="Table Grid"/>
    <w:aliases w:val="HTG,Table Format 1,TabelEcorys"/>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uiPriority w:val="99"/>
    <w:rPr>
      <w:rFonts w:ascii="Verdana" w:eastAsia="Times New Roman" w:hAnsi="Verdana" w:cs="Verdana"/>
      <w:sz w:val="20"/>
      <w:szCs w:val="20"/>
      <w:lang w:val="fr-FR"/>
    </w:rPr>
  </w:style>
  <w:style w:type="paragraph" w:styleId="CommentText">
    <w:name w:val="annotation text"/>
    <w:basedOn w:val="Normal"/>
    <w:link w:val="CommentTextChar"/>
    <w:uiPriority w:val="99"/>
    <w:semiHidden/>
    <w:pPr>
      <w:spacing w:after="240" w:line="240" w:lineRule="auto"/>
      <w:jc w:val="both"/>
    </w:pPr>
    <w:rPr>
      <w:rFonts w:ascii="Verdana" w:eastAsia="Times New Roman" w:hAnsi="Verdana" w:cs="Verdana"/>
      <w:sz w:val="20"/>
      <w:szCs w:val="20"/>
      <w:lang w:val="fr-FR"/>
    </w:rPr>
  </w:style>
  <w:style w:type="character" w:customStyle="1" w:styleId="CommentTextChar">
    <w:name w:val="Comment Text Char"/>
    <w:basedOn w:val="DefaultParagraphFont"/>
    <w:link w:val="CommentText"/>
    <w:uiPriority w:val="99"/>
    <w:semiHidden/>
    <w:rPr>
      <w:rFonts w:ascii="Verdana" w:eastAsia="Times New Roman" w:hAnsi="Verdana" w:cs="Verdana"/>
      <w:sz w:val="20"/>
      <w:szCs w:val="20"/>
      <w:lang w:val="fr-FR"/>
    </w:rPr>
  </w:style>
  <w:style w:type="character" w:customStyle="1" w:styleId="bulletChar">
    <w:name w:val="bullet Char"/>
    <w:basedOn w:val="Bulletpoint1Char"/>
    <w:link w:val="bullet"/>
    <w:rPr>
      <w:rFonts w:ascii="Verdana" w:eastAsia="Times New Roman" w:hAnsi="Verdana" w:cs="Times New Roman"/>
      <w:sz w:val="20"/>
      <w:szCs w:val="20"/>
      <w:lang w:val="en-GB" w:eastAsia="de-D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ind w:right="140"/>
      <w:jc w:val="both"/>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2">
    <w:name w:val="Text 2"/>
    <w:basedOn w:val="Normal"/>
    <w:uiPriority w:val="99"/>
    <w:pPr>
      <w:tabs>
        <w:tab w:val="left" w:pos="2302"/>
      </w:tabs>
      <w:spacing w:after="240" w:line="240" w:lineRule="auto"/>
      <w:ind w:left="1202"/>
      <w:jc w:val="both"/>
    </w:pPr>
    <w:rPr>
      <w:rFonts w:ascii="Verdana" w:eastAsia="Times New Roman" w:hAnsi="Verdana" w:cs="Verdana"/>
      <w:sz w:val="20"/>
      <w:szCs w:val="20"/>
      <w:lang w:val="fr-FR"/>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ar,Char Car,Legend, Char"/>
    <w:basedOn w:val="Normal"/>
    <w:next w:val="Normal"/>
    <w:link w:val="CaptionChar"/>
    <w:uiPriority w:val="99"/>
    <w:qFormat/>
    <w:pPr>
      <w:keepNext/>
      <w:spacing w:before="120" w:after="120" w:line="240" w:lineRule="auto"/>
      <w:jc w:val="both"/>
    </w:pPr>
    <w:rPr>
      <w:rFonts w:ascii="Verdana" w:eastAsia="Times New Roman" w:hAnsi="Verdana" w:cs="Verdana"/>
      <w:b/>
      <w:bCs/>
      <w:sz w:val="20"/>
      <w:szCs w:val="20"/>
      <w:lang w:val="fr-FR"/>
    </w:rPr>
  </w:style>
  <w:style w:type="paragraph" w:customStyle="1" w:styleId="OAbodytext">
    <w:name w:val="OA body text"/>
    <w:basedOn w:val="Normal"/>
    <w:pPr>
      <w:spacing w:after="0"/>
      <w:jc w:val="both"/>
    </w:pPr>
    <w:rPr>
      <w:rFonts w:ascii="Calibri" w:eastAsia="MS Mincho" w:hAnsi="Calibri" w:cs="Calibri"/>
      <w:color w:val="EEECE1"/>
      <w:sz w:val="20"/>
      <w:szCs w:val="20"/>
      <w:lang w:val="en-GB"/>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
    <w:link w:val="Caption"/>
    <w:uiPriority w:val="99"/>
    <w:rPr>
      <w:rFonts w:ascii="Verdana" w:eastAsia="Times New Roman" w:hAnsi="Verdana" w:cs="Verdana"/>
      <w:b/>
      <w:bCs/>
      <w:sz w:val="20"/>
      <w:szCs w:val="20"/>
      <w:lang w:val="fr-FR"/>
    </w:rPr>
  </w:style>
  <w:style w:type="paragraph" w:styleId="ListParagraph">
    <w:name w:val="List Paragraph"/>
    <w:basedOn w:val="Normal"/>
    <w:uiPriority w:val="99"/>
    <w:qFormat/>
    <w:pPr>
      <w:spacing w:after="0" w:line="240" w:lineRule="atLeast"/>
      <w:ind w:left="720"/>
      <w:contextualSpacing/>
    </w:pPr>
    <w:rPr>
      <w:rFonts w:ascii="Verdana" w:eastAsia="Times New Roman" w:hAnsi="Verdana" w:cs="Times New Roman"/>
      <w:sz w:val="18"/>
      <w:szCs w:val="24"/>
      <w:lang w:val="en-GB" w:eastAsia="da-DK"/>
    </w:rPr>
  </w:style>
  <w:style w:type="paragraph" w:customStyle="1" w:styleId="AddressTR">
    <w:name w:val="AddressTR"/>
    <w:basedOn w:val="Normal"/>
    <w:next w:val="Normal"/>
    <w:uiPriority w:val="99"/>
    <w:pPr>
      <w:spacing w:after="720" w:line="240" w:lineRule="auto"/>
      <w:ind w:left="5103"/>
    </w:pPr>
    <w:rPr>
      <w:rFonts w:ascii="Verdana" w:eastAsia="Times New Roman" w:hAnsi="Verdana" w:cs="Verdana"/>
      <w:sz w:val="20"/>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character" w:customStyle="1" w:styleId="st1">
    <w:name w:val="st1"/>
    <w:basedOn w:val="DefaultParagraphFont"/>
  </w:style>
  <w:style w:type="paragraph" w:customStyle="1" w:styleId="Heading">
    <w:name w:val="Heading"/>
    <w:basedOn w:val="Normal"/>
    <w:link w:val="HeadingChar"/>
    <w:uiPriority w:val="99"/>
    <w:pPr>
      <w:pageBreakBefore/>
      <w:spacing w:after="240" w:line="240" w:lineRule="auto"/>
      <w:outlineLvl w:val="0"/>
    </w:pPr>
    <w:rPr>
      <w:rFonts w:ascii="Verdana" w:eastAsia="Times New Roman" w:hAnsi="Verdana" w:cs="Times New Roman"/>
      <w:b/>
      <w:bCs/>
      <w:caps/>
      <w:lang w:val="en-GB"/>
    </w:rPr>
  </w:style>
  <w:style w:type="character" w:customStyle="1" w:styleId="HeadingChar">
    <w:name w:val="Heading Char"/>
    <w:link w:val="Heading"/>
    <w:uiPriority w:val="99"/>
    <w:rPr>
      <w:rFonts w:ascii="Verdana" w:eastAsia="Times New Roman" w:hAnsi="Verdana" w:cs="Times New Roman"/>
      <w:b/>
      <w:bCs/>
      <w:caps/>
      <w:lang w:val="en-GB"/>
    </w:rPr>
  </w:style>
  <w:style w:type="paragraph" w:customStyle="1" w:styleId="SUBTITLEsmall">
    <w:name w:val="SUBTITLE small"/>
    <w:basedOn w:val="Body"/>
    <w:link w:val="SUBTITLEsmallChar"/>
    <w:qFormat/>
    <w:pPr>
      <w:keepNext/>
    </w:pPr>
    <w:rPr>
      <w:b/>
      <w:bCs/>
    </w:rPr>
  </w:style>
  <w:style w:type="character" w:customStyle="1" w:styleId="SUBTITLEsmallChar">
    <w:name w:val="SUBTITLE small Char"/>
    <w:basedOn w:val="BodyChar"/>
    <w:link w:val="SUBTITLEsmall"/>
    <w:rPr>
      <w:rFonts w:ascii="Verdana" w:eastAsia="Times New Roman" w:hAnsi="Verdana" w:cs="Verdana"/>
      <w:b/>
      <w:bCs/>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Verdana"/>
      <w:b/>
      <w:bCs/>
      <w:sz w:val="20"/>
      <w:szCs w:val="20"/>
      <w:lang w:val="fr-FR"/>
    </w:rPr>
  </w:style>
  <w:style w:type="paragraph" w:styleId="Revision">
    <w:name w:val="Revision"/>
    <w:hidden/>
    <w:uiPriority w:val="99"/>
    <w:semiHidden/>
    <w:pPr>
      <w:spacing w:after="0" w:line="240" w:lineRule="auto"/>
    </w:pPr>
    <w:rPr>
      <w:rFonts w:ascii="Verdana" w:eastAsia="Times New Roman" w:hAnsi="Verdana" w:cs="Verdana"/>
      <w:sz w:val="20"/>
      <w:szCs w:val="20"/>
      <w:lang w:val="fr-FR"/>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link w:val="NoSpacingChar"/>
    <w:uiPriority w:val="1"/>
    <w:qFormat/>
    <w:pPr>
      <w:spacing w:after="0" w:line="240" w:lineRule="auto"/>
    </w:pPr>
    <w:rPr>
      <w:lang w:val="en-GB"/>
    </w:rPr>
  </w:style>
  <w:style w:type="paragraph" w:styleId="TOC3">
    <w:name w:val="toc 3"/>
    <w:basedOn w:val="Normal"/>
    <w:next w:val="Normal"/>
    <w:autoRedefine/>
    <w:uiPriority w:val="39"/>
    <w:unhideWhenUsed/>
    <w:pPr>
      <w:spacing w:after="100"/>
      <w:ind w:left="440"/>
    </w:pPr>
    <w:rPr>
      <w:lang w:val="en-GB"/>
    </w:r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pPr>
      <w:spacing w:after="120" w:line="240" w:lineRule="auto"/>
      <w:jc w:val="both"/>
    </w:pPr>
  </w:style>
  <w:style w:type="character" w:styleId="Strong">
    <w:name w:val="Strong"/>
    <w:basedOn w:val="DefaultParagraphFont"/>
    <w:uiPriority w:val="22"/>
    <w:qFormat/>
    <w:rPr>
      <w:b/>
      <w:bCs/>
    </w:rPr>
  </w:style>
  <w:style w:type="paragraph" w:customStyle="1" w:styleId="EYTabletextbold">
    <w:name w:val="EY Table text bold"/>
    <w:basedOn w:val="Normal"/>
    <w:next w:val="Normal"/>
    <w:pPr>
      <w:spacing w:before="20" w:after="20" w:line="240" w:lineRule="auto"/>
    </w:pPr>
    <w:rPr>
      <w:rFonts w:ascii="EYInterstate Regular" w:eastAsia="Times New Roman" w:hAnsi="EYInterstate Regular" w:cs="Times New Roman"/>
      <w:b/>
      <w:i/>
      <w:sz w:val="20"/>
      <w:szCs w:val="24"/>
      <w:lang w:val="en-GB"/>
    </w:rPr>
  </w:style>
  <w:style w:type="paragraph" w:customStyle="1" w:styleId="Bullet1">
    <w:name w:val="Bullet 1"/>
    <w:basedOn w:val="Normal"/>
    <w:next w:val="Normal"/>
    <w:link w:val="Bullet1Char"/>
    <w:qFormat/>
    <w:pPr>
      <w:numPr>
        <w:numId w:val="3"/>
      </w:numPr>
      <w:spacing w:after="120" w:line="240" w:lineRule="auto"/>
      <w:jc w:val="both"/>
    </w:pPr>
    <w:rPr>
      <w:rFonts w:ascii="Arial" w:hAnsi="Arial" w:cs="Arial"/>
      <w:sz w:val="20"/>
      <w:lang w:val="en-US"/>
    </w:rPr>
  </w:style>
  <w:style w:type="character" w:customStyle="1" w:styleId="Bullet1Char">
    <w:name w:val="Bullet 1 Char"/>
    <w:basedOn w:val="DefaultParagraphFont"/>
    <w:link w:val="Bullet1"/>
    <w:rPr>
      <w:rFonts w:ascii="Arial" w:hAnsi="Arial" w:cs="Arial"/>
      <w:sz w:val="20"/>
      <w:lang w:val="en-US"/>
    </w:rPr>
  </w:style>
  <w:style w:type="paragraph" w:customStyle="1" w:styleId="000">
    <w:name w:val="000"/>
    <w:aliases w:val="standaard,standaard uitvullen,standaard (alt-s),stan084daard,standaard 04...,standaard 155,standaard uitv042ullen,sta550ndaard,standaard 040,standaard81,0001,standaard 042,standaard1,standaard uitvullen1,standaard (alt-s)1,stan084daard1,standaard811"/>
    <w:basedOn w:val="Normal"/>
    <w:link w:val="000standaardCharChar"/>
    <w:autoRedefine/>
    <w:qFormat/>
    <w:pPr>
      <w:overflowPunct w:val="0"/>
      <w:autoSpaceDE w:val="0"/>
      <w:autoSpaceDN w:val="0"/>
      <w:adjustRightInd w:val="0"/>
      <w:spacing w:after="120" w:line="260" w:lineRule="atLeast"/>
      <w:textAlignment w:val="baseline"/>
    </w:pPr>
    <w:rPr>
      <w:rFonts w:ascii="Arial" w:eastAsia="Times New Roman" w:hAnsi="Arial" w:cs="Arial"/>
      <w:i/>
      <w:color w:val="000000" w:themeColor="text1"/>
      <w:sz w:val="20"/>
      <w:szCs w:val="20"/>
      <w:lang w:val="nl-NL"/>
    </w:rPr>
  </w:style>
  <w:style w:type="character" w:customStyle="1" w:styleId="000standaardCharChar">
    <w:name w:val="000;standaard Char Char"/>
    <w:basedOn w:val="DefaultParagraphFont"/>
    <w:link w:val="000"/>
    <w:rPr>
      <w:rFonts w:ascii="Arial" w:eastAsia="Times New Roman" w:hAnsi="Arial" w:cs="Arial"/>
      <w:i/>
      <w:color w:val="000000" w:themeColor="text1"/>
      <w:sz w:val="20"/>
      <w:szCs w:val="20"/>
      <w:lang w:val="nl-NL"/>
    </w:rPr>
  </w:style>
  <w:style w:type="character" w:customStyle="1" w:styleId="NoSpacingChar">
    <w:name w:val="No Spacing Char"/>
    <w:basedOn w:val="DefaultParagraphFont"/>
    <w:link w:val="NoSpacing"/>
    <w:uiPriority w:val="1"/>
    <w:rPr>
      <w:lang w:val="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numPr>
        <w:numId w:val="2"/>
      </w:numPr>
      <w:spacing w:after="240" w:line="240" w:lineRule="auto"/>
      <w:jc w:val="both"/>
      <w:outlineLvl w:val="0"/>
    </w:pPr>
    <w:rPr>
      <w:rFonts w:ascii="Times New Roman" w:eastAsiaTheme="majorEastAsia" w:hAnsi="Times New Roman" w:cs="Times New Roman"/>
      <w:b/>
      <w:bCs/>
      <w:color w:val="365F91" w:themeColor="accent1" w:themeShade="BF"/>
      <w:sz w:val="24"/>
      <w:szCs w:val="24"/>
      <w:lang w:val="en-GB"/>
    </w:rPr>
  </w:style>
  <w:style w:type="paragraph" w:styleId="Heading2">
    <w:name w:val="heading 2"/>
    <w:basedOn w:val="Normal"/>
    <w:next w:val="Normal"/>
    <w:link w:val="Heading2Char"/>
    <w:uiPriority w:val="9"/>
    <w:qFormat/>
    <w:pPr>
      <w:keepNext/>
      <w:spacing w:after="240" w:line="240" w:lineRule="auto"/>
      <w:ind w:left="576" w:hanging="576"/>
      <w:jc w:val="both"/>
      <w:outlineLvl w:val="1"/>
    </w:pPr>
    <w:rPr>
      <w:rFonts w:ascii="Verdana" w:eastAsia="Times New Roman" w:hAnsi="Verdana" w:cs="Verdana"/>
      <w:b/>
      <w:bCs/>
      <w:sz w:val="20"/>
      <w:szCs w:val="20"/>
      <w:lang w:val="fr-FR"/>
    </w:rPr>
  </w:style>
  <w:style w:type="paragraph" w:styleId="Heading3">
    <w:name w:val="heading 3"/>
    <w:basedOn w:val="Normal"/>
    <w:next w:val="Normal"/>
    <w:link w:val="Heading3Char"/>
    <w:uiPriority w:val="9"/>
    <w:qFormat/>
    <w:pPr>
      <w:keepNext/>
      <w:spacing w:after="240" w:line="240" w:lineRule="auto"/>
      <w:ind w:left="720" w:hanging="720"/>
      <w:jc w:val="both"/>
      <w:outlineLvl w:val="2"/>
    </w:pPr>
    <w:rPr>
      <w:rFonts w:ascii="Verdana" w:eastAsia="Times New Roman" w:hAnsi="Verdana" w:cs="Verdana"/>
      <w:i/>
      <w:iCs/>
      <w:sz w:val="20"/>
      <w:szCs w:val="20"/>
      <w:lang w:val="fr-FR"/>
    </w:rPr>
  </w:style>
  <w:style w:type="paragraph" w:styleId="Heading4">
    <w:name w:val="heading 4"/>
    <w:basedOn w:val="Normal"/>
    <w:next w:val="Normal"/>
    <w:link w:val="Heading4Char"/>
    <w:uiPriority w:val="9"/>
    <w:qFormat/>
    <w:pPr>
      <w:keepNext/>
      <w:spacing w:after="240" w:line="240" w:lineRule="auto"/>
      <w:ind w:left="864" w:hanging="864"/>
      <w:jc w:val="both"/>
      <w:outlineLvl w:val="3"/>
    </w:pPr>
    <w:rPr>
      <w:rFonts w:ascii="Verdana" w:eastAsia="Times New Roman" w:hAnsi="Verdana" w:cs="Verdana"/>
      <w:sz w:val="20"/>
      <w:szCs w:val="20"/>
      <w:lang w:val="fr-FR"/>
    </w:rPr>
  </w:style>
  <w:style w:type="paragraph" w:styleId="Heading5">
    <w:name w:val="heading 5"/>
    <w:basedOn w:val="Normal"/>
    <w:next w:val="Normal"/>
    <w:link w:val="Heading5Char"/>
    <w:uiPriority w:val="99"/>
    <w:qFormat/>
    <w:pPr>
      <w:tabs>
        <w:tab w:val="num" w:pos="0"/>
      </w:tabs>
      <w:spacing w:before="240" w:after="60" w:line="240" w:lineRule="auto"/>
      <w:ind w:left="1008" w:hanging="1008"/>
      <w:jc w:val="both"/>
      <w:outlineLvl w:val="4"/>
    </w:pPr>
    <w:rPr>
      <w:rFonts w:ascii="Arial" w:eastAsia="Times New Roman" w:hAnsi="Arial" w:cs="Arial"/>
      <w:lang w:val="fr-FR"/>
    </w:rPr>
  </w:style>
  <w:style w:type="paragraph" w:styleId="Heading6">
    <w:name w:val="heading 6"/>
    <w:basedOn w:val="Normal"/>
    <w:next w:val="Normal"/>
    <w:link w:val="Heading6Char"/>
    <w:uiPriority w:val="99"/>
    <w:qFormat/>
    <w:pPr>
      <w:tabs>
        <w:tab w:val="num" w:pos="0"/>
      </w:tabs>
      <w:spacing w:before="240" w:after="60" w:line="240" w:lineRule="auto"/>
      <w:ind w:left="1152" w:hanging="1152"/>
      <w:jc w:val="both"/>
      <w:outlineLvl w:val="5"/>
    </w:pPr>
    <w:rPr>
      <w:rFonts w:ascii="Arial" w:eastAsia="Times New Roman" w:hAnsi="Arial" w:cs="Arial"/>
      <w:i/>
      <w:iCs/>
      <w:lang w:val="fr-FR"/>
    </w:rPr>
  </w:style>
  <w:style w:type="paragraph" w:styleId="Heading7">
    <w:name w:val="heading 7"/>
    <w:basedOn w:val="Normal"/>
    <w:next w:val="Normal"/>
    <w:link w:val="Heading7Char"/>
    <w:uiPriority w:val="99"/>
    <w:qFormat/>
    <w:pPr>
      <w:tabs>
        <w:tab w:val="num" w:pos="0"/>
      </w:tabs>
      <w:spacing w:before="240" w:after="60" w:line="240" w:lineRule="auto"/>
      <w:ind w:left="1296" w:hanging="1296"/>
      <w:jc w:val="both"/>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tabs>
        <w:tab w:val="num" w:pos="0"/>
      </w:tabs>
      <w:spacing w:before="240" w:after="60" w:line="240" w:lineRule="auto"/>
      <w:ind w:left="1440" w:hanging="1440"/>
      <w:jc w:val="both"/>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tabs>
        <w:tab w:val="num" w:pos="0"/>
      </w:tabs>
      <w:spacing w:before="240" w:after="60" w:line="240" w:lineRule="auto"/>
      <w:ind w:left="1584" w:hanging="1584"/>
      <w:jc w:val="both"/>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365F91" w:themeColor="accent1" w:themeShade="BF"/>
      <w:sz w:val="24"/>
      <w:szCs w:val="24"/>
      <w:lang w:val="en-GB"/>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spacing w:after="100"/>
    </w:pPr>
    <w:rPr>
      <w:lang w:val="en-GB"/>
    </w:rPr>
  </w:style>
  <w:style w:type="paragraph" w:styleId="TOC2">
    <w:name w:val="toc 2"/>
    <w:basedOn w:val="Normal"/>
    <w:next w:val="Normal"/>
    <w:autoRedefine/>
    <w:uiPriority w:val="39"/>
    <w:unhideWhenUsed/>
    <w:pPr>
      <w:spacing w:after="100"/>
      <w:ind w:left="220"/>
    </w:pPr>
    <w:rPr>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Verdana" w:eastAsia="Times New Roman" w:hAnsi="Verdana" w:cs="Verdana"/>
      <w:b/>
      <w:bCs/>
      <w:sz w:val="20"/>
      <w:szCs w:val="20"/>
      <w:lang w:val="fr-FR"/>
    </w:rPr>
  </w:style>
  <w:style w:type="character" w:customStyle="1" w:styleId="Heading3Char">
    <w:name w:val="Heading 3 Char"/>
    <w:basedOn w:val="DefaultParagraphFont"/>
    <w:link w:val="Heading3"/>
    <w:uiPriority w:val="9"/>
    <w:rPr>
      <w:rFonts w:ascii="Verdana" w:eastAsia="Times New Roman" w:hAnsi="Verdana" w:cs="Verdana"/>
      <w:i/>
      <w:iCs/>
      <w:sz w:val="20"/>
      <w:szCs w:val="20"/>
      <w:lang w:val="fr-FR"/>
    </w:rPr>
  </w:style>
  <w:style w:type="character" w:customStyle="1" w:styleId="Heading4Char">
    <w:name w:val="Heading 4 Char"/>
    <w:basedOn w:val="DefaultParagraphFont"/>
    <w:link w:val="Heading4"/>
    <w:uiPriority w:val="9"/>
    <w:rPr>
      <w:rFonts w:ascii="Verdana" w:eastAsia="Times New Roman" w:hAnsi="Verdana" w:cs="Verdana"/>
      <w:sz w:val="20"/>
      <w:szCs w:val="20"/>
      <w:lang w:val="fr-FR"/>
    </w:rPr>
  </w:style>
  <w:style w:type="character" w:customStyle="1" w:styleId="Heading5Char">
    <w:name w:val="Heading 5 Char"/>
    <w:basedOn w:val="DefaultParagraphFont"/>
    <w:link w:val="Heading5"/>
    <w:uiPriority w:val="99"/>
    <w:rPr>
      <w:rFonts w:ascii="Arial" w:eastAsia="Times New Roman" w:hAnsi="Arial" w:cs="Arial"/>
      <w:lang w:val="fr-FR"/>
    </w:rPr>
  </w:style>
  <w:style w:type="character" w:customStyle="1" w:styleId="Heading6Char">
    <w:name w:val="Heading 6 Char"/>
    <w:basedOn w:val="DefaultParagraphFont"/>
    <w:link w:val="Heading6"/>
    <w:uiPriority w:val="99"/>
    <w:rPr>
      <w:rFonts w:ascii="Arial" w:eastAsia="Times New Roman" w:hAnsi="Arial" w:cs="Arial"/>
      <w:i/>
      <w:iCs/>
      <w:lang w:val="fr-FR"/>
    </w:rPr>
  </w:style>
  <w:style w:type="character" w:customStyle="1" w:styleId="Heading7Char">
    <w:name w:val="Heading 7 Char"/>
    <w:basedOn w:val="DefaultParagraphFont"/>
    <w:link w:val="Heading7"/>
    <w:uiPriority w:val="99"/>
    <w:rPr>
      <w:rFonts w:ascii="Arial" w:eastAsia="Times New Roman" w:hAnsi="Arial" w:cs="Arial"/>
      <w:sz w:val="20"/>
      <w:szCs w:val="20"/>
      <w:lang w:val="fr-FR"/>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r-FR"/>
    </w:rPr>
  </w:style>
  <w:style w:type="paragraph" w:styleId="FootnoteText">
    <w:name w:val="footnote text"/>
    <w:aliases w:val="Footnote Text Char Char1,Footnote Text Char Char Char Char Carácter Carácter,Footnote Text Char Char1 Char Car Carácter Carácter,Footnote,Footnote1,Footnote2,Footnote3,Footnote4,Footnote5,Footnote6,Footnote7,o"/>
    <w:basedOn w:val="Normal"/>
    <w:link w:val="FootnoteTextChar"/>
    <w:uiPriority w:val="99"/>
    <w:qFormat/>
    <w:pPr>
      <w:spacing w:after="60" w:line="240" w:lineRule="auto"/>
      <w:ind w:left="357" w:hanging="357"/>
      <w:jc w:val="both"/>
    </w:pPr>
    <w:rPr>
      <w:rFonts w:ascii="Verdana" w:eastAsia="Times New Roman" w:hAnsi="Verdana" w:cs="Verdana"/>
      <w:sz w:val="16"/>
      <w:szCs w:val="16"/>
      <w:lang w:val="en-GB"/>
    </w:rPr>
  </w:style>
  <w:style w:type="character" w:customStyle="1" w:styleId="FootnoteTextChar">
    <w:name w:val="Footnote Text Char"/>
    <w:aliases w:val="Footnote Text Char Char1 Char,Footnote Text Char Char Char Char Carácter Carácter Char,Footnote Text Char Char1 Char Car Carácter Carácter Char,Footnote Char1,Footnote1 Char,Footnote2 Char,Footnote3 Char,Footnote4 Char,Footnote5 Char"/>
    <w:basedOn w:val="DefaultParagraphFont"/>
    <w:link w:val="FootnoteText"/>
    <w:uiPriority w:val="99"/>
    <w:rPr>
      <w:rFonts w:ascii="Verdana" w:eastAsia="Times New Roman" w:hAnsi="Verdana" w:cs="Verdana"/>
      <w:sz w:val="16"/>
      <w:szCs w:val="16"/>
      <w:lang w:val="en-GB"/>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qFormat/>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Verdana"/>
      <w:sz w:val="20"/>
      <w:szCs w:val="20"/>
      <w:lang w:val="fr-FR"/>
    </w:rPr>
  </w:style>
  <w:style w:type="character" w:customStyle="1" w:styleId="BodyChar">
    <w:name w:val="Body Char"/>
    <w:link w:val="Body"/>
    <w:rPr>
      <w:rFonts w:ascii="Verdana" w:eastAsia="Times New Roman" w:hAnsi="Verdana" w:cs="Verdana"/>
      <w:sz w:val="20"/>
      <w:szCs w:val="20"/>
      <w:lang w:val="fr-FR"/>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uiPriority w:val="99"/>
    <w:rPr>
      <w:rFonts w:ascii="Verdana" w:eastAsia="Times New Roman" w:hAnsi="Verdana" w:cs="Verdana"/>
      <w:sz w:val="16"/>
      <w:szCs w:val="16"/>
    </w:rPr>
  </w:style>
  <w:style w:type="character" w:styleId="CommentReference">
    <w:name w:val="annotation reference"/>
    <w:basedOn w:val="DefaultParagraphFont"/>
    <w:uiPriority w:val="99"/>
    <w:semiHidden/>
    <w:rPr>
      <w:sz w:val="16"/>
      <w:szCs w:val="16"/>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customStyle="1" w:styleId="Bulletpoint1">
    <w:name w:val="Bullet point1"/>
    <w:basedOn w:val="NormalIndent"/>
    <w:link w:val="Bulletpoint1Char"/>
    <w:uiPriority w:val="99"/>
    <w:pPr>
      <w:spacing w:after="0"/>
      <w:ind w:hanging="360"/>
      <w:jc w:val="left"/>
    </w:pPr>
    <w:rPr>
      <w:rFonts w:cs="Times New Roman"/>
      <w:sz w:val="24"/>
      <w:szCs w:val="24"/>
      <w:lang w:val="en-GB" w:eastAsia="de-DE"/>
    </w:rPr>
  </w:style>
  <w:style w:type="character" w:customStyle="1" w:styleId="Bulletpoint1Char">
    <w:name w:val="Bullet point1 Char"/>
    <w:basedOn w:val="DefaultParagraphFont"/>
    <w:link w:val="Bulletpoint1"/>
    <w:uiPriority w:val="99"/>
    <w:rPr>
      <w:rFonts w:ascii="Verdana" w:eastAsia="Times New Roman" w:hAnsi="Verdana" w:cs="Times New Roman"/>
      <w:sz w:val="24"/>
      <w:szCs w:val="24"/>
      <w:lang w:val="en-GB" w:eastAsia="de-DE"/>
    </w:rPr>
  </w:style>
  <w:style w:type="paragraph" w:customStyle="1" w:styleId="bullet">
    <w:name w:val="bullet"/>
    <w:basedOn w:val="Bulletpoint1"/>
    <w:link w:val="bulletChar"/>
    <w:qFormat/>
    <w:pPr>
      <w:numPr>
        <w:numId w:val="1"/>
      </w:numPr>
      <w:jc w:val="both"/>
    </w:pPr>
    <w:rPr>
      <w:sz w:val="20"/>
      <w:szCs w:val="20"/>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lang w:val="fr-FR"/>
    </w:rPr>
  </w:style>
  <w:style w:type="table" w:styleId="TableGrid">
    <w:name w:val="Table Grid"/>
    <w:aliases w:val="HTG,Table Format 1,TabelEcorys"/>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uiPriority w:val="99"/>
    <w:rPr>
      <w:rFonts w:ascii="Verdana" w:eastAsia="Times New Roman" w:hAnsi="Verdana" w:cs="Verdana"/>
      <w:sz w:val="20"/>
      <w:szCs w:val="20"/>
      <w:lang w:val="fr-FR"/>
    </w:rPr>
  </w:style>
  <w:style w:type="paragraph" w:styleId="CommentText">
    <w:name w:val="annotation text"/>
    <w:basedOn w:val="Normal"/>
    <w:link w:val="CommentTextChar"/>
    <w:uiPriority w:val="99"/>
    <w:semiHidden/>
    <w:pPr>
      <w:spacing w:after="240" w:line="240" w:lineRule="auto"/>
      <w:jc w:val="both"/>
    </w:pPr>
    <w:rPr>
      <w:rFonts w:ascii="Verdana" w:eastAsia="Times New Roman" w:hAnsi="Verdana" w:cs="Verdana"/>
      <w:sz w:val="20"/>
      <w:szCs w:val="20"/>
      <w:lang w:val="fr-FR"/>
    </w:rPr>
  </w:style>
  <w:style w:type="character" w:customStyle="1" w:styleId="CommentTextChar">
    <w:name w:val="Comment Text Char"/>
    <w:basedOn w:val="DefaultParagraphFont"/>
    <w:link w:val="CommentText"/>
    <w:uiPriority w:val="99"/>
    <w:semiHidden/>
    <w:rPr>
      <w:rFonts w:ascii="Verdana" w:eastAsia="Times New Roman" w:hAnsi="Verdana" w:cs="Verdana"/>
      <w:sz w:val="20"/>
      <w:szCs w:val="20"/>
      <w:lang w:val="fr-FR"/>
    </w:rPr>
  </w:style>
  <w:style w:type="character" w:customStyle="1" w:styleId="bulletChar">
    <w:name w:val="bullet Char"/>
    <w:basedOn w:val="Bulletpoint1Char"/>
    <w:link w:val="bullet"/>
    <w:rPr>
      <w:rFonts w:ascii="Verdana" w:eastAsia="Times New Roman" w:hAnsi="Verdana" w:cs="Times New Roman"/>
      <w:sz w:val="20"/>
      <w:szCs w:val="20"/>
      <w:lang w:val="en-GB" w:eastAsia="de-D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ind w:right="140"/>
      <w:jc w:val="both"/>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2">
    <w:name w:val="Text 2"/>
    <w:basedOn w:val="Normal"/>
    <w:uiPriority w:val="99"/>
    <w:pPr>
      <w:tabs>
        <w:tab w:val="left" w:pos="2302"/>
      </w:tabs>
      <w:spacing w:after="240" w:line="240" w:lineRule="auto"/>
      <w:ind w:left="1202"/>
      <w:jc w:val="both"/>
    </w:pPr>
    <w:rPr>
      <w:rFonts w:ascii="Verdana" w:eastAsia="Times New Roman" w:hAnsi="Verdana" w:cs="Verdana"/>
      <w:sz w:val="20"/>
      <w:szCs w:val="20"/>
      <w:lang w:val="fr-FR"/>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ar,Char Car,Legend, Char"/>
    <w:basedOn w:val="Normal"/>
    <w:next w:val="Normal"/>
    <w:link w:val="CaptionChar"/>
    <w:uiPriority w:val="99"/>
    <w:qFormat/>
    <w:pPr>
      <w:keepNext/>
      <w:spacing w:before="120" w:after="120" w:line="240" w:lineRule="auto"/>
      <w:jc w:val="both"/>
    </w:pPr>
    <w:rPr>
      <w:rFonts w:ascii="Verdana" w:eastAsia="Times New Roman" w:hAnsi="Verdana" w:cs="Verdana"/>
      <w:b/>
      <w:bCs/>
      <w:sz w:val="20"/>
      <w:szCs w:val="20"/>
      <w:lang w:val="fr-FR"/>
    </w:rPr>
  </w:style>
  <w:style w:type="paragraph" w:customStyle="1" w:styleId="OAbodytext">
    <w:name w:val="OA body text"/>
    <w:basedOn w:val="Normal"/>
    <w:pPr>
      <w:spacing w:after="0"/>
      <w:jc w:val="both"/>
    </w:pPr>
    <w:rPr>
      <w:rFonts w:ascii="Calibri" w:eastAsia="MS Mincho" w:hAnsi="Calibri" w:cs="Calibri"/>
      <w:color w:val="EEECE1"/>
      <w:sz w:val="20"/>
      <w:szCs w:val="20"/>
      <w:lang w:val="en-GB"/>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
    <w:link w:val="Caption"/>
    <w:uiPriority w:val="99"/>
    <w:rPr>
      <w:rFonts w:ascii="Verdana" w:eastAsia="Times New Roman" w:hAnsi="Verdana" w:cs="Verdana"/>
      <w:b/>
      <w:bCs/>
      <w:sz w:val="20"/>
      <w:szCs w:val="20"/>
      <w:lang w:val="fr-FR"/>
    </w:rPr>
  </w:style>
  <w:style w:type="paragraph" w:styleId="ListParagraph">
    <w:name w:val="List Paragraph"/>
    <w:basedOn w:val="Normal"/>
    <w:uiPriority w:val="99"/>
    <w:qFormat/>
    <w:pPr>
      <w:spacing w:after="0" w:line="240" w:lineRule="atLeast"/>
      <w:ind w:left="720"/>
      <w:contextualSpacing/>
    </w:pPr>
    <w:rPr>
      <w:rFonts w:ascii="Verdana" w:eastAsia="Times New Roman" w:hAnsi="Verdana" w:cs="Times New Roman"/>
      <w:sz w:val="18"/>
      <w:szCs w:val="24"/>
      <w:lang w:val="en-GB" w:eastAsia="da-DK"/>
    </w:rPr>
  </w:style>
  <w:style w:type="paragraph" w:customStyle="1" w:styleId="AddressTR">
    <w:name w:val="AddressTR"/>
    <w:basedOn w:val="Normal"/>
    <w:next w:val="Normal"/>
    <w:uiPriority w:val="99"/>
    <w:pPr>
      <w:spacing w:after="720" w:line="240" w:lineRule="auto"/>
      <w:ind w:left="5103"/>
    </w:pPr>
    <w:rPr>
      <w:rFonts w:ascii="Verdana" w:eastAsia="Times New Roman" w:hAnsi="Verdana" w:cs="Verdana"/>
      <w:sz w:val="20"/>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character" w:customStyle="1" w:styleId="st1">
    <w:name w:val="st1"/>
    <w:basedOn w:val="DefaultParagraphFont"/>
  </w:style>
  <w:style w:type="paragraph" w:customStyle="1" w:styleId="Heading">
    <w:name w:val="Heading"/>
    <w:basedOn w:val="Normal"/>
    <w:link w:val="HeadingChar"/>
    <w:uiPriority w:val="99"/>
    <w:pPr>
      <w:pageBreakBefore/>
      <w:spacing w:after="240" w:line="240" w:lineRule="auto"/>
      <w:outlineLvl w:val="0"/>
    </w:pPr>
    <w:rPr>
      <w:rFonts w:ascii="Verdana" w:eastAsia="Times New Roman" w:hAnsi="Verdana" w:cs="Times New Roman"/>
      <w:b/>
      <w:bCs/>
      <w:caps/>
      <w:lang w:val="en-GB"/>
    </w:rPr>
  </w:style>
  <w:style w:type="character" w:customStyle="1" w:styleId="HeadingChar">
    <w:name w:val="Heading Char"/>
    <w:link w:val="Heading"/>
    <w:uiPriority w:val="99"/>
    <w:rPr>
      <w:rFonts w:ascii="Verdana" w:eastAsia="Times New Roman" w:hAnsi="Verdana" w:cs="Times New Roman"/>
      <w:b/>
      <w:bCs/>
      <w:caps/>
      <w:lang w:val="en-GB"/>
    </w:rPr>
  </w:style>
  <w:style w:type="paragraph" w:customStyle="1" w:styleId="SUBTITLEsmall">
    <w:name w:val="SUBTITLE small"/>
    <w:basedOn w:val="Body"/>
    <w:link w:val="SUBTITLEsmallChar"/>
    <w:qFormat/>
    <w:pPr>
      <w:keepNext/>
    </w:pPr>
    <w:rPr>
      <w:b/>
      <w:bCs/>
    </w:rPr>
  </w:style>
  <w:style w:type="character" w:customStyle="1" w:styleId="SUBTITLEsmallChar">
    <w:name w:val="SUBTITLE small Char"/>
    <w:basedOn w:val="BodyChar"/>
    <w:link w:val="SUBTITLEsmall"/>
    <w:rPr>
      <w:rFonts w:ascii="Verdana" w:eastAsia="Times New Roman" w:hAnsi="Verdana" w:cs="Verdana"/>
      <w:b/>
      <w:bCs/>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Verdana"/>
      <w:b/>
      <w:bCs/>
      <w:sz w:val="20"/>
      <w:szCs w:val="20"/>
      <w:lang w:val="fr-FR"/>
    </w:rPr>
  </w:style>
  <w:style w:type="paragraph" w:styleId="Revision">
    <w:name w:val="Revision"/>
    <w:hidden/>
    <w:uiPriority w:val="99"/>
    <w:semiHidden/>
    <w:pPr>
      <w:spacing w:after="0" w:line="240" w:lineRule="auto"/>
    </w:pPr>
    <w:rPr>
      <w:rFonts w:ascii="Verdana" w:eastAsia="Times New Roman" w:hAnsi="Verdana" w:cs="Verdana"/>
      <w:sz w:val="20"/>
      <w:szCs w:val="20"/>
      <w:lang w:val="fr-FR"/>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link w:val="NoSpacingChar"/>
    <w:uiPriority w:val="1"/>
    <w:qFormat/>
    <w:pPr>
      <w:spacing w:after="0" w:line="240" w:lineRule="auto"/>
    </w:pPr>
    <w:rPr>
      <w:lang w:val="en-GB"/>
    </w:rPr>
  </w:style>
  <w:style w:type="paragraph" w:styleId="TOC3">
    <w:name w:val="toc 3"/>
    <w:basedOn w:val="Normal"/>
    <w:next w:val="Normal"/>
    <w:autoRedefine/>
    <w:uiPriority w:val="39"/>
    <w:unhideWhenUsed/>
    <w:pPr>
      <w:spacing w:after="100"/>
      <w:ind w:left="440"/>
    </w:pPr>
    <w:rPr>
      <w:lang w:val="en-GB"/>
    </w:r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pPr>
      <w:spacing w:after="120" w:line="240" w:lineRule="auto"/>
      <w:jc w:val="both"/>
    </w:pPr>
  </w:style>
  <w:style w:type="character" w:styleId="Strong">
    <w:name w:val="Strong"/>
    <w:basedOn w:val="DefaultParagraphFont"/>
    <w:uiPriority w:val="22"/>
    <w:qFormat/>
    <w:rPr>
      <w:b/>
      <w:bCs/>
    </w:rPr>
  </w:style>
  <w:style w:type="paragraph" w:customStyle="1" w:styleId="EYTabletextbold">
    <w:name w:val="EY Table text bold"/>
    <w:basedOn w:val="Normal"/>
    <w:next w:val="Normal"/>
    <w:pPr>
      <w:spacing w:before="20" w:after="20" w:line="240" w:lineRule="auto"/>
    </w:pPr>
    <w:rPr>
      <w:rFonts w:ascii="EYInterstate Regular" w:eastAsia="Times New Roman" w:hAnsi="EYInterstate Regular" w:cs="Times New Roman"/>
      <w:b/>
      <w:i/>
      <w:sz w:val="20"/>
      <w:szCs w:val="24"/>
      <w:lang w:val="en-GB"/>
    </w:rPr>
  </w:style>
  <w:style w:type="paragraph" w:customStyle="1" w:styleId="Bullet1">
    <w:name w:val="Bullet 1"/>
    <w:basedOn w:val="Normal"/>
    <w:next w:val="Normal"/>
    <w:link w:val="Bullet1Char"/>
    <w:qFormat/>
    <w:pPr>
      <w:numPr>
        <w:numId w:val="3"/>
      </w:numPr>
      <w:spacing w:after="120" w:line="240" w:lineRule="auto"/>
      <w:jc w:val="both"/>
    </w:pPr>
    <w:rPr>
      <w:rFonts w:ascii="Arial" w:hAnsi="Arial" w:cs="Arial"/>
      <w:sz w:val="20"/>
      <w:lang w:val="en-US"/>
    </w:rPr>
  </w:style>
  <w:style w:type="character" w:customStyle="1" w:styleId="Bullet1Char">
    <w:name w:val="Bullet 1 Char"/>
    <w:basedOn w:val="DefaultParagraphFont"/>
    <w:link w:val="Bullet1"/>
    <w:rPr>
      <w:rFonts w:ascii="Arial" w:hAnsi="Arial" w:cs="Arial"/>
      <w:sz w:val="20"/>
      <w:lang w:val="en-US"/>
    </w:rPr>
  </w:style>
  <w:style w:type="paragraph" w:customStyle="1" w:styleId="000">
    <w:name w:val="000"/>
    <w:aliases w:val="standaard,standaard uitvullen,standaard (alt-s),stan084daard,standaard 04...,standaard 155,standaard uitv042ullen,sta550ndaard,standaard 040,standaard81,0001,standaard 042,standaard1,standaard uitvullen1,standaard (alt-s)1,stan084daard1,standaard811"/>
    <w:basedOn w:val="Normal"/>
    <w:link w:val="000standaardCharChar"/>
    <w:autoRedefine/>
    <w:qFormat/>
    <w:pPr>
      <w:overflowPunct w:val="0"/>
      <w:autoSpaceDE w:val="0"/>
      <w:autoSpaceDN w:val="0"/>
      <w:adjustRightInd w:val="0"/>
      <w:spacing w:after="120" w:line="260" w:lineRule="atLeast"/>
      <w:textAlignment w:val="baseline"/>
    </w:pPr>
    <w:rPr>
      <w:rFonts w:ascii="Arial" w:eastAsia="Times New Roman" w:hAnsi="Arial" w:cs="Arial"/>
      <w:i/>
      <w:color w:val="000000" w:themeColor="text1"/>
      <w:sz w:val="20"/>
      <w:szCs w:val="20"/>
      <w:lang w:val="nl-NL"/>
    </w:rPr>
  </w:style>
  <w:style w:type="character" w:customStyle="1" w:styleId="000standaardCharChar">
    <w:name w:val="000;standaard Char Char"/>
    <w:basedOn w:val="DefaultParagraphFont"/>
    <w:link w:val="000"/>
    <w:rPr>
      <w:rFonts w:ascii="Arial" w:eastAsia="Times New Roman" w:hAnsi="Arial" w:cs="Arial"/>
      <w:i/>
      <w:color w:val="000000" w:themeColor="text1"/>
      <w:sz w:val="20"/>
      <w:szCs w:val="20"/>
      <w:lang w:val="nl-NL"/>
    </w:rPr>
  </w:style>
  <w:style w:type="character" w:customStyle="1" w:styleId="NoSpacingChar">
    <w:name w:val="No Spacing Char"/>
    <w:basedOn w:val="DefaultParagraphFont"/>
    <w:link w:val="NoSpacing"/>
    <w:uiPriority w:val="1"/>
    <w:rPr>
      <w:lang w:val="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95667">
      <w:bodyDiv w:val="1"/>
      <w:marLeft w:val="0"/>
      <w:marRight w:val="0"/>
      <w:marTop w:val="0"/>
      <w:marBottom w:val="0"/>
      <w:divBdr>
        <w:top w:val="none" w:sz="0" w:space="0" w:color="auto"/>
        <w:left w:val="none" w:sz="0" w:space="0" w:color="auto"/>
        <w:bottom w:val="none" w:sz="0" w:space="0" w:color="auto"/>
        <w:right w:val="none" w:sz="0" w:space="0" w:color="auto"/>
      </w:divBdr>
    </w:div>
    <w:div w:id="1453205096">
      <w:bodyDiv w:val="1"/>
      <w:marLeft w:val="0"/>
      <w:marRight w:val="0"/>
      <w:marTop w:val="0"/>
      <w:marBottom w:val="0"/>
      <w:divBdr>
        <w:top w:val="none" w:sz="0" w:space="0" w:color="auto"/>
        <w:left w:val="none" w:sz="0" w:space="0" w:color="auto"/>
        <w:bottom w:val="none" w:sz="0" w:space="0" w:color="auto"/>
        <w:right w:val="none" w:sz="0" w:space="0" w:color="auto"/>
      </w:divBdr>
    </w:div>
    <w:div w:id="18611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chart" Target="charts/chart1.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ci\public\1.HOME%20FUNDS\1.%20Horizontal%20pts\18.%20Evaluation\08.%20SOLID%20ex-post%202011-2013\10.%20SWD\Statistics\Preparatory\5_ERF\Graph%20SWD%20ERF%202011-2013%20FIX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ci\public\1.HOME%20FUNDS\1.%20Horizontal%20pts\3.%20Evaluation\08.%20SOLID%20ex-post%202011-2013\10.%20SWD\ERF\RSB\CIS\number%20asylum%20applicants_programmed%20EU%20contribution_EMAS%20new%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Sheet1!$A$3</c:f>
              <c:strCache>
                <c:ptCount val="1"/>
                <c:pt idx="0">
                  <c:v>Programmed EU Contribution</c:v>
                </c:pt>
              </c:strCache>
            </c:strRef>
          </c:tx>
          <c:spPr>
            <a:solidFill>
              <a:srgbClr val="B0EDEE"/>
            </a:solidFill>
          </c:spPr>
          <c:invertIfNegative val="0"/>
          <c:cat>
            <c:strRef>
              <c:f>Sheet1!$B$2:$G$2</c:f>
              <c:strCache>
                <c:ptCount val="6"/>
                <c:pt idx="0">
                  <c:v>Priority 1</c:v>
                </c:pt>
                <c:pt idx="1">
                  <c:v>Priority 2</c:v>
                </c:pt>
                <c:pt idx="2">
                  <c:v>Priority 3</c:v>
                </c:pt>
                <c:pt idx="3">
                  <c:v>Resettl.</c:v>
                </c:pt>
                <c:pt idx="4">
                  <c:v>EM</c:v>
                </c:pt>
                <c:pt idx="5">
                  <c:v>TA</c:v>
                </c:pt>
              </c:strCache>
            </c:strRef>
          </c:cat>
          <c:val>
            <c:numRef>
              <c:f>Sheet1!$B$3:$G$3</c:f>
              <c:numCache>
                <c:formatCode>#,##0.00</c:formatCode>
                <c:ptCount val="6"/>
                <c:pt idx="0">
                  <c:v>229051236.77000004</c:v>
                </c:pt>
                <c:pt idx="1">
                  <c:v>17173521.840000004</c:v>
                </c:pt>
                <c:pt idx="2">
                  <c:v>7591678.8399999999</c:v>
                </c:pt>
                <c:pt idx="3">
                  <c:v>40042000</c:v>
                </c:pt>
                <c:pt idx="4">
                  <c:v>65620694.310000002</c:v>
                </c:pt>
                <c:pt idx="5">
                  <c:v>13768331.440000003</c:v>
                </c:pt>
              </c:numCache>
            </c:numRef>
          </c:val>
          <c:extLst xmlns:c16r2="http://schemas.microsoft.com/office/drawing/2015/06/chart">
            <c:ext xmlns:c16="http://schemas.microsoft.com/office/drawing/2014/chart" uri="{C3380CC4-5D6E-409C-BE32-E72D297353CC}">
              <c16:uniqueId val="{00000000-1F37-4849-8A4E-0B0E5696C7BA}"/>
            </c:ext>
          </c:extLst>
        </c:ser>
        <c:ser>
          <c:idx val="1"/>
          <c:order val="1"/>
          <c:tx>
            <c:strRef>
              <c:f>Sheet1!$A$4</c:f>
              <c:strCache>
                <c:ptCount val="1"/>
                <c:pt idx="0">
                  <c:v>Final EU Contribution</c:v>
                </c:pt>
              </c:strCache>
            </c:strRef>
          </c:tx>
          <c:spPr>
            <a:solidFill>
              <a:srgbClr val="2C379E"/>
            </a:solidFill>
          </c:spPr>
          <c:invertIfNegative val="0"/>
          <c:cat>
            <c:strRef>
              <c:f>Sheet1!$B$2:$G$2</c:f>
              <c:strCache>
                <c:ptCount val="6"/>
                <c:pt idx="0">
                  <c:v>Priority 1</c:v>
                </c:pt>
                <c:pt idx="1">
                  <c:v>Priority 2</c:v>
                </c:pt>
                <c:pt idx="2">
                  <c:v>Priority 3</c:v>
                </c:pt>
                <c:pt idx="3">
                  <c:v>Resettl.</c:v>
                </c:pt>
                <c:pt idx="4">
                  <c:v>EM</c:v>
                </c:pt>
                <c:pt idx="5">
                  <c:v>TA</c:v>
                </c:pt>
              </c:strCache>
            </c:strRef>
          </c:cat>
          <c:val>
            <c:numRef>
              <c:f>Sheet1!$B$4:$G$4</c:f>
              <c:numCache>
                <c:formatCode>#,##0.00</c:formatCode>
                <c:ptCount val="6"/>
                <c:pt idx="0">
                  <c:v>183579452.44749993</c:v>
                </c:pt>
                <c:pt idx="1">
                  <c:v>12322858.5825</c:v>
                </c:pt>
                <c:pt idx="2">
                  <c:v>7207939.3949999996</c:v>
                </c:pt>
                <c:pt idx="3">
                  <c:v>36300499.57</c:v>
                </c:pt>
                <c:pt idx="4">
                  <c:v>60781451.296000019</c:v>
                </c:pt>
                <c:pt idx="5">
                  <c:v>12990390.995599996</c:v>
                </c:pt>
              </c:numCache>
            </c:numRef>
          </c:val>
          <c:extLst xmlns:c16r2="http://schemas.microsoft.com/office/drawing/2015/06/chart">
            <c:ext xmlns:c16="http://schemas.microsoft.com/office/drawing/2014/chart" uri="{C3380CC4-5D6E-409C-BE32-E72D297353CC}">
              <c16:uniqueId val="{00000001-1F37-4849-8A4E-0B0E5696C7BA}"/>
            </c:ext>
          </c:extLst>
        </c:ser>
        <c:dLbls>
          <c:showLegendKey val="0"/>
          <c:showVal val="0"/>
          <c:showCatName val="0"/>
          <c:showSerName val="0"/>
          <c:showPercent val="0"/>
          <c:showBubbleSize val="0"/>
        </c:dLbls>
        <c:gapWidth val="150"/>
        <c:axId val="98868224"/>
        <c:axId val="100775040"/>
      </c:barChart>
      <c:lineChart>
        <c:grouping val="stacked"/>
        <c:varyColors val="0"/>
        <c:ser>
          <c:idx val="2"/>
          <c:order val="2"/>
          <c:tx>
            <c:strRef>
              <c:f>Sheet1!$A$5</c:f>
              <c:strCache>
                <c:ptCount val="1"/>
                <c:pt idx="0">
                  <c:v>Absorption rate</c:v>
                </c:pt>
              </c:strCache>
            </c:strRef>
          </c:tx>
          <c:spPr>
            <a:ln>
              <a:noFill/>
            </a:ln>
          </c:spPr>
          <c:marker>
            <c:symbol val="circle"/>
            <c:size val="7"/>
            <c:spPr>
              <a:solidFill>
                <a:srgbClr val="F7AFEE"/>
              </a:solidFill>
            </c:spPr>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Sheet1!$B$2:$G$2</c:f>
              <c:strCache>
                <c:ptCount val="6"/>
                <c:pt idx="0">
                  <c:v>Priority 1</c:v>
                </c:pt>
                <c:pt idx="1">
                  <c:v>Priority 2</c:v>
                </c:pt>
                <c:pt idx="2">
                  <c:v>Priority 3</c:v>
                </c:pt>
                <c:pt idx="3">
                  <c:v>Resettl.</c:v>
                </c:pt>
                <c:pt idx="4">
                  <c:v>EM</c:v>
                </c:pt>
                <c:pt idx="5">
                  <c:v>TA</c:v>
                </c:pt>
              </c:strCache>
            </c:strRef>
          </c:cat>
          <c:val>
            <c:numRef>
              <c:f>Sheet1!$B$5:$G$5</c:f>
              <c:numCache>
                <c:formatCode>0%</c:formatCode>
                <c:ptCount val="6"/>
                <c:pt idx="0">
                  <c:v>0.80147767388761038</c:v>
                </c:pt>
                <c:pt idx="1">
                  <c:v>0.71754988273855402</c:v>
                </c:pt>
                <c:pt idx="2">
                  <c:v>0.94945262397322383</c:v>
                </c:pt>
                <c:pt idx="3">
                  <c:v>0.90656060061934973</c:v>
                </c:pt>
                <c:pt idx="4">
                  <c:v>0.92625431558010007</c:v>
                </c:pt>
                <c:pt idx="5">
                  <c:v>0.94349784156561478</c:v>
                </c:pt>
              </c:numCache>
            </c:numRef>
          </c:val>
          <c:smooth val="0"/>
          <c:extLst xmlns:c16r2="http://schemas.microsoft.com/office/drawing/2015/06/chart">
            <c:ext xmlns:c16="http://schemas.microsoft.com/office/drawing/2014/chart" uri="{C3380CC4-5D6E-409C-BE32-E72D297353CC}">
              <c16:uniqueId val="{00000002-1F37-4849-8A4E-0B0E5696C7BA}"/>
            </c:ext>
          </c:extLst>
        </c:ser>
        <c:dLbls>
          <c:showLegendKey val="0"/>
          <c:showVal val="0"/>
          <c:showCatName val="0"/>
          <c:showSerName val="0"/>
          <c:showPercent val="0"/>
          <c:showBubbleSize val="0"/>
        </c:dLbls>
        <c:marker val="1"/>
        <c:smooth val="0"/>
        <c:axId val="109848064"/>
        <c:axId val="109846528"/>
      </c:lineChart>
      <c:catAx>
        <c:axId val="98868224"/>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00775040"/>
        <c:crossesAt val="0"/>
        <c:auto val="1"/>
        <c:lblAlgn val="ctr"/>
        <c:lblOffset val="100"/>
        <c:noMultiLvlLbl val="0"/>
      </c:catAx>
      <c:valAx>
        <c:axId val="100775040"/>
        <c:scaling>
          <c:orientation val="minMax"/>
        </c:scaling>
        <c:delete val="0"/>
        <c:axPos val="l"/>
        <c:majorGridlines/>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98868224"/>
        <c:crosses val="autoZero"/>
        <c:crossBetween val="between"/>
        <c:dispUnits>
          <c:builtInUnit val="millions"/>
          <c:dispUnitsLbl>
            <c:layout>
              <c:manualLayout>
                <c:xMode val="edge"/>
                <c:yMode val="edge"/>
                <c:x val="1.6789557437869286E-2"/>
                <c:y val="0.1776708440800033"/>
              </c:manualLayout>
            </c:layout>
            <c:tx>
              <c:rich>
                <a:bodyPr/>
                <a:lstStyle/>
                <a:p>
                  <a:pPr>
                    <a:defRPr>
                      <a:latin typeface="Times New Roman" panose="02020603050405020304" pitchFamily="18" charset="0"/>
                      <a:cs typeface="Times New Roman" panose="02020603050405020304" pitchFamily="18" charset="0"/>
                    </a:defRPr>
                  </a:pPr>
                  <a:r>
                    <a:rPr lang="en-GB">
                      <a:latin typeface="Times New Roman" panose="02020603050405020304" pitchFamily="18" charset="0"/>
                      <a:cs typeface="Times New Roman" panose="02020603050405020304" pitchFamily="18" charset="0"/>
                    </a:rPr>
                    <a:t>Programmed/Net EU Contribution</a:t>
                  </a:r>
                  <a:r>
                    <a:rPr lang="en-GB" baseline="0">
                      <a:latin typeface="Times New Roman" panose="02020603050405020304" pitchFamily="18" charset="0"/>
                      <a:cs typeface="Times New Roman" panose="02020603050405020304" pitchFamily="18" charset="0"/>
                    </a:rPr>
                    <a:t> Millions €</a:t>
                  </a:r>
                  <a:endParaRPr lang="en-GB">
                    <a:latin typeface="Times New Roman" panose="02020603050405020304" pitchFamily="18" charset="0"/>
                    <a:cs typeface="Times New Roman" panose="02020603050405020304" pitchFamily="18" charset="0"/>
                  </a:endParaRPr>
                </a:p>
              </c:rich>
            </c:tx>
          </c:dispUnitsLbl>
        </c:dispUnits>
      </c:valAx>
      <c:valAx>
        <c:axId val="109846528"/>
        <c:scaling>
          <c:orientation val="minMax"/>
        </c:scaling>
        <c:delete val="0"/>
        <c:axPos val="r"/>
        <c:numFmt formatCode="0%" sourceLinked="1"/>
        <c:majorTickMark val="out"/>
        <c:minorTickMark val="none"/>
        <c:tickLblPos val="nextTo"/>
        <c:crossAx val="109848064"/>
        <c:crosses val="max"/>
        <c:crossBetween val="between"/>
      </c:valAx>
      <c:catAx>
        <c:axId val="109848064"/>
        <c:scaling>
          <c:orientation val="minMax"/>
        </c:scaling>
        <c:delete val="1"/>
        <c:axPos val="b"/>
        <c:numFmt formatCode="General" sourceLinked="1"/>
        <c:majorTickMark val="out"/>
        <c:minorTickMark val="none"/>
        <c:tickLblPos val="nextTo"/>
        <c:crossAx val="109846528"/>
        <c:crosses val="autoZero"/>
        <c:auto val="1"/>
        <c:lblAlgn val="ctr"/>
        <c:lblOffset val="100"/>
        <c:noMultiLvlLbl val="0"/>
      </c:catAx>
    </c:plotArea>
    <c:legend>
      <c:legendPos val="b"/>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Number of Asylum</a:t>
            </a:r>
            <a:r>
              <a:rPr lang="it-IT" baseline="0"/>
              <a:t> applicants and Programmed EU contribution per MSs</a:t>
            </a:r>
          </a:p>
          <a:p>
            <a:pPr>
              <a:defRPr sz="1400" b="0" i="0" u="none" strike="noStrike" kern="1200" spc="0" baseline="0">
                <a:solidFill>
                  <a:schemeClr val="tx1">
                    <a:lumMod val="65000"/>
                    <a:lumOff val="35000"/>
                  </a:schemeClr>
                </a:solidFill>
                <a:latin typeface="+mn-lt"/>
                <a:ea typeface="+mn-ea"/>
                <a:cs typeface="+mn-cs"/>
              </a:defRPr>
            </a:pPr>
            <a:r>
              <a:rPr lang="it-IT" baseline="0"/>
              <a:t>(period 2011-2013)</a:t>
            </a:r>
            <a:endParaRPr lang="it-IT"/>
          </a:p>
        </c:rich>
      </c:tx>
      <c:overlay val="0"/>
      <c:spPr>
        <a:noFill/>
        <a:ln>
          <a:noFill/>
        </a:ln>
        <a:effectLst/>
      </c:spPr>
    </c:title>
    <c:autoTitleDeleted val="0"/>
    <c:plotArea>
      <c:layout/>
      <c:lineChart>
        <c:grouping val="standard"/>
        <c:varyColors val="0"/>
        <c:ser>
          <c:idx val="0"/>
          <c:order val="0"/>
          <c:tx>
            <c:strRef>
              <c:f>Sheet2!$C$1</c:f>
              <c:strCache>
                <c:ptCount val="1"/>
                <c:pt idx="0">
                  <c:v>Number of Asylum Applicants (period 2011-2013)</c:v>
                </c:pt>
              </c:strCache>
            </c:strRef>
          </c:tx>
          <c:spPr>
            <a:ln w="28575" cap="rnd">
              <a:solidFill>
                <a:schemeClr val="accent1"/>
              </a:solidFill>
              <a:round/>
            </a:ln>
            <a:effectLst/>
          </c:spPr>
          <c:marker>
            <c:symbol val="none"/>
          </c:marker>
          <c:cat>
            <c:strRef>
              <c:f>Sheet2!$A$2:$A$28</c:f>
              <c:strCache>
                <c:ptCount val="27"/>
                <c:pt idx="0">
                  <c:v>EE</c:v>
                </c:pt>
                <c:pt idx="1">
                  <c:v>LV</c:v>
                </c:pt>
                <c:pt idx="2">
                  <c:v>SI</c:v>
                </c:pt>
                <c:pt idx="3">
                  <c:v>HR</c:v>
                </c:pt>
                <c:pt idx="4">
                  <c:v>SK</c:v>
                </c:pt>
                <c:pt idx="5">
                  <c:v>LT</c:v>
                </c:pt>
                <c:pt idx="6">
                  <c:v>PT</c:v>
                </c:pt>
                <c:pt idx="7">
                  <c:v>CZ</c:v>
                </c:pt>
                <c:pt idx="8">
                  <c:v>IE</c:v>
                </c:pt>
                <c:pt idx="9">
                  <c:v>RO</c:v>
                </c:pt>
                <c:pt idx="10">
                  <c:v>CY</c:v>
                </c:pt>
                <c:pt idx="11">
                  <c:v>LU</c:v>
                </c:pt>
                <c:pt idx="12">
                  <c:v>MT</c:v>
                </c:pt>
                <c:pt idx="13">
                  <c:v>ES</c:v>
                </c:pt>
                <c:pt idx="14">
                  <c:v>BG</c:v>
                </c:pt>
                <c:pt idx="15">
                  <c:v>FI</c:v>
                </c:pt>
                <c:pt idx="16">
                  <c:v>EL</c:v>
                </c:pt>
                <c:pt idx="17">
                  <c:v>PL</c:v>
                </c:pt>
                <c:pt idx="18">
                  <c:v>NL</c:v>
                </c:pt>
                <c:pt idx="19">
                  <c:v>BE</c:v>
                </c:pt>
                <c:pt idx="20">
                  <c:v>UK</c:v>
                </c:pt>
                <c:pt idx="21">
                  <c:v>AT</c:v>
                </c:pt>
                <c:pt idx="22">
                  <c:v>IT</c:v>
                </c:pt>
                <c:pt idx="23">
                  <c:v>HU</c:v>
                </c:pt>
                <c:pt idx="24">
                  <c:v>FR</c:v>
                </c:pt>
                <c:pt idx="25">
                  <c:v>SE</c:v>
                </c:pt>
                <c:pt idx="26">
                  <c:v>DE</c:v>
                </c:pt>
              </c:strCache>
            </c:strRef>
          </c:cat>
          <c:val>
            <c:numRef>
              <c:f>Sheet2!$C$2:$C$28</c:f>
              <c:numCache>
                <c:formatCode>#,##0</c:formatCode>
                <c:ptCount val="27"/>
                <c:pt idx="0">
                  <c:v>620</c:v>
                </c:pt>
                <c:pt idx="1">
                  <c:v>1445</c:v>
                </c:pt>
                <c:pt idx="2">
                  <c:v>1580</c:v>
                </c:pt>
                <c:pt idx="3">
                  <c:v>1735</c:v>
                </c:pt>
                <c:pt idx="4">
                  <c:v>2320</c:v>
                </c:pt>
                <c:pt idx="5">
                  <c:v>2325</c:v>
                </c:pt>
                <c:pt idx="6">
                  <c:v>2405</c:v>
                </c:pt>
                <c:pt idx="7">
                  <c:v>4845</c:v>
                </c:pt>
                <c:pt idx="8">
                  <c:v>7915</c:v>
                </c:pt>
                <c:pt idx="9">
                  <c:v>8530</c:v>
                </c:pt>
                <c:pt idx="10">
                  <c:v>8670</c:v>
                </c:pt>
                <c:pt idx="11">
                  <c:v>8925</c:v>
                </c:pt>
                <c:pt idx="12">
                  <c:v>9410</c:v>
                </c:pt>
                <c:pt idx="13">
                  <c:v>30865</c:v>
                </c:pt>
                <c:pt idx="14">
                  <c:v>40865</c:v>
                </c:pt>
                <c:pt idx="15">
                  <c:v>45185</c:v>
                </c:pt>
                <c:pt idx="16">
                  <c:v>49745</c:v>
                </c:pt>
                <c:pt idx="17">
                  <c:v>53085</c:v>
                </c:pt>
                <c:pt idx="18">
                  <c:v>110210</c:v>
                </c:pt>
                <c:pt idx="19">
                  <c:v>148385</c:v>
                </c:pt>
                <c:pt idx="20">
                  <c:v>159245</c:v>
                </c:pt>
                <c:pt idx="21">
                  <c:v>165530</c:v>
                </c:pt>
                <c:pt idx="22">
                  <c:v>232435</c:v>
                </c:pt>
                <c:pt idx="23">
                  <c:v>242650</c:v>
                </c:pt>
                <c:pt idx="24">
                  <c:v>325510</c:v>
                </c:pt>
                <c:pt idx="25">
                  <c:v>371405</c:v>
                </c:pt>
                <c:pt idx="26">
                  <c:v>936580</c:v>
                </c:pt>
              </c:numCache>
            </c:numRef>
          </c:val>
          <c:smooth val="0"/>
          <c:extLst xmlns:c16r2="http://schemas.microsoft.com/office/drawing/2015/06/chart">
            <c:ext xmlns:c16="http://schemas.microsoft.com/office/drawing/2014/chart" uri="{C3380CC4-5D6E-409C-BE32-E72D297353CC}">
              <c16:uniqueId val="{00000000-B429-4CE5-9D08-6B3E08914C35}"/>
            </c:ext>
          </c:extLst>
        </c:ser>
        <c:dLbls>
          <c:showLegendKey val="0"/>
          <c:showVal val="0"/>
          <c:showCatName val="0"/>
          <c:showSerName val="0"/>
          <c:showPercent val="0"/>
          <c:showBubbleSize val="0"/>
        </c:dLbls>
        <c:marker val="1"/>
        <c:smooth val="0"/>
        <c:axId val="122367360"/>
        <c:axId val="122418304"/>
      </c:lineChart>
      <c:scatterChart>
        <c:scatterStyle val="lineMarker"/>
        <c:varyColors val="0"/>
        <c:ser>
          <c:idx val="1"/>
          <c:order val="1"/>
          <c:tx>
            <c:strRef>
              <c:f>Sheet2!$B$1</c:f>
              <c:strCache>
                <c:ptCount val="1"/>
                <c:pt idx="0">
                  <c:v>Programmed EU Contribution (period 2011- 2013)</c:v>
                </c:pt>
              </c:strCache>
            </c:strRef>
          </c:tx>
          <c:spPr>
            <a:ln w="25400" cap="rnd">
              <a:noFill/>
              <a:round/>
            </a:ln>
            <a:effectLst/>
          </c:spPr>
          <c:marker>
            <c:symbol val="circle"/>
            <c:size val="5"/>
            <c:spPr>
              <a:solidFill>
                <a:srgbClr val="F7AFEE"/>
              </a:solidFill>
              <a:ln w="9525">
                <a:solidFill>
                  <a:schemeClr val="accent2"/>
                </a:solidFill>
              </a:ln>
              <a:effectLst/>
            </c:spPr>
          </c:marker>
          <c:dLbls>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dLbl>
            <c:dLbl>
              <c:idx val="1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strRef>
              <c:f>Sheet2!$A$2:$A$28</c:f>
              <c:strCache>
                <c:ptCount val="27"/>
                <c:pt idx="0">
                  <c:v>EE</c:v>
                </c:pt>
                <c:pt idx="1">
                  <c:v>LV</c:v>
                </c:pt>
                <c:pt idx="2">
                  <c:v>SI</c:v>
                </c:pt>
                <c:pt idx="3">
                  <c:v>HR</c:v>
                </c:pt>
                <c:pt idx="4">
                  <c:v>SK</c:v>
                </c:pt>
                <c:pt idx="5">
                  <c:v>LT</c:v>
                </c:pt>
                <c:pt idx="6">
                  <c:v>PT</c:v>
                </c:pt>
                <c:pt idx="7">
                  <c:v>CZ</c:v>
                </c:pt>
                <c:pt idx="8">
                  <c:v>IE</c:v>
                </c:pt>
                <c:pt idx="9">
                  <c:v>RO</c:v>
                </c:pt>
                <c:pt idx="10">
                  <c:v>CY</c:v>
                </c:pt>
                <c:pt idx="11">
                  <c:v>LU</c:v>
                </c:pt>
                <c:pt idx="12">
                  <c:v>MT</c:v>
                </c:pt>
                <c:pt idx="13">
                  <c:v>ES</c:v>
                </c:pt>
                <c:pt idx="14">
                  <c:v>BG</c:v>
                </c:pt>
                <c:pt idx="15">
                  <c:v>FI</c:v>
                </c:pt>
                <c:pt idx="16">
                  <c:v>EL</c:v>
                </c:pt>
                <c:pt idx="17">
                  <c:v>PL</c:v>
                </c:pt>
                <c:pt idx="18">
                  <c:v>NL</c:v>
                </c:pt>
                <c:pt idx="19">
                  <c:v>BE</c:v>
                </c:pt>
                <c:pt idx="20">
                  <c:v>UK</c:v>
                </c:pt>
                <c:pt idx="21">
                  <c:v>AT</c:v>
                </c:pt>
                <c:pt idx="22">
                  <c:v>IT</c:v>
                </c:pt>
                <c:pt idx="23">
                  <c:v>HU</c:v>
                </c:pt>
                <c:pt idx="24">
                  <c:v>FR</c:v>
                </c:pt>
                <c:pt idx="25">
                  <c:v>SE</c:v>
                </c:pt>
                <c:pt idx="26">
                  <c:v>DE</c:v>
                </c:pt>
              </c:strCache>
            </c:strRef>
          </c:xVal>
          <c:yVal>
            <c:numRef>
              <c:f>Sheet2!$B$2:$B$28</c:f>
              <c:numCache>
                <c:formatCode>#,##0.00</c:formatCode>
                <c:ptCount val="27"/>
                <c:pt idx="0">
                  <c:v>1529786.77</c:v>
                </c:pt>
                <c:pt idx="1">
                  <c:v>1571961.24</c:v>
                </c:pt>
                <c:pt idx="2">
                  <c:v>1680059.15</c:v>
                </c:pt>
                <c:pt idx="3">
                  <c:v>85717</c:v>
                </c:pt>
                <c:pt idx="4">
                  <c:v>2125221.44</c:v>
                </c:pt>
                <c:pt idx="5">
                  <c:v>1724974.06</c:v>
                </c:pt>
                <c:pt idx="6">
                  <c:v>1447576.98</c:v>
                </c:pt>
                <c:pt idx="7">
                  <c:v>2513966.73</c:v>
                </c:pt>
                <c:pt idx="8">
                  <c:v>4500819.54</c:v>
                </c:pt>
                <c:pt idx="9">
                  <c:v>2392340.02</c:v>
                </c:pt>
                <c:pt idx="10">
                  <c:v>7631352.7000000002</c:v>
                </c:pt>
                <c:pt idx="11">
                  <c:v>1511215.4</c:v>
                </c:pt>
                <c:pt idx="12">
                  <c:v>9878167.120000001</c:v>
                </c:pt>
                <c:pt idx="13">
                  <c:v>5078362.46</c:v>
                </c:pt>
                <c:pt idx="14">
                  <c:v>7917526.2999999998</c:v>
                </c:pt>
                <c:pt idx="15">
                  <c:v>10321990.060000001</c:v>
                </c:pt>
                <c:pt idx="16">
                  <c:v>23970969.27</c:v>
                </c:pt>
                <c:pt idx="17">
                  <c:v>8046810.1400000006</c:v>
                </c:pt>
                <c:pt idx="18">
                  <c:v>18033033.550000001</c:v>
                </c:pt>
                <c:pt idx="19">
                  <c:v>21719456.289999999</c:v>
                </c:pt>
                <c:pt idx="20">
                  <c:v>38720548.640000001</c:v>
                </c:pt>
                <c:pt idx="21">
                  <c:v>14103023.699999999</c:v>
                </c:pt>
                <c:pt idx="22">
                  <c:v>50691653.43</c:v>
                </c:pt>
                <c:pt idx="23">
                  <c:v>4906911.1100000003</c:v>
                </c:pt>
                <c:pt idx="24">
                  <c:v>42709954</c:v>
                </c:pt>
                <c:pt idx="25">
                  <c:v>50244065.630000003</c:v>
                </c:pt>
                <c:pt idx="26">
                  <c:v>38388094.710000001</c:v>
                </c:pt>
              </c:numCache>
            </c:numRef>
          </c:yVal>
          <c:smooth val="0"/>
          <c:extLst xmlns:c16r2="http://schemas.microsoft.com/office/drawing/2015/06/chart">
            <c:ext xmlns:c16="http://schemas.microsoft.com/office/drawing/2014/chart" uri="{C3380CC4-5D6E-409C-BE32-E72D297353CC}">
              <c16:uniqueId val="{00000001-B429-4CE5-9D08-6B3E08914C35}"/>
            </c:ext>
          </c:extLst>
        </c:ser>
        <c:ser>
          <c:idx val="2"/>
          <c:order val="2"/>
          <c:tx>
            <c:strRef>
              <c:f>Sheet2!$D$1</c:f>
              <c:strCache>
                <c:ptCount val="1"/>
                <c:pt idx="0">
                  <c:v>EMAS Net Contribution </c:v>
                </c:pt>
              </c:strCache>
            </c:strRef>
          </c:tx>
          <c:spPr>
            <a:ln w="28575">
              <a:noFill/>
            </a:ln>
          </c:spPr>
          <c:xVal>
            <c:strRef>
              <c:f>Sheet2!$A$2:$A$28</c:f>
              <c:strCache>
                <c:ptCount val="27"/>
                <c:pt idx="0">
                  <c:v>EE</c:v>
                </c:pt>
                <c:pt idx="1">
                  <c:v>LV</c:v>
                </c:pt>
                <c:pt idx="2">
                  <c:v>SI</c:v>
                </c:pt>
                <c:pt idx="3">
                  <c:v>HR</c:v>
                </c:pt>
                <c:pt idx="4">
                  <c:v>SK</c:v>
                </c:pt>
                <c:pt idx="5">
                  <c:v>LT</c:v>
                </c:pt>
                <c:pt idx="6">
                  <c:v>PT</c:v>
                </c:pt>
                <c:pt idx="7">
                  <c:v>CZ</c:v>
                </c:pt>
                <c:pt idx="8">
                  <c:v>IE</c:v>
                </c:pt>
                <c:pt idx="9">
                  <c:v>RO</c:v>
                </c:pt>
                <c:pt idx="10">
                  <c:v>CY</c:v>
                </c:pt>
                <c:pt idx="11">
                  <c:v>LU</c:v>
                </c:pt>
                <c:pt idx="12">
                  <c:v>MT</c:v>
                </c:pt>
                <c:pt idx="13">
                  <c:v>ES</c:v>
                </c:pt>
                <c:pt idx="14">
                  <c:v>BG</c:v>
                </c:pt>
                <c:pt idx="15">
                  <c:v>FI</c:v>
                </c:pt>
                <c:pt idx="16">
                  <c:v>EL</c:v>
                </c:pt>
                <c:pt idx="17">
                  <c:v>PL</c:v>
                </c:pt>
                <c:pt idx="18">
                  <c:v>NL</c:v>
                </c:pt>
                <c:pt idx="19">
                  <c:v>BE</c:v>
                </c:pt>
                <c:pt idx="20">
                  <c:v>UK</c:v>
                </c:pt>
                <c:pt idx="21">
                  <c:v>AT</c:v>
                </c:pt>
                <c:pt idx="22">
                  <c:v>IT</c:v>
                </c:pt>
                <c:pt idx="23">
                  <c:v>HU</c:v>
                </c:pt>
                <c:pt idx="24">
                  <c:v>FR</c:v>
                </c:pt>
                <c:pt idx="25">
                  <c:v>SE</c:v>
                </c:pt>
                <c:pt idx="26">
                  <c:v>DE</c:v>
                </c:pt>
              </c:strCache>
            </c:strRef>
          </c:xVal>
          <c:yVal>
            <c:numRef>
              <c:f>Sheet2!$D$2:$D$28</c:f>
              <c:numCache>
                <c:formatCode>General</c:formatCode>
                <c:ptCount val="27"/>
                <c:pt idx="10" formatCode="#,##0.00">
                  <c:v>2542113.13</c:v>
                </c:pt>
                <c:pt idx="12" formatCode="#,##0.00">
                  <c:v>4647987.74</c:v>
                </c:pt>
                <c:pt idx="14" formatCode="#,##0.00">
                  <c:v>4484668.4400000004</c:v>
                </c:pt>
                <c:pt idx="16" formatCode="#,##0.00">
                  <c:v>8521521.9299999997</c:v>
                </c:pt>
                <c:pt idx="18" formatCode="#,##0.00">
                  <c:v>1120000</c:v>
                </c:pt>
                <c:pt idx="19" formatCode="#,##0.00">
                  <c:v>4346450.8899999997</c:v>
                </c:pt>
                <c:pt idx="22" formatCode="#,##0.00">
                  <c:v>26487566.390000001</c:v>
                </c:pt>
                <c:pt idx="23" formatCode="#,##0.00">
                  <c:v>1122955.98</c:v>
                </c:pt>
                <c:pt idx="24" formatCode="#,##0.00">
                  <c:v>1564499.57</c:v>
                </c:pt>
                <c:pt idx="26" formatCode="#,##0.00">
                  <c:v>3810962.21</c:v>
                </c:pt>
              </c:numCache>
            </c:numRef>
          </c:yVal>
          <c:smooth val="0"/>
          <c:extLst xmlns:c16r2="http://schemas.microsoft.com/office/drawing/2015/06/chart">
            <c:ext xmlns:c16="http://schemas.microsoft.com/office/drawing/2014/chart" uri="{C3380CC4-5D6E-409C-BE32-E72D297353CC}">
              <c16:uniqueId val="{00000002-5C57-4454-A10C-C1198596E24A}"/>
            </c:ext>
          </c:extLst>
        </c:ser>
        <c:dLbls>
          <c:showLegendKey val="0"/>
          <c:showVal val="0"/>
          <c:showCatName val="0"/>
          <c:showSerName val="0"/>
          <c:showPercent val="0"/>
          <c:showBubbleSize val="0"/>
        </c:dLbls>
        <c:axId val="151508864"/>
        <c:axId val="125211008"/>
      </c:scatterChart>
      <c:catAx>
        <c:axId val="12236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418304"/>
        <c:crosses val="autoZero"/>
        <c:auto val="1"/>
        <c:lblAlgn val="ctr"/>
        <c:lblOffset val="100"/>
        <c:noMultiLvlLbl val="0"/>
      </c:catAx>
      <c:valAx>
        <c:axId val="12241830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it-IT" b="1"/>
                  <a:t>Number of</a:t>
                </a:r>
                <a:r>
                  <a:rPr lang="it-IT" b="1" baseline="0"/>
                  <a:t> Asylum applicants (period 2011-2013)</a:t>
                </a:r>
                <a:endParaRPr lang="it-IT" b="1"/>
              </a:p>
            </c:rich>
          </c:tx>
          <c:layout>
            <c:manualLayout>
              <c:xMode val="edge"/>
              <c:yMode val="edge"/>
              <c:x val="7.1832585436833454E-3"/>
              <c:y val="0.18905991576254777"/>
            </c:manualLayout>
          </c:layout>
          <c:overlay val="0"/>
          <c:spPr>
            <a:noFill/>
            <a:ln>
              <a:noFill/>
            </a:ln>
            <a:effectLst/>
          </c:sp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367360"/>
        <c:crosses val="autoZero"/>
        <c:crossBetween val="between"/>
        <c:dispUnits>
          <c:custUnit val="1"/>
        </c:dispUnits>
      </c:valAx>
      <c:valAx>
        <c:axId val="12521100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b="1"/>
                  <a:t>Programmed EU Contribution</a:t>
                </a:r>
                <a:r>
                  <a:rPr lang="it-IT" b="1" baseline="0"/>
                  <a:t> per MSs (millions €)</a:t>
                </a:r>
                <a:endParaRPr lang="it-IT" b="1"/>
              </a:p>
            </c:rich>
          </c:tx>
          <c:overlay val="0"/>
          <c:spPr>
            <a:noFill/>
            <a:ln>
              <a:noFill/>
            </a:ln>
            <a:effectLst/>
          </c:sp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508864"/>
        <c:crosses val="max"/>
        <c:crossBetween val="midCat"/>
        <c:dispUnits>
          <c:custUnit val="10000000"/>
        </c:dispUnits>
      </c:valAx>
      <c:valAx>
        <c:axId val="151508864"/>
        <c:scaling>
          <c:orientation val="minMax"/>
        </c:scaling>
        <c:delete val="1"/>
        <c:axPos val="b"/>
        <c:numFmt formatCode="General" sourceLinked="1"/>
        <c:majorTickMark val="out"/>
        <c:minorTickMark val="none"/>
        <c:tickLblPos val="nextTo"/>
        <c:crossAx val="12521100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F7E64-5C76-4313-9CC8-17279399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18218</Words>
  <Characters>101319</Characters>
  <Application>Microsoft Office Word</Application>
  <DocSecurity>4</DocSecurity>
  <Lines>1729</Lines>
  <Paragraphs>526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2018-06-07T14:43:00Z</dcterms:created>
  <dcterms:modified xsi:type="dcterms:W3CDTF">2018-06-07T14:43:00Z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