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42" w:rsidRDefault="006F6707" w:rsidP="006F670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C911A1-033F-4FB5-8282-5956B8F56830" style="width:450.75pt;height:375pt">
            <v:imagedata r:id="rId9" o:title=""/>
          </v:shape>
        </w:pict>
      </w:r>
    </w:p>
    <w:bookmarkEnd w:id="0"/>
    <w:p w:rsidR="00C03D42" w:rsidRDefault="00C03D42">
      <w:pPr>
        <w:rPr>
          <w:noProof/>
        </w:rPr>
        <w:sectPr w:rsidR="00C03D42" w:rsidSect="006F670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03D42" w:rsidRDefault="006F6707">
      <w:pPr>
        <w:autoSpaceDE w:val="0"/>
        <w:autoSpaceDN w:val="0"/>
        <w:adjustRightInd w:val="0"/>
        <w:spacing w:after="0"/>
        <w:rPr>
          <w:rFonts w:ascii="Times New Roman" w:hAnsi="Times New Roman" w:cs="Times New Roman"/>
          <w:b/>
          <w:noProof/>
          <w:sz w:val="28"/>
          <w:szCs w:val="28"/>
        </w:rPr>
      </w:pPr>
      <w:bookmarkStart w:id="1" w:name="_GoBack"/>
      <w:bookmarkEnd w:id="1"/>
      <w:r>
        <w:rPr>
          <w:rFonts w:ascii="Times New Roman" w:hAnsi="Times New Roman" w:cs="Times New Roman"/>
          <w:b/>
          <w:noProof/>
          <w:sz w:val="28"/>
          <w:szCs w:val="28"/>
        </w:rPr>
        <w:lastRenderedPageBreak/>
        <w:t>1</w:t>
      </w:r>
      <w:r>
        <w:rPr>
          <w:rFonts w:ascii="Times New Roman" w:hAnsi="Times New Roman" w:cs="Times New Roman"/>
          <w:b/>
          <w:noProof/>
          <w:sz w:val="28"/>
          <w:szCs w:val="28"/>
        </w:rPr>
        <w:tab/>
        <w:t>INTRODUCTION</w:t>
      </w:r>
    </w:p>
    <w:p w:rsidR="00C03D42" w:rsidRDefault="00C03D42">
      <w:pPr>
        <w:autoSpaceDE w:val="0"/>
        <w:autoSpaceDN w:val="0"/>
        <w:adjustRightInd w:val="0"/>
        <w:spacing w:after="0"/>
        <w:rPr>
          <w:rFonts w:ascii="Times New Roman" w:hAnsi="Times New Roman" w:cs="Times New Roman"/>
          <w:b/>
          <w:noProof/>
          <w:sz w:val="24"/>
          <w:szCs w:val="24"/>
        </w:rPr>
      </w:pPr>
    </w:p>
    <w:p w:rsidR="00C03D42" w:rsidRDefault="006F670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movements of persons into, out of and within each EU State vary, our societies share similar migration opportunities and </w:t>
      </w:r>
      <w:r>
        <w:rPr>
          <w:rFonts w:ascii="Times New Roman" w:hAnsi="Times New Roman" w:cs="Times New Roman"/>
          <w:noProof/>
          <w:sz w:val="24"/>
          <w:szCs w:val="24"/>
        </w:rPr>
        <w:t>challenges. Adequate, flexible and coherent financial resources are essential for strengthening the area of freedom, security and justice and for developing the common Union policy on asylum and immigration based on solidarity between EU States and towards</w:t>
      </w:r>
      <w:r>
        <w:rPr>
          <w:rFonts w:ascii="Times New Roman" w:hAnsi="Times New Roman" w:cs="Times New Roman"/>
          <w:noProof/>
          <w:sz w:val="24"/>
          <w:szCs w:val="24"/>
        </w:rPr>
        <w:t xml:space="preserve"> non-EU countries.</w:t>
      </w:r>
    </w:p>
    <w:p w:rsidR="00C03D42" w:rsidRDefault="00C03D42">
      <w:pPr>
        <w:autoSpaceDE w:val="0"/>
        <w:autoSpaceDN w:val="0"/>
        <w:adjustRightInd w:val="0"/>
        <w:spacing w:after="0"/>
        <w:jc w:val="both"/>
        <w:rPr>
          <w:rFonts w:ascii="Times New Roman" w:hAnsi="Times New Roman" w:cs="Times New Roman"/>
          <w:noProof/>
          <w:sz w:val="24"/>
          <w:szCs w:val="24"/>
        </w:rPr>
      </w:pPr>
    </w:p>
    <w:p w:rsidR="00C03D42" w:rsidRDefault="006F670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For the period 2007-13, almost EUR 4 billion was allocated for the management of the Union's external borders and for the implementation of common asylum and immigration policies through the General Programme “Solidarity and Management </w:t>
      </w:r>
      <w:r>
        <w:rPr>
          <w:rFonts w:ascii="Times New Roman" w:hAnsi="Times New Roman" w:cs="Times New Roman"/>
          <w:noProof/>
          <w:sz w:val="24"/>
          <w:szCs w:val="24"/>
        </w:rPr>
        <w:t>of Migration Flows” (SOLID)</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which consisted of four instruments (the 'SOLID Funds'): the European Refugee Fund (ERF)</w:t>
      </w:r>
      <w:r>
        <w:rPr>
          <w:rFonts w:ascii="Times New Roman" w:hAnsi="Times New Roman" w:cs="Times New Roman"/>
          <w:noProof/>
          <w:sz w:val="24"/>
          <w:vertAlign w:val="superscript"/>
        </w:rPr>
        <w:footnoteReference w:id="3"/>
      </w:r>
      <w:r>
        <w:rPr>
          <w:rFonts w:ascii="Times New Roman" w:hAnsi="Times New Roman" w:cs="Times New Roman"/>
          <w:noProof/>
          <w:sz w:val="24"/>
          <w:szCs w:val="24"/>
        </w:rPr>
        <w:t>, the External Borders Fund (EBF)</w:t>
      </w:r>
      <w:r>
        <w:rPr>
          <w:rFonts w:ascii="Times New Roman" w:hAnsi="Times New Roman" w:cs="Times New Roman"/>
          <w:noProof/>
          <w:sz w:val="24"/>
          <w:vertAlign w:val="superscript"/>
        </w:rPr>
        <w:footnoteReference w:id="4"/>
      </w:r>
      <w:r>
        <w:rPr>
          <w:rFonts w:ascii="Times New Roman" w:hAnsi="Times New Roman" w:cs="Times New Roman"/>
          <w:noProof/>
          <w:sz w:val="24"/>
          <w:szCs w:val="24"/>
        </w:rPr>
        <w:t>, the European Fund for the Integration of third-country nationals (EIF)</w:t>
      </w:r>
      <w:r>
        <w:rPr>
          <w:rFonts w:ascii="Times New Roman" w:hAnsi="Times New Roman" w:cs="Times New Roman"/>
          <w:noProof/>
          <w:sz w:val="24"/>
          <w:vertAlign w:val="superscript"/>
        </w:rPr>
        <w:footnoteReference w:id="5"/>
      </w:r>
      <w:r>
        <w:rPr>
          <w:rFonts w:ascii="Times New Roman" w:hAnsi="Times New Roman" w:cs="Times New Roman"/>
          <w:noProof/>
          <w:sz w:val="24"/>
          <w:szCs w:val="24"/>
        </w:rPr>
        <w:t xml:space="preserve"> and the European Return Fund </w:t>
      </w:r>
      <w:r>
        <w:rPr>
          <w:rFonts w:ascii="Times New Roman" w:hAnsi="Times New Roman" w:cs="Times New Roman"/>
          <w:noProof/>
          <w:sz w:val="24"/>
          <w:szCs w:val="24"/>
        </w:rPr>
        <w:t>(RF)</w:t>
      </w:r>
      <w:r>
        <w:rPr>
          <w:rFonts w:ascii="Times New Roman" w:hAnsi="Times New Roman" w:cs="Times New Roman"/>
          <w:noProof/>
          <w:sz w:val="24"/>
          <w:vertAlign w:val="superscript"/>
        </w:rPr>
        <w:footnoteReference w:id="6"/>
      </w:r>
      <w:r>
        <w:rPr>
          <w:rFonts w:ascii="Times New Roman" w:hAnsi="Times New Roman" w:cs="Times New Roman"/>
          <w:noProof/>
          <w:sz w:val="24"/>
          <w:szCs w:val="24"/>
        </w:rPr>
        <w:t>.</w:t>
      </w:r>
    </w:p>
    <w:p w:rsidR="00C03D42" w:rsidRDefault="00C03D42">
      <w:pPr>
        <w:autoSpaceDE w:val="0"/>
        <w:autoSpaceDN w:val="0"/>
        <w:adjustRightInd w:val="0"/>
        <w:spacing w:after="0"/>
        <w:jc w:val="both"/>
        <w:rPr>
          <w:rFonts w:ascii="Times New Roman" w:hAnsi="Times New Roman" w:cs="Times New Roman"/>
          <w:noProof/>
          <w:sz w:val="24"/>
          <w:szCs w:val="24"/>
        </w:rPr>
      </w:pPr>
    </w:p>
    <w:p w:rsidR="00C03D42" w:rsidRDefault="006F670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present report builds upon four ex post evaluation studies. It focuses on the period 2011-13, and presents findings from the ex post evaluations for the period 2007-10</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In line with the Commission's 'Better Regulation Guidelines', the evaluati</w:t>
      </w:r>
      <w:r>
        <w:rPr>
          <w:rFonts w:ascii="Times New Roman" w:hAnsi="Times New Roman" w:cs="Times New Roman"/>
          <w:noProof/>
          <w:sz w:val="24"/>
          <w:szCs w:val="24"/>
        </w:rPr>
        <w:t>ons assessed the Funds in light of their relevance (whether their objectives matched with societal needs), effectiveness (to what extent objectives have been achieved), efficiency (to what extent costs were proportionate to the achieved benefits), sustaina</w:t>
      </w:r>
      <w:r>
        <w:rPr>
          <w:rFonts w:ascii="Times New Roman" w:hAnsi="Times New Roman" w:cs="Times New Roman"/>
          <w:noProof/>
          <w:sz w:val="24"/>
          <w:szCs w:val="24"/>
        </w:rPr>
        <w:t>bility of effects after the intervention ended, coherence with and complementarity to other EU financial instruments or national resources of the Member States and the added value of intervening at EU level.</w:t>
      </w:r>
    </w:p>
    <w:p w:rsidR="00C03D42" w:rsidRDefault="00C03D42">
      <w:pPr>
        <w:autoSpaceDE w:val="0"/>
        <w:autoSpaceDN w:val="0"/>
        <w:adjustRightInd w:val="0"/>
        <w:spacing w:after="0"/>
        <w:jc w:val="both"/>
        <w:rPr>
          <w:rFonts w:ascii="Times New Roman" w:hAnsi="Times New Roman" w:cs="Times New Roman"/>
          <w:noProof/>
          <w:sz w:val="24"/>
          <w:szCs w:val="24"/>
        </w:rPr>
      </w:pPr>
    </w:p>
    <w:p w:rsidR="00C03D42" w:rsidRDefault="006F670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Some of the findings have already been taken </w:t>
      </w:r>
      <w:r>
        <w:rPr>
          <w:rFonts w:ascii="Times New Roman" w:hAnsi="Times New Roman" w:cs="Times New Roman"/>
          <w:noProof/>
          <w:sz w:val="24"/>
          <w:szCs w:val="24"/>
        </w:rPr>
        <w:t>into consideration under the current Funds: the Asylum, Migration and Integration Fund (AMIF)</w:t>
      </w:r>
      <w:r>
        <w:rPr>
          <w:rStyle w:val="FootnoteReference"/>
          <w:noProof/>
          <w:szCs w:val="24"/>
        </w:rPr>
        <w:t xml:space="preserve"> </w:t>
      </w:r>
      <w:r>
        <w:rPr>
          <w:rStyle w:val="FootnoteReference"/>
          <w:noProof/>
          <w:szCs w:val="24"/>
        </w:rPr>
        <w:footnoteReference w:id="8"/>
      </w:r>
      <w:r>
        <w:rPr>
          <w:noProof/>
          <w:szCs w:val="24"/>
        </w:rPr>
        <w:t xml:space="preserve"> </w:t>
      </w:r>
      <w:r>
        <w:rPr>
          <w:rFonts w:ascii="Times New Roman" w:hAnsi="Times New Roman" w:cs="Times New Roman"/>
          <w:noProof/>
          <w:sz w:val="24"/>
          <w:szCs w:val="24"/>
        </w:rPr>
        <w:t xml:space="preserve"> which succeeded the ERF, EIF and RF, </w:t>
      </w:r>
      <w:r>
        <w:rPr>
          <w:rFonts w:ascii="Times New Roman" w:hAnsi="Times New Roman" w:cs="Times New Roman"/>
          <w:noProof/>
          <w:sz w:val="24"/>
          <w:szCs w:val="24"/>
        </w:rPr>
        <w:lastRenderedPageBreak/>
        <w:t>and the Internal Security Fund (ISF)</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which succeeded the EBF. The findings of these evaluations complement the 2018 inter</w:t>
      </w:r>
      <w:r>
        <w:rPr>
          <w:rFonts w:ascii="Times New Roman" w:hAnsi="Times New Roman" w:cs="Times New Roman"/>
          <w:noProof/>
          <w:sz w:val="24"/>
          <w:szCs w:val="24"/>
        </w:rPr>
        <w:t>im evaluations of the AMIF and the ISF. They contribute to the shaping of the future policies in the area of migration and security, especially in the framework of the Multiannual Financial Framework post 2020.</w:t>
      </w:r>
    </w:p>
    <w:p w:rsidR="00C03D42" w:rsidRDefault="00C03D42">
      <w:pPr>
        <w:autoSpaceDE w:val="0"/>
        <w:autoSpaceDN w:val="0"/>
        <w:adjustRightInd w:val="0"/>
        <w:spacing w:after="0"/>
        <w:rPr>
          <w:rFonts w:ascii="Times New Roman" w:hAnsi="Times New Roman" w:cs="Times New Roman"/>
          <w:b/>
          <w:noProof/>
          <w:sz w:val="24"/>
          <w:szCs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THE 'SOLID FUNDS'</w:t>
      </w:r>
    </w:p>
    <w:p w:rsidR="00C03D42" w:rsidRDefault="00C03D42">
      <w:pPr>
        <w:autoSpaceDE w:val="0"/>
        <w:autoSpaceDN w:val="0"/>
        <w:adjustRightInd w:val="0"/>
        <w:spacing w:after="0"/>
        <w:rPr>
          <w:rFonts w:ascii="Times New Roman" w:hAnsi="Times New Roman" w:cs="Times New Roman"/>
          <w:b/>
          <w:noProof/>
          <w:sz w:val="24"/>
          <w:szCs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Main elements</w:t>
      </w:r>
    </w:p>
    <w:p w:rsidR="00C03D42" w:rsidRDefault="006F6707">
      <w:pPr>
        <w:autoSpaceDE w:val="0"/>
        <w:autoSpaceDN w:val="0"/>
        <w:adjustRightInd w:val="0"/>
        <w:spacing w:after="0"/>
        <w:jc w:val="both"/>
        <w:rPr>
          <w:rFonts w:ascii="Times New Roman" w:hAnsi="Times New Roman" w:cs="Times New Roman"/>
          <w:noProof/>
          <w:color w:val="92CDDC" w:themeColor="accent5" w:themeTint="99"/>
          <w:sz w:val="24"/>
          <w:szCs w:val="24"/>
        </w:rPr>
      </w:pPr>
      <w:r>
        <w:rPr>
          <w:rFonts w:ascii="Times New Roman" w:hAnsi="Times New Roman" w:cs="Times New Roman"/>
          <w:noProof/>
          <w:sz w:val="24"/>
          <w:szCs w:val="24"/>
        </w:rPr>
        <w:t xml:space="preserve">The aim of the SOLID General Programme was to provide financial support to Member States to help them better manage the Union's external borders, and better implement the common policies on asylum and migration: </w:t>
      </w:r>
    </w:p>
    <w:p w:rsidR="00C03D42" w:rsidRDefault="00C03D42">
      <w:pPr>
        <w:autoSpaceDE w:val="0"/>
        <w:autoSpaceDN w:val="0"/>
        <w:adjustRightInd w:val="0"/>
        <w:spacing w:after="0"/>
        <w:rPr>
          <w:rFonts w:ascii="Times New Roman" w:hAnsi="Times New Roman" w:cs="Times New Roman"/>
          <w:noProof/>
          <w:color w:val="0000FF"/>
          <w:sz w:val="24"/>
          <w:szCs w:val="24"/>
        </w:rPr>
      </w:pPr>
    </w:p>
    <w:p w:rsidR="00C03D42" w:rsidRDefault="006F6707">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EBF</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was established with the aim of p</w:t>
      </w:r>
      <w:r>
        <w:rPr>
          <w:rFonts w:ascii="Times New Roman" w:hAnsi="Times New Roman" w:cs="Times New Roman"/>
          <w:noProof/>
          <w:sz w:val="24"/>
          <w:szCs w:val="24"/>
        </w:rPr>
        <w:t>rotecting and managing the EU external borders, with a focus on efficient organisation of controls and management of the flows of persons, uniform application of EU legislation by border guards and improvement of consular services.</w:t>
      </w:r>
    </w:p>
    <w:p w:rsidR="00C03D42" w:rsidRDefault="006F6707">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EIF</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aimed to assist</w:t>
      </w:r>
      <w:r>
        <w:rPr>
          <w:rFonts w:ascii="Times New Roman" w:hAnsi="Times New Roman" w:cs="Times New Roman"/>
          <w:noProof/>
          <w:sz w:val="24"/>
          <w:szCs w:val="24"/>
        </w:rPr>
        <w:t xml:space="preserve"> Member States in enabling third-country nationals of different backgrounds to fulfil the conditions of residence and to facilitate their integration into European societies, with an emphasis on those who had recently arrived in the country. </w:t>
      </w:r>
    </w:p>
    <w:p w:rsidR="00C03D42" w:rsidRDefault="006F6707">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ERF</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supp</w:t>
      </w:r>
      <w:r>
        <w:rPr>
          <w:rFonts w:ascii="Times New Roman" w:hAnsi="Times New Roman" w:cs="Times New Roman"/>
          <w:noProof/>
          <w:sz w:val="24"/>
          <w:szCs w:val="24"/>
        </w:rPr>
        <w:t xml:space="preserve">orted Member States in receiving asylum applicants and beneficiaries of international protection taking into account the EU legislation relating to the </w:t>
      </w:r>
      <w:r>
        <w:rPr>
          <w:rFonts w:ascii="Times New Roman" w:hAnsi="Times New Roman" w:cs="Times New Roman"/>
          <w:noProof/>
          <w:sz w:val="24"/>
          <w:szCs w:val="24"/>
          <w:lang w:val="en"/>
        </w:rPr>
        <w:t>Common European Asylum System</w:t>
      </w:r>
      <w:r>
        <w:rPr>
          <w:rFonts w:ascii="Times New Roman" w:hAnsi="Times New Roman" w:cs="Times New Roman"/>
          <w:noProof/>
          <w:sz w:val="24"/>
          <w:szCs w:val="24"/>
        </w:rPr>
        <w:t xml:space="preserve"> (CEAS). It notably supported actions related to the reception of asylum se</w:t>
      </w:r>
      <w:r>
        <w:rPr>
          <w:rFonts w:ascii="Times New Roman" w:hAnsi="Times New Roman" w:cs="Times New Roman"/>
          <w:noProof/>
          <w:sz w:val="24"/>
          <w:szCs w:val="24"/>
        </w:rPr>
        <w:t>ekers and processing of their asylum applications, the integration of beneficiaries of international protection and, to a limited extent, resettlement or transfer</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of beneficiaries of international protection between Member States. When the ERF priorities </w:t>
      </w:r>
      <w:r>
        <w:rPr>
          <w:rFonts w:ascii="Times New Roman" w:hAnsi="Times New Roman" w:cs="Times New Roman"/>
          <w:noProof/>
          <w:sz w:val="24"/>
          <w:szCs w:val="24"/>
        </w:rPr>
        <w:t xml:space="preserve">were set, the enhancement of responsibility sharing between Member States and third countries remained optional. </w:t>
      </w:r>
    </w:p>
    <w:p w:rsidR="00C03D42" w:rsidRDefault="006F6707">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RF</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aimed to develop an integrated return management and enhanced cooperation between Member States, providing assistance with the impleme</w:t>
      </w:r>
      <w:r>
        <w:rPr>
          <w:rFonts w:ascii="Times New Roman" w:hAnsi="Times New Roman" w:cs="Times New Roman"/>
          <w:noProof/>
          <w:sz w:val="24"/>
          <w:szCs w:val="24"/>
        </w:rPr>
        <w:t xml:space="preserve">ntation of return operations to countries of origin and making information available to returnees on relevant procedures. It also sought to encourage the use of voluntary return over forced return. </w:t>
      </w:r>
    </w:p>
    <w:p w:rsidR="00C03D42" w:rsidRDefault="00C03D42">
      <w:pPr>
        <w:pStyle w:val="BodyText"/>
        <w:spacing w:after="0" w:line="276" w:lineRule="auto"/>
        <w:rPr>
          <w:noProof/>
          <w:color w:val="31849B" w:themeColor="accent5" w:themeShade="BF"/>
          <w:szCs w:val="24"/>
        </w:rPr>
      </w:pPr>
    </w:p>
    <w:p w:rsidR="00C03D42" w:rsidRDefault="006F6707">
      <w:pPr>
        <w:pStyle w:val="BodyText"/>
        <w:spacing w:after="0" w:line="276" w:lineRule="auto"/>
        <w:rPr>
          <w:noProof/>
          <w:szCs w:val="24"/>
        </w:rPr>
      </w:pPr>
      <w:r>
        <w:rPr>
          <w:noProof/>
          <w:szCs w:val="24"/>
        </w:rPr>
        <w:lastRenderedPageBreak/>
        <w:t xml:space="preserve">The financial allocation of EUR 2.43 billion allocated </w:t>
      </w:r>
      <w:r>
        <w:rPr>
          <w:noProof/>
          <w:szCs w:val="24"/>
        </w:rPr>
        <w:t>to the SOLID Funds over the period under review</w:t>
      </w:r>
      <w:r>
        <w:rPr>
          <w:rStyle w:val="FootnoteReference"/>
          <w:noProof/>
          <w:szCs w:val="24"/>
        </w:rPr>
        <w:footnoteReference w:id="15"/>
      </w:r>
      <w:r>
        <w:rPr>
          <w:noProof/>
          <w:szCs w:val="24"/>
        </w:rPr>
        <w:t xml:space="preserve"> was distributed between the four Funds as follows: EUR 1 097 million for EBF, EUR 486 million for EIF, EUR 386 million for ERF and EUR 463 million for RF. The funds allocated were implemented mainly by the M</w:t>
      </w:r>
      <w:r>
        <w:rPr>
          <w:noProof/>
          <w:szCs w:val="24"/>
        </w:rPr>
        <w:t xml:space="preserve">ember States via shared management (94%), where they hold the primary responsibility for the implementation, management and control of the interventions, presenting annual programmes to the Commission based on a previously agreed multiannual strategy. The </w:t>
      </w:r>
      <w:r>
        <w:rPr>
          <w:noProof/>
          <w:szCs w:val="24"/>
        </w:rPr>
        <w:t>average absorption rate under the 2011-13 annual programmes was 87% for EBF, 81% for ERF, 81% for RF and 77% for EIF. Only 6% was implemented in direct management via Community Actions, including emergency action grants under EBF and RF. For ERF, emergency</w:t>
      </w:r>
      <w:r>
        <w:rPr>
          <w:noProof/>
          <w:szCs w:val="24"/>
        </w:rPr>
        <w:t xml:space="preserve"> actions were implemented via shared management while under EIF no possibility was envisaged to provide emergency assistance.</w:t>
      </w:r>
    </w:p>
    <w:p w:rsidR="00C03D42" w:rsidRDefault="00C03D42">
      <w:pPr>
        <w:pStyle w:val="BodyText"/>
        <w:spacing w:after="0" w:line="276" w:lineRule="auto"/>
        <w:rPr>
          <w:noProof/>
          <w:color w:val="31849B" w:themeColor="accent5" w:themeShade="BF"/>
          <w:szCs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Context</w:t>
      </w:r>
    </w:p>
    <w:p w:rsidR="00C03D42" w:rsidRDefault="006F670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geo-political context changed significantly between 2005, when the SOLID General Programme was designed, and 2011-13,</w:t>
      </w:r>
      <w:r>
        <w:rPr>
          <w:rFonts w:ascii="Times New Roman" w:hAnsi="Times New Roman" w:cs="Times New Roman"/>
          <w:noProof/>
          <w:sz w:val="24"/>
          <w:szCs w:val="24"/>
        </w:rPr>
        <w:t xml:space="preserve"> the period under review. The consequences of the 2011 uprisings in North Africa, the 'Arab Spring', the protracted crisis in Syria and the collapse of the Libyan state led to a sudden and unexpected increase in migratory pressure on the EU's southern and </w:t>
      </w:r>
      <w:r>
        <w:rPr>
          <w:rFonts w:ascii="Times New Roman" w:hAnsi="Times New Roman" w:cs="Times New Roman"/>
          <w:noProof/>
          <w:sz w:val="24"/>
          <w:szCs w:val="24"/>
        </w:rPr>
        <w:t>south-eastern external borders. This migratory pressure significantly affected the context in which the Funds were implemented. The Impact Assessment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annexed to the Communication establishing the SOLID Programme refers to 203 298 first applications for as</w:t>
      </w:r>
      <w:r>
        <w:rPr>
          <w:rFonts w:ascii="Times New Roman" w:hAnsi="Times New Roman" w:cs="Times New Roman"/>
          <w:noProof/>
          <w:sz w:val="24"/>
          <w:szCs w:val="24"/>
        </w:rPr>
        <w:t>ylum (in 2002) while this number was 259 400 in 2010 (the year before the period under review), 335 290 in 2012 and 1 322 825 in 2015</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A similarly sharp increase was observed for the number of third-country nationals found to be illegally present in Membe</w:t>
      </w:r>
      <w:r>
        <w:rPr>
          <w:rFonts w:ascii="Times New Roman" w:hAnsi="Times New Roman" w:cs="Times New Roman"/>
          <w:noProof/>
          <w:sz w:val="24"/>
          <w:szCs w:val="24"/>
        </w:rPr>
        <w:t>r States (500 000 in the Impact Assessment and 2 154 675 in 2015</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rsidR="00C03D42" w:rsidRDefault="00C03D42">
      <w:pPr>
        <w:pStyle w:val="BodyText"/>
        <w:spacing w:after="0" w:line="276" w:lineRule="auto"/>
        <w:rPr>
          <w:noProof/>
          <w:szCs w:val="24"/>
        </w:rPr>
      </w:pPr>
    </w:p>
    <w:p w:rsidR="00C03D42" w:rsidRDefault="006F6707">
      <w:pPr>
        <w:autoSpaceDE w:val="0"/>
        <w:autoSpaceDN w:val="0"/>
        <w:adjustRightInd w:val="0"/>
        <w:spacing w:after="0"/>
        <w:rPr>
          <w:rFonts w:ascii="Times New Roman" w:hAnsi="Times New Roman" w:cs="Times New Roman"/>
          <w:b/>
          <w:noProof/>
          <w:sz w:val="28"/>
          <w:szCs w:val="28"/>
        </w:rPr>
      </w:pPr>
      <w:r>
        <w:rPr>
          <w:rFonts w:ascii="Times New Roman" w:hAnsi="Times New Roman" w:cs="Times New Roman"/>
          <w:b/>
          <w:noProof/>
          <w:sz w:val="28"/>
          <w:szCs w:val="28"/>
        </w:rPr>
        <w:t>2</w:t>
      </w:r>
      <w:r>
        <w:rPr>
          <w:rFonts w:ascii="Times New Roman" w:hAnsi="Times New Roman" w:cs="Times New Roman"/>
          <w:b/>
          <w:noProof/>
          <w:sz w:val="28"/>
          <w:szCs w:val="28"/>
        </w:rPr>
        <w:tab/>
      </w:r>
      <w:r>
        <w:rPr>
          <w:rFonts w:ascii="Times New Roman" w:hAnsi="Times New Roman" w:cs="Times New Roman"/>
          <w:b/>
          <w:i/>
          <w:noProof/>
          <w:sz w:val="28"/>
          <w:szCs w:val="28"/>
        </w:rPr>
        <w:t>EX POST</w:t>
      </w:r>
      <w:r>
        <w:rPr>
          <w:rFonts w:ascii="Times New Roman" w:hAnsi="Times New Roman" w:cs="Times New Roman"/>
          <w:b/>
          <w:noProof/>
          <w:sz w:val="28"/>
          <w:szCs w:val="28"/>
        </w:rPr>
        <w:t xml:space="preserve"> EVALUATION</w:t>
      </w:r>
    </w:p>
    <w:p w:rsidR="00C03D42" w:rsidRDefault="00C03D42">
      <w:pPr>
        <w:autoSpaceDE w:val="0"/>
        <w:autoSpaceDN w:val="0"/>
        <w:adjustRightInd w:val="0"/>
        <w:spacing w:after="0"/>
        <w:rPr>
          <w:rFonts w:ascii="Times New Roman" w:hAnsi="Times New Roman" w:cs="Times New Roman"/>
          <w:noProof/>
          <w:sz w:val="24"/>
          <w:szCs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 xml:space="preserve">2.1 </w:t>
      </w:r>
      <w:r>
        <w:rPr>
          <w:rFonts w:ascii="Times New Roman" w:hAnsi="Times New Roman" w:cs="Times New Roman"/>
          <w:b/>
          <w:noProof/>
          <w:sz w:val="24"/>
          <w:szCs w:val="24"/>
        </w:rPr>
        <w:tab/>
        <w:t>METHODOLOGY AND LIMITATIONS</w:t>
      </w:r>
    </w:p>
    <w:p w:rsidR="00C03D42" w:rsidRDefault="00C03D42">
      <w:pPr>
        <w:pStyle w:val="BodyText"/>
        <w:spacing w:after="0" w:line="276" w:lineRule="auto"/>
        <w:rPr>
          <w:noProof/>
          <w:color w:val="31849B" w:themeColor="accent5" w:themeShade="BF"/>
          <w:szCs w:val="24"/>
        </w:rPr>
      </w:pPr>
    </w:p>
    <w:p w:rsidR="00C03D42" w:rsidRDefault="006F6707">
      <w:pPr>
        <w:spacing w:after="120"/>
        <w:jc w:val="both"/>
        <w:rPr>
          <w:noProof/>
          <w:szCs w:val="24"/>
        </w:rPr>
      </w:pPr>
      <w:r>
        <w:rPr>
          <w:rFonts w:ascii="Times New Roman" w:hAnsi="Times New Roman" w:cs="Times New Roman"/>
          <w:noProof/>
          <w:sz w:val="24"/>
          <w:szCs w:val="24"/>
        </w:rPr>
        <w:t xml:space="preserve">The four Decisions establishing the Funds required the Commission to submit the </w:t>
      </w:r>
      <w:r>
        <w:rPr>
          <w:rFonts w:ascii="Times New Roman" w:hAnsi="Times New Roman" w:cs="Times New Roman"/>
          <w:i/>
          <w:noProof/>
          <w:sz w:val="24"/>
          <w:szCs w:val="24"/>
        </w:rPr>
        <w:t>ex post</w:t>
      </w:r>
      <w:r>
        <w:rPr>
          <w:rFonts w:ascii="Times New Roman" w:hAnsi="Times New Roman" w:cs="Times New Roman"/>
          <w:noProof/>
          <w:sz w:val="24"/>
          <w:szCs w:val="24"/>
        </w:rPr>
        <w:t xml:space="preserve"> evaluation report for the period 2011 to 2013 by 31 December 2015. However, since the eligibility period of the Funds ran until 30 June 2015, Member States had until 31 March 2016 to report on the implementation of the last annual programme and an indepen</w:t>
      </w:r>
      <w:r>
        <w:rPr>
          <w:rFonts w:ascii="Times New Roman" w:hAnsi="Times New Roman" w:cs="Times New Roman"/>
          <w:noProof/>
          <w:sz w:val="24"/>
          <w:szCs w:val="24"/>
        </w:rPr>
        <w:t xml:space="preserve">dent </w:t>
      </w:r>
      <w:r>
        <w:rPr>
          <w:rFonts w:ascii="Times New Roman" w:hAnsi="Times New Roman" w:cs="Times New Roman"/>
          <w:i/>
          <w:noProof/>
          <w:sz w:val="24"/>
          <w:szCs w:val="24"/>
        </w:rPr>
        <w:t>ex post</w:t>
      </w:r>
      <w:r>
        <w:rPr>
          <w:rFonts w:ascii="Times New Roman" w:hAnsi="Times New Roman" w:cs="Times New Roman"/>
          <w:noProof/>
          <w:sz w:val="24"/>
          <w:szCs w:val="24"/>
        </w:rPr>
        <w:t xml:space="preserve"> evaluation had been carried out between 2016-2017, the Commission was not in a position to report earlier. </w:t>
      </w:r>
    </w:p>
    <w:p w:rsidR="00C03D42" w:rsidRDefault="006F670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lang w:eastAsia="fi-FI" w:bidi="fi-FI"/>
        </w:rPr>
        <w:t>The evaluation's detailed findings and the methodology employed are described in the Commission staff working documents accompanying th</w:t>
      </w:r>
      <w:r>
        <w:rPr>
          <w:rFonts w:ascii="Times New Roman" w:hAnsi="Times New Roman" w:cs="Times New Roman"/>
          <w:noProof/>
          <w:sz w:val="24"/>
          <w:szCs w:val="24"/>
          <w:lang w:eastAsia="fi-FI" w:bidi="fi-FI"/>
        </w:rPr>
        <w:t>is report. The preparation of the staff working documents was supported by a study carried out by an external contractor</w:t>
      </w:r>
      <w:r>
        <w:rPr>
          <w:rStyle w:val="FootnoteReference"/>
          <w:rFonts w:ascii="Times New Roman" w:hAnsi="Times New Roman" w:cs="Times New Roman"/>
          <w:noProof/>
          <w:sz w:val="24"/>
          <w:szCs w:val="24"/>
          <w:lang w:eastAsia="fi-FI" w:bidi="fi-FI"/>
        </w:rPr>
        <w:footnoteReference w:id="19"/>
      </w:r>
      <w:r>
        <w:rPr>
          <w:rFonts w:ascii="Times New Roman" w:hAnsi="Times New Roman" w:cs="Times New Roman"/>
          <w:noProof/>
          <w:sz w:val="24"/>
          <w:szCs w:val="24"/>
        </w:rPr>
        <w:t xml:space="preserve"> which combined desk research, open public consultations, on-site visits and qualitative and quantitative analysis. The four evaluation</w:t>
      </w:r>
      <w:r>
        <w:rPr>
          <w:rFonts w:ascii="Times New Roman" w:hAnsi="Times New Roman" w:cs="Times New Roman"/>
          <w:noProof/>
          <w:sz w:val="24"/>
          <w:szCs w:val="24"/>
        </w:rPr>
        <w:t>s were severely hindered by the absence of quantitative data, indicators and baselines which could be compared across Member States or across years. Each Member States independently defined its indicators for the actions implemented. This is due to the fac</w:t>
      </w:r>
      <w:r>
        <w:rPr>
          <w:rFonts w:ascii="Times New Roman" w:hAnsi="Times New Roman" w:cs="Times New Roman"/>
          <w:noProof/>
          <w:sz w:val="24"/>
          <w:szCs w:val="24"/>
        </w:rPr>
        <w:t>t that the reporting requirements in the Funds' legal bases did not foresee that Responsible Authorities (RA) should collect the data that would make an EU-wide assessment of the evaluation criteria possible</w:t>
      </w:r>
      <w:r>
        <w:rPr>
          <w:rFonts w:ascii="Times New Roman" w:hAnsi="Times New Roman" w:cs="Times New Roman"/>
          <w:noProof/>
          <w:color w:val="7030A0"/>
          <w:sz w:val="24"/>
          <w:szCs w:val="24"/>
        </w:rPr>
        <w:t xml:space="preserve">. </w:t>
      </w:r>
      <w:r>
        <w:rPr>
          <w:rFonts w:ascii="Times New Roman" w:hAnsi="Times New Roman" w:cs="Times New Roman"/>
          <w:noProof/>
          <w:sz w:val="24"/>
          <w:szCs w:val="24"/>
        </w:rPr>
        <w:t>Therefore, the assessment had to rely on more q</w:t>
      </w:r>
      <w:r>
        <w:rPr>
          <w:rFonts w:ascii="Times New Roman" w:hAnsi="Times New Roman" w:cs="Times New Roman"/>
          <w:noProof/>
          <w:sz w:val="24"/>
          <w:szCs w:val="24"/>
        </w:rPr>
        <w:t>ualitative data collected through the stakeholder consultations and the National Evaluation Reports.</w:t>
      </w:r>
    </w:p>
    <w:p w:rsidR="00C03D42" w:rsidRDefault="00C03D42">
      <w:pPr>
        <w:autoSpaceDE w:val="0"/>
        <w:autoSpaceDN w:val="0"/>
        <w:adjustRightInd w:val="0"/>
        <w:spacing w:after="0"/>
        <w:jc w:val="both"/>
        <w:rPr>
          <w:rFonts w:ascii="Times New Roman" w:hAnsi="Times New Roman" w:cs="Times New Roman"/>
          <w:noProof/>
          <w:sz w:val="24"/>
          <w:szCs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 xml:space="preserve">2.2 </w:t>
      </w:r>
      <w:r>
        <w:rPr>
          <w:rFonts w:ascii="Times New Roman" w:hAnsi="Times New Roman" w:cs="Times New Roman"/>
          <w:b/>
          <w:noProof/>
          <w:sz w:val="24"/>
          <w:szCs w:val="24"/>
        </w:rPr>
        <w:tab/>
        <w:t>KEY RESULTS</w:t>
      </w:r>
    </w:p>
    <w:p w:rsidR="00C03D42" w:rsidRDefault="00C03D42">
      <w:pPr>
        <w:autoSpaceDE w:val="0"/>
        <w:autoSpaceDN w:val="0"/>
        <w:adjustRightInd w:val="0"/>
        <w:spacing w:after="0"/>
        <w:rPr>
          <w:rFonts w:ascii="Times New Roman" w:hAnsi="Times New Roman" w:cs="Times New Roman"/>
          <w:b/>
          <w:noProof/>
          <w:sz w:val="24"/>
          <w:szCs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The External Borders Fund (EBF)</w:t>
      </w: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rPr>
        <w:t xml:space="preserve">Overall, </w:t>
      </w:r>
      <w:r>
        <w:rPr>
          <w:rFonts w:ascii="Times New Roman" w:hAnsi="Times New Roman" w:cs="Times New Roman"/>
          <w:noProof/>
          <w:sz w:val="24"/>
          <w:szCs w:val="24"/>
        </w:rPr>
        <w:t xml:space="preserve">Member States </w:t>
      </w:r>
      <w:r>
        <w:rPr>
          <w:rFonts w:ascii="Times New Roman" w:hAnsi="Times New Roman" w:cs="Times New Roman"/>
          <w:noProof/>
          <w:sz w:val="24"/>
        </w:rPr>
        <w:t>considered the EBF objectives relevant in view of their needs related to the management of the EU external borders and the processing of Schengen visas. Thanks to the design of the distribution key of annual allocations, a significant part of the funds was</w:t>
      </w:r>
      <w:r>
        <w:rPr>
          <w:rFonts w:ascii="Times New Roman" w:hAnsi="Times New Roman" w:cs="Times New Roman"/>
          <w:noProof/>
          <w:sz w:val="24"/>
        </w:rPr>
        <w:t xml:space="preserve"> allocated to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experiencing high migration pressure at the southern and south-eastern external borders and to the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with significant traffic volume of </w:t>
      </w:r>
      <w:r>
        <w:rPr>
          <w:rFonts w:ascii="Times New Roman" w:hAnsi="Times New Roman" w:cs="Times New Roman"/>
          <w:i/>
          <w:noProof/>
          <w:sz w:val="24"/>
        </w:rPr>
        <w:t>bona fide</w:t>
      </w:r>
      <w:r>
        <w:rPr>
          <w:rFonts w:ascii="Times New Roman" w:hAnsi="Times New Roman" w:cs="Times New Roman"/>
          <w:noProof/>
          <w:sz w:val="24"/>
        </w:rPr>
        <w:t xml:space="preserve"> travellers. In both 2007-10 and 2011-13, t</w:t>
      </w:r>
      <w:r>
        <w:rPr>
          <w:rFonts w:ascii="Times New Roman" w:hAnsi="Times New Roman"/>
          <w:noProof/>
          <w:sz w:val="24"/>
        </w:rPr>
        <w:t>he highest allocations of fu</w:t>
      </w:r>
      <w:r>
        <w:rPr>
          <w:rFonts w:ascii="Times New Roman" w:hAnsi="Times New Roman"/>
          <w:noProof/>
          <w:sz w:val="24"/>
        </w:rPr>
        <w:t xml:space="preserve">nding went to the same three </w:t>
      </w:r>
      <w:r>
        <w:rPr>
          <w:rFonts w:ascii="Times New Roman" w:hAnsi="Times New Roman" w:cs="Times New Roman"/>
          <w:noProof/>
          <w:sz w:val="24"/>
          <w:szCs w:val="24"/>
        </w:rPr>
        <w:t>Member States</w:t>
      </w:r>
      <w:r>
        <w:rPr>
          <w:rFonts w:ascii="Times New Roman" w:hAnsi="Times New Roman"/>
          <w:noProof/>
          <w:sz w:val="24"/>
        </w:rPr>
        <w:t xml:space="preserve">: Italy, Spain and Greece. In addition, </w:t>
      </w:r>
      <w:r>
        <w:rPr>
          <w:rFonts w:ascii="Times New Roman" w:hAnsi="Times New Roman" w:cs="Times New Roman"/>
          <w:noProof/>
          <w:sz w:val="24"/>
          <w:szCs w:val="24"/>
        </w:rPr>
        <w:t>the EBF was flexible enough to respond to the changing needs induced by the beginning of the migration crisis by allocating additional resources to the affected Member States</w:t>
      </w:r>
      <w:r>
        <w:rPr>
          <w:rFonts w:ascii="Times New Roman" w:hAnsi="Times New Roman" w:cs="Times New Roman"/>
          <w:noProof/>
          <w:sz w:val="24"/>
          <w:szCs w:val="24"/>
        </w:rPr>
        <w:t xml:space="preserve"> via Emergency Actions.</w:t>
      </w:r>
    </w:p>
    <w:p w:rsidR="00C03D42" w:rsidRDefault="00C03D42">
      <w:pPr>
        <w:spacing w:after="0"/>
        <w:jc w:val="both"/>
        <w:rPr>
          <w:rFonts w:ascii="Times New Roman" w:hAnsi="Times New Roman" w:cs="Times New Roman"/>
          <w:noProof/>
          <w:sz w:val="24"/>
        </w:rPr>
      </w:pPr>
    </w:p>
    <w:p w:rsidR="00C03D42" w:rsidRDefault="006F6707">
      <w:pPr>
        <w:spacing w:after="0"/>
        <w:jc w:val="both"/>
        <w:rPr>
          <w:rFonts w:ascii="Times New Roman" w:hAnsi="Times New Roman"/>
          <w:noProof/>
          <w:sz w:val="24"/>
        </w:rPr>
      </w:pPr>
      <w:r>
        <w:rPr>
          <w:rFonts w:ascii="Times New Roman" w:hAnsi="Times New Roman" w:cs="Times New Roman"/>
          <w:noProof/>
          <w:sz w:val="24"/>
        </w:rPr>
        <w:t>T</w:t>
      </w:r>
      <w:r>
        <w:rPr>
          <w:rFonts w:ascii="Times New Roman" w:hAnsi="Times New Roman" w:cs="Times New Roman"/>
          <w:noProof/>
          <w:sz w:val="24"/>
          <w:szCs w:val="24"/>
        </w:rPr>
        <w:t xml:space="preserve">he EBF made a crucial contribution to the application of the Schengen </w:t>
      </w:r>
      <w:r>
        <w:rPr>
          <w:rFonts w:ascii="Times New Roman" w:hAnsi="Times New Roman" w:cs="Times New Roman"/>
          <w:i/>
          <w:noProof/>
          <w:sz w:val="24"/>
          <w:szCs w:val="24"/>
        </w:rPr>
        <w:t>acquis</w:t>
      </w:r>
      <w:r>
        <w:rPr>
          <w:rStyle w:val="FootnoteReference"/>
          <w:rFonts w:ascii="Times New Roman" w:hAnsi="Times New Roman" w:cs="Times New Roman"/>
          <w:noProof/>
          <w:sz w:val="24"/>
          <w:szCs w:val="24"/>
        </w:rPr>
        <w:footnoteReference w:id="20"/>
      </w:r>
      <w:r>
        <w:rPr>
          <w:rFonts w:ascii="Times New Roman" w:hAnsi="Times New Roman" w:cs="Times New Roman"/>
          <w:i/>
          <w:noProof/>
          <w:sz w:val="24"/>
          <w:szCs w:val="24"/>
        </w:rPr>
        <w:t xml:space="preserve"> </w:t>
      </w:r>
      <w:r>
        <w:rPr>
          <w:rFonts w:ascii="Times New Roman" w:hAnsi="Times New Roman" w:cs="Times New Roman"/>
          <w:noProof/>
          <w:sz w:val="24"/>
          <w:szCs w:val="24"/>
        </w:rPr>
        <w:t>considering both</w:t>
      </w:r>
      <w:r>
        <w:rPr>
          <w:rFonts w:ascii="Times New Roman" w:hAnsi="Times New Roman" w:cs="Times New Roman"/>
          <w:i/>
          <w:noProof/>
          <w:sz w:val="24"/>
          <w:szCs w:val="24"/>
        </w:rPr>
        <w:t xml:space="preserve"> </w:t>
      </w:r>
      <w:r>
        <w:rPr>
          <w:rFonts w:ascii="Times New Roman" w:hAnsi="Times New Roman" w:cs="Times New Roman"/>
          <w:noProof/>
          <w:sz w:val="24"/>
          <w:szCs w:val="24"/>
        </w:rPr>
        <w:t>the increase of migration flows experienced since 2011 and</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the financial constraints faced by many Member States at the time. The EBF </w:t>
      </w:r>
      <w:r>
        <w:rPr>
          <w:rFonts w:ascii="Times New Roman" w:hAnsi="Times New Roman" w:cs="Times New Roman"/>
          <w:noProof/>
          <w:sz w:val="24"/>
          <w:szCs w:val="24"/>
        </w:rPr>
        <w:t>2011-13 actions made a positive contribution towards a progressive establishment of a common integrated border management system by promoting harmonized checks on persons at border crossing points (BCPs) through training programmes, the construction and up</w:t>
      </w:r>
      <w:r>
        <w:rPr>
          <w:rFonts w:ascii="Times New Roman" w:hAnsi="Times New Roman" w:cs="Times New Roman"/>
          <w:noProof/>
          <w:sz w:val="24"/>
          <w:szCs w:val="24"/>
        </w:rPr>
        <w:t>grading of BCPs and the acquisition of vehicles, vessels and aircrafts used for border patrols.</w:t>
      </w:r>
      <w:r>
        <w:rPr>
          <w:rFonts w:ascii="Times New Roman" w:hAnsi="Times New Roman"/>
          <w:noProof/>
          <w:sz w:val="24"/>
        </w:rPr>
        <w:t xml:space="preserve"> However, only few </w:t>
      </w:r>
      <w:r>
        <w:rPr>
          <w:rFonts w:ascii="Times New Roman" w:hAnsi="Times New Roman" w:cs="Times New Roman"/>
          <w:noProof/>
          <w:sz w:val="24"/>
          <w:szCs w:val="24"/>
        </w:rPr>
        <w:t xml:space="preserve">Member States </w:t>
      </w:r>
      <w:r>
        <w:rPr>
          <w:rFonts w:ascii="Times New Roman" w:hAnsi="Times New Roman"/>
          <w:noProof/>
          <w:sz w:val="24"/>
        </w:rPr>
        <w:t>reported that the Fund support was essential for the acquisition of state-of-the-art technology at the EU external borders.</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rPr>
        <w:t xml:space="preserve"> Fund also helped tackle the fragmentation of Member States information exchange systems by supporting the development at the national level of EU systems such as VIS and SIS II and EUROSUR</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In a context where national funding was scarce, the Fund helped </w:t>
      </w:r>
      <w:r>
        <w:rPr>
          <w:rFonts w:ascii="Times New Roman" w:hAnsi="Times New Roman" w:cs="Times New Roman"/>
          <w:noProof/>
          <w:sz w:val="24"/>
          <w:szCs w:val="24"/>
        </w:rPr>
        <w:t>ensure that these systems became operational, as it contributed to the finalisation of their building blocks. The EBF also fostered a better use of resources by increasing the capacity of Member States to undertake border surveillance.</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For both the 2007-1</w:t>
      </w:r>
      <w:r>
        <w:rPr>
          <w:rFonts w:ascii="Times New Roman" w:hAnsi="Times New Roman" w:cs="Times New Roman"/>
          <w:noProof/>
          <w:sz w:val="24"/>
          <w:szCs w:val="24"/>
        </w:rPr>
        <w:t>0 and 2011-13 periods, the EBF moderately contributed to the development of consular cooperation between Member States and third-countries.</w:t>
      </w:r>
      <w:r>
        <w:rPr>
          <w:rStyle w:val="FootnoteReference"/>
          <w:rFonts w:ascii="Times New Roman" w:hAnsi="Times New Roman" w:cs="Times New Roman"/>
          <w:noProof/>
          <w:sz w:val="24"/>
          <w:szCs w:val="24"/>
        </w:rPr>
        <w:footnoteReference w:id="22"/>
      </w:r>
    </w:p>
    <w:p w:rsidR="00C03D42" w:rsidRDefault="00C03D42">
      <w:pPr>
        <w:spacing w:after="0"/>
        <w:jc w:val="both"/>
        <w:rPr>
          <w:rFonts w:ascii="Times New Roman" w:hAnsi="Times New Roman"/>
          <w:noProof/>
          <w:sz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Overall, EBF investments were considered to be sustainable: most of the assets acquired and the knowledge generate</w:t>
      </w:r>
      <w:r>
        <w:rPr>
          <w:rFonts w:ascii="Times New Roman" w:hAnsi="Times New Roman" w:cs="Times New Roman"/>
          <w:noProof/>
          <w:sz w:val="24"/>
          <w:szCs w:val="24"/>
        </w:rPr>
        <w:t>d were still being used at the time of the evaluation. Member States highlighted the complementarity of the EBF with the objectives of the ISF, which made it possible for activities implemented under ISF to build on the results of the EBF. A few specific p</w:t>
      </w:r>
      <w:r>
        <w:rPr>
          <w:rFonts w:ascii="Times New Roman" w:hAnsi="Times New Roman" w:cs="Times New Roman"/>
          <w:noProof/>
          <w:sz w:val="24"/>
          <w:szCs w:val="24"/>
        </w:rPr>
        <w:t>rojects faced financial constraints and therefore raised sustainability concerns, such as the deployment of immigration liaison officers in third countries.</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noProof/>
          <w:sz w:val="24"/>
        </w:rPr>
      </w:pPr>
      <w:r>
        <w:rPr>
          <w:rFonts w:ascii="Times New Roman" w:hAnsi="Times New Roman" w:cs="Times New Roman"/>
          <w:noProof/>
          <w:sz w:val="24"/>
          <w:szCs w:val="24"/>
        </w:rPr>
        <w:t>The EBF investments were found to be complementary and coherent with activities funded under other</w:t>
      </w:r>
      <w:r>
        <w:rPr>
          <w:rFonts w:ascii="Times New Roman" w:hAnsi="Times New Roman" w:cs="Times New Roman"/>
          <w:noProof/>
          <w:sz w:val="24"/>
          <w:szCs w:val="24"/>
        </w:rPr>
        <w:t xml:space="preserve"> EU Funds, with European Border and Coast Guard Agency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activities, as well as with national investments. </w:t>
      </w:r>
      <w:r>
        <w:rPr>
          <w:rFonts w:ascii="Times New Roman" w:hAnsi="Times New Roman"/>
          <w:noProof/>
          <w:sz w:val="24"/>
        </w:rPr>
        <w:t xml:space="preserve">The EBF added value has been assessed as being particularly high in </w:t>
      </w:r>
      <w:r>
        <w:rPr>
          <w:rFonts w:ascii="Times New Roman" w:hAnsi="Times New Roman" w:cs="Times New Roman"/>
          <w:noProof/>
          <w:sz w:val="24"/>
          <w:szCs w:val="24"/>
        </w:rPr>
        <w:t xml:space="preserve">Member States </w:t>
      </w:r>
      <w:r>
        <w:rPr>
          <w:rFonts w:ascii="Times New Roman" w:hAnsi="Times New Roman"/>
          <w:noProof/>
          <w:sz w:val="24"/>
        </w:rPr>
        <w:t>with limited financial resources or facing tight budgetary constrain</w:t>
      </w:r>
      <w:r>
        <w:rPr>
          <w:rFonts w:ascii="Times New Roman" w:hAnsi="Times New Roman"/>
          <w:noProof/>
          <w:sz w:val="24"/>
        </w:rPr>
        <w:t>ts.</w:t>
      </w:r>
    </w:p>
    <w:p w:rsidR="00C03D42" w:rsidRDefault="00C03D42">
      <w:pPr>
        <w:spacing w:after="0"/>
        <w:jc w:val="both"/>
        <w:rPr>
          <w:rFonts w:ascii="Times New Roman" w:hAnsi="Times New Roman"/>
          <w:noProof/>
          <w:sz w:val="24"/>
        </w:rPr>
      </w:pPr>
    </w:p>
    <w:p w:rsidR="00C03D42" w:rsidRDefault="006F6707">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The European Fund for the Integration of third-country nationals (EIF)</w:t>
      </w:r>
    </w:p>
    <w:p w:rsidR="00C03D42" w:rsidRDefault="006F6707">
      <w:pPr>
        <w:spacing w:after="0"/>
        <w:jc w:val="both"/>
        <w:rPr>
          <w:rFonts w:ascii="Times New Roman" w:hAnsi="Times New Roman" w:cs="Times New Roman"/>
          <w:noProof/>
          <w:sz w:val="24"/>
        </w:rPr>
      </w:pPr>
      <w:r>
        <w:rPr>
          <w:rFonts w:ascii="Times New Roman" w:hAnsi="Times New Roman" w:cs="Times New Roman"/>
          <w:noProof/>
          <w:sz w:val="24"/>
        </w:rPr>
        <w:t>The EIF findings for both 2007-10</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and 2011-13 show that the Fund was generally able to respond to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integration needs and was designed in a way that allowed it to </w:t>
      </w:r>
      <w:r>
        <w:rPr>
          <w:rFonts w:ascii="Times New Roman" w:hAnsi="Times New Roman" w:cs="Times New Roman"/>
          <w:noProof/>
          <w:sz w:val="24"/>
        </w:rPr>
        <w:t>adapt to changing circumstances.</w:t>
      </w:r>
      <w:r>
        <w:rPr>
          <w:noProof/>
        </w:rPr>
        <w:t xml:space="preserve"> </w:t>
      </w:r>
      <w:r>
        <w:rPr>
          <w:rFonts w:ascii="Times New Roman" w:hAnsi="Times New Roman" w:cs="Times New Roman"/>
          <w:noProof/>
          <w:sz w:val="24"/>
        </w:rPr>
        <w:t xml:space="preserve">However, some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felt that the definition of the target group was too restrictive and others highlighted a lack of interest from NGOs/local administrations. </w:t>
      </w:r>
      <w:r>
        <w:rPr>
          <w:rFonts w:ascii="Times New Roman" w:hAnsi="Times New Roman" w:cs="Times New Roman"/>
          <w:noProof/>
          <w:sz w:val="24"/>
          <w:szCs w:val="24"/>
        </w:rPr>
        <w:t>Some Member States indicated that support should not ha</w:t>
      </w:r>
      <w:r>
        <w:rPr>
          <w:rFonts w:ascii="Times New Roman" w:hAnsi="Times New Roman" w:cs="Times New Roman"/>
          <w:noProof/>
          <w:sz w:val="24"/>
          <w:szCs w:val="24"/>
        </w:rPr>
        <w:t>ve been limited to newly-arrived third-country nationals as integration measures may still be needed for second and third generation migrants.</w:t>
      </w:r>
    </w:p>
    <w:p w:rsidR="00C03D42" w:rsidRDefault="00C03D42">
      <w:pPr>
        <w:spacing w:after="0"/>
        <w:jc w:val="both"/>
        <w:rPr>
          <w:rFonts w:ascii="Times New Roman" w:hAnsi="Times New Roman" w:cs="Times New Roman"/>
          <w:noProof/>
          <w:sz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The EIF</w:t>
      </w:r>
      <w:r>
        <w:rPr>
          <w:rFonts w:ascii="Times New Roman" w:hAnsi="Times New Roman" w:cs="Times New Roman"/>
          <w:noProof/>
          <w:sz w:val="24"/>
        </w:rPr>
        <w:t xml:space="preserve"> was found to have been generally able to achieve its </w:t>
      </w:r>
      <w:r>
        <w:rPr>
          <w:rFonts w:ascii="Times New Roman" w:hAnsi="Times New Roman" w:cs="Times New Roman"/>
          <w:noProof/>
          <w:sz w:val="24"/>
          <w:szCs w:val="24"/>
        </w:rPr>
        <w:t>main objective of facilitating the integration of t</w:t>
      </w:r>
      <w:r>
        <w:rPr>
          <w:rFonts w:ascii="Times New Roman" w:hAnsi="Times New Roman" w:cs="Times New Roman"/>
          <w:noProof/>
          <w:sz w:val="24"/>
          <w:szCs w:val="24"/>
        </w:rPr>
        <w:t>hird-country nationals into their host society in both 2007-10 and 2011-13. In the majority of Member States, the Fund had a concrete positive impact on the immediate integration process. The EIF improved access to services, employment and education in the</w:t>
      </w:r>
      <w:r>
        <w:rPr>
          <w:rFonts w:ascii="Times New Roman" w:hAnsi="Times New Roman" w:cs="Times New Roman"/>
          <w:noProof/>
          <w:sz w:val="24"/>
          <w:szCs w:val="24"/>
        </w:rPr>
        <w:t xml:space="preserve"> host country, including language courses central to the integration process. This appeared to be the main focus of the funding used by Member States.</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cs="Times New Roman"/>
          <w:noProof/>
          <w:sz w:val="24"/>
        </w:rPr>
      </w:pPr>
      <w:r>
        <w:rPr>
          <w:rFonts w:ascii="Times New Roman" w:hAnsi="Times New Roman" w:cs="Times New Roman"/>
          <w:noProof/>
          <w:sz w:val="24"/>
          <w:szCs w:val="24"/>
        </w:rPr>
        <w:t>Many</w:t>
      </w:r>
      <w:r>
        <w:rPr>
          <w:rFonts w:ascii="Times New Roman" w:hAnsi="Times New Roman" w:cs="Times New Roman"/>
          <w:noProof/>
          <w:sz w:val="24"/>
        </w:rPr>
        <w:t xml:space="preserve"> </w:t>
      </w:r>
      <w:r>
        <w:rPr>
          <w:rFonts w:ascii="Times New Roman" w:hAnsi="Times New Roman" w:cs="Times New Roman"/>
          <w:noProof/>
          <w:sz w:val="24"/>
          <w:szCs w:val="24"/>
        </w:rPr>
        <w:t xml:space="preserve">Member States </w:t>
      </w:r>
      <w:r>
        <w:rPr>
          <w:rFonts w:ascii="Times New Roman" w:hAnsi="Times New Roman" w:cs="Times New Roman"/>
          <w:noProof/>
          <w:sz w:val="24"/>
        </w:rPr>
        <w:t>reported implementation issues for 2007-10 due to the novelty of the Fund at the time</w:t>
      </w:r>
      <w:r>
        <w:rPr>
          <w:rFonts w:ascii="Times New Roman" w:hAnsi="Times New Roman" w:cs="Times New Roman"/>
          <w:noProof/>
          <w:sz w:val="24"/>
        </w:rPr>
        <w:t xml:space="preserve"> such as the lack of or insufficient number of eligible projects. </w:t>
      </w:r>
      <w:r>
        <w:rPr>
          <w:rFonts w:ascii="Times New Roman" w:hAnsi="Times New Roman" w:cs="Times New Roman"/>
          <w:noProof/>
          <w:sz w:val="24"/>
          <w:szCs w:val="24"/>
        </w:rPr>
        <w:t>For 2011-13</w:t>
      </w:r>
      <w:r>
        <w:rPr>
          <w:rFonts w:ascii="Times New Roman" w:hAnsi="Times New Roman" w:cs="Times New Roman"/>
          <w:noProof/>
          <w:sz w:val="24"/>
        </w:rPr>
        <w:t xml:space="preserve">, the EIF was found to have made a limited contribution to the development and implementation of admission procedures which support the integration of </w:t>
      </w:r>
      <w:r>
        <w:rPr>
          <w:rFonts w:ascii="Times New Roman" w:hAnsi="Times New Roman" w:cs="Times New Roman"/>
          <w:noProof/>
          <w:sz w:val="24"/>
          <w:szCs w:val="24"/>
        </w:rPr>
        <w:t xml:space="preserve">third-country nationals </w:t>
      </w:r>
      <w:r>
        <w:rPr>
          <w:rFonts w:ascii="Times New Roman" w:hAnsi="Times New Roman" w:cs="Times New Roman"/>
          <w:noProof/>
          <w:sz w:val="24"/>
        </w:rPr>
        <w:t xml:space="preserve">due </w:t>
      </w:r>
      <w:r>
        <w:rPr>
          <w:rFonts w:ascii="Times New Roman" w:hAnsi="Times New Roman" w:cs="Times New Roman"/>
          <w:noProof/>
          <w:sz w:val="24"/>
        </w:rPr>
        <w:t xml:space="preserve">to the fact that the annual programmes of several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did not specifically focus on this objective, which resulted in a limited number of actions implemented in this area. The EIF contributed to policy capacity-building and coordination within </w:t>
      </w:r>
      <w:r>
        <w:rPr>
          <w:rFonts w:ascii="Times New Roman" w:hAnsi="Times New Roman" w:cs="Times New Roman"/>
          <w:noProof/>
          <w:sz w:val="24"/>
          <w:szCs w:val="24"/>
        </w:rPr>
        <w:t>Me</w:t>
      </w:r>
      <w:r>
        <w:rPr>
          <w:rFonts w:ascii="Times New Roman" w:hAnsi="Times New Roman" w:cs="Times New Roman"/>
          <w:noProof/>
          <w:sz w:val="24"/>
          <w:szCs w:val="24"/>
        </w:rPr>
        <w:t>mber States</w:t>
      </w:r>
      <w:r>
        <w:rPr>
          <w:rFonts w:ascii="Times New Roman" w:hAnsi="Times New Roman" w:cs="Times New Roman"/>
          <w:noProof/>
          <w:sz w:val="24"/>
        </w:rPr>
        <w:t xml:space="preserve">, but had a limited impact on the exchange of experience, good practice and information between </w:t>
      </w:r>
      <w:r>
        <w:rPr>
          <w:rFonts w:ascii="Times New Roman" w:hAnsi="Times New Roman" w:cs="Times New Roman"/>
          <w:noProof/>
          <w:sz w:val="24"/>
          <w:szCs w:val="24"/>
        </w:rPr>
        <w:t>Member States</w:t>
      </w:r>
      <w:r>
        <w:rPr>
          <w:rFonts w:ascii="Times New Roman" w:hAnsi="Times New Roman" w:cs="Times New Roman"/>
          <w:noProof/>
          <w:sz w:val="24"/>
        </w:rPr>
        <w:t xml:space="preserve">. </w:t>
      </w:r>
    </w:p>
    <w:p w:rsidR="00C03D42" w:rsidRDefault="00C03D42">
      <w:pPr>
        <w:spacing w:after="0"/>
        <w:jc w:val="both"/>
        <w:rPr>
          <w:rFonts w:ascii="Times New Roman" w:hAnsi="Times New Roman" w:cs="Times New Roman"/>
          <w:noProof/>
          <w:sz w:val="24"/>
        </w:rPr>
      </w:pPr>
    </w:p>
    <w:p w:rsidR="00C03D42" w:rsidRDefault="006F6707">
      <w:pPr>
        <w:spacing w:after="0"/>
        <w:jc w:val="both"/>
        <w:rPr>
          <w:rFonts w:ascii="Times New Roman" w:hAnsi="Times New Roman" w:cs="Times New Roman"/>
          <w:noProof/>
          <w:sz w:val="24"/>
        </w:rPr>
      </w:pPr>
      <w:r>
        <w:rPr>
          <w:rFonts w:ascii="Times New Roman" w:hAnsi="Times New Roman" w:cs="Times New Roman"/>
          <w:noProof/>
          <w:sz w:val="24"/>
        </w:rPr>
        <w:t xml:space="preserve">While for 2007-10, only half of </w:t>
      </w:r>
      <w:r>
        <w:rPr>
          <w:rFonts w:ascii="Times New Roman" w:hAnsi="Times New Roman" w:cs="Times New Roman"/>
          <w:noProof/>
          <w:sz w:val="24"/>
          <w:szCs w:val="24"/>
        </w:rPr>
        <w:t>Member States</w:t>
      </w:r>
      <w:r>
        <w:rPr>
          <w:rFonts w:ascii="Times New Roman" w:hAnsi="Times New Roman" w:cs="Times New Roman"/>
          <w:noProof/>
          <w:sz w:val="24"/>
        </w:rPr>
        <w:t xml:space="preserve"> assessed the Fund’s efficiency as satisfactory. For 2011-13 most </w:t>
      </w:r>
      <w:r>
        <w:rPr>
          <w:rFonts w:ascii="Times New Roman" w:hAnsi="Times New Roman" w:cs="Times New Roman"/>
          <w:noProof/>
          <w:sz w:val="24"/>
          <w:szCs w:val="24"/>
        </w:rPr>
        <w:t xml:space="preserve">Member States </w:t>
      </w:r>
      <w:r>
        <w:rPr>
          <w:rFonts w:ascii="Times New Roman" w:hAnsi="Times New Roman" w:cs="Times New Roman"/>
          <w:noProof/>
          <w:sz w:val="24"/>
        </w:rPr>
        <w:t>conside</w:t>
      </w:r>
      <w:r>
        <w:rPr>
          <w:rFonts w:ascii="Times New Roman" w:hAnsi="Times New Roman" w:cs="Times New Roman"/>
          <w:noProof/>
          <w:sz w:val="24"/>
        </w:rPr>
        <w:t xml:space="preserve">red that the EIF costs were proportional with the outputs of the projects and that it would not have been possible or would have been difficult to achieve the same results at a lower cost. Furthermore, only half of </w:t>
      </w:r>
      <w:r>
        <w:rPr>
          <w:rFonts w:ascii="Times New Roman" w:hAnsi="Times New Roman" w:cs="Times New Roman"/>
          <w:noProof/>
          <w:sz w:val="24"/>
          <w:szCs w:val="24"/>
        </w:rPr>
        <w:t xml:space="preserve">Member States </w:t>
      </w:r>
      <w:r>
        <w:rPr>
          <w:rFonts w:ascii="Times New Roman" w:hAnsi="Times New Roman" w:cs="Times New Roman"/>
          <w:noProof/>
          <w:sz w:val="24"/>
        </w:rPr>
        <w:t>reported that the effects o</w:t>
      </w:r>
      <w:r>
        <w:rPr>
          <w:rFonts w:ascii="Times New Roman" w:hAnsi="Times New Roman" w:cs="Times New Roman"/>
          <w:noProof/>
          <w:sz w:val="24"/>
        </w:rPr>
        <w:t xml:space="preserve">f the 2007-10 and 2011-13 EIF actions lasted to a great extent after funding ended. According to interviewed stakeholders, limited sustainability was mainly due to factors such as varying political commitment and support at national level. </w:t>
      </w:r>
    </w:p>
    <w:p w:rsidR="00C03D42" w:rsidRDefault="00C03D42">
      <w:pPr>
        <w:spacing w:after="0"/>
        <w:jc w:val="both"/>
        <w:rPr>
          <w:rFonts w:ascii="Times New Roman" w:hAnsi="Times New Roman" w:cs="Times New Roman"/>
          <w:noProof/>
          <w:sz w:val="24"/>
        </w:rPr>
      </w:pPr>
    </w:p>
    <w:p w:rsidR="00C03D42" w:rsidRDefault="006F6707">
      <w:pPr>
        <w:spacing w:after="0"/>
        <w:jc w:val="both"/>
        <w:rPr>
          <w:rFonts w:ascii="Times New Roman" w:hAnsi="Times New Roman" w:cs="Times New Roman"/>
          <w:noProof/>
          <w:sz w:val="24"/>
        </w:rPr>
      </w:pPr>
      <w:r>
        <w:rPr>
          <w:rFonts w:ascii="Times New Roman" w:hAnsi="Times New Roman" w:cs="Times New Roman"/>
          <w:noProof/>
          <w:sz w:val="24"/>
        </w:rPr>
        <w:t xml:space="preserve">Projects were </w:t>
      </w:r>
      <w:r>
        <w:rPr>
          <w:rFonts w:ascii="Times New Roman" w:hAnsi="Times New Roman" w:cs="Times New Roman"/>
          <w:noProof/>
          <w:sz w:val="24"/>
        </w:rPr>
        <w:t xml:space="preserve">also found to be coherent with and complementary to other actions targeting the integration of </w:t>
      </w:r>
      <w:r>
        <w:rPr>
          <w:rFonts w:ascii="Times New Roman" w:hAnsi="Times New Roman" w:cs="Times New Roman"/>
          <w:noProof/>
          <w:sz w:val="24"/>
          <w:szCs w:val="24"/>
        </w:rPr>
        <w:t xml:space="preserve">third-country nationals </w:t>
      </w:r>
      <w:r>
        <w:rPr>
          <w:rFonts w:ascii="Times New Roman" w:hAnsi="Times New Roman" w:cs="Times New Roman"/>
          <w:noProof/>
          <w:sz w:val="24"/>
        </w:rPr>
        <w:t>at national level and supported by other EU financial instruments, with some difficulties encountered due to different timing of EU funds</w:t>
      </w:r>
      <w:r>
        <w:rPr>
          <w:rFonts w:ascii="Times New Roman" w:hAnsi="Times New Roman" w:cs="Times New Roman"/>
          <w:noProof/>
          <w:sz w:val="24"/>
        </w:rPr>
        <w:t xml:space="preserve"> and awareness of Community actions. The vast majority of </w:t>
      </w:r>
      <w:r>
        <w:rPr>
          <w:rFonts w:ascii="Times New Roman" w:hAnsi="Times New Roman" w:cs="Times New Roman"/>
          <w:noProof/>
          <w:sz w:val="24"/>
          <w:szCs w:val="24"/>
        </w:rPr>
        <w:t xml:space="preserve">Member States </w:t>
      </w:r>
      <w:r>
        <w:rPr>
          <w:rFonts w:ascii="Times New Roman" w:hAnsi="Times New Roman" w:cs="Times New Roman"/>
          <w:noProof/>
          <w:sz w:val="24"/>
        </w:rPr>
        <w:t>reported that the EIF enabled actions to be implemented which could not have been funded via national resources, confirming the added value of the Fund.</w:t>
      </w:r>
    </w:p>
    <w:p w:rsidR="00C03D42" w:rsidRDefault="00C03D42">
      <w:pPr>
        <w:spacing w:after="0"/>
        <w:jc w:val="both"/>
        <w:rPr>
          <w:rFonts w:ascii="Times New Roman" w:hAnsi="Times New Roman"/>
          <w:noProof/>
          <w:sz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b/>
          <w:noProof/>
          <w:sz w:val="24"/>
          <w:szCs w:val="24"/>
        </w:rPr>
        <w:t>The European Refugee Fund (ERF</w:t>
      </w:r>
      <w:r>
        <w:rPr>
          <w:rFonts w:ascii="Times New Roman" w:hAnsi="Times New Roman" w:cs="Times New Roman"/>
          <w:noProof/>
          <w:sz w:val="24"/>
          <w:szCs w:val="24"/>
        </w:rPr>
        <w:t>)</w:t>
      </w: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The evaluation found that the ERF objectives overall reflected the needs of Member States. However,</w:t>
      </w:r>
      <w:r>
        <w:rPr>
          <w:noProof/>
        </w:rPr>
        <w:t xml:space="preserve"> </w:t>
      </w:r>
      <w:r>
        <w:rPr>
          <w:rFonts w:ascii="Times New Roman" w:hAnsi="Times New Roman"/>
          <w:noProof/>
          <w:sz w:val="24"/>
        </w:rPr>
        <w:t>one key shortcoming highlighted for both the 2008-10</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r>
        <w:rPr>
          <w:rFonts w:ascii="Times New Roman" w:hAnsi="Times New Roman"/>
          <w:noProof/>
          <w:sz w:val="24"/>
        </w:rPr>
        <w:t xml:space="preserve"> and the 2011-13 periods was</w:t>
      </w:r>
      <w:r>
        <w:rPr>
          <w:noProof/>
        </w:rPr>
        <w:t xml:space="preserve"> </w:t>
      </w:r>
      <w:r>
        <w:rPr>
          <w:rFonts w:ascii="Times New Roman" w:hAnsi="Times New Roman" w:cs="Times New Roman"/>
          <w:noProof/>
          <w:sz w:val="24"/>
          <w:szCs w:val="24"/>
        </w:rPr>
        <w:t>the allocation mechanism, which was based on historic inflows (previous</w:t>
      </w:r>
      <w:r>
        <w:rPr>
          <w:rFonts w:ascii="Times New Roman" w:hAnsi="Times New Roman" w:cs="Times New Roman"/>
          <w:noProof/>
          <w:sz w:val="24"/>
          <w:szCs w:val="24"/>
        </w:rPr>
        <w:t xml:space="preserve"> three years) and which could therefore not address Member States unprecedented needs following the drastic increase in asylum flows from 2013. This issue was partly mitigated by the allocation of emergency assistance to Member States, which proved useful </w:t>
      </w:r>
      <w:r>
        <w:rPr>
          <w:rFonts w:ascii="Times New Roman" w:hAnsi="Times New Roman" w:cs="Times New Roman"/>
          <w:noProof/>
          <w:sz w:val="24"/>
          <w:szCs w:val="24"/>
        </w:rPr>
        <w:t>to address the crisis.</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2008-10 and 2011-13 periods, the ERF was particularly effective in supporting Member States in their efforts to improve their reception conditions and asylum procedures and the integration of beneficiaries of </w:t>
      </w:r>
      <w:r>
        <w:rPr>
          <w:rFonts w:ascii="Times New Roman" w:hAnsi="Times New Roman" w:cs="Times New Roman"/>
          <w:noProof/>
          <w:sz w:val="24"/>
          <w:szCs w:val="24"/>
        </w:rPr>
        <w:t>international protection. It was the most effective in Member States having acceded to the EU more recently (with less developed asylum systems). In these Member States, the ERF brought support to enhance their capacity to establish national asylum systems</w:t>
      </w:r>
      <w:r>
        <w:rPr>
          <w:rFonts w:ascii="Times New Roman" w:hAnsi="Times New Roman" w:cs="Times New Roman"/>
          <w:noProof/>
          <w:sz w:val="24"/>
          <w:szCs w:val="24"/>
        </w:rPr>
        <w:t xml:space="preserve">. It was also highly effective in supporting the Member States faced with emergency situations. During the implementation period, the ERF could only make a limited contribution to the harmonisation of the Member States asylum systems and implementation of </w:t>
      </w:r>
      <w:r>
        <w:rPr>
          <w:rFonts w:ascii="Times New Roman" w:hAnsi="Times New Roman" w:cs="Times New Roman"/>
          <w:noProof/>
          <w:sz w:val="24"/>
          <w:szCs w:val="24"/>
        </w:rPr>
        <w:t>the CEAS due to the legal framework which gave a lot of discretion to Member States in this area. As the results of the Community actions were not widely disseminated and most ERF projects remained purely national, limited support was provided to cooperati</w:t>
      </w:r>
      <w:r>
        <w:rPr>
          <w:rFonts w:ascii="Times New Roman" w:hAnsi="Times New Roman" w:cs="Times New Roman"/>
          <w:noProof/>
          <w:sz w:val="24"/>
          <w:szCs w:val="24"/>
        </w:rPr>
        <w:t>on and experience-sharing amongst Member States. The Fund was also effective to a limited extent in implementing responsibility-sharing projects, such as the resettlement and intra-EU transfer of beneficiaries of international protection.</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ERF outputs </w:t>
      </w:r>
      <w:r>
        <w:rPr>
          <w:rFonts w:ascii="Times New Roman" w:hAnsi="Times New Roman" w:cs="Times New Roman"/>
          <w:noProof/>
          <w:sz w:val="24"/>
          <w:szCs w:val="24"/>
        </w:rPr>
        <w:t xml:space="preserve">were assessed to have been achieved at a reasonable cost, despite some inefficiency identified in several Member States, mostly due to a lack of experience and to insufficient technical and administrative capacities. </w:t>
      </w:r>
      <w:r>
        <w:rPr>
          <w:rFonts w:ascii="Times New Roman" w:hAnsi="Times New Roman" w:cs="Times New Roman"/>
          <w:noProof/>
          <w:sz w:val="24"/>
        </w:rPr>
        <w:t>The sustainability of ERF projects depe</w:t>
      </w:r>
      <w:r>
        <w:rPr>
          <w:rFonts w:ascii="Times New Roman" w:hAnsi="Times New Roman" w:cs="Times New Roman"/>
          <w:noProof/>
          <w:sz w:val="24"/>
        </w:rPr>
        <w:t xml:space="preserve">nded on the type of projects funded. It generally led to sustainable networks among stakeholders while investments in reception capacities were deemed as most sustainable. </w:t>
      </w:r>
      <w:r>
        <w:rPr>
          <w:rFonts w:ascii="Times New Roman" w:hAnsi="Times New Roman" w:cs="Times New Roman"/>
          <w:noProof/>
          <w:sz w:val="24"/>
          <w:szCs w:val="24"/>
        </w:rPr>
        <w:t>The ERF was complementary to other SOLID Funds. All Member States considered that th</w:t>
      </w:r>
      <w:r>
        <w:rPr>
          <w:rFonts w:ascii="Times New Roman" w:hAnsi="Times New Roman" w:cs="Times New Roman"/>
          <w:noProof/>
          <w:sz w:val="24"/>
          <w:szCs w:val="24"/>
        </w:rPr>
        <w:t xml:space="preserve">e ERF allowed for funding innovative projects or projects aimed at specific target groups which would not have been implemented without the support of the Fund. The added value of the ERF was crucial for Member States with less developed asylum systems. </w:t>
      </w:r>
    </w:p>
    <w:p w:rsidR="00C03D42" w:rsidRDefault="00C03D42">
      <w:pPr>
        <w:spacing w:after="0"/>
        <w:jc w:val="both"/>
        <w:rPr>
          <w:rFonts w:ascii="Times New Roman" w:hAnsi="Times New Roman" w:cs="Times New Roman"/>
          <w:noProof/>
          <w:sz w:val="24"/>
          <w:szCs w:val="24"/>
        </w:rPr>
      </w:pPr>
    </w:p>
    <w:p w:rsidR="00C03D42" w:rsidRDefault="006F6707">
      <w:pPr>
        <w:spacing w:after="0"/>
        <w:jc w:val="both"/>
        <w:rPr>
          <w:rFonts w:ascii="Times New Roman" w:hAnsi="Times New Roman" w:cs="Times New Roman"/>
          <w:noProof/>
          <w:sz w:val="24"/>
          <w:szCs w:val="24"/>
        </w:rPr>
      </w:pPr>
      <w:r>
        <w:rPr>
          <w:rFonts w:ascii="Times New Roman" w:hAnsi="Times New Roman" w:cs="Times New Roman"/>
          <w:noProof/>
          <w:sz w:val="24"/>
          <w:szCs w:val="24"/>
        </w:rPr>
        <w:t>Concerning the 2008-10 period, most Member States found that the Fund had been effective in reaching its objectives. However, the Fund was less effective in enhancing Member States responsibility sharing or between Member States and third countries given t</w:t>
      </w:r>
      <w:r>
        <w:rPr>
          <w:rFonts w:ascii="Times New Roman" w:hAnsi="Times New Roman" w:cs="Times New Roman"/>
          <w:noProof/>
          <w:sz w:val="24"/>
          <w:szCs w:val="24"/>
        </w:rPr>
        <w:t>he very few projects implemented in these areas. The ERF outputs were assessed to have been achieved at a reasonable cost by most Member States, even though it was indicated that the same results could have been achieved at lower costs. All Member States f</w:t>
      </w:r>
      <w:r>
        <w:rPr>
          <w:rFonts w:ascii="Times New Roman" w:hAnsi="Times New Roman" w:cs="Times New Roman"/>
          <w:noProof/>
          <w:sz w:val="24"/>
          <w:szCs w:val="24"/>
        </w:rPr>
        <w:t>ound that the Fund enabled projects that could not have been financed by national public resources only.</w:t>
      </w:r>
    </w:p>
    <w:p w:rsidR="00C03D42" w:rsidRDefault="00C03D42">
      <w:pPr>
        <w:spacing w:after="0"/>
        <w:jc w:val="both"/>
        <w:rPr>
          <w:rFonts w:ascii="Times New Roman" w:hAnsi="Times New Roman" w:cs="Times New Roman"/>
          <w:noProof/>
          <w:sz w:val="24"/>
        </w:rPr>
      </w:pPr>
    </w:p>
    <w:p w:rsidR="00C03D42" w:rsidRDefault="006F6707">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The European Return Fund (RF)</w:t>
      </w: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The majority of </w:t>
      </w:r>
      <w:r>
        <w:rPr>
          <w:rFonts w:ascii="Times New Roman" w:hAnsi="Times New Roman" w:cs="Times New Roman"/>
          <w:noProof/>
          <w:sz w:val="24"/>
          <w:szCs w:val="24"/>
        </w:rPr>
        <w:t xml:space="preserve">Member States </w:t>
      </w:r>
      <w:r>
        <w:rPr>
          <w:rFonts w:ascii="Times New Roman" w:hAnsi="Times New Roman" w:cs="Times New Roman"/>
          <w:noProof/>
          <w:sz w:val="24"/>
        </w:rPr>
        <w:t>found that the objectives of the Fund corresponded to their needs in the field of return m</w:t>
      </w:r>
      <w:r>
        <w:rPr>
          <w:rFonts w:ascii="Times New Roman" w:hAnsi="Times New Roman" w:cs="Times New Roman"/>
          <w:noProof/>
          <w:sz w:val="24"/>
        </w:rPr>
        <w:t>anagement, with some priorities considered more relevant than others.</w:t>
      </w:r>
      <w:r>
        <w:rPr>
          <w:rStyle w:val="FootnoteReference"/>
          <w:rFonts w:ascii="Times New Roman" w:hAnsi="Times New Roman" w:cs="Times New Roman"/>
          <w:noProof/>
          <w:sz w:val="24"/>
        </w:rPr>
        <w:footnoteReference w:id="26"/>
      </w:r>
      <w:r>
        <w:rPr>
          <w:rFonts w:ascii="Times New Roman" w:hAnsi="Times New Roman" w:cs="Times New Roman"/>
          <w:noProof/>
          <w:sz w:val="24"/>
        </w:rPr>
        <w:t xml:space="preserve"> Some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indicated that the Fund could have been more relevant if the target group had also included migrants residing legally in the </w:t>
      </w:r>
      <w:r>
        <w:rPr>
          <w:rFonts w:ascii="Times New Roman" w:hAnsi="Times New Roman" w:cs="Times New Roman"/>
          <w:noProof/>
          <w:sz w:val="24"/>
          <w:szCs w:val="24"/>
        </w:rPr>
        <w:t xml:space="preserve">Member States </w:t>
      </w:r>
      <w:r>
        <w:rPr>
          <w:rFonts w:ascii="Times New Roman" w:hAnsi="Times New Roman" w:cs="Times New Roman"/>
          <w:noProof/>
          <w:sz w:val="24"/>
        </w:rPr>
        <w:t>but wishing to return to th</w:t>
      </w:r>
      <w:r>
        <w:rPr>
          <w:rFonts w:ascii="Times New Roman" w:hAnsi="Times New Roman" w:cs="Times New Roman"/>
          <w:noProof/>
          <w:sz w:val="24"/>
        </w:rPr>
        <w:t xml:space="preserve">eir country of origin. </w:t>
      </w:r>
    </w:p>
    <w:p w:rsidR="00C03D42" w:rsidRDefault="00C03D42">
      <w:pPr>
        <w:autoSpaceDE w:val="0"/>
        <w:autoSpaceDN w:val="0"/>
        <w:adjustRightInd w:val="0"/>
        <w:spacing w:after="0"/>
        <w:jc w:val="both"/>
        <w:rPr>
          <w:rFonts w:ascii="Times New Roman" w:hAnsi="Times New Roman" w:cs="Times New Roman"/>
          <w:noProof/>
          <w:sz w:val="24"/>
        </w:rPr>
      </w:pP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The RF was also found to have been generally successful in reaching its objectives, with its achievements assessed as positive by the vast majority of </w:t>
      </w:r>
      <w:r>
        <w:rPr>
          <w:rFonts w:ascii="Times New Roman" w:hAnsi="Times New Roman" w:cs="Times New Roman"/>
          <w:noProof/>
          <w:sz w:val="24"/>
          <w:szCs w:val="24"/>
        </w:rPr>
        <w:t>Member States</w:t>
      </w:r>
      <w:r>
        <w:rPr>
          <w:rFonts w:ascii="Times New Roman" w:hAnsi="Times New Roman" w:cs="Times New Roman"/>
          <w:noProof/>
          <w:sz w:val="24"/>
        </w:rPr>
        <w:t>. The Fund was particularly effective in contributing towards the d</w:t>
      </w:r>
      <w:r>
        <w:rPr>
          <w:rFonts w:ascii="Times New Roman" w:hAnsi="Times New Roman" w:cs="Times New Roman"/>
          <w:noProof/>
          <w:sz w:val="24"/>
        </w:rPr>
        <w:t xml:space="preserve">evelopment of national integrated return management systems by encouraging voluntary rather than forced returns and enhancing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return capacity in general. The RF also made a positive contribution to the provision of support to </w:t>
      </w:r>
      <w:r>
        <w:rPr>
          <w:rFonts w:ascii="Times New Roman" w:hAnsi="Times New Roman" w:cs="Times New Roman"/>
          <w:noProof/>
          <w:sz w:val="24"/>
          <w:szCs w:val="24"/>
        </w:rPr>
        <w:t xml:space="preserve">Member States </w:t>
      </w:r>
      <w:r>
        <w:rPr>
          <w:rFonts w:ascii="Times New Roman" w:hAnsi="Times New Roman" w:cs="Times New Roman"/>
          <w:noProof/>
          <w:sz w:val="24"/>
        </w:rPr>
        <w:t>in</w:t>
      </w:r>
      <w:r>
        <w:rPr>
          <w:rFonts w:ascii="Times New Roman" w:hAnsi="Times New Roman" w:cs="Times New Roman"/>
          <w:noProof/>
          <w:sz w:val="24"/>
        </w:rPr>
        <w:t xml:space="preserve"> emergency situations. However, the Fund had only a moderate impact on enhancing cooperation between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and with third-countries and on implementing EU standards due to the low number of projects implemented in that respect. </w:t>
      </w:r>
    </w:p>
    <w:p w:rsidR="00C03D42" w:rsidRDefault="00C03D42">
      <w:pPr>
        <w:autoSpaceDE w:val="0"/>
        <w:autoSpaceDN w:val="0"/>
        <w:adjustRightInd w:val="0"/>
        <w:spacing w:after="0"/>
        <w:jc w:val="both"/>
        <w:rPr>
          <w:rFonts w:ascii="Times New Roman" w:hAnsi="Times New Roman" w:cs="Times New Roman"/>
          <w:noProof/>
          <w:sz w:val="24"/>
        </w:rPr>
      </w:pP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Projects were gene</w:t>
      </w:r>
      <w:r>
        <w:rPr>
          <w:rFonts w:ascii="Times New Roman" w:hAnsi="Times New Roman" w:cs="Times New Roman"/>
          <w:noProof/>
          <w:sz w:val="24"/>
        </w:rPr>
        <w:t xml:space="preserve">rally found to have been implemented at a reasonable cost in terms of financial and human resources. The evaluation showed that unit costs of return varied greatly across </w:t>
      </w:r>
      <w:r>
        <w:rPr>
          <w:rFonts w:ascii="Times New Roman" w:hAnsi="Times New Roman" w:cs="Times New Roman"/>
          <w:noProof/>
          <w:sz w:val="24"/>
          <w:szCs w:val="24"/>
        </w:rPr>
        <w:t>Member States</w:t>
      </w:r>
      <w:r>
        <w:rPr>
          <w:rFonts w:ascii="Times New Roman" w:hAnsi="Times New Roman" w:cs="Times New Roman"/>
          <w:noProof/>
          <w:sz w:val="24"/>
        </w:rPr>
        <w:t>, depending on the number of returnees, the accessibility of the destina</w:t>
      </w:r>
      <w:r>
        <w:rPr>
          <w:rFonts w:ascii="Times New Roman" w:hAnsi="Times New Roman" w:cs="Times New Roman"/>
          <w:noProof/>
          <w:sz w:val="24"/>
        </w:rPr>
        <w:t xml:space="preserve">tion country of return, the number of countries collaborating in return operations and the amount of financial assistance provided to returnees. Several </w:t>
      </w:r>
      <w:r>
        <w:rPr>
          <w:rFonts w:ascii="Times New Roman" w:hAnsi="Times New Roman" w:cs="Times New Roman"/>
          <w:noProof/>
          <w:sz w:val="24"/>
          <w:szCs w:val="24"/>
        </w:rPr>
        <w:t xml:space="preserve">Member States </w:t>
      </w:r>
      <w:r>
        <w:rPr>
          <w:rFonts w:ascii="Times New Roman" w:hAnsi="Times New Roman" w:cs="Times New Roman"/>
          <w:noProof/>
          <w:sz w:val="24"/>
        </w:rPr>
        <w:t>and beneficiaries provided examples of less efficient projects due to management costs an</w:t>
      </w:r>
      <w:r>
        <w:rPr>
          <w:rFonts w:ascii="Times New Roman" w:hAnsi="Times New Roman" w:cs="Times New Roman"/>
          <w:noProof/>
          <w:sz w:val="24"/>
        </w:rPr>
        <w:t>d administrative burden. Voluntary return was found to be generally more cost-efficient than forced return.</w:t>
      </w:r>
    </w:p>
    <w:p w:rsidR="00C03D42" w:rsidRDefault="00C03D42">
      <w:pPr>
        <w:autoSpaceDE w:val="0"/>
        <w:autoSpaceDN w:val="0"/>
        <w:adjustRightInd w:val="0"/>
        <w:spacing w:after="0"/>
        <w:jc w:val="both"/>
        <w:rPr>
          <w:rFonts w:ascii="Times New Roman" w:hAnsi="Times New Roman" w:cs="Times New Roman"/>
          <w:noProof/>
          <w:sz w:val="24"/>
        </w:rPr>
      </w:pPr>
    </w:p>
    <w:p w:rsidR="00C03D42" w:rsidRDefault="006F6707">
      <w:pPr>
        <w:autoSpaceDE w:val="0"/>
        <w:autoSpaceDN w:val="0"/>
        <w:adjustRightInd w:val="0"/>
        <w:spacing w:after="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majority of </w:t>
      </w:r>
      <w:r>
        <w:rPr>
          <w:rFonts w:ascii="Times New Roman" w:hAnsi="Times New Roman" w:cs="Times New Roman"/>
          <w:noProof/>
          <w:sz w:val="24"/>
          <w:szCs w:val="24"/>
        </w:rPr>
        <w:t xml:space="preserve">Member States </w:t>
      </w:r>
      <w:r>
        <w:rPr>
          <w:rFonts w:ascii="Times New Roman" w:hAnsi="Times New Roman" w:cs="Times New Roman"/>
          <w:iCs/>
          <w:noProof/>
          <w:sz w:val="24"/>
          <w:szCs w:val="24"/>
        </w:rPr>
        <w:t xml:space="preserve">found that most of the RF actions had long lasting effects after the projects' ended. However, there was no strong evidence to demonstrate the long-term impact of the actions as many </w:t>
      </w:r>
      <w:r>
        <w:rPr>
          <w:rFonts w:ascii="Times New Roman" w:hAnsi="Times New Roman" w:cs="Times New Roman"/>
          <w:noProof/>
          <w:sz w:val="24"/>
          <w:szCs w:val="24"/>
        </w:rPr>
        <w:t xml:space="preserve">Member States </w:t>
      </w:r>
      <w:r>
        <w:rPr>
          <w:rFonts w:ascii="Times New Roman" w:hAnsi="Times New Roman" w:cs="Times New Roman"/>
          <w:iCs/>
          <w:noProof/>
          <w:sz w:val="24"/>
          <w:szCs w:val="24"/>
        </w:rPr>
        <w:t>highlighted that further funding was required to be able to</w:t>
      </w:r>
      <w:r>
        <w:rPr>
          <w:rFonts w:ascii="Times New Roman" w:hAnsi="Times New Roman" w:cs="Times New Roman"/>
          <w:iCs/>
          <w:noProof/>
          <w:sz w:val="24"/>
          <w:szCs w:val="24"/>
        </w:rPr>
        <w:t xml:space="preserve"> continue return activities launched with RF funding. The most sustainable type of actions were those which had structural effects, such as improvements to the infrastructure of detention facilities and actions which improved cooperation between </w:t>
      </w:r>
      <w:r>
        <w:rPr>
          <w:rFonts w:ascii="Times New Roman" w:hAnsi="Times New Roman" w:cs="Times New Roman"/>
          <w:noProof/>
          <w:sz w:val="24"/>
          <w:szCs w:val="24"/>
        </w:rPr>
        <w:t>Member Sta</w:t>
      </w:r>
      <w:r>
        <w:rPr>
          <w:rFonts w:ascii="Times New Roman" w:hAnsi="Times New Roman" w:cs="Times New Roman"/>
          <w:noProof/>
          <w:sz w:val="24"/>
          <w:szCs w:val="24"/>
        </w:rPr>
        <w:t xml:space="preserve">tes </w:t>
      </w:r>
      <w:r>
        <w:rPr>
          <w:rFonts w:ascii="Times New Roman" w:hAnsi="Times New Roman" w:cs="Times New Roman"/>
          <w:iCs/>
          <w:noProof/>
          <w:sz w:val="24"/>
          <w:szCs w:val="24"/>
        </w:rPr>
        <w:t xml:space="preserve">or </w:t>
      </w:r>
      <w:r>
        <w:rPr>
          <w:rFonts w:ascii="Times New Roman" w:hAnsi="Times New Roman" w:cs="Times New Roman"/>
          <w:noProof/>
          <w:sz w:val="24"/>
          <w:szCs w:val="24"/>
        </w:rPr>
        <w:t xml:space="preserve">Member States </w:t>
      </w:r>
      <w:r>
        <w:rPr>
          <w:rFonts w:ascii="Times New Roman" w:hAnsi="Times New Roman" w:cs="Times New Roman"/>
          <w:iCs/>
          <w:noProof/>
          <w:sz w:val="24"/>
          <w:szCs w:val="24"/>
        </w:rPr>
        <w:t>and third countries.</w:t>
      </w:r>
    </w:p>
    <w:p w:rsidR="00C03D42" w:rsidRDefault="00C03D42">
      <w:pPr>
        <w:autoSpaceDE w:val="0"/>
        <w:autoSpaceDN w:val="0"/>
        <w:adjustRightInd w:val="0"/>
        <w:spacing w:after="0"/>
        <w:jc w:val="both"/>
        <w:rPr>
          <w:rFonts w:ascii="Times New Roman" w:hAnsi="Times New Roman" w:cs="Times New Roman"/>
          <w:noProof/>
          <w:sz w:val="24"/>
          <w:szCs w:val="24"/>
        </w:rPr>
      </w:pP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szCs w:val="24"/>
        </w:rPr>
        <w:t>The evaluation concluded that actions funded by the RF were coherent and complementary to other national actions in the area of return and generally coherent with and complementary to other EU Funds in the area of</w:t>
      </w:r>
      <w:r>
        <w:rPr>
          <w:rFonts w:ascii="Times New Roman" w:hAnsi="Times New Roman" w:cs="Times New Roman"/>
          <w:noProof/>
          <w:sz w:val="24"/>
          <w:szCs w:val="24"/>
        </w:rPr>
        <w:t xml:space="preserve"> return. However, limited complementarity was found with reintegration policies funded by other EU instruments, such as the European Social Fund, with a potential risk for overlaps. </w:t>
      </w:r>
    </w:p>
    <w:p w:rsidR="00C03D42" w:rsidRDefault="00C03D42">
      <w:pPr>
        <w:autoSpaceDE w:val="0"/>
        <w:autoSpaceDN w:val="0"/>
        <w:adjustRightInd w:val="0"/>
        <w:spacing w:after="0"/>
        <w:jc w:val="both"/>
        <w:rPr>
          <w:rFonts w:ascii="Times New Roman" w:hAnsi="Times New Roman" w:cs="Times New Roman"/>
          <w:noProof/>
          <w:sz w:val="24"/>
        </w:rPr>
      </w:pP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Finally, </w:t>
      </w:r>
      <w:r>
        <w:rPr>
          <w:rFonts w:ascii="Times New Roman" w:hAnsi="Times New Roman" w:cs="Times New Roman"/>
          <w:noProof/>
          <w:sz w:val="24"/>
          <w:szCs w:val="24"/>
        </w:rPr>
        <w:t xml:space="preserve">Member States </w:t>
      </w:r>
      <w:r>
        <w:rPr>
          <w:rFonts w:ascii="Times New Roman" w:hAnsi="Times New Roman" w:cs="Times New Roman"/>
          <w:noProof/>
          <w:sz w:val="24"/>
        </w:rPr>
        <w:t>reported that the Fund added value in different w</w:t>
      </w:r>
      <w:r>
        <w:rPr>
          <w:rFonts w:ascii="Times New Roman" w:hAnsi="Times New Roman" w:cs="Times New Roman"/>
          <w:noProof/>
          <w:sz w:val="24"/>
        </w:rPr>
        <w:t xml:space="preserve">ays, providing </w:t>
      </w:r>
      <w:r>
        <w:rPr>
          <w:rFonts w:ascii="Times New Roman" w:hAnsi="Times New Roman" w:cs="Times New Roman"/>
          <w:noProof/>
          <w:sz w:val="24"/>
          <w:szCs w:val="24"/>
        </w:rPr>
        <w:t xml:space="preserve">Member States </w:t>
      </w:r>
      <w:r>
        <w:rPr>
          <w:rFonts w:ascii="Times New Roman" w:hAnsi="Times New Roman" w:cs="Times New Roman"/>
          <w:noProof/>
          <w:sz w:val="24"/>
        </w:rPr>
        <w:t xml:space="preserve">with the means to fund new projects or to enhance those already in effect and encouraging the recourse to voluntary return over forced return. </w:t>
      </w:r>
      <w:r>
        <w:rPr>
          <w:rFonts w:ascii="Times New Roman" w:hAnsi="Times New Roman" w:cs="Times New Roman"/>
          <w:noProof/>
          <w:sz w:val="24"/>
          <w:szCs w:val="24"/>
        </w:rPr>
        <w:t xml:space="preserve">Member States </w:t>
      </w:r>
      <w:r>
        <w:rPr>
          <w:rFonts w:ascii="Times New Roman" w:hAnsi="Times New Roman" w:cs="Times New Roman"/>
          <w:noProof/>
          <w:sz w:val="24"/>
        </w:rPr>
        <w:t>reported that the RF had the effect of developing their assisted volun</w:t>
      </w:r>
      <w:r>
        <w:rPr>
          <w:rFonts w:ascii="Times New Roman" w:hAnsi="Times New Roman" w:cs="Times New Roman"/>
          <w:noProof/>
          <w:sz w:val="24"/>
        </w:rPr>
        <w:t>tary return system to an extent which would have not been possible in its absence, by implementing systematic reintegration grants, monitoring the return to third-countries, building supporting networks for reintegration and disseminating information and b</w:t>
      </w:r>
      <w:r>
        <w:rPr>
          <w:rFonts w:ascii="Times New Roman" w:hAnsi="Times New Roman" w:cs="Times New Roman"/>
          <w:noProof/>
          <w:sz w:val="24"/>
        </w:rPr>
        <w:t xml:space="preserve">y raising awareness on return-related issues. However, most </w:t>
      </w:r>
      <w:r>
        <w:rPr>
          <w:rFonts w:ascii="Times New Roman" w:hAnsi="Times New Roman" w:cs="Times New Roman"/>
          <w:noProof/>
          <w:sz w:val="24"/>
          <w:szCs w:val="24"/>
        </w:rPr>
        <w:t xml:space="preserve">Member States </w:t>
      </w:r>
      <w:r>
        <w:rPr>
          <w:rFonts w:ascii="Times New Roman" w:hAnsi="Times New Roman" w:cs="Times New Roman"/>
          <w:noProof/>
          <w:sz w:val="24"/>
        </w:rPr>
        <w:t>reported that forced returns would probably have been carried out in the absence of the RF to the same scale. Additionally, the Fund allowed for different and innovative approaches i</w:t>
      </w:r>
      <w:r>
        <w:rPr>
          <w:rFonts w:ascii="Times New Roman" w:hAnsi="Times New Roman" w:cs="Times New Roman"/>
          <w:noProof/>
          <w:sz w:val="24"/>
        </w:rPr>
        <w:t xml:space="preserve">n return management. It facilitated the involvement of new stakeholders and contributed to the achievement of EU standards and requirements. </w:t>
      </w:r>
    </w:p>
    <w:p w:rsidR="00C03D42" w:rsidRDefault="00C03D42">
      <w:pPr>
        <w:autoSpaceDE w:val="0"/>
        <w:autoSpaceDN w:val="0"/>
        <w:adjustRightInd w:val="0"/>
        <w:spacing w:after="0"/>
        <w:jc w:val="both"/>
        <w:rPr>
          <w:rFonts w:ascii="Times New Roman" w:hAnsi="Times New Roman" w:cs="Times New Roman"/>
          <w:noProof/>
          <w:sz w:val="24"/>
        </w:rPr>
      </w:pP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Findings related to the period 2008-10 are similar to the ones above, notably on the relevance and effectiveness </w:t>
      </w:r>
      <w:r>
        <w:rPr>
          <w:rFonts w:ascii="Times New Roman" w:hAnsi="Times New Roman" w:cs="Times New Roman"/>
          <w:noProof/>
          <w:sz w:val="24"/>
        </w:rPr>
        <w:t xml:space="preserve">of the Funds. The average absorption rate was higher in 2011-13 (81%) than in 2008-10 (70%), which suggests that stakeholders developed greater expertise over the period studied. For both periods, the largest allocations were granted to the four </w:t>
      </w:r>
      <w:r>
        <w:rPr>
          <w:rFonts w:ascii="Times New Roman" w:hAnsi="Times New Roman" w:cs="Times New Roman"/>
          <w:noProof/>
          <w:sz w:val="24"/>
          <w:szCs w:val="24"/>
        </w:rPr>
        <w:t>Member Sta</w:t>
      </w:r>
      <w:r>
        <w:rPr>
          <w:rFonts w:ascii="Times New Roman" w:hAnsi="Times New Roman" w:cs="Times New Roman"/>
          <w:noProof/>
          <w:sz w:val="24"/>
          <w:szCs w:val="24"/>
        </w:rPr>
        <w:t xml:space="preserve">tes </w:t>
      </w:r>
      <w:r>
        <w:rPr>
          <w:rFonts w:ascii="Times New Roman" w:hAnsi="Times New Roman" w:cs="Times New Roman"/>
          <w:noProof/>
          <w:sz w:val="24"/>
        </w:rPr>
        <w:t>with the highest influxes of irregular migrants and number of returnees, namely Greece, the United Kingdom, Spain and France.</w:t>
      </w:r>
    </w:p>
    <w:p w:rsidR="00C03D42" w:rsidRDefault="006F6707">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 </w:t>
      </w:r>
    </w:p>
    <w:p w:rsidR="00C03D42" w:rsidRDefault="006F6707">
      <w:pPr>
        <w:keepNext/>
        <w:keepLines/>
        <w:rPr>
          <w:rFonts w:ascii="Times New Roman" w:hAnsi="Times New Roman" w:cs="Times New Roman"/>
          <w:b/>
          <w:noProof/>
          <w:sz w:val="28"/>
          <w:szCs w:val="28"/>
        </w:rPr>
      </w:pPr>
      <w:r>
        <w:rPr>
          <w:rFonts w:ascii="Times New Roman" w:hAnsi="Times New Roman" w:cs="Times New Roman"/>
          <w:b/>
          <w:noProof/>
          <w:sz w:val="28"/>
          <w:szCs w:val="28"/>
        </w:rPr>
        <w:t>3</w:t>
      </w:r>
      <w:r>
        <w:rPr>
          <w:rFonts w:ascii="Times New Roman" w:hAnsi="Times New Roman" w:cs="Times New Roman"/>
          <w:b/>
          <w:noProof/>
          <w:sz w:val="28"/>
          <w:szCs w:val="28"/>
        </w:rPr>
        <w:tab/>
        <w:t>WAY FORWARD</w:t>
      </w:r>
    </w:p>
    <w:p w:rsidR="00C03D42" w:rsidRDefault="00C03D42">
      <w:pPr>
        <w:pStyle w:val="BodyText"/>
        <w:keepNext/>
        <w:keepLines/>
        <w:spacing w:after="0" w:line="276" w:lineRule="auto"/>
        <w:rPr>
          <w:noProof/>
          <w:color w:val="0000FF"/>
          <w:szCs w:val="24"/>
        </w:rPr>
      </w:pPr>
    </w:p>
    <w:p w:rsidR="00C03D42" w:rsidRDefault="006F6707">
      <w:pPr>
        <w:pStyle w:val="BodyText"/>
        <w:keepNext/>
        <w:keepLines/>
        <w:spacing w:after="0" w:line="276" w:lineRule="auto"/>
        <w:rPr>
          <w:noProof/>
          <w:szCs w:val="24"/>
        </w:rPr>
      </w:pPr>
      <w:r>
        <w:rPr>
          <w:noProof/>
          <w:szCs w:val="24"/>
        </w:rPr>
        <w:t>Considering the findings of the evaluation, the Commission identified some main lessons learned. Some correct</w:t>
      </w:r>
      <w:r>
        <w:rPr>
          <w:noProof/>
          <w:szCs w:val="24"/>
        </w:rPr>
        <w:t>ive measures have already been adopted in the AMIF and the ISF while others are given due consideration in the preparation of the next generation of Funds.</w:t>
      </w:r>
    </w:p>
    <w:p w:rsidR="00C03D42" w:rsidRDefault="00C03D42">
      <w:pPr>
        <w:pStyle w:val="BodyText"/>
        <w:keepNext/>
        <w:keepLines/>
        <w:spacing w:after="0" w:line="276" w:lineRule="auto"/>
        <w:rPr>
          <w:noProof/>
          <w:szCs w:val="24"/>
        </w:rPr>
      </w:pPr>
    </w:p>
    <w:p w:rsidR="00C03D42" w:rsidRDefault="006F6707">
      <w:pPr>
        <w:pStyle w:val="BodyText"/>
        <w:keepNext/>
        <w:keepLines/>
        <w:spacing w:after="0" w:line="276" w:lineRule="auto"/>
        <w:rPr>
          <w:b/>
          <w:noProof/>
          <w:szCs w:val="24"/>
        </w:rPr>
      </w:pPr>
      <w:r>
        <w:rPr>
          <w:b/>
          <w:noProof/>
          <w:szCs w:val="24"/>
        </w:rPr>
        <w:t>Administrative burden</w:t>
      </w:r>
    </w:p>
    <w:p w:rsidR="00C03D42" w:rsidRDefault="006F6707">
      <w:pPr>
        <w:pStyle w:val="BodyText"/>
        <w:keepNext/>
        <w:keepLines/>
        <w:spacing w:after="0" w:line="276" w:lineRule="auto"/>
        <w:rPr>
          <w:noProof/>
          <w:szCs w:val="24"/>
        </w:rPr>
      </w:pPr>
      <w:r>
        <w:rPr>
          <w:noProof/>
          <w:szCs w:val="24"/>
        </w:rPr>
        <w:t xml:space="preserve">The evaluation showed that the architecture of the Funds was too complex and </w:t>
      </w:r>
      <w:r>
        <w:rPr>
          <w:noProof/>
          <w:szCs w:val="24"/>
        </w:rPr>
        <w:t>that the annual programming cycle and the implementation of the Funds were perceived as a high administrative burden. This was also emphasised in the impact assessment accompanying the setting up of AMIF and ISF</w:t>
      </w:r>
      <w:r>
        <w:rPr>
          <w:rStyle w:val="FootnoteReference"/>
          <w:noProof/>
          <w:szCs w:val="24"/>
        </w:rPr>
        <w:footnoteReference w:id="27"/>
      </w:r>
      <w:r>
        <w:rPr>
          <w:noProof/>
          <w:szCs w:val="24"/>
        </w:rPr>
        <w:t>. To address this shortcoming, a single Fund</w:t>
      </w:r>
      <w:r>
        <w:rPr>
          <w:noProof/>
          <w:szCs w:val="24"/>
        </w:rPr>
        <w:t xml:space="preserve"> (AMIF) was set up to cover all migration aspects (replacing three Funds with their own legal basis and implementing rules), a single national programme per Fund covering the whole 2014-20 period was adopted for each Member States, simplified cost options </w:t>
      </w:r>
      <w:r>
        <w:rPr>
          <w:noProof/>
          <w:szCs w:val="24"/>
        </w:rPr>
        <w:t xml:space="preserve">were introduced and eligibility rules were aligned to the national rules of the Member States.  </w:t>
      </w:r>
    </w:p>
    <w:p w:rsidR="00C03D42" w:rsidRDefault="00C03D42">
      <w:pPr>
        <w:pStyle w:val="BodyText"/>
        <w:spacing w:after="0" w:line="276" w:lineRule="auto"/>
        <w:rPr>
          <w:noProof/>
          <w:szCs w:val="24"/>
        </w:rPr>
      </w:pPr>
    </w:p>
    <w:p w:rsidR="00C03D42" w:rsidRDefault="006F6707">
      <w:pPr>
        <w:pStyle w:val="BodyText"/>
        <w:spacing w:after="0" w:line="276" w:lineRule="auto"/>
        <w:rPr>
          <w:b/>
          <w:noProof/>
          <w:szCs w:val="24"/>
        </w:rPr>
      </w:pPr>
      <w:r>
        <w:rPr>
          <w:b/>
          <w:noProof/>
          <w:szCs w:val="24"/>
        </w:rPr>
        <w:t>Monitoring and evaluation</w:t>
      </w:r>
    </w:p>
    <w:p w:rsidR="00C03D42" w:rsidRDefault="006F6707">
      <w:pPr>
        <w:pStyle w:val="BodyText"/>
        <w:spacing w:after="0" w:line="276" w:lineRule="auto"/>
        <w:rPr>
          <w:noProof/>
          <w:szCs w:val="24"/>
        </w:rPr>
      </w:pPr>
      <w:r>
        <w:rPr>
          <w:noProof/>
          <w:szCs w:val="24"/>
        </w:rPr>
        <w:t>The absence of effective monitoring and evaluation mechanisms, common to all Member States, with baselines and targets, was a critic</w:t>
      </w:r>
      <w:r>
        <w:rPr>
          <w:noProof/>
          <w:szCs w:val="24"/>
        </w:rPr>
        <w:t>al issue for the evaluation of the SOLID Funds. This problem was addressed for the AMIF and ISF, with a first list of common indicators included in the legal base and a common monitoring and evaluation framework</w:t>
      </w:r>
      <w:r>
        <w:rPr>
          <w:rStyle w:val="FootnoteReference"/>
          <w:noProof/>
          <w:szCs w:val="24"/>
        </w:rPr>
        <w:footnoteReference w:id="28"/>
      </w:r>
      <w:r>
        <w:rPr>
          <w:noProof/>
          <w:szCs w:val="24"/>
        </w:rPr>
        <w:t xml:space="preserve"> providing evaluation questions, result and </w:t>
      </w:r>
      <w:r>
        <w:rPr>
          <w:noProof/>
          <w:szCs w:val="24"/>
        </w:rPr>
        <w:t xml:space="preserve">impact indicators and </w:t>
      </w:r>
      <w:r>
        <w:rPr>
          <w:noProof/>
        </w:rPr>
        <w:t>indicators on efficiency, added value and sustainability</w:t>
      </w:r>
      <w:r>
        <w:rPr>
          <w:rStyle w:val="FootnoteReference"/>
          <w:noProof/>
        </w:rPr>
        <w:footnoteReference w:id="29"/>
      </w:r>
      <w:r>
        <w:rPr>
          <w:noProof/>
        </w:rPr>
        <w:t>. A</w:t>
      </w:r>
      <w:r>
        <w:rPr>
          <w:noProof/>
          <w:szCs w:val="24"/>
        </w:rPr>
        <w:t xml:space="preserve"> guidance document</w:t>
      </w:r>
      <w:r>
        <w:rPr>
          <w:rStyle w:val="FootnoteReference"/>
          <w:noProof/>
          <w:szCs w:val="24"/>
        </w:rPr>
        <w:footnoteReference w:id="30"/>
      </w:r>
      <w:r>
        <w:rPr>
          <w:noProof/>
          <w:szCs w:val="24"/>
        </w:rPr>
        <w:t xml:space="preserve">, an active network of Member States evaluation coordinators and a specific IT system (SFC) to report on evaluation were also set up. </w:t>
      </w:r>
    </w:p>
    <w:p w:rsidR="00C03D42" w:rsidRDefault="00C03D42">
      <w:pPr>
        <w:pStyle w:val="BodyText"/>
        <w:spacing w:after="0" w:line="276" w:lineRule="auto"/>
        <w:rPr>
          <w:noProof/>
          <w:szCs w:val="24"/>
        </w:rPr>
      </w:pPr>
    </w:p>
    <w:p w:rsidR="00C03D42" w:rsidRDefault="006F6707">
      <w:pPr>
        <w:pStyle w:val="BodyText"/>
        <w:spacing w:after="0" w:line="276" w:lineRule="auto"/>
        <w:rPr>
          <w:b/>
          <w:noProof/>
          <w:szCs w:val="24"/>
        </w:rPr>
      </w:pPr>
      <w:r>
        <w:rPr>
          <w:b/>
          <w:noProof/>
          <w:szCs w:val="24"/>
        </w:rPr>
        <w:t>Allocation mechanis</w:t>
      </w:r>
      <w:r>
        <w:rPr>
          <w:b/>
          <w:noProof/>
          <w:szCs w:val="24"/>
        </w:rPr>
        <w:t>m</w:t>
      </w:r>
    </w:p>
    <w:p w:rsidR="00C03D42" w:rsidRDefault="006F6707">
      <w:pPr>
        <w:pStyle w:val="BodyText"/>
        <w:spacing w:after="0" w:line="276" w:lineRule="auto"/>
        <w:rPr>
          <w:noProof/>
          <w:szCs w:val="24"/>
        </w:rPr>
      </w:pPr>
      <w:r>
        <w:rPr>
          <w:noProof/>
          <w:szCs w:val="24"/>
        </w:rPr>
        <w:t xml:space="preserve">The allocation mechanism based on historic data and inflows could not take into account more recent and sudden changes in migratory pressure. Under AMIF and ISF-Borders and Visa the distribution key is still based on the 2011-13 allocations for the ERF, </w:t>
      </w:r>
      <w:r>
        <w:rPr>
          <w:noProof/>
          <w:szCs w:val="24"/>
        </w:rPr>
        <w:t>the EIF and the RF and on the 2010-12 allocations for EBF. Some flexibility is ensured by the more considerable envelope allocated for emergency assistance. For example, Bulgaria was granted under AMIF and ISF-Borders and Visa an allocation of respectively</w:t>
      </w:r>
      <w:r>
        <w:rPr>
          <w:noProof/>
          <w:szCs w:val="24"/>
        </w:rPr>
        <w:t xml:space="preserve"> EUR 20.5 and 41 million, but was granted under emergency assistance a total of EUR 170 million under the two Funds (up to October 2017) to support its response to unexpected migratory pressure. However, despite increased flexibility, the unbalanced distri</w:t>
      </w:r>
      <w:r>
        <w:rPr>
          <w:noProof/>
          <w:szCs w:val="24"/>
        </w:rPr>
        <w:t>bution key remains an important issue which would still need to be addressed in the next Multiannual Financial Framework.</w:t>
      </w:r>
    </w:p>
    <w:p w:rsidR="00C03D42" w:rsidRDefault="00C03D42">
      <w:pPr>
        <w:pStyle w:val="BodyText"/>
        <w:spacing w:after="0" w:line="276" w:lineRule="auto"/>
        <w:rPr>
          <w:noProof/>
          <w:szCs w:val="24"/>
        </w:rPr>
      </w:pPr>
    </w:p>
    <w:p w:rsidR="00C03D42" w:rsidRDefault="006F6707">
      <w:pPr>
        <w:pStyle w:val="BodyText"/>
        <w:spacing w:after="0" w:line="276" w:lineRule="auto"/>
        <w:rPr>
          <w:b/>
          <w:noProof/>
          <w:szCs w:val="24"/>
        </w:rPr>
      </w:pPr>
      <w:r>
        <w:rPr>
          <w:b/>
          <w:noProof/>
          <w:szCs w:val="24"/>
        </w:rPr>
        <w:t>Solidarity: resettlement and transfer of beneficiaries of international protection</w:t>
      </w:r>
    </w:p>
    <w:p w:rsidR="00C03D42" w:rsidRDefault="006F6707">
      <w:pPr>
        <w:pStyle w:val="BodyText"/>
        <w:spacing w:after="0" w:line="276" w:lineRule="auto"/>
        <w:rPr>
          <w:noProof/>
          <w:color w:val="0000FF"/>
          <w:szCs w:val="24"/>
        </w:rPr>
      </w:pPr>
      <w:r>
        <w:rPr>
          <w:noProof/>
          <w:szCs w:val="24"/>
        </w:rPr>
        <w:t>The evaluation found that the principles of solida</w:t>
      </w:r>
      <w:r>
        <w:rPr>
          <w:noProof/>
          <w:szCs w:val="24"/>
        </w:rPr>
        <w:t>rity and responsibility-sharing at EU level could be optimised for resettlement and intra-EU transfer of beneficiaries of international protection. For the latter, Member States preferred to use their allocation for actions addressing their own specific ne</w:t>
      </w:r>
      <w:r>
        <w:rPr>
          <w:noProof/>
          <w:szCs w:val="24"/>
        </w:rPr>
        <w:t>eds and the ERF did not foresee additional financial incentives per person transferred. For resettlement, there was a financial incentive (EUR 4 000 to 6 000) but it proved insufficient to cover the cost of resettling a person. AMIF has addressed these sho</w:t>
      </w:r>
      <w:r>
        <w:rPr>
          <w:noProof/>
          <w:szCs w:val="24"/>
        </w:rPr>
        <w:t>rtcomings to a limited extent with additional funding in the form of increased lump sums (EUR 6 000 to 10 000) and a system of pledging which brings political attention to bear.</w:t>
      </w:r>
    </w:p>
    <w:p w:rsidR="00C03D42" w:rsidRDefault="00C03D42">
      <w:pPr>
        <w:pStyle w:val="BodyText"/>
        <w:spacing w:after="0" w:line="276" w:lineRule="auto"/>
        <w:rPr>
          <w:noProof/>
          <w:color w:val="0000FF"/>
          <w:szCs w:val="24"/>
        </w:rPr>
      </w:pPr>
    </w:p>
    <w:p w:rsidR="00C03D42" w:rsidRDefault="006F6707">
      <w:pPr>
        <w:pStyle w:val="BodyText"/>
        <w:spacing w:after="0" w:line="276" w:lineRule="auto"/>
        <w:rPr>
          <w:b/>
          <w:noProof/>
          <w:szCs w:val="24"/>
        </w:rPr>
      </w:pPr>
      <w:r>
        <w:rPr>
          <w:b/>
          <w:noProof/>
          <w:szCs w:val="24"/>
        </w:rPr>
        <w:t>Steering of the implementation towards EU priorities</w:t>
      </w:r>
    </w:p>
    <w:p w:rsidR="00C03D42" w:rsidRDefault="006F6707">
      <w:pPr>
        <w:pStyle w:val="BodyText"/>
        <w:spacing w:after="0" w:line="276" w:lineRule="auto"/>
        <w:rPr>
          <w:noProof/>
          <w:szCs w:val="24"/>
        </w:rPr>
      </w:pPr>
      <w:r>
        <w:rPr>
          <w:noProof/>
          <w:szCs w:val="24"/>
        </w:rPr>
        <w:t>The evaluation showed th</w:t>
      </w:r>
      <w:r>
        <w:rPr>
          <w:noProof/>
          <w:szCs w:val="24"/>
        </w:rPr>
        <w:t>at Member States allocated little funding to some of the priorities, thereby limiting the effects of the Funds in certain areas (e.g. consular cooperation, transfer and resettlement, cooperation with countries of return or cooperation between Member States</w:t>
      </w:r>
      <w:r>
        <w:rPr>
          <w:noProof/>
          <w:szCs w:val="24"/>
        </w:rPr>
        <w:t xml:space="preserve"> on integration). The AMIF and ISF already feature some improvements which help better steer implementation towards EU priorities, such as financial incentives (increased co-financing rates and higher lump sums), additional funding for Specific Actions and</w:t>
      </w:r>
      <w:r>
        <w:rPr>
          <w:noProof/>
          <w:szCs w:val="24"/>
        </w:rPr>
        <w:t xml:space="preserve"> top-ups to the allocation of all Member States for specific EU policy priorities.</w:t>
      </w:r>
    </w:p>
    <w:p w:rsidR="00C03D42" w:rsidRDefault="00C03D42">
      <w:pPr>
        <w:pStyle w:val="BodyText"/>
        <w:spacing w:after="0" w:line="276" w:lineRule="auto"/>
        <w:rPr>
          <w:noProof/>
          <w:color w:val="0000FF"/>
          <w:szCs w:val="24"/>
        </w:rPr>
      </w:pPr>
    </w:p>
    <w:sectPr w:rsidR="00C03D4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42" w:rsidRDefault="006F6707">
      <w:pPr>
        <w:spacing w:after="0" w:line="240" w:lineRule="auto"/>
      </w:pPr>
      <w:r>
        <w:separator/>
      </w:r>
    </w:p>
  </w:endnote>
  <w:endnote w:type="continuationSeparator" w:id="0">
    <w:p w:rsidR="00C03D42" w:rsidRDefault="006F6707">
      <w:pPr>
        <w:spacing w:after="0" w:line="240" w:lineRule="auto"/>
      </w:pPr>
      <w:r>
        <w:continuationSeparator/>
      </w:r>
    </w:p>
  </w:endnote>
  <w:endnote w:type="continuationNotice" w:id="1">
    <w:p w:rsidR="00C03D42" w:rsidRDefault="00C03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07" w:rsidRPr="006F6707" w:rsidRDefault="006F6707" w:rsidP="006F6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07" w:rsidRPr="006F6707" w:rsidRDefault="006F6707" w:rsidP="006F6707">
    <w:pPr>
      <w:pStyle w:val="FooterCoverPage"/>
      <w:rPr>
        <w:rFonts w:ascii="Arial" w:hAnsi="Arial" w:cs="Arial"/>
        <w:b/>
        <w:sz w:val="48"/>
      </w:rPr>
    </w:pPr>
    <w:r w:rsidRPr="006F6707">
      <w:rPr>
        <w:rFonts w:ascii="Arial" w:hAnsi="Arial" w:cs="Arial"/>
        <w:b/>
        <w:sz w:val="48"/>
      </w:rPr>
      <w:t>EN</w:t>
    </w:r>
    <w:r w:rsidRPr="006F6707">
      <w:rPr>
        <w:rFonts w:ascii="Arial" w:hAnsi="Arial" w:cs="Arial"/>
        <w:b/>
        <w:sz w:val="48"/>
      </w:rPr>
      <w:tab/>
    </w:r>
    <w:r w:rsidRPr="006F6707">
      <w:rPr>
        <w:rFonts w:ascii="Arial" w:hAnsi="Arial" w:cs="Arial"/>
        <w:b/>
        <w:sz w:val="48"/>
      </w:rPr>
      <w:tab/>
    </w:r>
    <w:r w:rsidRPr="006F6707">
      <w:tab/>
    </w:r>
    <w:r w:rsidRPr="006F670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07" w:rsidRPr="006F6707" w:rsidRDefault="006F6707" w:rsidP="006F670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2" w:rsidRDefault="00C03D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9520"/>
      <w:docPartObj>
        <w:docPartGallery w:val="Page Numbers (Bottom of Page)"/>
        <w:docPartUnique/>
      </w:docPartObj>
    </w:sdtPr>
    <w:sdtEndPr>
      <w:rPr>
        <w:noProof/>
      </w:rPr>
    </w:sdtEndPr>
    <w:sdtContent>
      <w:p w:rsidR="00C03D42" w:rsidRDefault="006F67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3D42" w:rsidRDefault="00C03D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2" w:rsidRDefault="00C03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42" w:rsidRDefault="006F6707">
      <w:pPr>
        <w:spacing w:after="0" w:line="240" w:lineRule="auto"/>
      </w:pPr>
      <w:r>
        <w:separator/>
      </w:r>
    </w:p>
  </w:footnote>
  <w:footnote w:type="continuationSeparator" w:id="0">
    <w:p w:rsidR="00C03D42" w:rsidRDefault="006F6707">
      <w:pPr>
        <w:spacing w:after="0" w:line="240" w:lineRule="auto"/>
      </w:pPr>
      <w:r>
        <w:continuationSeparator/>
      </w:r>
    </w:p>
  </w:footnote>
  <w:footnote w:type="continuationNotice" w:id="1">
    <w:p w:rsidR="00C03D42" w:rsidRDefault="00C03D42">
      <w:pPr>
        <w:spacing w:after="0" w:line="240" w:lineRule="auto"/>
      </w:pPr>
    </w:p>
  </w:footnote>
  <w:footnote w:id="2">
    <w:p w:rsidR="00C03D42" w:rsidRDefault="006F6707">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Communication from the Commission to the Council and the European Parliament establishing a framework programme on solidarity </w:t>
      </w:r>
      <w:r>
        <w:rPr>
          <w:rFonts w:ascii="Times New Roman" w:hAnsi="Times New Roman" w:cs="Times New Roman"/>
          <w:sz w:val="20"/>
          <w:szCs w:val="20"/>
        </w:rPr>
        <w:t>and management of migration flows for the period 2007-2013, COM(2005) 123 final.</w:t>
      </w:r>
    </w:p>
  </w:footnote>
  <w:footnote w:id="3">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Decision No 573/2007/EC </w:t>
      </w:r>
      <w:r>
        <w:rPr>
          <w:rFonts w:ascii="Times New Roman" w:hAnsi="Times New Roman" w:cs="Times New Roman"/>
          <w:sz w:val="20"/>
          <w:szCs w:val="20"/>
        </w:rPr>
        <w:t xml:space="preserve">of </w:t>
      </w:r>
      <w:r>
        <w:rPr>
          <w:rFonts w:ascii="Times New Roman" w:hAnsi="Times New Roman" w:cs="Times New Roman"/>
          <w:bCs/>
          <w:sz w:val="20"/>
          <w:szCs w:val="20"/>
        </w:rPr>
        <w:t>23 May 2007 establishing the ERF for the period 2008 to 2013 as part of the General programme ‘Solidarity and Management of Migration Flows’.</w:t>
      </w:r>
    </w:p>
  </w:footnote>
  <w:footnote w:id="4">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Decision No 574/2007/EC </w:t>
      </w:r>
      <w:r>
        <w:rPr>
          <w:rFonts w:ascii="Times New Roman" w:hAnsi="Times New Roman" w:cs="Times New Roman"/>
          <w:sz w:val="20"/>
          <w:szCs w:val="20"/>
        </w:rPr>
        <w:t xml:space="preserve">of </w:t>
      </w:r>
      <w:r>
        <w:rPr>
          <w:rFonts w:ascii="Times New Roman" w:hAnsi="Times New Roman" w:cs="Times New Roman"/>
          <w:bCs/>
          <w:sz w:val="20"/>
          <w:szCs w:val="20"/>
        </w:rPr>
        <w:t>23 May 2007 establishing the EBF for the period 2007 to 2013 as part of the General programme ‘Solidarity and Management of Migration Flows’.</w:t>
      </w:r>
    </w:p>
  </w:footnote>
  <w:footnote w:id="5">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Council Decision 435/2007/EC of 25 June 2007 establishing the EIF for the period 200</w:t>
      </w:r>
      <w:r>
        <w:rPr>
          <w:rFonts w:ascii="Times New Roman" w:hAnsi="Times New Roman" w:cs="Times New Roman"/>
          <w:bCs/>
          <w:sz w:val="20"/>
          <w:szCs w:val="20"/>
        </w:rPr>
        <w:t>7 to 2013 as part of the General programme ‘Solidarity and Management of Migration Flows’.</w:t>
      </w:r>
    </w:p>
  </w:footnote>
  <w:footnote w:id="6">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575/2007/EC of 23 May 2007 establishing the RF for the period 2008 to 2013 as part of the General Programme ‘Solidarity and Management of Migration Fl</w:t>
      </w:r>
      <w:r>
        <w:rPr>
          <w:rFonts w:ascii="Times New Roman" w:hAnsi="Times New Roman" w:cs="Times New Roman"/>
          <w:sz w:val="20"/>
          <w:szCs w:val="20"/>
        </w:rPr>
        <w:t>ows’.</w:t>
      </w:r>
    </w:p>
  </w:footnote>
  <w:footnote w:id="7">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Report from the Commission to the European Parliament, the Council, the European Economic and Social Committee of the Regions on the ex post evaluation of the EBF for the period 2007-2010, 23 April 2014, COM(2014)235. Report from the Commission to</w:t>
      </w:r>
      <w:r>
        <w:rPr>
          <w:rFonts w:ascii="Times New Roman" w:hAnsi="Times New Roman" w:cs="Times New Roman"/>
          <w:sz w:val="20"/>
          <w:szCs w:val="20"/>
        </w:rPr>
        <w:t xml:space="preserve"> the European Parliament, the Council, the European Economic and Social Committee of the Regions on the ex-post evaluation of the RF for the period 2008-2010, 23 April 2014, COM(2014)230. For ERF and EIF, the present report aims at reporting on the period </w:t>
      </w:r>
      <w:r>
        <w:rPr>
          <w:rFonts w:ascii="Times New Roman" w:hAnsi="Times New Roman" w:cs="Times New Roman"/>
          <w:sz w:val="20"/>
          <w:szCs w:val="20"/>
        </w:rPr>
        <w:t xml:space="preserve">2007-10 as well. </w:t>
      </w:r>
    </w:p>
  </w:footnote>
  <w:footnote w:id="8">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Style w:val="Strong"/>
          <w:rFonts w:ascii="Times New Roman" w:hAnsi="Times New Roman" w:cs="Times New Roman"/>
          <w:b w:val="0"/>
          <w:sz w:val="20"/>
          <w:szCs w:val="20"/>
        </w:rPr>
        <w:t>Regulation (EU) No 514/2014 of 16 April 2014 laying down general provisions on the AMIF and on the instrument for financial support for police cooperation, preventing and combating crime, and crisis management; Regulation (EU) No 515</w:t>
      </w:r>
      <w:r>
        <w:rPr>
          <w:rStyle w:val="Strong"/>
          <w:rFonts w:ascii="Times New Roman" w:hAnsi="Times New Roman" w:cs="Times New Roman"/>
          <w:b w:val="0"/>
          <w:sz w:val="20"/>
          <w:szCs w:val="20"/>
        </w:rPr>
        <w:t>/2014 of 16 April 2014 establishing, as part of the ISF, the instrument for financial support for external borders and visa; Regulation (EU) No 516/2014 of 16 April 2014 establishing the AMIF.</w:t>
      </w:r>
    </w:p>
  </w:footnote>
  <w:footnote w:id="9">
    <w:p w:rsidR="00C03D42" w:rsidRDefault="006F6707">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Strong"/>
          <w:rFonts w:ascii="Times New Roman" w:hAnsi="Times New Roman" w:cs="Times New Roman"/>
          <w:b w:val="0"/>
          <w:sz w:val="20"/>
          <w:szCs w:val="20"/>
        </w:rPr>
        <w:t>Regulation (EU) No 513/2014 of 16 April 2014 establishing, a</w:t>
      </w:r>
      <w:r>
        <w:rPr>
          <w:rStyle w:val="Strong"/>
          <w:rFonts w:ascii="Times New Roman" w:hAnsi="Times New Roman" w:cs="Times New Roman"/>
          <w:b w:val="0"/>
          <w:sz w:val="20"/>
          <w:szCs w:val="20"/>
        </w:rPr>
        <w:t>s part of the ISF, the instrument for financial support for financial support for police cooperation, preventing and combating crime, and crisis management.</w:t>
      </w:r>
    </w:p>
  </w:footnote>
  <w:footnote w:id="10">
    <w:p w:rsidR="00C03D42" w:rsidRDefault="006F6707">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FootnoteTextChar"/>
          <w:rFonts w:ascii="Times New Roman" w:eastAsiaTheme="minorHAnsi" w:hAnsi="Times New Roman" w:cs="Times New Roman"/>
          <w:sz w:val="20"/>
          <w:szCs w:val="20"/>
        </w:rPr>
        <w:t>Decision No 574/2007/EC, Art. 3.</w:t>
      </w:r>
    </w:p>
  </w:footnote>
  <w:footnote w:id="11">
    <w:p w:rsidR="00C03D42" w:rsidRDefault="006F6707">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Decision No 435/2007/EC, Art. 2.</w:t>
      </w:r>
    </w:p>
  </w:footnote>
  <w:footnote w:id="12">
    <w:p w:rsidR="00C03D42" w:rsidRDefault="006F6707">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Decision No 573/2007/EC</w:t>
      </w:r>
      <w:r>
        <w:rPr>
          <w:rFonts w:ascii="Times New Roman" w:hAnsi="Times New Roman" w:cs="Times New Roman"/>
          <w:bCs/>
          <w:sz w:val="20"/>
          <w:szCs w:val="20"/>
        </w:rPr>
        <w:t>, Art. 2 and 3.</w:t>
      </w:r>
    </w:p>
  </w:footnote>
  <w:footnote w:id="13">
    <w:p w:rsidR="00C03D42" w:rsidRDefault="006F6707">
      <w:pPr>
        <w:autoSpaceDE w:val="0"/>
        <w:autoSpaceDN w:val="0"/>
        <w:adjustRightInd w:val="0"/>
        <w:spacing w:after="0" w:line="240" w:lineRule="auto"/>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573/2007/EC, Art. 3(6).</w:t>
      </w:r>
    </w:p>
  </w:footnote>
  <w:footnote w:id="14">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575/2007/EC, Art. 2 and 3.</w:t>
      </w:r>
    </w:p>
  </w:footnote>
  <w:footnote w:id="15">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w:t>
      </w:r>
      <w:r>
        <w:rPr>
          <w:rFonts w:ascii="Times New Roman" w:eastAsiaTheme="minorHAnsi" w:hAnsi="Times New Roman" w:cs="Times New Roman"/>
          <w:sz w:val="20"/>
          <w:szCs w:val="20"/>
        </w:rPr>
        <w:t>nnual programmes running from 1 January 2011 until 30 June 2015. This</w:t>
      </w:r>
      <w:r>
        <w:rPr>
          <w:rFonts w:ascii="Times New Roman" w:hAnsi="Times New Roman" w:cs="Times New Roman"/>
          <w:sz w:val="20"/>
          <w:szCs w:val="20"/>
        </w:rPr>
        <w:t xml:space="preserve"> also includes Community actions implemented under the 2010 Annual Work Programmes as </w:t>
      </w:r>
      <w:r>
        <w:rPr>
          <w:rFonts w:ascii="Times New Roman" w:hAnsi="Times New Roman" w:cs="Times New Roman"/>
          <w:sz w:val="20"/>
          <w:szCs w:val="20"/>
        </w:rPr>
        <w:t>their implementation started in January 2011.</w:t>
      </w:r>
    </w:p>
  </w:footnote>
  <w:footnote w:id="16">
    <w:p w:rsidR="00C03D42" w:rsidRDefault="006F6707">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Staff Working Document SEC(2005)435 of 6 April 2005.</w:t>
      </w:r>
    </w:p>
  </w:footnote>
  <w:footnote w:id="17">
    <w:p w:rsidR="00C03D42" w:rsidRDefault="006F6707">
      <w:pPr>
        <w:pStyle w:val="FootnoteText"/>
        <w:spacing w:after="0"/>
        <w:rPr>
          <w:rFonts w:ascii="Times New Roman" w:hAnsi="Times New Roman" w:cs="Times New Roman"/>
          <w:b/>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Eurostat [tps00191] - Asylum and first time asylum applicants - annual aggregated data – persons.</w:t>
      </w:r>
    </w:p>
  </w:footnote>
  <w:footnote w:id="18">
    <w:p w:rsidR="00C03D42" w:rsidRDefault="006F6707">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Eurostat [migr_eipre] - Third country </w:t>
      </w:r>
      <w:r>
        <w:rPr>
          <w:rFonts w:ascii="Times New Roman" w:hAnsi="Times New Roman" w:cs="Times New Roman"/>
          <w:sz w:val="20"/>
          <w:szCs w:val="20"/>
        </w:rPr>
        <w:t>nationals found to be illegally present - annual data.</w:t>
      </w:r>
    </w:p>
  </w:footnote>
  <w:footnote w:id="19">
    <w:p w:rsidR="00C03D42" w:rsidRDefault="006F6707">
      <w:pPr>
        <w:pStyle w:val="FootnoteText"/>
        <w:spacing w:after="0"/>
        <w:jc w:val="left"/>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https://publications.europa.eu/en/publi</w:t>
        </w:r>
        <w:r>
          <w:rPr>
            <w:rStyle w:val="Hyperlink"/>
            <w:rFonts w:ascii="Times New Roman" w:hAnsi="Times New Roman" w:cs="Times New Roman"/>
            <w:sz w:val="20"/>
            <w:szCs w:val="20"/>
          </w:rPr>
          <w:t>cation-detail/-/publication/38ae6def-51a1-11e8-be1d-01aa75ed71a1/language-en/format-PDF/source-70934237</w:t>
        </w:r>
      </w:hyperlink>
    </w:p>
  </w:footnote>
  <w:footnote w:id="20">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Schengen acquis is derived from the 1990 Schengen Convention, which abolished checks at the internal borders of a number of EU Member States by 1</w:t>
      </w:r>
      <w:r>
        <w:rPr>
          <w:rFonts w:ascii="Times New Roman" w:hAnsi="Times New Roman" w:cs="Times New Roman"/>
          <w:sz w:val="20"/>
          <w:szCs w:val="20"/>
        </w:rPr>
        <w:t xml:space="preserve">995, creating the 'Schengen Area'. </w:t>
      </w:r>
    </w:p>
  </w:footnote>
  <w:footnote w:id="21">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Respectively Visa Information System, Schengen Information System II and European Border Surveillance System. </w:t>
      </w:r>
    </w:p>
  </w:footnote>
  <w:footnote w:id="22">
    <w:p w:rsidR="00C03D42" w:rsidRDefault="006F6707">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This was due to factors such as a lower than expected interest from Member States, the instability of </w:t>
      </w:r>
      <w:r>
        <w:rPr>
          <w:rFonts w:ascii="Times New Roman" w:hAnsi="Times New Roman" w:cs="Times New Roman"/>
          <w:sz w:val="20"/>
          <w:szCs w:val="20"/>
        </w:rPr>
        <w:t>some regions which made cooperation with third countries difficult.</w:t>
      </w:r>
    </w:p>
  </w:footnote>
  <w:footnote w:id="23">
    <w:p w:rsidR="00C03D42" w:rsidRDefault="006F6707">
      <w:pPr>
        <w:pStyle w:val="FootnoteText"/>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the time referred to as Frontex.</w:t>
      </w:r>
    </w:p>
  </w:footnote>
  <w:footnote w:id="24">
    <w:p w:rsidR="00C03D42" w:rsidRDefault="006F6707">
      <w:pPr>
        <w:rPr>
          <w:color w:val="1F497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2" w:history="1">
        <w:r>
          <w:rPr>
            <w:rStyle w:val="Hyperlink"/>
            <w:rFonts w:ascii="Times New Roman" w:hAnsi="Times New Roman" w:cs="Times New Roman"/>
            <w:sz w:val="20"/>
            <w:szCs w:val="20"/>
          </w:rPr>
          <w:t>https://ec.europa.eu/home-    affairs/sites/homeaffairs/files/financing/fundings/pdf/integration/synthesis_of_the_national_evaluation_reports.pdf</w:t>
        </w:r>
      </w:hyperlink>
      <w:r>
        <w:rPr>
          <w:color w:val="1F497D"/>
        </w:rPr>
        <w:t xml:space="preserve"> </w:t>
      </w:r>
    </w:p>
    <w:p w:rsidR="00C03D42" w:rsidRDefault="00C03D42">
      <w:pPr>
        <w:pStyle w:val="FootnoteText"/>
        <w:rPr>
          <w:rFonts w:ascii="Times New Roman" w:hAnsi="Times New Roman" w:cs="Times New Roman"/>
          <w:sz w:val="20"/>
          <w:szCs w:val="20"/>
        </w:rPr>
      </w:pPr>
    </w:p>
    <w:p w:rsidR="00C03D42" w:rsidRDefault="00C03D42">
      <w:pPr>
        <w:pStyle w:val="FootnoteText"/>
        <w:rPr>
          <w:rFonts w:ascii="Times New Roman" w:hAnsi="Times New Roman" w:cs="Times New Roman"/>
          <w:sz w:val="20"/>
          <w:szCs w:val="20"/>
        </w:rPr>
      </w:pPr>
    </w:p>
  </w:footnote>
  <w:footnote w:id="25">
    <w:p w:rsidR="00C03D42" w:rsidRDefault="006F6707">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Hyperlink"/>
          <w:rFonts w:ascii="Times New Roman" w:hAnsi="Times New Roman" w:cs="Times New Roman"/>
          <w:sz w:val="20"/>
          <w:szCs w:val="20"/>
        </w:rPr>
        <w:t>http://ec.europa.eu/smart-regulation/evaluation/search/download.do?documentId=</w:t>
      </w:r>
      <w:r>
        <w:rPr>
          <w:rStyle w:val="Hyperlink"/>
          <w:rFonts w:ascii="Times New Roman" w:hAnsi="Times New Roman" w:cs="Times New Roman"/>
          <w:sz w:val="20"/>
          <w:szCs w:val="20"/>
        </w:rPr>
        <w:t>10697239</w:t>
      </w:r>
    </w:p>
  </w:footnote>
  <w:footnote w:id="26">
    <w:p w:rsidR="00C03D42" w:rsidRDefault="006F6707">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Most Member States saw the development of a strategic approach to return management as the most relevant priority.</w:t>
      </w:r>
    </w:p>
  </w:footnote>
  <w:footnote w:id="27">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Staff Working Paper SEC(2011)1358 final of 15 November 2011.</w:t>
      </w:r>
    </w:p>
  </w:footnote>
  <w:footnote w:id="28">
    <w:p w:rsidR="00C03D42" w:rsidRDefault="006F6707">
      <w:pPr>
        <w:pStyle w:val="FootnoteText"/>
        <w:spacing w:after="0"/>
        <w:ind w:left="360" w:hanging="360"/>
        <w:rPr>
          <w:rFonts w:ascii="Times New Roman" w:hAnsi="Times New Roman" w:cs="Times New Roman"/>
          <w:b/>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Strong"/>
          <w:rFonts w:ascii="Times New Roman" w:hAnsi="Times New Roman" w:cs="Times New Roman"/>
          <w:b w:val="0"/>
          <w:sz w:val="20"/>
          <w:szCs w:val="20"/>
        </w:rPr>
        <w:t xml:space="preserve">Commission Delegated Regulation (EU) 2017/207 </w:t>
      </w:r>
      <w:r>
        <w:rPr>
          <w:rStyle w:val="Strong"/>
          <w:rFonts w:ascii="Times New Roman" w:hAnsi="Times New Roman" w:cs="Times New Roman"/>
          <w:b w:val="0"/>
          <w:sz w:val="20"/>
          <w:szCs w:val="20"/>
        </w:rPr>
        <w:t>of 3 October 2016 on the common monitoring and evaluation framework (CMEF) provided for in Regulation (EU) No 514/2014.</w:t>
      </w:r>
    </w:p>
  </w:footnote>
  <w:footnote w:id="29">
    <w:p w:rsidR="00C03D42" w:rsidRDefault="006F6707">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It should be noted that EU funded research projects can contribute to the data collection and analysis of implementation and effectiv</w:t>
      </w:r>
      <w:r>
        <w:rPr>
          <w:rFonts w:ascii="Times New Roman" w:hAnsi="Times New Roman" w:cs="Times New Roman"/>
          <w:sz w:val="20"/>
          <w:szCs w:val="20"/>
        </w:rPr>
        <w:t xml:space="preserve">eness of upcoming financial instruments and Funds. </w:t>
      </w:r>
    </w:p>
  </w:footnote>
  <w:footnote w:id="30">
    <w:p w:rsidR="00C03D42" w:rsidRDefault="006F6707">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Guidance on the CMEF was developed in the framework of the evaluation network. It is a working document which is regularly updated, following discussions with Member States authorities and other st</w:t>
      </w:r>
      <w:r>
        <w:rPr>
          <w:rFonts w:ascii="Times New Roman" w:hAnsi="Times New Roman" w:cs="Times New Roman"/>
          <w:sz w:val="20"/>
          <w:szCs w:val="20"/>
        </w:rPr>
        <w:t>akeholders which are held during working group and evaluation network meetings. It is available to the Member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07" w:rsidRPr="006F6707" w:rsidRDefault="006F6707" w:rsidP="006F6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07" w:rsidRPr="006F6707" w:rsidRDefault="006F6707" w:rsidP="006F670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07" w:rsidRPr="006F6707" w:rsidRDefault="006F6707" w:rsidP="006F670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2" w:rsidRDefault="00C03D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2" w:rsidRDefault="00C03D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2" w:rsidRDefault="00C03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61A"/>
    <w:multiLevelType w:val="hybridMultilevel"/>
    <w:tmpl w:val="280CB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84F6D"/>
    <w:multiLevelType w:val="hybridMultilevel"/>
    <w:tmpl w:val="6CF8E462"/>
    <w:lvl w:ilvl="0" w:tplc="08090001">
      <w:start w:val="1"/>
      <w:numFmt w:val="bullet"/>
      <w:lvlText w:val=""/>
      <w:lvlJc w:val="left"/>
      <w:pPr>
        <w:ind w:left="720" w:hanging="360"/>
      </w:pPr>
      <w:rPr>
        <w:rFonts w:ascii="Symbol" w:hAnsi="Symbol" w:hint="default"/>
      </w:rPr>
    </w:lvl>
    <w:lvl w:ilvl="1" w:tplc="739CC592">
      <w:numFmt w:val="bullet"/>
      <w:lvlText w:val="-"/>
      <w:lvlJc w:val="left"/>
      <w:pPr>
        <w:ind w:left="2175" w:hanging="10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144BD4"/>
    <w:multiLevelType w:val="hybridMultilevel"/>
    <w:tmpl w:val="FFAE75A2"/>
    <w:lvl w:ilvl="0" w:tplc="475E5210">
      <w:start w:val="1"/>
      <w:numFmt w:val="bullet"/>
      <w:pStyle w:val="bullet"/>
      <w:lvlText w:val=""/>
      <w:lvlJc w:val="left"/>
      <w:pPr>
        <w:ind w:left="720" w:hanging="360"/>
      </w:pPr>
      <w:rPr>
        <w:rFonts w:ascii="Symbol" w:hAnsi="Symbol" w:cs="Symbol" w:hint="default"/>
        <w:color w:val="auto"/>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3FE21106"/>
    <w:multiLevelType w:val="hybridMultilevel"/>
    <w:tmpl w:val="93965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8A8278E"/>
    <w:multiLevelType w:val="hybridMultilevel"/>
    <w:tmpl w:val="B3B81E62"/>
    <w:lvl w:ilvl="0" w:tplc="E2F0C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1016A"/>
    <w:multiLevelType w:val="hybridMultilevel"/>
    <w:tmpl w:val="FD009BF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156FD"/>
    <w:multiLevelType w:val="hybridMultilevel"/>
    <w:tmpl w:val="77127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7891371"/>
    <w:multiLevelType w:val="hybridMultilevel"/>
    <w:tmpl w:val="F87C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3C911A1-033F-4FB5-8282-5956B8F56830"/>
    <w:docVar w:name="LW_COVERPAGE_TYPE" w:val="1"/>
    <w:docVar w:name="LW_CROSSREFERENCE" w:val="{SWD(2018) 333 final}_x000d__x000a_{SWD(2018) 334 final}_x000d__x000a_{SWD(2018) 335 final}_x000d__x000a_{SWD(2018) 336 final}"/>
    <w:docVar w:name="LW_DocType" w:val="NORMAL"/>
    <w:docVar w:name="LW_EMISSION" w:val="12.6.2018"/>
    <w:docVar w:name="LW_EMISSION_ISODATE" w:val="2018-06-12"/>
    <w:docVar w:name="LW_EMISSION_LOCATION" w:val="BRX"/>
    <w:docVar w:name="LW_EMISSION_PREFIX" w:val="Brussels,"/>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 post evaluation reports for the period 2011 to 2013 of actions co-financed by the four Funds under the framework programme 'Solidarity and Management of Migration Flows'"/>
    <w:docVar w:name="LW_TYPE.DOC.CP" w:val="REPORT FROM THE COMMISSION TO THE EUROPEAN PARLIAMENT, THE COUNCIL, THE EUROPEAN ECONOMIC AND SOCIAL COMMITTEE AND THE COMMITTEE OF THE REGIONS"/>
  </w:docVars>
  <w:rsids>
    <w:rsidRoot w:val="00C03D42"/>
    <w:rsid w:val="006F6707"/>
    <w:rsid w:val="00C0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bullet">
    <w:name w:val="bullet"/>
    <w:basedOn w:val="Normal"/>
    <w:link w:val="bulletChar"/>
    <w:qFormat/>
    <w:pPr>
      <w:numPr>
        <w:numId w:val="5"/>
      </w:numPr>
      <w:spacing w:after="0" w:line="240" w:lineRule="auto"/>
      <w:jc w:val="both"/>
    </w:pPr>
    <w:rPr>
      <w:rFonts w:ascii="Verdana" w:eastAsia="Times New Roman" w:hAnsi="Verdana" w:cs="Times New Roman"/>
      <w:sz w:val="20"/>
      <w:szCs w:val="20"/>
      <w:lang w:eastAsia="de-DE"/>
    </w:rPr>
  </w:style>
  <w:style w:type="character" w:customStyle="1" w:styleId="bulletChar">
    <w:name w:val="bullet Char"/>
    <w:basedOn w:val="DefaultParagraphFont"/>
    <w:link w:val="bullet"/>
    <w:rPr>
      <w:rFonts w:ascii="Verdana" w:eastAsia="Times New Roman" w:hAnsi="Verdana" w:cs="Times New Roman"/>
      <w:sz w:val="20"/>
      <w:szCs w:val="20"/>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NoSpacing">
    <w:name w:val="No Spacing"/>
    <w:link w:val="NoSpacingChar"/>
    <w:qFormat/>
    <w:pPr>
      <w:spacing w:after="0" w:line="240" w:lineRule="auto"/>
    </w:pPr>
  </w:style>
  <w:style w:type="character" w:customStyle="1" w:styleId="NoSpacingChar">
    <w:name w:val="No Spacing Char"/>
    <w:basedOn w:val="DefaultParagraphFont"/>
    <w:link w:val="NoSpacing"/>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bullet">
    <w:name w:val="bullet"/>
    <w:basedOn w:val="Normal"/>
    <w:link w:val="bulletChar"/>
    <w:qFormat/>
    <w:pPr>
      <w:numPr>
        <w:numId w:val="5"/>
      </w:numPr>
      <w:spacing w:after="0" w:line="240" w:lineRule="auto"/>
      <w:jc w:val="both"/>
    </w:pPr>
    <w:rPr>
      <w:rFonts w:ascii="Verdana" w:eastAsia="Times New Roman" w:hAnsi="Verdana" w:cs="Times New Roman"/>
      <w:sz w:val="20"/>
      <w:szCs w:val="20"/>
      <w:lang w:eastAsia="de-DE"/>
    </w:rPr>
  </w:style>
  <w:style w:type="character" w:customStyle="1" w:styleId="bulletChar">
    <w:name w:val="bullet Char"/>
    <w:basedOn w:val="DefaultParagraphFont"/>
    <w:link w:val="bullet"/>
    <w:rPr>
      <w:rFonts w:ascii="Verdana" w:eastAsia="Times New Roman" w:hAnsi="Verdana" w:cs="Times New Roman"/>
      <w:sz w:val="20"/>
      <w:szCs w:val="20"/>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NoSpacing">
    <w:name w:val="No Spacing"/>
    <w:link w:val="NoSpacingChar"/>
    <w:qFormat/>
    <w:pPr>
      <w:spacing w:after="0" w:line="240" w:lineRule="auto"/>
    </w:pPr>
  </w:style>
  <w:style w:type="character" w:customStyle="1" w:styleId="NoSpacingChar">
    <w:name w:val="No Spacing Char"/>
    <w:basedOn w:val="DefaultParagraphFont"/>
    <w:link w:val="NoSpacing"/>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99">
      <w:bodyDiv w:val="1"/>
      <w:marLeft w:val="0"/>
      <w:marRight w:val="0"/>
      <w:marTop w:val="0"/>
      <w:marBottom w:val="0"/>
      <w:divBdr>
        <w:top w:val="none" w:sz="0" w:space="0" w:color="auto"/>
        <w:left w:val="none" w:sz="0" w:space="0" w:color="auto"/>
        <w:bottom w:val="none" w:sz="0" w:space="0" w:color="auto"/>
        <w:right w:val="none" w:sz="0" w:space="0" w:color="auto"/>
      </w:divBdr>
    </w:div>
    <w:div w:id="5451496">
      <w:bodyDiv w:val="1"/>
      <w:marLeft w:val="0"/>
      <w:marRight w:val="0"/>
      <w:marTop w:val="0"/>
      <w:marBottom w:val="0"/>
      <w:divBdr>
        <w:top w:val="none" w:sz="0" w:space="0" w:color="auto"/>
        <w:left w:val="none" w:sz="0" w:space="0" w:color="auto"/>
        <w:bottom w:val="none" w:sz="0" w:space="0" w:color="auto"/>
        <w:right w:val="none" w:sz="0" w:space="0" w:color="auto"/>
      </w:divBdr>
    </w:div>
    <w:div w:id="30695500">
      <w:bodyDiv w:val="1"/>
      <w:marLeft w:val="0"/>
      <w:marRight w:val="0"/>
      <w:marTop w:val="0"/>
      <w:marBottom w:val="0"/>
      <w:divBdr>
        <w:top w:val="none" w:sz="0" w:space="0" w:color="auto"/>
        <w:left w:val="none" w:sz="0" w:space="0" w:color="auto"/>
        <w:bottom w:val="none" w:sz="0" w:space="0" w:color="auto"/>
        <w:right w:val="none" w:sz="0" w:space="0" w:color="auto"/>
      </w:divBdr>
    </w:div>
    <w:div w:id="173813471">
      <w:bodyDiv w:val="1"/>
      <w:marLeft w:val="0"/>
      <w:marRight w:val="0"/>
      <w:marTop w:val="0"/>
      <w:marBottom w:val="0"/>
      <w:divBdr>
        <w:top w:val="none" w:sz="0" w:space="0" w:color="auto"/>
        <w:left w:val="none" w:sz="0" w:space="0" w:color="auto"/>
        <w:bottom w:val="none" w:sz="0" w:space="0" w:color="auto"/>
        <w:right w:val="none" w:sz="0" w:space="0" w:color="auto"/>
      </w:divBdr>
    </w:div>
    <w:div w:id="735667672">
      <w:bodyDiv w:val="1"/>
      <w:marLeft w:val="0"/>
      <w:marRight w:val="0"/>
      <w:marTop w:val="0"/>
      <w:marBottom w:val="0"/>
      <w:divBdr>
        <w:top w:val="none" w:sz="0" w:space="0" w:color="auto"/>
        <w:left w:val="none" w:sz="0" w:space="0" w:color="auto"/>
        <w:bottom w:val="none" w:sz="0" w:space="0" w:color="auto"/>
        <w:right w:val="none" w:sz="0" w:space="0" w:color="auto"/>
      </w:divBdr>
    </w:div>
    <w:div w:id="823741341">
      <w:bodyDiv w:val="1"/>
      <w:marLeft w:val="0"/>
      <w:marRight w:val="0"/>
      <w:marTop w:val="0"/>
      <w:marBottom w:val="0"/>
      <w:divBdr>
        <w:top w:val="none" w:sz="0" w:space="0" w:color="auto"/>
        <w:left w:val="none" w:sz="0" w:space="0" w:color="auto"/>
        <w:bottom w:val="none" w:sz="0" w:space="0" w:color="auto"/>
        <w:right w:val="none" w:sz="0" w:space="0" w:color="auto"/>
      </w:divBdr>
    </w:div>
    <w:div w:id="1031804857">
      <w:bodyDiv w:val="1"/>
      <w:marLeft w:val="0"/>
      <w:marRight w:val="0"/>
      <w:marTop w:val="0"/>
      <w:marBottom w:val="0"/>
      <w:divBdr>
        <w:top w:val="none" w:sz="0" w:space="0" w:color="auto"/>
        <w:left w:val="none" w:sz="0" w:space="0" w:color="auto"/>
        <w:bottom w:val="none" w:sz="0" w:space="0" w:color="auto"/>
        <w:right w:val="none" w:sz="0" w:space="0" w:color="auto"/>
      </w:divBdr>
    </w:div>
    <w:div w:id="1436099331">
      <w:bodyDiv w:val="1"/>
      <w:marLeft w:val="0"/>
      <w:marRight w:val="0"/>
      <w:marTop w:val="0"/>
      <w:marBottom w:val="0"/>
      <w:divBdr>
        <w:top w:val="none" w:sz="0" w:space="0" w:color="auto"/>
        <w:left w:val="none" w:sz="0" w:space="0" w:color="auto"/>
        <w:bottom w:val="none" w:sz="0" w:space="0" w:color="auto"/>
        <w:right w:val="none" w:sz="0" w:space="0" w:color="auto"/>
      </w:divBdr>
    </w:div>
    <w:div w:id="15049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20%20%20%20affairs/sites/homeaffairs/files/financing/fundings/pdf/integration/synthesis_of_the_national_evaluation_reports.pdf" TargetMode="External"/><Relationship Id="rId1" Type="http://schemas.openxmlformats.org/officeDocument/2006/relationships/hyperlink" Target="https://publications.europa.eu/en/publication-detail/-/publication/38ae6def-51a1-11e8-be1d-01aa75ed71a1/language-en/format-PDF/source-70934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010F-7224-4015-8D5A-9C5C9FBD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3828</Words>
  <Characters>21181</Characters>
  <Application>Microsoft Office Word</Application>
  <DocSecurity>4</DocSecurity>
  <Lines>352</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2018-06-07T14:50:00Z</dcterms:created>
  <dcterms:modified xsi:type="dcterms:W3CDTF">2018-06-07T14:50:00Z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