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FD94C7-8EC0-4D0E-9174-0FA28CCA4E3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 w:val="16"/>
          <w:szCs w:val="16"/>
        </w:rPr>
      </w:pPr>
      <w:r>
        <w:rPr>
          <w:noProof/>
          <w:szCs w:val="24"/>
        </w:rPr>
        <w:t>Article 54(3) of Regulation (EU) 2016/1624 of the European Parliament and of the Council of 14 September 2016 on the European Border and Coast Guard</w:t>
      </w:r>
      <w:r>
        <w:rPr>
          <w:rStyle w:val="FootnoteReference"/>
          <w:noProof/>
          <w:szCs w:val="24"/>
        </w:rPr>
        <w:footnoteReference w:id="1"/>
      </w:r>
      <w:r>
        <w:rPr>
          <w:noProof/>
          <w:szCs w:val="24"/>
        </w:rPr>
        <w:t xml:space="preserve"> provides that the European Border and Coast Guard Agency may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 </w:t>
      </w:r>
    </w:p>
    <w:p>
      <w:pPr>
        <w:rPr>
          <w:noProof/>
          <w:szCs w:val="24"/>
        </w:rPr>
      </w:pPr>
      <w:r>
        <w:rPr>
          <w:noProof/>
          <w:szCs w:val="24"/>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rPr>
          <w:iCs/>
          <w:noProof/>
          <w:szCs w:val="24"/>
        </w:rPr>
      </w:pPr>
      <w:r>
        <w:rPr>
          <w:noProof/>
          <w:szCs w:val="24"/>
        </w:rPr>
        <w:t xml:space="preserve">On the basis of negotiating directives adopted by the Council on 16 October 2017, the European Commission has negotiated with the Republic of Albania a status agreement with a view of </w:t>
      </w:r>
      <w:r>
        <w:rPr>
          <w:iCs/>
          <w:noProof/>
          <w:szCs w:val="24"/>
        </w:rPr>
        <w:t>setting up the legal framework that will allow acting immediately through setting up operational plans when quick reaction will be needed.</w:t>
      </w:r>
      <w:r>
        <w:rPr>
          <w:noProof/>
        </w:rPr>
        <w:t xml:space="preserve"> </w:t>
      </w:r>
      <w:r>
        <w:rPr>
          <w:iCs/>
          <w:noProof/>
          <w:szCs w:val="24"/>
        </w:rPr>
        <w:t xml:space="preserve">While the migration flows in the region are much lower than in 2015/2016, organised crime networks adapt quickly their routes and methods for smuggling migrants to any new circumstances. With the status agreement in place, the responsible Albanian authorities and the EU Member States, coordinated by the European Border and Coast Guard Agency, will be in a much better position to quickly respond to such possible developments. </w:t>
      </w:r>
    </w:p>
    <w:p>
      <w:pPr>
        <w:rPr>
          <w:iCs/>
          <w:noProof/>
          <w:szCs w:val="24"/>
        </w:rPr>
      </w:pPr>
      <w:r>
        <w:rPr>
          <w:iCs/>
          <w:noProof/>
          <w:szCs w:val="24"/>
        </w:rPr>
        <w:t xml:space="preserve">The attached proposal for a Council Decision constitutes the legal instrument for the conclusion of the status agreement between the European Union and the Republic of Albania. </w:t>
      </w:r>
    </w:p>
    <w:p>
      <w:pPr>
        <w:spacing w:after="240"/>
        <w:rPr>
          <w:iCs/>
          <w:noProof/>
          <w:szCs w:val="24"/>
        </w:rPr>
      </w:pPr>
      <w:r>
        <w:rPr>
          <w:noProof/>
        </w:rPr>
        <w:t xml:space="preserve">Negotiations on the status agreement have been opened on 13 December 2017 and were successfully finalised by the initialling </w:t>
      </w:r>
      <w:r>
        <w:rPr>
          <w:iCs/>
          <w:noProof/>
          <w:szCs w:val="24"/>
        </w:rPr>
        <w:t>of the draft status agreement by Commissioner for Migration, Home Affairs and Citizenship D. Avramopoulos and the Minister of Interior of the Republic of Albania F.</w:t>
      </w:r>
      <w:r>
        <w:rPr>
          <w:noProof/>
        </w:rPr>
        <w:t> </w:t>
      </w:r>
      <w:r>
        <w:rPr>
          <w:iCs/>
          <w:noProof/>
          <w:szCs w:val="24"/>
        </w:rPr>
        <w:t>Xhafaj on 12 February 2018 in Tirana.</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iCs/>
          <w:noProof/>
          <w:szCs w:val="24"/>
        </w:rPr>
      </w:pPr>
      <w:r>
        <w:rPr>
          <w:iCs/>
          <w:noProof/>
          <w:szCs w:val="24"/>
        </w:rPr>
        <w:t>Two police cooperation agreements between the Greek and Albanian authorities (Law 2147/1993 and Law 2568/1998) have been concluded, covering the exchange of information in police issues, including illegal migration. The Greek police exchanges information with the Albanian authorities on general issues of serious and organised criminal cross-border activities and also on readmission procedures of illegal immigrants.</w:t>
      </w:r>
    </w:p>
    <w:p>
      <w:pPr>
        <w:rPr>
          <w:noProof/>
        </w:rPr>
      </w:pPr>
      <w:r>
        <w:rPr>
          <w:noProof/>
          <w:szCs w:val="24"/>
        </w:rPr>
        <w:t>Albania concluded agreements on border control, surveillance and joint patrols with Montenegro and Kosovo</w:t>
      </w:r>
      <w:r>
        <w:rPr>
          <w:rStyle w:val="FootnoteReference"/>
          <w:noProof/>
          <w:szCs w:val="24"/>
        </w:rPr>
        <w:footnoteReference w:customMarkFollows="1" w:id="2"/>
        <w:t>*</w:t>
      </w:r>
      <w:r>
        <w:rPr>
          <w:noProof/>
          <w:szCs w:val="24"/>
        </w:rPr>
        <w:t xml:space="preserve">, and on joint patrols with the former Yugoslav Republic of Macedonia, but not yet with Greece. </w:t>
      </w:r>
      <w:r>
        <w:rPr>
          <w:noProof/>
        </w:rPr>
        <w:t xml:space="preserve">Albania has concluded an agreement with Italy on joint patrols (with Guardia di Finanza) for the sea border. </w:t>
      </w:r>
    </w:p>
    <w:p>
      <w:pPr>
        <w:rPr>
          <w:noProof/>
        </w:rPr>
      </w:pPr>
      <w:r>
        <w:rPr>
          <w:bCs/>
          <w:noProof/>
          <w:szCs w:val="24"/>
          <w:lang w:eastAsia="en-GB"/>
        </w:rPr>
        <w:t xml:space="preserve">A protocol between the Ministries of Interior of Montenegro, Albania and Kosovo* has established a Joint Police Cooperation Centre in Plav </w:t>
      </w:r>
      <w:r>
        <w:rPr>
          <w:noProof/>
        </w:rPr>
        <w:t xml:space="preserve">which is aimed at advancing cross-border cooperation in the fight against crime, through more intense exchange of operational information and closer coordination of joint security efforts. The </w:t>
      </w:r>
      <w:r>
        <w:rPr>
          <w:bCs/>
          <w:noProof/>
          <w:szCs w:val="24"/>
          <w:lang w:eastAsia="en-GB"/>
        </w:rPr>
        <w:t>Joint Police Cooperation Centre has been officially opened on 30 May 2017</w:t>
      </w:r>
      <w:r>
        <w:rPr>
          <w:noProof/>
          <w:szCs w:val="24"/>
        </w:rPr>
        <w:t xml:space="preserve">. Work is ongoing to set up another centre at the border with Greece. </w:t>
      </w:r>
    </w:p>
    <w:p>
      <w:pPr>
        <w:spacing w:after="240"/>
        <w:rPr>
          <w:iCs/>
          <w:noProof/>
          <w:color w:val="FF0000"/>
          <w:szCs w:val="24"/>
        </w:rPr>
      </w:pPr>
      <w:r>
        <w:rPr>
          <w:iCs/>
          <w:noProof/>
          <w:szCs w:val="24"/>
        </w:rPr>
        <w:t>A working arrangement (which is being updated) establishing operational cooperation between the Republic of Albania and the European Border and Coast Guard includes in particular regular participation of Albanian experts in European Border and Coast Guard Agency coordinated operational activities, acting as observers on Member States' territory.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b/>
          <w:noProof/>
          <w:szCs w:val="24"/>
        </w:rPr>
      </w:pPr>
      <w:r>
        <w:rPr>
          <w:noProof/>
          <w:szCs w:val="24"/>
          <w:lang w:val="en"/>
        </w:rPr>
        <w:t xml:space="preserve">The European Agenda on Migration is built on four pillars. One of these is border management: this involves better management of the EU external border, in particular through solidarity towards those Member States that are located at the external borders, and improving the efficiency of border crossings. A reinforced control of </w:t>
      </w:r>
      <w:r>
        <w:rPr>
          <w:noProof/>
          <w:szCs w:val="24"/>
        </w:rPr>
        <w:t>the Republic of Albania</w:t>
      </w:r>
      <w:r>
        <w:rPr>
          <w:noProof/>
          <w:szCs w:val="24"/>
          <w:lang w:val="en"/>
        </w:rPr>
        <w:t xml:space="preserve">'s borders will also positively impact the EU external borders, in particular the external borders of Greece, as well as the borders of </w:t>
      </w:r>
      <w:r>
        <w:rPr>
          <w:noProof/>
          <w:szCs w:val="24"/>
        </w:rPr>
        <w:t>the Republic of Albania</w:t>
      </w:r>
      <w:r>
        <w:rPr>
          <w:noProof/>
          <w:szCs w:val="24"/>
          <w:lang w:val="en"/>
        </w:rPr>
        <w:t xml:space="preserve">. </w:t>
      </w:r>
      <w:r>
        <w:rPr>
          <w:noProof/>
          <w:szCs w:val="24"/>
        </w:rPr>
        <w:t xml:space="preserve">Further strengthening security at the external borders is also in line with the European Agenda on Security.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rPr>
          <w:noProof/>
          <w:szCs w:val="24"/>
        </w:rPr>
      </w:pPr>
      <w:r>
        <w:rPr>
          <w:noProof/>
          <w:szCs w:val="24"/>
        </w:rPr>
        <w:t xml:space="preserve">The legal basis for this proposal for a Council Decision is Article 77(2)(b) and (d) and Article 79(2)(c), in conjunction with Article 218(6) TFEU. </w:t>
      </w:r>
    </w:p>
    <w:p>
      <w:pPr>
        <w:autoSpaceDE w:val="0"/>
        <w:autoSpaceDN w:val="0"/>
        <w:adjustRightInd w:val="0"/>
        <w:rPr>
          <w:noProof/>
          <w:szCs w:val="24"/>
        </w:rPr>
      </w:pPr>
      <w:r>
        <w:rPr>
          <w:noProof/>
          <w:szCs w:val="24"/>
        </w:rPr>
        <w:t xml:space="preserve">The conclusion by the EU of a status agreement is explicitly provided for in Article 54(4) of Regulation (EU) 2016/1624 which states that,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autoSpaceDE w:val="0"/>
        <w:autoSpaceDN w:val="0"/>
        <w:adjustRightInd w:val="0"/>
        <w:rPr>
          <w:noProof/>
          <w:szCs w:val="24"/>
        </w:rPr>
      </w:pPr>
      <w:r>
        <w:rPr>
          <w:noProof/>
          <w:szCs w:val="24"/>
        </w:rPr>
        <w:t xml:space="preserve">Pursuant to Article 3(2) TFEU, the Union shall have exclusive competence for the conclusion of an international agreement when its conclusion is provided for in a legislative act of the Union. Article 54(4) of Regulation (EU) 2016/1624 provides for the conclusion of a status agreement by the European Union with the third country concerned. Consequently, the agreement concluded with the Republic of Albania falls within the exclusive competence of the European Union. </w:t>
      </w:r>
    </w:p>
    <w:p>
      <w:pPr>
        <w:autoSpaceDE w:val="0"/>
        <w:autoSpaceDN w:val="0"/>
        <w:adjustRightInd w:val="0"/>
        <w:spacing w:after="240"/>
        <w:rPr>
          <w:noProof/>
          <w:szCs w:val="24"/>
        </w:rPr>
      </w:pPr>
      <w:r>
        <w:rPr>
          <w:noProof/>
          <w:szCs w:val="24"/>
        </w:rPr>
        <w:t>The consent of the European Parliament is</w:t>
      </w:r>
      <w:r>
        <w:rPr>
          <w:noProof/>
          <w:color w:val="000000"/>
          <w:szCs w:val="24"/>
        </w:rPr>
        <w:t xml:space="preserve"> required for the conclusion of this agreement pursuant to Article 218(6)(a)(v)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40"/>
        <w:rPr>
          <w:noProof/>
          <w:szCs w:val="24"/>
        </w:rPr>
      </w:pPr>
      <w:r>
        <w:rPr>
          <w:noProof/>
          <w:szCs w:val="24"/>
        </w:rPr>
        <w:t xml:space="preserve">A status agreement will allow for the deployment of European Border and Coast Guard teams by the European Border and Coast Guard Agency in the Republic of Albania instead of bilateral deployment by Member States in case of a sudden influx of migrants. </w:t>
      </w:r>
    </w:p>
    <w:p>
      <w:pPr>
        <w:spacing w:after="240"/>
        <w:rPr>
          <w:noProof/>
          <w:szCs w:val="24"/>
        </w:rPr>
      </w:pPr>
      <w:r>
        <w:rPr>
          <w:noProof/>
          <w:szCs w:val="24"/>
        </w:rPr>
        <w:t xml:space="preserve">A common approach is therefore needed to better manage the Republic of Albania's borders.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218(6) TFEU, which envisages the adoption by the Council of decisions on international agreements, following the consent of the European Parliament. There exists no other legal instrument that could be used in order to achieve the objective expressed in the proposal. </w:t>
      </w:r>
    </w:p>
    <w:p>
      <w:pPr>
        <w:pStyle w:val="ManualHeading1"/>
        <w:rPr>
          <w:noProof/>
        </w:rPr>
      </w:pPr>
      <w:r>
        <w:rPr>
          <w:noProof/>
        </w:rPr>
        <w:t>3.</w:t>
      </w:r>
      <w:r>
        <w:rPr>
          <w:noProof/>
        </w:rPr>
        <w:tab/>
        <w:t>RESULTS OF EX-POST EVALUATIONS, STAKEHOLDER CONSULTATIONS AND IMPACT ASSESSMENTS</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szCs w:val="24"/>
        </w:rPr>
      </w:pPr>
      <w:r>
        <w:rPr>
          <w:noProof/>
          <w:szCs w:val="24"/>
        </w:rPr>
        <w:t xml:space="preserve">No impact assessment has been required for the negotiations on the status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Heading2"/>
        <w:ind w:left="0" w:firstLine="0"/>
        <w:rPr>
          <w:rFonts w:eastAsia="Arial Unicode MS"/>
          <w:b w:val="0"/>
          <w:noProof/>
          <w:u w:color="000000"/>
          <w:bdr w:val="nil"/>
          <w:lang w:val="en-US" w:eastAsia="en-GB"/>
        </w:rPr>
      </w:pPr>
      <w:r>
        <w:rPr>
          <w:b w:val="0"/>
          <w:noProof/>
          <w:szCs w:val="24"/>
        </w:rPr>
        <w:t>As this will be a new agreement, no evaluation or fitness checks of existing instruments could be carried out</w:t>
      </w:r>
      <w:r>
        <w:rPr>
          <w:rFonts w:eastAsia="Arial Unicode MS"/>
          <w:b w:val="0"/>
          <w:noProof/>
          <w:u w:color="000000"/>
          <w:bdr w:val="nil"/>
          <w:lang w:val="en-US" w:eastAsia="en-GB"/>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after="240"/>
        <w:rPr>
          <w:noProof/>
          <w:szCs w:val="24"/>
        </w:rPr>
      </w:pPr>
      <w:r>
        <w:rPr>
          <w:noProof/>
          <w:szCs w:val="24"/>
        </w:rPr>
        <w:t>The draft status agreement contains provisions ensuring that fundamental rights of persons affected by the actions of staff involved in an action led by the European Border and Coast Guard Agency are protected.</w:t>
      </w:r>
    </w:p>
    <w:p>
      <w:pPr>
        <w:pBdr>
          <w:top w:val="nil"/>
          <w:left w:val="nil"/>
          <w:bottom w:val="nil"/>
          <w:right w:val="nil"/>
          <w:between w:val="nil"/>
          <w:bar w:val="nil"/>
        </w:pBdr>
        <w:spacing w:after="240"/>
        <w:rPr>
          <w:rFonts w:eastAsia="Arial Unicode MS"/>
          <w:noProof/>
        </w:rPr>
      </w:pPr>
      <w:r>
        <w:rPr>
          <w:rFonts w:eastAsia="Arial Unicode MS"/>
          <w:noProof/>
          <w:u w:color="000000"/>
          <w:bdr w:val="nil"/>
          <w:lang w:val="en-US" w:eastAsia="en-GB"/>
        </w:rPr>
        <w:t xml:space="preserve">Provisions on fundamental rights are further explained under point 5 'Other elements'. </w:t>
      </w:r>
    </w:p>
    <w:p>
      <w:pPr>
        <w:pStyle w:val="ManualHeading1"/>
        <w:rPr>
          <w:noProof/>
        </w:rPr>
      </w:pPr>
      <w:r>
        <w:rPr>
          <w:noProof/>
        </w:rPr>
        <w:t>4.</w:t>
      </w:r>
      <w:r>
        <w:rPr>
          <w:noProof/>
        </w:rPr>
        <w:tab/>
        <w:t>BUDGETARY IMPLICATIONS</w:t>
      </w:r>
    </w:p>
    <w:p>
      <w:pPr>
        <w:autoSpaceDE w:val="0"/>
        <w:autoSpaceDN w:val="0"/>
        <w:rPr>
          <w:iCs/>
          <w:noProof/>
          <w:szCs w:val="24"/>
        </w:rPr>
      </w:pPr>
      <w:r>
        <w:rPr>
          <w:iCs/>
          <w:noProof/>
          <w:szCs w:val="24"/>
        </w:rPr>
        <w:t>The status agreement in itself does not entail financial implications. It is indeed the actual deployment of border guards' teams on the basis of an operational plan and relevant Grant Agreement that will entail costs borne by the budget of the European Border and Coast Guard Agency. Future operations under the status agreement will be financed through the European Border and Coast Guard Agency’s own resources.</w:t>
      </w:r>
    </w:p>
    <w:p>
      <w:pPr>
        <w:autoSpaceDE w:val="0"/>
        <w:autoSpaceDN w:val="0"/>
        <w:rPr>
          <w:noProof/>
          <w:szCs w:val="24"/>
        </w:rPr>
      </w:pPr>
      <w:r>
        <w:rPr>
          <w:iCs/>
          <w:noProof/>
          <w:szCs w:val="24"/>
        </w:rPr>
        <w:t>The financial statement annexed to the proposal for a Regulation on a European Border and Coast Guard on the expenditure of the European Border and Coast Guard Agency evaluated at EUR 6.090 million on average each year for 2017-2020 the reinforced cooperation with third countries (including possible joint operations with neighbouring countries)</w:t>
      </w:r>
      <w:r>
        <w:rPr>
          <w:noProof/>
          <w:szCs w:val="24"/>
        </w:rPr>
        <w:t>.</w:t>
      </w:r>
    </w:p>
    <w:p>
      <w:pPr>
        <w:pStyle w:val="ManualHeading1"/>
        <w:ind w:left="0" w:firstLine="0"/>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szCs w:val="24"/>
        </w:rPr>
      </w:pPr>
      <w:r>
        <w:rPr>
          <w:noProof/>
          <w:szCs w:val="24"/>
        </w:rPr>
        <w:t xml:space="preserve">The Commission will ensure proper monitoring of the implementation of the status agreement. </w:t>
      </w:r>
    </w:p>
    <w:p>
      <w:pPr>
        <w:rPr>
          <w:noProof/>
          <w:szCs w:val="24"/>
        </w:rPr>
      </w:pPr>
      <w:r>
        <w:rPr>
          <w:rFonts w:eastAsia="Times New Roman"/>
          <w:noProof/>
          <w:lang w:eastAsia="en-GB"/>
        </w:rPr>
        <w:t xml:space="preserve">The Republic of Albania and the </w:t>
      </w:r>
      <w:r>
        <w:rPr>
          <w:noProof/>
          <w:szCs w:val="24"/>
        </w:rPr>
        <w:t xml:space="preserve">European Border and Coast Guard </w:t>
      </w:r>
      <w:r>
        <w:rPr>
          <w:rFonts w:eastAsia="Times New Roman"/>
          <w:noProof/>
          <w:lang w:eastAsia="en-GB"/>
        </w:rPr>
        <w:t xml:space="preserve">Agency shall jointly evaluate each joint operation or rapid border intervention. </w:t>
      </w:r>
    </w:p>
    <w:p>
      <w:pPr>
        <w:spacing w:after="240"/>
        <w:rPr>
          <w:noProof/>
          <w:szCs w:val="24"/>
        </w:rPr>
      </w:pPr>
      <w:r>
        <w:rPr>
          <w:noProof/>
          <w:szCs w:val="24"/>
        </w:rPr>
        <w:t xml:space="preserve">In particular, the European Border and Coast Guard Agency, the Republic of Albania and the Member States participating to a specific action shall draw up a report at the end of each action on the application of provisions of the agreement including on the processing of personal data.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rPr>
      </w:pPr>
      <w:r>
        <w:rPr>
          <w:i/>
          <w:noProof/>
        </w:rPr>
        <w:t>Scope of the agreement</w:t>
      </w:r>
    </w:p>
    <w:p>
      <w:pPr>
        <w:spacing w:after="240"/>
        <w:rPr>
          <w:rFonts w:eastAsia="Times New Roman"/>
          <w:noProof/>
          <w:lang w:eastAsia="en-GB"/>
        </w:rPr>
      </w:pPr>
      <w:r>
        <w:rPr>
          <w:rFonts w:eastAsia="Times New Roman"/>
          <w:noProof/>
          <w:lang w:eastAsia="en-GB"/>
        </w:rPr>
        <w:t xml:space="preserve">Under this Agreement, the European Border and Coast Guard Agency shall be able to deploy European Border and Coast Guard teams with executive powers in the Republic of Albania to carry out joint operations and rapid border interventions. European Border and Coast Guard teams shall also be allowed, </w:t>
      </w:r>
      <w:r>
        <w:rPr>
          <w:noProof/>
          <w:szCs w:val="24"/>
        </w:rPr>
        <w:t xml:space="preserve">in the course of a specific return operation, to assist the Republic of Albania in identifying the persons to be readmitted to the Republic of Albania, in line with the </w:t>
      </w:r>
      <w:hyperlink r:id="rId16" w:tgtFrame="_blank" w:history="1">
        <w:r>
          <w:rPr>
            <w:rStyle w:val="Hyperlink"/>
            <w:noProof/>
            <w:color w:val="auto"/>
            <w:szCs w:val="24"/>
          </w:rPr>
          <w:t>Agreement between the European Community and the Republic of Albania on the readmission of persons residing without authorisation</w:t>
        </w:r>
      </w:hyperlink>
      <w:r>
        <w:rPr>
          <w:rStyle w:val="Hyperlink"/>
          <w:noProof/>
          <w:color w:val="auto"/>
          <w:szCs w:val="24"/>
        </w:rPr>
        <w:t>.</w:t>
      </w:r>
      <w:r>
        <w:rPr>
          <w:rStyle w:val="FootnoteReference"/>
          <w:noProof/>
          <w:szCs w:val="24"/>
        </w:rPr>
        <w:footnoteReference w:id="3"/>
      </w:r>
    </w:p>
    <w:p>
      <w:pPr>
        <w:spacing w:after="240"/>
        <w:rPr>
          <w:rFonts w:eastAsia="Times New Roman"/>
          <w:noProof/>
          <w:lang w:eastAsia="en-GB"/>
        </w:rPr>
      </w:pPr>
      <w:r>
        <w:rPr>
          <w:rFonts w:eastAsia="Times New Roman"/>
          <w:noProof/>
          <w:lang w:eastAsia="en-GB"/>
        </w:rPr>
        <w:t xml:space="preserve">European Border and Coast Guard teams may be deployed on the Albanian territory only in regions bordering the EU external borders. </w:t>
      </w:r>
    </w:p>
    <w:p>
      <w:r>
        <w:rPr>
          <w:rFonts w:eastAsia="Times New Roman"/>
          <w:i/>
          <w:noProof/>
          <w:lang w:eastAsia="en-GB"/>
        </w:rPr>
        <w:t>Operational plan</w:t>
      </w:r>
      <w:r>
        <w:rPr>
          <w:rFonts w:eastAsia="Times New Roman"/>
          <w:noProof/>
          <w:lang w:eastAsia="en-GB"/>
        </w:rPr>
        <w:t xml:space="preserve"> </w:t>
      </w:r>
    </w:p>
    <w:p>
      <w:pPr>
        <w:rPr>
          <w:rFonts w:eastAsia="Times New Roman"/>
          <w:noProof/>
          <w:lang w:eastAsia="en-GB"/>
        </w:rPr>
      </w:pPr>
      <w:r>
        <w:rPr>
          <w:rFonts w:eastAsia="Times New Roman"/>
          <w:noProof/>
          <w:lang w:eastAsia="en-GB"/>
        </w:rPr>
        <w:t xml:space="preserve">Before each joint operation or rapid border intervention, an operational plan must be agreed between the Agency and the Republic of Albania. That operational plan must also be agreed by the Member State or Member States bordering the operational area. </w:t>
      </w:r>
    </w:p>
    <w:p>
      <w:pPr>
        <w:spacing w:after="240"/>
        <w:rPr>
          <w:rFonts w:eastAsia="Times New Roman"/>
          <w:noProof/>
          <w:lang w:eastAsia="en-GB"/>
        </w:rPr>
      </w:pPr>
      <w:r>
        <w:rPr>
          <w:rFonts w:eastAsia="Times New Roman"/>
          <w:noProof/>
          <w:lang w:eastAsia="en-GB"/>
        </w:rPr>
        <w:t xml:space="preserve">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w:t>
      </w:r>
    </w:p>
    <w:p>
      <w:pPr>
        <w:rPr>
          <w:rFonts w:eastAsia="Times New Roman"/>
          <w:i/>
          <w:noProof/>
          <w:lang w:eastAsia="en-GB"/>
        </w:rPr>
      </w:pPr>
      <w:r>
        <w:rPr>
          <w:rFonts w:eastAsia="Times New Roman"/>
          <w:i/>
          <w:noProof/>
          <w:lang w:eastAsia="en-GB"/>
        </w:rPr>
        <w:t>Tasks and powers of the members of the team</w:t>
      </w:r>
    </w:p>
    <w:p>
      <w:pPr>
        <w:rPr>
          <w:rFonts w:eastAsia="Times New Roman"/>
          <w:noProof/>
          <w:lang w:eastAsia="en-GB"/>
        </w:rPr>
      </w:pPr>
      <w:r>
        <w:rPr>
          <w:rFonts w:eastAsia="Times New Roman"/>
          <w:noProof/>
          <w:lang w:eastAsia="en-GB"/>
        </w:rPr>
        <w:t>As a general rule, the teams shall have the authority to perform the tasks and exercise the executive powers required for border control and return operations. They shall respect the laws and regulations of the Republic of Albania.</w:t>
      </w:r>
    </w:p>
    <w:p>
      <w:pPr>
        <w:rPr>
          <w:noProof/>
          <w:lang w:eastAsia="en-GB"/>
        </w:rPr>
      </w:pPr>
      <w:r>
        <w:rPr>
          <w:rFonts w:eastAsia="Times New Roman"/>
          <w:noProof/>
          <w:lang w:eastAsia="en-GB"/>
        </w:rPr>
        <w:t xml:space="preserve">Teams shall only act in the territory of the Republic of Albania under instructions from and, as a general rule, in the presence of border guards or other relevant staff of the Republic of Albania, which </w:t>
      </w:r>
      <w:r>
        <w:rPr>
          <w:noProof/>
          <w:lang w:eastAsia="en-GB"/>
        </w:rPr>
        <w:t>may exceptionally authorise teams to act on its behalf.</w:t>
      </w:r>
    </w:p>
    <w:p>
      <w:pPr>
        <w:rPr>
          <w:rFonts w:eastAsia="Times New Roman"/>
          <w:noProof/>
          <w:lang w:eastAsia="en-GB"/>
        </w:rPr>
      </w:pPr>
      <w:r>
        <w:rPr>
          <w:rFonts w:eastAsia="Times New Roman"/>
          <w:noProof/>
          <w:lang w:eastAsia="en-GB"/>
        </w:rPr>
        <w:t>Members of the team shall wear their own uniform, visible personal identification and a blue armband with the insignias of the European Union and of the Agency on their uniforms. They shall also carry an accreditation document in order to be clearly identified by the Albanian authorities.</w:t>
      </w:r>
    </w:p>
    <w:p>
      <w:pPr>
        <w:rPr>
          <w:rFonts w:eastAsia="Times New Roman"/>
          <w:noProof/>
          <w:lang w:eastAsia="en-GB"/>
        </w:rPr>
      </w:pPr>
      <w:r>
        <w:rPr>
          <w:rFonts w:eastAsia="Times New Roman"/>
          <w:noProof/>
          <w:lang w:eastAsia="en-GB"/>
        </w:rPr>
        <w:t xml:space="preserve">Members of the team may carry service weapons, ammunition and equipment as authorised according to their own State's national law. The Agency shall be beforehand informed by the Albanian authorites of the permissible service weapons, ammunition and equipment and of the relevant legal framework and conditions for their use. </w:t>
      </w:r>
    </w:p>
    <w:p>
      <w:pPr>
        <w:rPr>
          <w:rFonts w:eastAsia="Times New Roman"/>
          <w:noProof/>
          <w:lang w:eastAsia="en-GB"/>
        </w:rPr>
      </w:pPr>
      <w:r>
        <w:rPr>
          <w:rFonts w:eastAsia="Times New Roman"/>
          <w:noProof/>
          <w:lang w:eastAsia="en-GB"/>
        </w:rPr>
        <w:t>Members of the team may use force, including service weapons, ammunition and equipment, with the consent of their own State and of the Albania authorities, in the presence of Albanian border guards or other relevant staff, and in accordance with the Albanian law. Albanian authorities may authorise members of the team to use force also in the absence of their border guards.</w:t>
      </w:r>
    </w:p>
    <w:p>
      <w:pPr>
        <w:spacing w:after="240"/>
        <w:rPr>
          <w:rFonts w:eastAsia="Times New Roman"/>
          <w:iCs/>
          <w:noProof/>
          <w:lang w:eastAsia="en-GB"/>
        </w:rPr>
      </w:pPr>
      <w:r>
        <w:rPr>
          <w:rFonts w:eastAsia="Times New Roman"/>
          <w:noProof/>
          <w:lang w:eastAsia="en-GB"/>
        </w:rPr>
        <w:t xml:space="preserve">Subject to the principle of necessity, members of the team may be authorised by the Albanian authorities to consult databases in accordance with the Albanian data protection law. </w:t>
      </w:r>
    </w:p>
    <w:p>
      <w:pPr>
        <w:rPr>
          <w:i/>
          <w:noProof/>
        </w:rPr>
      </w:pPr>
      <w:r>
        <w:rPr>
          <w:i/>
          <w:noProof/>
        </w:rPr>
        <w:t>Suspension and termination of the action</w:t>
      </w:r>
    </w:p>
    <w:p>
      <w:pPr>
        <w:spacing w:after="240"/>
        <w:rPr>
          <w:rFonts w:eastAsia="Times New Roman"/>
          <w:noProof/>
          <w:lang w:eastAsia="en-GB"/>
        </w:rPr>
      </w:pPr>
      <w:r>
        <w:rPr>
          <w:rFonts w:eastAsia="Times New Roman"/>
          <w:iCs/>
          <w:noProof/>
          <w:lang w:eastAsia="en-GB"/>
        </w:rPr>
        <w:t xml:space="preserve">Both the Agency and the Albanian authorities may suspend or terminate the action, </w:t>
      </w:r>
      <w:r>
        <w:rPr>
          <w:rFonts w:eastAsia="Times New Roman"/>
          <w:noProof/>
          <w:lang w:eastAsia="en-GB"/>
        </w:rPr>
        <w:t xml:space="preserve">if they deem that the provisions of the Agreement or of the Operational Plan are not respected by the other party. </w:t>
      </w:r>
    </w:p>
    <w:p>
      <w:pPr>
        <w:spacing w:line="288" w:lineRule="auto"/>
        <w:rPr>
          <w:rFonts w:eastAsia="Times New Roman"/>
          <w:i/>
          <w:noProof/>
          <w:color w:val="000000"/>
          <w:szCs w:val="24"/>
        </w:rPr>
      </w:pPr>
      <w:r>
        <w:rPr>
          <w:rFonts w:eastAsia="Times New Roman"/>
          <w:i/>
          <w:noProof/>
          <w:color w:val="000000"/>
          <w:szCs w:val="24"/>
        </w:rPr>
        <w:t>Privileges and immunities of the members of the team</w:t>
      </w:r>
    </w:p>
    <w:p>
      <w:pPr>
        <w:rPr>
          <w:rFonts w:eastAsia="Times New Roman"/>
          <w:noProof/>
          <w:color w:val="000000"/>
          <w:szCs w:val="24"/>
        </w:rPr>
      </w:pPr>
      <w:r>
        <w:rPr>
          <w:rFonts w:eastAsia="Times New Roman"/>
          <w:noProof/>
          <w:color w:val="000000"/>
          <w:szCs w:val="24"/>
        </w:rPr>
        <w:t xml:space="preserve">Members of the team shall enjoy immunity from the criminal jurisdiction of the Republic of Albania for acts committed in respect of the activities acts performed in the exercise of the official functions ('on duty') while they will not enjoy such immunity for acts committed 'off duty'. </w:t>
      </w:r>
    </w:p>
    <w:p>
      <w:pPr>
        <w:rPr>
          <w:rFonts w:eastAsia="Times New Roman"/>
          <w:noProof/>
          <w:color w:val="000000"/>
          <w:szCs w:val="24"/>
        </w:rPr>
      </w:pPr>
      <w:r>
        <w:rPr>
          <w:rFonts w:eastAsia="Times New Roman"/>
          <w:noProof/>
          <w:color w:val="000000"/>
          <w:szCs w:val="24"/>
        </w:rPr>
        <w:t xml:space="preserve">The operational plan shall precisely set out the actions immune from the criminal jurisdiction of the Republic of Albania. </w:t>
      </w:r>
    </w:p>
    <w:p>
      <w:pPr>
        <w:rPr>
          <w:rFonts w:eastAsia="Times New Roman"/>
          <w:noProof/>
          <w:color w:val="000000"/>
          <w:szCs w:val="24"/>
        </w:rPr>
      </w:pPr>
      <w:r>
        <w:rPr>
          <w:rFonts w:eastAsia="Times New Roman"/>
          <w:noProof/>
          <w:color w:val="000000"/>
          <w:szCs w:val="24"/>
        </w:rPr>
        <w:t>In the event of an allegation of a criminal offence being committed by a member of the team, the Executive Director of the Agency, prior to the initiation of the proceeding before the court, shall certify to the court whether the act in question was performed in the exercise of their official functions or not. The Executive Director of the Agency shall take his or her decision after careful consideration of any representation made by the competent authority of the Member State which has deployed the concerned border guard or other relevant staff and the Albanian competent authorities. The certification by the Executive Director of the Agency shall be binding upon the jurisdiction of the Republic of Albania.</w:t>
      </w:r>
    </w:p>
    <w:p>
      <w:pPr>
        <w:rPr>
          <w:rFonts w:eastAsia="Times New Roman"/>
          <w:noProof/>
          <w:color w:val="000000"/>
          <w:szCs w:val="24"/>
        </w:rPr>
      </w:pPr>
      <w:r>
        <w:rPr>
          <w:rFonts w:eastAsia="Times New Roman"/>
          <w:noProof/>
          <w:color w:val="000000"/>
          <w:szCs w:val="24"/>
        </w:rPr>
        <w:t xml:space="preserve">Privileges granted to members of the team and immunity from the criminal jurisdiction of the Republic of Albania do not exempt them from the jurisdiction of the home Member State. </w:t>
      </w:r>
    </w:p>
    <w:p>
      <w:pPr>
        <w:rPr>
          <w:rFonts w:eastAsia="Times New Roman"/>
          <w:noProof/>
          <w:color w:val="000000"/>
          <w:szCs w:val="24"/>
        </w:rPr>
      </w:pPr>
      <w:r>
        <w:rPr>
          <w:rFonts w:eastAsia="Times New Roman"/>
          <w:noProof/>
          <w:color w:val="000000"/>
          <w:szCs w:val="24"/>
        </w:rPr>
        <w:t xml:space="preserve">A similar regime applies for the civil and administrative liability of the members of the team. </w:t>
      </w:r>
    </w:p>
    <w:p>
      <w:pPr>
        <w:rPr>
          <w:rFonts w:eastAsia="Times New Roman"/>
          <w:noProof/>
          <w:color w:val="000000"/>
          <w:szCs w:val="24"/>
        </w:rPr>
      </w:pPr>
      <w:r>
        <w:rPr>
          <w:rFonts w:eastAsia="Times New Roman"/>
          <w:noProof/>
          <w:color w:val="000000"/>
          <w:szCs w:val="24"/>
        </w:rPr>
        <w:t>The immunity of members of the teams from the criminal, civil and administrative jurisdiction of the Republic of Albania may be waived by the Member State which has deployed the concerned border guard or other relevant staff. Such a waiver must always be an express waiver.</w:t>
      </w:r>
    </w:p>
    <w:p>
      <w:pPr>
        <w:rPr>
          <w:rFonts w:eastAsia="Times New Roman"/>
          <w:noProof/>
          <w:color w:val="000000"/>
          <w:szCs w:val="24"/>
        </w:rPr>
      </w:pPr>
      <w:r>
        <w:rPr>
          <w:rFonts w:eastAsia="Times New Roman"/>
          <w:noProof/>
          <w:color w:val="000000"/>
          <w:szCs w:val="24"/>
        </w:rPr>
        <w:t xml:space="preserve">The agreement provides for a mechanism aiming at compensating damages. The compensation mechanism is based on Article 42 of the Regulation (EU) 2016/1624 on the European Border and Coast Guard. If the damage is caused by a member of a team 'on duty' the Republic of Albania shall be liable. If the damage is caused 'on duty' by a member of a team from a participating Member State by gross negligence or wilful misconduct or if the act was committed 'off duty' Albania may request the Agency that compensation be paid by the participating Member State concerned. If the damage is caused by a staff of the Agency, the Republic of Albania may request that compensation be paid by the Agency. Both the Member State and the Agency may claim the reimbursement of the damages paid to the injured party back from the wrongdoer in accordance with their internal rules. </w:t>
      </w:r>
    </w:p>
    <w:p>
      <w:pPr>
        <w:rPr>
          <w:rFonts w:eastAsia="Times New Roman"/>
          <w:noProof/>
          <w:color w:val="000000"/>
          <w:szCs w:val="24"/>
        </w:rPr>
      </w:pPr>
      <w:r>
        <w:rPr>
          <w:rFonts w:eastAsia="Times New Roman"/>
          <w:noProof/>
          <w:color w:val="000000"/>
          <w:szCs w:val="24"/>
        </w:rPr>
        <w:t>In case of damage caused in the Republic of Albania, due to force majeure, neither the Republic of Albania, nor the participating Member State, nor the Agency, shall hold any responsibility.</w:t>
      </w:r>
    </w:p>
    <w:p>
      <w:pPr>
        <w:rPr>
          <w:rFonts w:eastAsia="Times New Roman"/>
          <w:noProof/>
          <w:color w:val="000000"/>
          <w:szCs w:val="24"/>
        </w:rPr>
      </w:pPr>
      <w:r>
        <w:rPr>
          <w:rFonts w:eastAsia="Times New Roman"/>
          <w:noProof/>
          <w:color w:val="000000"/>
          <w:szCs w:val="24"/>
        </w:rPr>
        <w:t>No measures of execution may be taken in respect of members of the team, except in the case where a civil proceeding not related to their official functions is instituted against them.</w:t>
      </w:r>
    </w:p>
    <w:p>
      <w:pPr>
        <w:rPr>
          <w:rFonts w:eastAsia="Times New Roman"/>
          <w:noProof/>
          <w:color w:val="000000"/>
          <w:szCs w:val="24"/>
        </w:rPr>
      </w:pPr>
      <w:r>
        <w:rPr>
          <w:rFonts w:eastAsia="Times New Roman"/>
          <w:noProof/>
          <w:color w:val="000000"/>
          <w:szCs w:val="24"/>
        </w:rPr>
        <w:t>Property of members of the team necessary for the fulfilment of their official functions shall be free from seizure. In civil proceedings, members of the team shall not be subject to any restrictions on their personal liberty or to any other measures of constraint.</w:t>
      </w:r>
    </w:p>
    <w:p>
      <w:pPr>
        <w:rPr>
          <w:rFonts w:eastAsia="Times New Roman"/>
          <w:noProof/>
          <w:color w:val="000000"/>
          <w:szCs w:val="24"/>
        </w:rPr>
      </w:pPr>
      <w:r>
        <w:rPr>
          <w:rFonts w:eastAsia="Times New Roman"/>
          <w:noProof/>
          <w:color w:val="000000"/>
          <w:szCs w:val="24"/>
        </w:rPr>
        <w:t>Members of the team shall be exempt from social security provisions which may be in force in the Republic of Albania with respect to services rendered for the Agency. They shall also be exempt from any form of taxation in the Republic of Albania on the salary and emoluments paid to them by the Agency or their Member States, as well as on any income received from outside the Republic of Albania.</w:t>
      </w:r>
    </w:p>
    <w:p>
      <w:pPr>
        <w:rPr>
          <w:rFonts w:eastAsia="Times New Roman"/>
          <w:noProof/>
          <w:color w:val="000000"/>
          <w:szCs w:val="24"/>
        </w:rPr>
      </w:pPr>
      <w:r>
        <w:rPr>
          <w:rFonts w:eastAsia="Times New Roman"/>
          <w:noProof/>
          <w:color w:val="000000"/>
          <w:szCs w:val="24"/>
        </w:rPr>
        <w:t xml:space="preserve">Albanian authorities shall permit the entry and exit of articles for the personal use of members of the team, and shall grant exemption from all customs duties, taxes, and related charges (other than charges for storage, transport and similar services) in respect of such articles. </w:t>
      </w:r>
    </w:p>
    <w:p>
      <w:pPr>
        <w:spacing w:after="0"/>
        <w:rPr>
          <w:rFonts w:eastAsia="Times New Roman"/>
          <w:noProof/>
          <w:color w:val="000000"/>
          <w:szCs w:val="24"/>
        </w:rPr>
      </w:pPr>
      <w:r>
        <w:rPr>
          <w:rFonts w:eastAsia="Times New Roman"/>
          <w:noProof/>
          <w:color w:val="000000"/>
          <w:szCs w:val="24"/>
        </w:rPr>
        <w:t>The personal baggage of members of the team may be inspected only in cases of justified suspicions that it contains articles that are not for the personal use of members of the team, or articles whose import or export is prohibited by the law or subject to quarantine regulations of the Republic of Albania. Inspection of such personal baggage shall be conducted only in the presence of the member(s) of the team concerned or an authorised representative of the Agency.</w:t>
      </w:r>
    </w:p>
    <w:p>
      <w:pPr>
        <w:rPr>
          <w:rFonts w:eastAsia="Times New Roman"/>
          <w:noProof/>
          <w:color w:val="000000"/>
          <w:szCs w:val="24"/>
        </w:rPr>
      </w:pPr>
      <w:r>
        <w:rPr>
          <w:rFonts w:eastAsia="Times New Roman"/>
          <w:noProof/>
          <w:color w:val="000000"/>
          <w:szCs w:val="24"/>
        </w:rPr>
        <w:t>Papers, correspondence and assets of members of the team shall be inviolable, except in case of measures of execution. Members of the team shall not be obliged to give evidence as witnesses.</w:t>
      </w:r>
    </w:p>
    <w:p>
      <w:pPr>
        <w:rPr>
          <w:i/>
          <w:noProof/>
        </w:rPr>
      </w:pPr>
      <w:r>
        <w:rPr>
          <w:i/>
          <w:noProof/>
        </w:rPr>
        <w:t xml:space="preserve">Accreditation document </w:t>
      </w:r>
    </w:p>
    <w:p>
      <w:pPr>
        <w:spacing w:after="240"/>
        <w:rPr>
          <w:rFonts w:eastAsia="Times New Roman"/>
          <w:noProof/>
          <w:color w:val="000000"/>
          <w:szCs w:val="24"/>
        </w:rPr>
      </w:pPr>
      <w:r>
        <w:rPr>
          <w:rFonts w:eastAsia="Times New Roman"/>
          <w:noProof/>
          <w:color w:val="000000"/>
          <w:szCs w:val="24"/>
        </w:rPr>
        <w:t>The Agency shall, in cooperation with the Republic of Albania, issue an accreditation document to members of the team for the purposes of identification vis-à-vis the Albanian authorities as proof of the holder’s rights to perform the tasks and exercise the powers conferred under this Agreement and in the Operational Plan. The accreditation document, in combination with a valid travel document, grants the member of the team access to the Republic of Albania without the need for a visa or prior authorisation.</w:t>
      </w:r>
    </w:p>
    <w:p>
      <w:pPr>
        <w:rPr>
          <w:rFonts w:eastAsia="Times New Roman"/>
          <w:i/>
          <w:noProof/>
          <w:color w:val="000000"/>
          <w:szCs w:val="24"/>
        </w:rPr>
      </w:pPr>
      <w:r>
        <w:rPr>
          <w:rFonts w:eastAsia="Times New Roman"/>
          <w:i/>
          <w:noProof/>
          <w:color w:val="000000"/>
          <w:szCs w:val="24"/>
        </w:rPr>
        <w:t>Fundamental rights</w:t>
      </w:r>
    </w:p>
    <w:p>
      <w:pPr>
        <w:rPr>
          <w:rFonts w:eastAsia="Times New Roman"/>
          <w:noProof/>
          <w:color w:val="000000"/>
          <w:szCs w:val="24"/>
        </w:rPr>
      </w:pPr>
      <w:r>
        <w:rPr>
          <w:rFonts w:eastAsia="Times New Roman"/>
          <w:noProof/>
          <w:color w:val="000000"/>
          <w:szCs w:val="24"/>
        </w:rPr>
        <w:t xml:space="preserve">In the performance of their tasks and in the exercise of their powers, Members of the team shall fully respect fundamental rights and freedoms, including as regards access to asylum procedures, human dignity and the prohibition of torture, inhuman or degrading treatment, the right to liberty, the principle of </w:t>
      </w:r>
      <w:r>
        <w:rPr>
          <w:rFonts w:eastAsia="Times New Roman"/>
          <w:i/>
          <w:noProof/>
          <w:color w:val="000000"/>
          <w:szCs w:val="24"/>
        </w:rPr>
        <w:t>non-refoulement</w:t>
      </w:r>
      <w:r>
        <w:rPr>
          <w:rFonts w:eastAsia="Times New Roman"/>
          <w:noProof/>
          <w:color w:val="000000"/>
          <w:szCs w:val="24"/>
        </w:rPr>
        <w:t xml:space="preserve"> and the prohibition of collective expulsions, the rights of the child and the right to respect for private and family life. They shall not arbitrarily discriminate against persons on any grounds including sex, racial or ethnic origin, religion or belief, disability, age, sexual orientation or gender identity. Any measures interfering with those fundamental rights and freedoms shall be proportionate to the objectives pursued by such measures and respect the essence of these fundamental rights and freedoms.</w:t>
      </w:r>
    </w:p>
    <w:p>
      <w:pPr>
        <w:spacing w:after="240"/>
        <w:rPr>
          <w:rFonts w:eastAsia="Times New Roman"/>
          <w:noProof/>
          <w:color w:val="000000"/>
          <w:szCs w:val="24"/>
        </w:rPr>
      </w:pPr>
      <w:r>
        <w:rPr>
          <w:rFonts w:eastAsia="Times New Roman"/>
          <w:noProof/>
          <w:color w:val="000000"/>
          <w:szCs w:val="24"/>
        </w:rPr>
        <w:t xml:space="preserve">Each Party must have a complaint mechanism in place to deal with allegations of a breach of fundamental rights committed by its staff. The Agency has established the complaint mechanism referred to in Article 72 of the Regulation (EU) 2016/1624 on the European Border and Coast Guard and therefore satisfies this obligation. The Albanian Ombudsman could deal with such allegations, except if the Albanian authorities decide to set up a mechanism specifically tasked to deal with complaints lodged under this Agreement.  </w:t>
      </w:r>
    </w:p>
    <w:p>
      <w:pPr>
        <w:rPr>
          <w:rFonts w:eastAsia="Times New Roman"/>
          <w:i/>
          <w:noProof/>
          <w:color w:val="000000"/>
          <w:szCs w:val="24"/>
        </w:rPr>
      </w:pPr>
      <w:r>
        <w:rPr>
          <w:rFonts w:eastAsia="Times New Roman"/>
          <w:i/>
          <w:noProof/>
          <w:color w:val="000000"/>
          <w:szCs w:val="24"/>
        </w:rPr>
        <w:t>Processing of personal data</w:t>
      </w:r>
    </w:p>
    <w:p>
      <w:pPr>
        <w:rPr>
          <w:rFonts w:eastAsia="Times New Roman"/>
          <w:i/>
          <w:noProof/>
          <w:color w:val="000000"/>
          <w:szCs w:val="24"/>
        </w:rPr>
      </w:pPr>
      <w:r>
        <w:rPr>
          <w:rFonts w:eastAsia="Times New Roman"/>
          <w:noProof/>
          <w:color w:val="000000"/>
          <w:szCs w:val="24"/>
        </w:rPr>
        <w:t xml:space="preserve">Personal data shall be processed by members of the team when necessary in accordance with the rules applicable to the Agency and the EU Member States. Processing of personal data by the Albanian authorities shall be subject to Albanian laws. </w:t>
      </w:r>
    </w:p>
    <w:p>
      <w:pPr>
        <w:spacing w:after="240"/>
        <w:rPr>
          <w:rFonts w:eastAsia="Times New Roman"/>
          <w:i/>
          <w:noProof/>
          <w:color w:val="000000"/>
          <w:szCs w:val="24"/>
        </w:rPr>
      </w:pPr>
      <w:r>
        <w:rPr>
          <w:rFonts w:eastAsia="Times New Roman"/>
          <w:noProof/>
          <w:color w:val="000000"/>
          <w:szCs w:val="24"/>
        </w:rPr>
        <w:t>The Agency, the participating Member States and the Albanian authorities shall draw up a common report on the processing of personal data by members of the team at the end of each action. This report shall be sent to the Agency's Fundamental Rights Officer and Data Protection Officer. They shall report to the Executive Director of the Agency.</w:t>
      </w:r>
    </w:p>
    <w:p>
      <w:pPr>
        <w:rPr>
          <w:rFonts w:eastAsia="Times New Roman"/>
          <w:i/>
          <w:noProof/>
          <w:color w:val="000000"/>
          <w:szCs w:val="24"/>
        </w:rPr>
      </w:pPr>
      <w:r>
        <w:rPr>
          <w:rFonts w:eastAsia="Times New Roman"/>
          <w:i/>
          <w:noProof/>
          <w:color w:val="000000"/>
          <w:szCs w:val="24"/>
        </w:rPr>
        <w:t>Competent authorities for the implementation of the Agreement</w:t>
      </w:r>
    </w:p>
    <w:p>
      <w:pPr>
        <w:spacing w:after="240"/>
        <w:rPr>
          <w:rFonts w:eastAsia="Times New Roman"/>
          <w:b/>
          <w:noProof/>
          <w:color w:val="000000"/>
          <w:szCs w:val="24"/>
        </w:rPr>
      </w:pPr>
      <w:r>
        <w:rPr>
          <w:rFonts w:eastAsia="Times New Roman"/>
          <w:noProof/>
          <w:color w:val="000000"/>
          <w:szCs w:val="24"/>
        </w:rPr>
        <w:t>For the Republic of Albania, the competent authority for the implementation of this Agreement is the Ministry of Interior. For the European Union, it is the European Border and Coast Guard Agency.</w:t>
      </w:r>
    </w:p>
    <w:p>
      <w:pPr>
        <w:rPr>
          <w:rFonts w:eastAsia="Times New Roman"/>
          <w:i/>
          <w:noProof/>
          <w:color w:val="000000"/>
          <w:szCs w:val="24"/>
        </w:rPr>
      </w:pPr>
      <w:r>
        <w:rPr>
          <w:rFonts w:eastAsia="Times New Roman"/>
          <w:i/>
          <w:noProof/>
          <w:color w:val="000000"/>
          <w:szCs w:val="24"/>
        </w:rPr>
        <w:t>Disputes and interpretation</w:t>
      </w:r>
    </w:p>
    <w:p>
      <w:pPr>
        <w:spacing w:before="0"/>
        <w:rPr>
          <w:rFonts w:eastAsia="Times New Roman"/>
          <w:noProof/>
          <w:color w:val="000000"/>
          <w:szCs w:val="24"/>
        </w:rPr>
      </w:pPr>
      <w:r>
        <w:rPr>
          <w:rFonts w:eastAsia="Times New Roman"/>
          <w:noProof/>
          <w:color w:val="000000"/>
          <w:szCs w:val="24"/>
        </w:rPr>
        <w:t xml:space="preserve">All issues arising in connection with the application of this Agreement shall be examined jointly by representatives of the Albanian competent authorities and by representatives of the Agency, which shall consult the Member State or Member States neighbouring the Republic of Albania. </w:t>
      </w:r>
    </w:p>
    <w:p>
      <w:pPr>
        <w:spacing w:before="0"/>
        <w:rPr>
          <w:rFonts w:eastAsia="Times New Roman"/>
          <w:noProof/>
          <w:color w:val="000000"/>
          <w:szCs w:val="24"/>
        </w:rPr>
      </w:pPr>
      <w:r>
        <w:rPr>
          <w:rFonts w:eastAsia="Times New Roman"/>
          <w:noProof/>
          <w:color w:val="000000"/>
          <w:szCs w:val="24"/>
        </w:rPr>
        <w:t>Failing any prior settlement, disputes concerning the interpretation or application of this Agreement shall be settled exclusively by negotiation between the Republic of Albania and the European Commission, which shall consult any Member State neighbouring the Republic of Albania.</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2018/0241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status agreement between the European Union and the Republic of Albania on actions carried out by the European Border and Coast Guard Agency in the Republic of Albania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77(2)(b) and (d) and Article 79(2)(c), in conjunction with Article 218(6),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4"/>
      </w:r>
      <w:r>
        <w:rPr>
          <w:noProof/>
        </w:rPr>
        <w:t>,</w:t>
      </w:r>
    </w:p>
    <w:p>
      <w:pPr>
        <w:rPr>
          <w:noProof/>
        </w:rPr>
      </w:pPr>
      <w:r>
        <w:rPr>
          <w:noProof/>
        </w:rPr>
        <w:t>Whereas:</w:t>
      </w:r>
    </w:p>
    <w:p>
      <w:pPr>
        <w:pStyle w:val="ManualConsidrant"/>
        <w:rPr>
          <w:noProof/>
        </w:rPr>
      </w:pPr>
      <w:r>
        <w:t>(1)</w:t>
      </w:r>
      <w:r>
        <w:tab/>
      </w:r>
      <w:r>
        <w:rPr>
          <w:noProof/>
        </w:rPr>
        <w:t>In accordance with Council Decision 2018/XXX of […], the status agreement between the European Union and the Republic of Albania on actions carried out by the European Border and Coast Guard Agency in the Republic of Albania, was signed by […] on […..], subject to its conclusion.</w:t>
      </w:r>
    </w:p>
    <w:p>
      <w:pPr>
        <w:pStyle w:val="ManualConsidrant"/>
        <w:rPr>
          <w:noProof/>
        </w:rPr>
      </w:pPr>
      <w:r>
        <w:t>(2)</w:t>
      </w:r>
      <w:r>
        <w:tab/>
      </w:r>
      <w:r>
        <w:rPr>
          <w:noProof/>
        </w:rPr>
        <w:t>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w:t>
      </w:r>
    </w:p>
    <w:p>
      <w:pPr>
        <w:pStyle w:val="ManualConsidrant"/>
        <w:rPr>
          <w:noProof/>
        </w:rPr>
      </w:pPr>
      <w:r>
        <w:t>(3)</w:t>
      </w:r>
      <w:r>
        <w:tab/>
      </w:r>
      <w:r>
        <w:rPr>
          <w:noProof/>
        </w:rPr>
        <w:t>Thanks to this status agreement, border guard teams can be swiftly deployed on Albanian territory and respond to the current shift in migratory flows towards the coastal route and assist in external border management and fight against migrant smuggling.</w:t>
      </w:r>
    </w:p>
    <w:p>
      <w:pPr>
        <w:pStyle w:val="ManualConsidrant"/>
        <w:rPr>
          <w:noProof/>
        </w:rPr>
      </w:pPr>
      <w:r>
        <w:t>(4)</w:t>
      </w:r>
      <w:r>
        <w:tab/>
      </w:r>
      <w:r>
        <w:rPr>
          <w:noProof/>
        </w:rPr>
        <w:t xml:space="preserve">This Decision constitutes a development of the provisions of the Schengen </w:t>
      </w:r>
      <w:r>
        <w:rPr>
          <w:i/>
          <w:iCs/>
          <w:noProof/>
        </w:rPr>
        <w:t xml:space="preserve">acquis </w:t>
      </w:r>
      <w:r>
        <w:rPr>
          <w:noProof/>
        </w:rPr>
        <w:t>in which the United Kingdom does not take part, in accordance with Council Decision 2000/365/EC</w:t>
      </w:r>
      <w:r>
        <w:rPr>
          <w:rStyle w:val="FootnoteReference"/>
          <w:noProof/>
          <w:sz w:val="23"/>
          <w:szCs w:val="23"/>
        </w:rPr>
        <w:footnoteReference w:id="5"/>
      </w:r>
      <w:r>
        <w:rPr>
          <w:noProof/>
        </w:rPr>
        <w:t xml:space="preserve">; the United Kingdom is therefore not taking part in the adoption of this Decision and is not bound by it or subject to its application. </w:t>
      </w:r>
    </w:p>
    <w:p>
      <w:pPr>
        <w:pStyle w:val="ManualConsidrant"/>
        <w:rPr>
          <w:noProof/>
        </w:rPr>
      </w:pPr>
      <w:r>
        <w:t>(5)</w:t>
      </w:r>
      <w:r>
        <w:tab/>
      </w:r>
      <w:r>
        <w:rPr>
          <w:noProof/>
        </w:rPr>
        <w:t xml:space="preserve">This Decision constitutes a development of the provisions of the Schengen </w:t>
      </w:r>
      <w:r>
        <w:rPr>
          <w:i/>
          <w:iCs/>
          <w:noProof/>
        </w:rPr>
        <w:t xml:space="preserve">acquis </w:t>
      </w:r>
      <w:r>
        <w:rPr>
          <w:noProof/>
        </w:rPr>
        <w:t>in which Ireland does not take part, in accordance with Council Decision 2002/192/EC</w:t>
      </w:r>
      <w:r>
        <w:rPr>
          <w:rStyle w:val="FootnoteReference"/>
          <w:noProof/>
          <w:sz w:val="23"/>
          <w:szCs w:val="23"/>
        </w:rPr>
        <w:footnoteReference w:id="6"/>
      </w:r>
      <w:r>
        <w:rPr>
          <w:noProof/>
        </w:rPr>
        <w:t>; Ireland is therefore not taking part in the adoption of this Decision and is not bound by it or subject to its application.</w:t>
      </w:r>
    </w:p>
    <w:p>
      <w:pPr>
        <w:pStyle w:val="ManualConsidrant"/>
        <w:rPr>
          <w:noProof/>
        </w:rPr>
      </w:pPr>
      <w:r>
        <w:t>(6)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(7)</w:t>
      </w:r>
      <w:r>
        <w:tab/>
      </w:r>
      <w:r>
        <w:rPr>
          <w:noProof/>
        </w:rPr>
        <w:t>The status agreement should therefore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status agreement between the European Union and the Republic of Albania on actions carried out by the European Border and Coast Guard Agency in the Republic of Albania, is hereby approved on behalf of the Union.</w:t>
      </w:r>
    </w:p>
    <w:p>
      <w:pPr>
        <w:rPr>
          <w:noProof/>
        </w:rPr>
      </w:pPr>
      <w:r>
        <w:rPr>
          <w:noProof/>
        </w:rPr>
        <w:t>The text of the agreement is attached to this Decision.</w:t>
      </w:r>
    </w:p>
    <w:p>
      <w:pPr>
        <w:pStyle w:val="Titrearticle"/>
        <w:keepNext w:val="0"/>
      </w:pPr>
      <w:r>
        <w:rPr>
          <w:noProof/>
        </w:rPr>
        <w:t>Article 2</w:t>
      </w:r>
    </w:p>
    <w:p>
      <w:pPr>
        <w:rPr>
          <w:noProof/>
        </w:rPr>
      </w:pPr>
      <w:r>
        <w:rPr>
          <w:noProof/>
        </w:rPr>
        <w:t>The President of the Council shall designate the person empowered to give, on behalf of the European Union, the notification provided for in Article 12(4) of the Agreement.</w:t>
      </w:r>
    </w:p>
    <w:p>
      <w:pPr>
        <w:pStyle w:val="Titrearticle"/>
        <w:rPr>
          <w:noProof/>
          <w:color w:val="0000FF"/>
        </w:rPr>
      </w:pPr>
      <w:r>
        <w:rPr>
          <w:noProof/>
        </w:rPr>
        <w:t>Article 3</w:t>
      </w:r>
    </w:p>
    <w:p>
      <w:pPr>
        <w:keepLines/>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16.9.2016, L 251/1.</w:t>
      </w:r>
    </w:p>
  </w:footnote>
  <w:footnote w:id="2">
    <w:p>
      <w:pPr>
        <w:pStyle w:val="FootnoteText"/>
        <w:ind w:left="709" w:hanging="709"/>
        <w:rPr>
          <w:rFonts w:ascii="Calibri" w:hAnsi="Calibri"/>
        </w:rPr>
      </w:pPr>
      <w:r>
        <w:rPr>
          <w:rStyle w:val="FootnoteReference"/>
        </w:rPr>
        <w:t>*</w:t>
      </w:r>
      <w:r>
        <w:t xml:space="preserve"> </w:t>
      </w:r>
      <w:r>
        <w:tab/>
        <w:t>This designation is without prejudice to positions on status, and is in line with UNSCR 1244/1999 and the ICJ Opinion on the Kosovo declaration of independence.</w:t>
      </w:r>
    </w:p>
  </w:footnote>
  <w:footnote w:id="3">
    <w:p>
      <w:pPr>
        <w:pStyle w:val="FootnoteText"/>
      </w:pPr>
      <w:r>
        <w:rPr>
          <w:rStyle w:val="FootnoteReference"/>
        </w:rPr>
        <w:footnoteRef/>
      </w:r>
      <w:r>
        <w:tab/>
        <w:t>O.J., 17.5.2005, L 124/22.</w:t>
      </w:r>
    </w:p>
  </w:footnote>
  <w:footnote w:id="4">
    <w:p>
      <w:pPr>
        <w:pStyle w:val="FootnoteText"/>
      </w:pPr>
      <w:r>
        <w:rPr>
          <w:rStyle w:val="FootnoteReference"/>
        </w:rPr>
        <w:footnoteRef/>
      </w:r>
      <w:r>
        <w:tab/>
        <w:t xml:space="preserve">OJ C ,  , p. </w:t>
      </w:r>
    </w:p>
  </w:footnote>
  <w:footnote w:id="5">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acquis</w:t>
      </w:r>
      <w:r>
        <w:t xml:space="preserve"> (O.J. 1.6.2000, L 131/43).</w:t>
      </w:r>
    </w:p>
  </w:footnote>
  <w:footnote w:id="6">
    <w:p>
      <w:pPr>
        <w:pStyle w:val="FootnoteText"/>
      </w:pPr>
      <w:r>
        <w:rPr>
          <w:rStyle w:val="FootnoteReference"/>
        </w:rPr>
        <w:footnoteRef/>
      </w:r>
      <w:r>
        <w:tab/>
        <w:t xml:space="preserve">Council Decision 2002/192/EC of 28 February 2002 concerning the Ireland's request to take part in some of the provisions of the Schengen </w:t>
      </w:r>
      <w:r>
        <w:rPr>
          <w:i/>
        </w:rPr>
        <w:t>acquis</w:t>
      </w:r>
      <w:r>
        <w:t xml:space="preserve"> (O.J. 7.3.2002, L 64/20).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C42E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C2F0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A4D1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666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D6E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862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8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80B871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34:33"/>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1FD94C7-8EC0-4D0E-9174-0FA28CCA4E3E"/>
    <w:docVar w:name="LW_COVERPAGE_TYPE" w:val="1"/>
    <w:docVar w:name="LW_CROSSREFERENCE" w:val="&lt;UNUSED&gt;"/>
    <w:docVar w:name="LW_DocType" w:val="COM"/>
    <w:docVar w:name="LW_EMISSION" w:val="13.6.2018"/>
    <w:docVar w:name="LW_EMISSION_ISODATE" w:val="2018-06-13"/>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1"/>
    <w:docVar w:name="LW_REF.II.NEW.CP_YEAR" w:val="2018"/>
    <w:docVar w:name="LW_REF.INST.NEW" w:val="COM"/>
    <w:docVar w:name="LW_REF.INST.NEW_ADOPTED" w:val="final"/>
    <w:docVar w:name="LW_REF.INST.NEW_TEXT" w:val="(2018)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status agreement between the European Union and the Republic of Albania on actions carried out by the European Border and Coast Guard Agency in the Republic of Albani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EN/TXT/?qid=1464195285121&amp;uri=CELEX:22005A0517%2802%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6CF2-C559-41A6-BF30-E719C105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3792</Words>
  <Characters>20140</Characters>
  <Application>Microsoft Office Word</Application>
  <DocSecurity>0</DocSecurity>
  <Lines>335</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2018-02-13T10:19:00Z</cp:lastPrinted>
  <dcterms:created xsi:type="dcterms:W3CDTF">2018-05-31T13:02:00Z</dcterms:created>
  <dcterms:modified xsi:type="dcterms:W3CDTF">2018-06-11T08:34:00Z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