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C9CC4CF-B2C4-420B-9374-717B6C2B245E" style="width:451.4pt;height:383.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II</w:t>
      </w:r>
      <w:r>
        <w:rPr>
          <w:noProof/>
        </w:rPr>
        <w:br/>
      </w:r>
      <w:r>
        <w:rPr>
          <w:noProof/>
        </w:rPr>
        <w:br/>
        <w:t>Сектори, които са допустими за операциите по финансиране и инвестиране</w:t>
      </w:r>
    </w:p>
    <w:p>
      <w:pPr>
        <w:rPr>
          <w:noProof/>
        </w:rPr>
      </w:pPr>
    </w:p>
    <w:p>
      <w:pPr>
        <w:spacing w:before="0" w:after="0" w:line="360" w:lineRule="auto"/>
        <w:outlineLvl w:val="0"/>
        <w:rPr>
          <w:rFonts w:eastAsia="Times New Roman"/>
          <w:noProof/>
          <w:szCs w:val="24"/>
        </w:rPr>
      </w:pPr>
      <w:r>
        <w:rPr>
          <w:noProof/>
        </w:rPr>
        <w:t>Операциите по финансиране и инвестиране могат да попадат в един или повече от следните сектори:</w:t>
      </w:r>
    </w:p>
    <w:p>
      <w:pPr>
        <w:spacing w:before="0" w:after="0" w:line="360" w:lineRule="auto"/>
        <w:ind w:left="1807" w:hanging="567"/>
        <w:outlineLvl w:val="0"/>
        <w:rPr>
          <w:rFonts w:eastAsia="Times New Roman"/>
          <w:noProof/>
          <w:szCs w:val="24"/>
        </w:rPr>
      </w:pPr>
    </w:p>
    <w:p>
      <w:pPr>
        <w:pStyle w:val="NumPar1"/>
        <w:numPr>
          <w:ilvl w:val="0"/>
          <w:numId w:val="32"/>
        </w:numPr>
        <w:rPr>
          <w:noProof/>
        </w:rPr>
      </w:pPr>
      <w:r>
        <w:rPr>
          <w:noProof/>
        </w:rPr>
        <w:t>Развитие на енергийния сектор в съответствие с приоритетите на енергийния съюз, включително сигурността на енергийните доставки, и ангажименти, поети по линия на Програмата до 2030 г. за устойчиво развитие и на Парижкото споразумение,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разширяването на производството, доставката и използването на чиста и устойчива енергия от възобновяеми източници;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енергийна ефективност и енергоспестяване (като се обръща специално внимание на намаляването на търсенето на енергия посредством управление на търсенето и ремонтиране и преустройство на сгради);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развитие, усъвършенстване и модернизиране на устойчива енергийна инфраструктура (на ниво пренос и на ниво разпределение, технологии за съхраняване на енергия);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производство и доставка на синтетични горива от възобноваеми/неутрални по отношение на въглеродните емисии източници на енергия; алтернативни горива; 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инфраструктура за улавяне и за съхранение на въглерод.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Развитие на устойчиви транспортни инфраструктури и оборудване и иновативни технологии в съответствие с приоритетите на Съюза в сектора на транспорта, както и на ангажиментите, поети в рамките на Парижкото споразумение,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проекти в подкрепа на развитието на инфраструктурата TEN-T, включително градски възли, морски и вътрешни пристанища, мултимодални терминали и свързването им към основните мрежи;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проекти за интелигентна и устойчива градска мобилност (насочени към различните видове градски транспорт с ниски емисии, достъпността, замърсяването на въздуха и шума, енергийното потребление и произшествията);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подкрепа за подновяването и преоборудването на мобилни активи в транспорта с цел внедряване на решения за мобилност с ниски емисии;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железопътна инфраструктура, други железопътни проекти и морски пристанища;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инфраструктура за алтернативни горива, включително електрическа инфраструктура за зареждане.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lastRenderedPageBreak/>
        <w:t>Околна среда и ресурси,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води, включително водоснабдяване и саниране, брегова инфраструктура и друга свързана с водите зелена инфраструктура;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инфраструктура за управление на отпадъците;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проекти и предприятия в областта на екологичното управление на ресурсите и чисти технологии;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подобряване и възстановяване на екосистемите и техните услуги;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устойчиво развитие на градовете, на бреговите и на селските райони;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действия за борба срещу изменението на климата, включително намаляване на риска от природни бедствия;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проекти и предприятия, които прилагат кръгова икономика чрез интегриране на аспекти, свързани с ефективността на ресурсите, в производството и жизнения цикъл на продукта, включително устойчиви доставки на първични и вторични суровини;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декарбонизация и съществено намаляване на емисиите от енергоемки отрасли, включително широкомащабни демонстрационни проекти за иновативни технологии с ниски емисии и тяхното внедряване.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Развитие на инфраструктура за цифрова свързаност, по-специално чрез проекти, които подпомагат внедряването на цифрови мрежи с много висок капацитет.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научни изследвания, развойна дейност и иновации,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научни изследвания, включително инфраструктура и оказване на подкрепа на академичните среди, както и иновативни проекти, съдействащи за постигане на целите на [„Хоризонт Европа“];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корпоративни проекти;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демонстрационни проекти и програми, както и внедряване на свързаните с тях инфраструктури, технологии и процеси;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проекти за сътрудничество между академичните среди и промишлеността;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трансфер на знания и технологии;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нови ефективни здравни продукти, включително фармацевтични продукти, медицински изделия и лекарствени продукти за модерна терапия.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Развитие и внедряване на цифрови технологии и услуги,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изкуствен интелект;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инфраструктури за кибернетична сигурност и защита на мрежите;</w:t>
      </w:r>
    </w:p>
    <w:p>
      <w:pPr>
        <w:pStyle w:val="Point1"/>
        <w:rPr>
          <w:noProof/>
        </w:rPr>
      </w:pPr>
      <w:r>
        <w:rPr>
          <w:noProof/>
        </w:rPr>
        <w:lastRenderedPageBreak/>
        <w:t>в)</w:t>
      </w:r>
      <w:r>
        <w:rPr>
          <w:noProof/>
        </w:rPr>
        <w:tab/>
        <w:t>интернет на нещата;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технология на блоковата верига и други технологии на споделената счетоводна книга;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модерни цифрови умения;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други модерни цифрови технологии и услуги, съдействащи за цифровизирането на промишлеността на Съюз.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Финансова подкрепа за образувания, които имат до 3 000 служители, със специална насоченост към МСП и малки дружества със средна пазарна капитализация,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предоставяне на оборотен капитал и инвестиции;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предоставяне на финансиране на риска от самото създаване до разрастването с цел заемане на водещи в технологично отношение позиции в иновативните и устойчиви сектори;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spacing w:before="0" w:after="0" w:line="360" w:lineRule="auto"/>
        <w:ind w:left="1843" w:hanging="1843"/>
        <w:outlineLvl w:val="1"/>
        <w:rPr>
          <w:rFonts w:eastAsia="Times New Roman"/>
          <w:noProof/>
          <w:szCs w:val="24"/>
        </w:rPr>
      </w:pPr>
      <w:r>
        <w:rPr>
          <w:noProof/>
        </w:rPr>
        <w:t>Културен и творчески сектор; медии, аудиовизуален сектор и журналистика.</w:t>
      </w:r>
    </w:p>
    <w:p>
      <w:pPr>
        <w:spacing w:before="0" w:after="0" w:line="360" w:lineRule="auto"/>
        <w:ind w:left="2374" w:hanging="1098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Туризъм.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Устойчиво селско стопанство, горско стопанство, рибарство, аквакултури и други елементи на устойчивата биоикономика в по-широк смисъл.</w:t>
      </w:r>
    </w:p>
    <w:p>
      <w:pPr>
        <w:spacing w:before="0" w:after="0" w:line="360" w:lineRule="auto"/>
        <w:ind w:left="2374" w:hanging="567"/>
        <w:outlineLvl w:val="1"/>
        <w:rPr>
          <w:rFonts w:eastAsia="Times New Roman"/>
          <w:noProof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Социални инвестиции, включително тези в подкрепа на изпълнението на европейския стълб на социалните права, по-специално чрез: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микрофинансиране, финансиране за социални предприятия и социалната икономика;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търсене и предлагане на умения;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образование, обучение и свързани с тях услуги; 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социална инфраструктура, по-специално:</w:t>
      </w:r>
    </w:p>
    <w:p>
      <w:pPr>
        <w:pStyle w:val="Text2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образование и обучение, включително </w:t>
      </w:r>
      <w:r>
        <w:rPr>
          <w:noProof/>
        </w:rPr>
        <w:br/>
        <w:t>образование и грижи в ранна детска възраст, образователни заведения, студентски жилища и цифрово оборудване;</w:t>
      </w:r>
    </w:p>
    <w:p>
      <w:pPr>
        <w:pStyle w:val="Text2"/>
        <w:rPr>
          <w:noProof/>
        </w:rPr>
      </w:pPr>
      <w:r>
        <w:rPr>
          <w:noProof/>
        </w:rPr>
        <w:t>ii)</w:t>
      </w:r>
      <w:r>
        <w:rPr>
          <w:noProof/>
        </w:rPr>
        <w:tab/>
        <w:t>социални жилища;</w:t>
      </w:r>
    </w:p>
    <w:p>
      <w:pPr>
        <w:pStyle w:val="Text2"/>
        <w:rPr>
          <w:noProof/>
        </w:rPr>
      </w:pPr>
      <w:r>
        <w:rPr>
          <w:noProof/>
        </w:rPr>
        <w:t>iii)</w:t>
      </w:r>
      <w:r>
        <w:rPr>
          <w:noProof/>
        </w:rPr>
        <w:tab/>
        <w:t>здравни и дългосрочни грижи, включително клиники, болници, първични здравни грижи, услуги по домовете и полагане на грижи в рамките на общностите;</w:t>
      </w:r>
    </w:p>
    <w:p>
      <w:pPr>
        <w:pStyle w:val="Point1"/>
        <w:rPr>
          <w:noProof/>
        </w:rPr>
      </w:pPr>
      <w:r>
        <w:rPr>
          <w:noProof/>
        </w:rPr>
        <w:lastRenderedPageBreak/>
        <w:t>д)</w:t>
      </w:r>
      <w:r>
        <w:rPr>
          <w:noProof/>
        </w:rPr>
        <w:tab/>
        <w:t>социални иновации, включително социални решения и схеми, целящи насърчаване на социалните въздействия и резултатите в секторите, посочени в тази точка;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културни дейности със социална цел;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интеграция на уязвимите хора, включително гражданите на трети държави;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иновативни решения в здравеопазването, включително здравни услуги и нови модели на грижи;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приобщаване и достъпност за хората с увреждания.</w:t>
      </w:r>
    </w:p>
    <w:p>
      <w:pPr>
        <w:spacing w:before="0" w:after="0" w:line="360" w:lineRule="auto"/>
        <w:ind w:left="1807" w:hanging="566"/>
        <w:outlineLvl w:val="1"/>
        <w:rPr>
          <w:rFonts w:eastAsia="Times New Roman"/>
          <w:bCs/>
          <w:noProof/>
          <w:color w:val="000000"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Развитие на отбранителната промишленост, с което да се подобри стратегическата автономност на Съюза, по-специално чрез подкрепа за: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веригата за доставките на отбранителната промишленост на Съюза, в частност чрез финансова подкрепа за МСП и дружествата със средна пазарна капитализация;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дружествата, участващи в революционни проекти за иновации в отбраната и тясно свързани с нея технологии с двойна употреба;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веригата за доставките на отбранителната промишленост, когато участва в съвместни проекти за научни изследвания и развойна дейност в този сектор, включително тези, подкрепяни от Европейския фонд за отбрана;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инфраструктура за научни изследвания и обучение в областта на отбраната.</w:t>
      </w:r>
    </w:p>
    <w:p>
      <w:pPr>
        <w:spacing w:before="0" w:after="0" w:line="360" w:lineRule="auto"/>
        <w:ind w:left="1807" w:hanging="566"/>
        <w:outlineLvl w:val="1"/>
        <w:rPr>
          <w:rFonts w:eastAsia="Times New Roman"/>
          <w:bCs/>
          <w:noProof/>
          <w:color w:val="000000"/>
          <w:szCs w:val="24"/>
        </w:rPr>
      </w:pPr>
    </w:p>
    <w:p>
      <w:pPr>
        <w:pStyle w:val="NumPar1"/>
        <w:rPr>
          <w:noProof/>
        </w:rPr>
      </w:pPr>
      <w:r>
        <w:rPr>
          <w:noProof/>
        </w:rPr>
        <w:t>Космически изследвания, по-специално чрез развитие на космическия сектор в съответствие с целите на „Космическата стратегия“: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извличането на максимални ползи за обществото и икономиката на Съюза;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укрепването на конкурентоспособността на космическите системи и технологии, за преодоляване, по-специално на уязвимостта на веригата за доставките;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подкрепа на предприемачеството в космическия сектор;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укрепване на автономността на Съюза за безопасен и сигурен достъп до Космоса, включително аспектите, свързани с двойната употреба.</w:t>
      </w:r>
    </w:p>
    <w:p>
      <w:pPr>
        <w:spacing w:before="0" w:after="0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DCEAE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ECB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98634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2C72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80CF63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90C8C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AC7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214C6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20"/>
  </w:num>
  <w:num w:numId="21">
    <w:abstractNumId w:val="11"/>
  </w:num>
  <w:num w:numId="22">
    <w:abstractNumId w:val="13"/>
  </w:num>
  <w:num w:numId="23">
    <w:abstractNumId w:val="9"/>
  </w:num>
  <w:num w:numId="24">
    <w:abstractNumId w:val="19"/>
  </w:num>
  <w:num w:numId="25">
    <w:abstractNumId w:val="8"/>
  </w:num>
  <w:num w:numId="26">
    <w:abstractNumId w:val="14"/>
  </w:num>
  <w:num w:numId="27">
    <w:abstractNumId w:val="16"/>
  </w:num>
  <w:num w:numId="28">
    <w:abstractNumId w:val="17"/>
  </w:num>
  <w:num w:numId="29">
    <w:abstractNumId w:val="10"/>
  </w:num>
  <w:num w:numId="30">
    <w:abstractNumId w:val="15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2"/>
  </w:num>
  <w:num w:numId="36">
    <w:abstractNumId w:val="20"/>
  </w:num>
  <w:num w:numId="37">
    <w:abstractNumId w:val="11"/>
  </w:num>
  <w:num w:numId="38">
    <w:abstractNumId w:val="13"/>
  </w:num>
  <w:num w:numId="39">
    <w:abstractNumId w:val="9"/>
  </w:num>
  <w:num w:numId="40">
    <w:abstractNumId w:val="19"/>
  </w:num>
  <w:num w:numId="41">
    <w:abstractNumId w:val="8"/>
  </w:num>
  <w:num w:numId="42">
    <w:abstractNumId w:val="14"/>
  </w:num>
  <w:num w:numId="43">
    <w:abstractNumId w:val="16"/>
  </w:num>
  <w:num w:numId="44">
    <w:abstractNumId w:val="17"/>
  </w:num>
  <w:num w:numId="45">
    <w:abstractNumId w:val="10"/>
  </w:num>
  <w:num w:numId="46">
    <w:abstractNumId w:val="15"/>
  </w:num>
  <w:num w:numId="4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3 11:08:4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6C9CC4CF-B2C4-420B-9374-717B6C2B245E"/>
    <w:docVar w:name="LW_COVERPAGE_TYPE" w:val="1"/>
    <w:docVar w:name="LW_CROSSREFERENCE" w:val="{SEC(2018) 293 final}_x000b_{SWD(2018) 314 final}_x000b_{SWD(2018) 316 final}"/>
    <w:docVar w:name="LW_DocType" w:val="ANNEX"/>
    <w:docVar w:name="LW_EMISSION" w:val="6.6.2018"/>
    <w:docVar w:name="LW_EMISSION_ISODATE" w:val="2018-06-0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\u1090?\u1072? InvestEU"/>
    <w:docVar w:name="LW_OBJETACTEPRINCIPAL.CP" w:val="\u1079?\u1072? \u1089?\u1098?\u1079?\u1076?\u1072?\u1074?\u1072?\u1085?\u1077? \u1085?\u1072? \u1087?\u1088?\u1086?\u1075?\u1088?\u1072?\u1084?\u1072?\u1090?\u1072? InvestEU"/>
    <w:docVar w:name="LW_PART_NBR" w:val="1"/>
    <w:docVar w:name="LW_PART_NBR_TOTAL" w:val="1"/>
    <w:docVar w:name="LW_REF.INST.NEW" w:val="COM"/>
    <w:docVar w:name="LW_REF.INST.NEW_ADOPTED" w:val="final"/>
    <w:docVar w:name="LW_REF.INST.NEW_TEXT" w:val="(2018) 43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1"/>
      </w:numPr>
    </w:pPr>
  </w:style>
  <w:style w:type="paragraph" w:customStyle="1" w:styleId="Point1number">
    <w:name w:val="Point 1 (number)"/>
    <w:basedOn w:val="Normal"/>
    <w:pPr>
      <w:numPr>
        <w:ilvl w:val="2"/>
        <w:numId w:val="41"/>
      </w:numPr>
    </w:pPr>
  </w:style>
  <w:style w:type="paragraph" w:customStyle="1" w:styleId="Point2number">
    <w:name w:val="Point 2 (number)"/>
    <w:basedOn w:val="Normal"/>
    <w:pPr>
      <w:numPr>
        <w:ilvl w:val="4"/>
        <w:numId w:val="41"/>
      </w:numPr>
    </w:pPr>
  </w:style>
  <w:style w:type="paragraph" w:customStyle="1" w:styleId="Point3number">
    <w:name w:val="Point 3 (number)"/>
    <w:basedOn w:val="Normal"/>
    <w:pPr>
      <w:numPr>
        <w:ilvl w:val="6"/>
        <w:numId w:val="41"/>
      </w:numPr>
    </w:pPr>
  </w:style>
  <w:style w:type="paragraph" w:customStyle="1" w:styleId="Point0letter">
    <w:name w:val="Point 0 (letter)"/>
    <w:basedOn w:val="Normal"/>
    <w:pPr>
      <w:numPr>
        <w:ilvl w:val="1"/>
        <w:numId w:val="41"/>
      </w:numPr>
    </w:pPr>
  </w:style>
  <w:style w:type="paragraph" w:customStyle="1" w:styleId="Point1letter">
    <w:name w:val="Point 1 (letter)"/>
    <w:basedOn w:val="Normal"/>
    <w:pPr>
      <w:numPr>
        <w:ilvl w:val="3"/>
        <w:numId w:val="41"/>
      </w:numPr>
    </w:pPr>
  </w:style>
  <w:style w:type="paragraph" w:customStyle="1" w:styleId="Point2letter">
    <w:name w:val="Point 2 (letter)"/>
    <w:basedOn w:val="Normal"/>
    <w:pPr>
      <w:numPr>
        <w:ilvl w:val="5"/>
        <w:numId w:val="41"/>
      </w:numPr>
    </w:pPr>
  </w:style>
  <w:style w:type="paragraph" w:customStyle="1" w:styleId="Point3letter">
    <w:name w:val="Point 3 (letter)"/>
    <w:basedOn w:val="Normal"/>
    <w:pPr>
      <w:numPr>
        <w:ilvl w:val="7"/>
        <w:numId w:val="41"/>
      </w:numPr>
    </w:pPr>
  </w:style>
  <w:style w:type="paragraph" w:customStyle="1" w:styleId="Point4letter">
    <w:name w:val="Point 4 (letter)"/>
    <w:basedOn w:val="Normal"/>
    <w:pPr>
      <w:numPr>
        <w:ilvl w:val="8"/>
        <w:numId w:val="41"/>
      </w:numPr>
    </w:pPr>
  </w:style>
  <w:style w:type="paragraph" w:customStyle="1" w:styleId="Bullet0">
    <w:name w:val="Bullet 0"/>
    <w:basedOn w:val="Normal"/>
    <w:pPr>
      <w:numPr>
        <w:numId w:val="42"/>
      </w:numPr>
    </w:pPr>
  </w:style>
  <w:style w:type="paragraph" w:customStyle="1" w:styleId="Bullet1">
    <w:name w:val="Bullet 1"/>
    <w:basedOn w:val="Normal"/>
    <w:pPr>
      <w:numPr>
        <w:numId w:val="43"/>
      </w:numPr>
    </w:pPr>
  </w:style>
  <w:style w:type="paragraph" w:customStyle="1" w:styleId="Bullet2">
    <w:name w:val="Bullet 2"/>
    <w:basedOn w:val="Normal"/>
    <w:pPr>
      <w:numPr>
        <w:numId w:val="44"/>
      </w:numPr>
    </w:pPr>
  </w:style>
  <w:style w:type="paragraph" w:customStyle="1" w:styleId="Bullet3">
    <w:name w:val="Bullet 3"/>
    <w:basedOn w:val="Normal"/>
    <w:pPr>
      <w:numPr>
        <w:numId w:val="45"/>
      </w:numPr>
    </w:pPr>
  </w:style>
  <w:style w:type="paragraph" w:customStyle="1" w:styleId="Bullet4">
    <w:name w:val="Bullet 4"/>
    <w:basedOn w:val="Normal"/>
    <w:pPr>
      <w:numPr>
        <w:numId w:val="4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969</Words>
  <Characters>6195</Characters>
  <Application>Microsoft Office Word</Application>
  <DocSecurity>0</DocSecurity>
  <Lines>154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PARMENTIER Paola</dc:creator>
  <cp:lastModifiedBy>DIGIT/A3</cp:lastModifiedBy>
  <cp:revision>8</cp:revision>
  <cp:lastPrinted>2018-05-16T06:40:00Z</cp:lastPrinted>
  <dcterms:created xsi:type="dcterms:W3CDTF">2018-06-11T15:30:00Z</dcterms:created>
  <dcterms:modified xsi:type="dcterms:W3CDTF">2018-06-13T09:08:00Z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2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