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1460FC28-6810-43C5-B436-7928AB2BAA78" style="width:450.6pt;height:397.25pt">
            <v:imagedata r:id="rId9" o:title=""/>
          </v:shape>
        </w:pict>
      </w:r>
    </w:p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pStyle w:val="Annexetitre"/>
        <w:rPr>
          <w:noProof/>
        </w:rPr>
      </w:pPr>
      <w:bookmarkStart w:id="0" w:name="_GoBack"/>
      <w:bookmarkEnd w:id="0"/>
      <w:r>
        <w:rPr>
          <w:noProof/>
        </w:rPr>
        <w:lastRenderedPageBreak/>
        <w:t xml:space="preserve">ПРИЛОЖЕНИЕ I </w:t>
      </w:r>
      <w:r>
        <w:rPr>
          <w:noProof/>
        </w:rPr>
        <w:br/>
        <w:t>Изчисляване на средната стойност на специфичните емисии, на целта за средна стойност на специфичните емисии и на извънредно количество емисии</w:t>
      </w:r>
    </w:p>
    <w:p>
      <w:pPr>
        <w:pStyle w:val="Heading1"/>
        <w:numPr>
          <w:ilvl w:val="0"/>
          <w:numId w:val="9"/>
        </w:numPr>
        <w:rPr>
          <w:noProof/>
        </w:rPr>
      </w:pPr>
      <w:r>
        <w:rPr>
          <w:noProof/>
        </w:rPr>
        <w:t>Подгрупи превозни средства</w:t>
      </w:r>
    </w:p>
    <w:p>
      <w:pPr>
        <w:ind w:left="850"/>
        <w:rPr>
          <w:noProof/>
        </w:rPr>
      </w:pPr>
      <w:r>
        <w:rPr>
          <w:noProof/>
        </w:rPr>
        <w:t>Всяко ново тежкотоварно превозно средство се разпределя в една от подгрупите, определени в таблица 1, в съответствие с посочените в таблицата условия.</w:t>
      </w:r>
    </w:p>
    <w:p>
      <w:pPr>
        <w:ind w:left="850"/>
        <w:rPr>
          <w:b/>
          <w:noProof/>
        </w:rPr>
      </w:pPr>
      <w:r>
        <w:rPr>
          <w:b/>
          <w:noProof/>
        </w:rPr>
        <w:t>Таблица 1 – Подгрупи превозни средства (sg)</w:t>
      </w:r>
    </w:p>
    <w:tbl>
      <w:tblPr>
        <w:tblStyle w:val="TableGrid"/>
        <w:tblW w:w="8138" w:type="dxa"/>
        <w:tblInd w:w="850" w:type="dxa"/>
        <w:tblLayout w:type="fixed"/>
        <w:tblLook w:val="04A0" w:firstRow="1" w:lastRow="0" w:firstColumn="1" w:lastColumn="0" w:noHBand="0" w:noVBand="1"/>
      </w:tblPr>
      <w:tblGrid>
        <w:gridCol w:w="2618"/>
        <w:gridCol w:w="2160"/>
        <w:gridCol w:w="1440"/>
        <w:gridCol w:w="1920"/>
      </w:tblGrid>
      <w:tr>
        <w:tc>
          <w:tcPr>
            <w:tcW w:w="2618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Тежкотоварни превозни средства </w:t>
            </w:r>
          </w:p>
        </w:tc>
        <w:tc>
          <w:tcPr>
            <w:tcW w:w="216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Тип на кабината</w:t>
            </w:r>
          </w:p>
        </w:tc>
        <w:tc>
          <w:tcPr>
            <w:tcW w:w="144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Мощност на двигателя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Подгрупа на превозното средство (sg)</w:t>
            </w:r>
          </w:p>
        </w:tc>
      </w:tr>
      <w:tr>
        <w:tc>
          <w:tcPr>
            <w:tcW w:w="26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Несъчленени товарни автомобили с конфигурация на осите 4x2 и технически допустима максимална маса с товар &gt; 16 тона</w:t>
            </w: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&lt;170 kW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  <w:p>
            <w:pPr>
              <w:rPr>
                <w:b/>
                <w:noProof/>
              </w:rPr>
            </w:pP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≥170 kW</w:t>
            </w:r>
          </w:p>
        </w:tc>
        <w:tc>
          <w:tcPr>
            <w:tcW w:w="1920" w:type="dxa"/>
            <w:vMerge w:val="restart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  <w:vertAlign w:val="superscript"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≥170 kW и &lt;265 kW</w:t>
            </w:r>
          </w:p>
        </w:tc>
        <w:tc>
          <w:tcPr>
            <w:tcW w:w="1920" w:type="dxa"/>
            <w:vMerge/>
          </w:tcPr>
          <w:p>
            <w:pPr>
              <w:rPr>
                <w:b/>
                <w:noProof/>
              </w:rPr>
            </w:pP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≥265 kW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</w:tr>
      <w:tr>
        <w:tc>
          <w:tcPr>
            <w:tcW w:w="26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Несъчленени товарни автомобили с конфигурация на осите 6x2</w:t>
            </w: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440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</w:tr>
      <w:tr>
        <w:tc>
          <w:tcPr>
            <w:tcW w:w="26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Влекачи с конфигурация на осите 4x2 и технически допустима максимална маса с товар &gt; 16 тона</w:t>
            </w: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920" w:type="dxa"/>
            <w:vMerge w:val="restart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&lt; 265 kW</w:t>
            </w:r>
          </w:p>
        </w:tc>
        <w:tc>
          <w:tcPr>
            <w:tcW w:w="1920" w:type="dxa"/>
            <w:vMerge/>
          </w:tcPr>
          <w:p>
            <w:pPr>
              <w:rPr>
                <w:b/>
                <w:noProof/>
              </w:rPr>
            </w:pP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≥ 265 kW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</w:tr>
      <w:tr>
        <w:tc>
          <w:tcPr>
            <w:tcW w:w="2618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Влекачи с конфигурация на осите 6x2</w:t>
            </w: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Дневна кабина</w:t>
            </w:r>
          </w:p>
        </w:tc>
        <w:tc>
          <w:tcPr>
            <w:tcW w:w="1440" w:type="dxa"/>
            <w:vMerge w:val="restart"/>
          </w:tcPr>
          <w:p>
            <w:pPr>
              <w:rPr>
                <w:noProof/>
              </w:rPr>
            </w:pPr>
            <w:r>
              <w:rPr>
                <w:noProof/>
              </w:rPr>
              <w:t>Всички</w:t>
            </w: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</w:tr>
      <w:tr>
        <w:tc>
          <w:tcPr>
            <w:tcW w:w="2618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2160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Кабина със спално отделение</w:t>
            </w:r>
          </w:p>
        </w:tc>
        <w:tc>
          <w:tcPr>
            <w:tcW w:w="1440" w:type="dxa"/>
            <w:vMerge/>
          </w:tcPr>
          <w:p>
            <w:pPr>
              <w:rPr>
                <w:noProof/>
              </w:rPr>
            </w:pPr>
          </w:p>
        </w:tc>
        <w:tc>
          <w:tcPr>
            <w:tcW w:w="192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</w:tr>
    </w:tbl>
    <w:p>
      <w:pPr>
        <w:spacing w:before="0" w:after="0"/>
        <w:ind w:left="720"/>
        <w:jc w:val="left"/>
        <w:rPr>
          <w:rFonts w:ascii="Calibri" w:eastAsia="Times New Roman" w:hAnsi="Calibri"/>
          <w:noProof/>
          <w:sz w:val="22"/>
          <w:shd w:val="clear" w:color="auto" w:fill="FFFF00"/>
        </w:rPr>
      </w:pPr>
    </w:p>
    <w:p>
      <w:pPr>
        <w:ind w:left="850"/>
        <w:rPr>
          <w:noProof/>
          <w:sz w:val="22"/>
        </w:rPr>
      </w:pPr>
      <w:r>
        <w:rPr>
          <w:noProof/>
          <w:sz w:val="22"/>
        </w:rPr>
        <w:t xml:space="preserve">„Кабина със спално отделение“ означава вид кабина с отделение зад седалката на водача, предназначено да се използва за спане, докладвана в съответствие с Регламент (ЕС) .../2018 [HDV M&amp;R]. 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t>„Дневна кабина“ означава вид кабина, която не е кабина със спално отделение.</w:t>
      </w:r>
    </w:p>
    <w:p>
      <w:pPr>
        <w:ind w:left="850"/>
        <w:rPr>
          <w:noProof/>
          <w:sz w:val="22"/>
        </w:rPr>
      </w:pPr>
      <w:r>
        <w:rPr>
          <w:noProof/>
          <w:sz w:val="22"/>
        </w:rPr>
        <w:t>Ако ново тежкотоварно превозно средство не може да бъде разпределено в подгрупа превозни средства, тъй като няма информация за вида на кабината или мощността на двигателя, то се разпределя в подгрупата за дълги разстояния (LH) в зависимост от вида на шасито (несъчленен товарен автомобил или влекач) и конфигурацията на осите (4x2 или 6x2).</w:t>
      </w:r>
    </w:p>
    <w:p>
      <w:pPr>
        <w:ind w:left="851"/>
        <w:rPr>
          <w:noProof/>
          <w:sz w:val="22"/>
        </w:rPr>
      </w:pPr>
      <w:r>
        <w:rPr>
          <w:noProof/>
          <w:sz w:val="22"/>
        </w:rPr>
        <w:t>Ако ново тежкотоварно превозно средство е разпределено в подгрупа 4-UD, но няма данни за емисиите на CO</w:t>
      </w:r>
      <w:r>
        <w:rPr>
          <w:noProof/>
          <w:sz w:val="22"/>
          <w:vertAlign w:val="subscript"/>
        </w:rPr>
        <w:t>2</w:t>
      </w:r>
      <w:r>
        <w:rPr>
          <w:noProof/>
          <w:sz w:val="22"/>
        </w:rPr>
        <w:t xml:space="preserve"> в g/km за профилите на движение UDL или UDR, определени в раздел 2, таблица 2, то се разпределя в подгрупа 4-RD.</w:t>
      </w:r>
    </w:p>
    <w:p>
      <w:pPr>
        <w:pStyle w:val="Heading1"/>
        <w:rPr>
          <w:noProof/>
        </w:rPr>
      </w:pPr>
      <w:r>
        <w:rPr>
          <w:noProof/>
        </w:rPr>
        <w:t>Изчисляване на средните специфични емисии на производителя</w:t>
      </w:r>
    </w:p>
    <w:p>
      <w:pPr>
        <w:pStyle w:val="Heading2"/>
        <w:rPr>
          <w:noProof/>
        </w:rPr>
      </w:pPr>
      <w:r>
        <w:rPr>
          <w:noProof/>
        </w:rPr>
        <w:t>Изчисляване на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ново тежкотоварно превозно средство</w:t>
      </w:r>
    </w:p>
    <w:p>
      <w:pPr>
        <w:ind w:left="850"/>
        <w:rPr>
          <w:noProof/>
        </w:rPr>
      </w:pPr>
      <w:r>
        <w:rPr>
          <w:noProof/>
        </w:rPr>
        <w:t>Специфичните емисии в g/km (</w:t>
      </w: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>v</w:t>
      </w:r>
      <w:r>
        <w:rPr>
          <w:noProof/>
        </w:rPr>
        <w:t xml:space="preserve">) от ново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 xml:space="preserve">, разпределено в подгрупа </w:t>
      </w:r>
      <w:r>
        <w:rPr>
          <w:i/>
          <w:noProof/>
        </w:rPr>
        <w:t>sg</w:t>
      </w:r>
      <w:r>
        <w:rPr>
          <w:noProof/>
        </w:rPr>
        <w:t>, се изчисляват по следната формула:</w:t>
      </w:r>
    </w:p>
    <w:p>
      <w:pPr>
        <w:ind w:left="850"/>
        <w:rPr>
          <w:noProof/>
        </w:rPr>
      </w:pPr>
    </w:p>
    <w:p>
      <w:pPr>
        <w:pStyle w:val="Text4"/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noProof/>
                </w:rPr>
              </m:ctrlPr>
            </m:naryPr>
            <m:sub>
              <m:r>
                <w:rPr>
                  <w:rFonts w:ascii="Cambria Math" w:hAnsi="Cambria Math"/>
                  <w:noProof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noProof/>
                    </w:rPr>
                    <m:t>,</m:t>
                  </m:r>
                  <m:r>
                    <w:rPr>
                      <w:rFonts w:ascii="Cambria Math" w:hAnsi="Cambria Math"/>
                      <w:noProof/>
                    </w:rPr>
                    <m:t>mp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  <w:noProof/>
            </w:rPr>
            <m:t>×</m:t>
          </m:r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v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,</m:t>
              </m:r>
              <m:r>
                <w:rPr>
                  <w:rFonts w:ascii="Cambria Math" w:hAnsi="Cambria Math"/>
                  <w:noProof/>
                </w:rPr>
                <m:t>mp</m:t>
              </m:r>
            </m:sub>
          </m:sSub>
        </m:oMath>
      </m:oMathPara>
    </w:p>
    <w:p>
      <w:pPr>
        <w:ind w:left="850"/>
        <w:rPr>
          <w:noProof/>
          <w:szCs w:val="24"/>
        </w:rPr>
      </w:pPr>
      <w:r>
        <w:rPr>
          <w:noProof/>
        </w:rPr>
        <w:t>където</w:t>
      </w:r>
    </w:p>
    <w:p>
      <w:pPr>
        <w:ind w:left="850"/>
        <w:rPr>
          <w:noProof/>
          <w:szCs w:val="24"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mp</m:t>
            </m:r>
          </m:e>
        </m:nary>
      </m:oMath>
      <w:r>
        <w:rPr>
          <w:noProof/>
        </w:rPr>
        <w:tab/>
      </w:r>
      <w:r>
        <w:rPr>
          <w:noProof/>
        </w:rPr>
        <w:tab/>
        <w:t xml:space="preserve">е сумата за всички профили на движението </w:t>
      </w:r>
      <w:r>
        <w:rPr>
          <w:i/>
          <w:noProof/>
        </w:rPr>
        <w:t>mp</w:t>
      </w:r>
      <w:r>
        <w:rPr>
          <w:noProof/>
        </w:rPr>
        <w:t>, посочени в таблица 2;</w:t>
      </w:r>
    </w:p>
    <w:p>
      <w:pPr>
        <w:ind w:left="2155" w:hanging="1305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  <w:t xml:space="preserve">е подгрупата, в която е разпределено новото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>, съгласно раздел 1 от настоящото приложение;</w:t>
      </w:r>
    </w:p>
    <w:p>
      <w:pPr>
        <w:ind w:left="2155" w:hanging="1305"/>
        <w:rPr>
          <w:noProof/>
          <w:szCs w:val="24"/>
        </w:rPr>
      </w:pPr>
      <w:r>
        <w:rPr>
          <w:noProof/>
        </w:rPr>
        <w:t>W</w:t>
      </w:r>
      <w:r>
        <w:rPr>
          <w:noProof/>
          <w:vertAlign w:val="subscript"/>
        </w:rPr>
        <w:t>sg,mp,</w:t>
      </w:r>
      <w:r>
        <w:rPr>
          <w:noProof/>
        </w:rPr>
        <w:t xml:space="preserve"> </w:t>
      </w:r>
      <w:r>
        <w:rPr>
          <w:noProof/>
        </w:rPr>
        <w:tab/>
        <w:t>е теглото за профила на движение, посочено в таблица 2;</w:t>
      </w:r>
    </w:p>
    <w:p>
      <w:pPr>
        <w:ind w:left="2155" w:hanging="1305"/>
        <w:rPr>
          <w:noProof/>
          <w:szCs w:val="24"/>
        </w:rPr>
      </w:pPr>
      <w:r>
        <w:rPr>
          <w:noProof/>
        </w:rPr>
        <w:t>CO2</w:t>
      </w:r>
      <w:r>
        <w:rPr>
          <w:noProof/>
          <w:vertAlign w:val="subscript"/>
        </w:rPr>
        <w:t>v,mp</w:t>
      </w:r>
      <w:r>
        <w:rPr>
          <w:noProof/>
        </w:rPr>
        <w:tab/>
        <w:t>са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 от ново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 xml:space="preserve">, определени за съответния профил на движението </w:t>
      </w:r>
      <w:r>
        <w:rPr>
          <w:i/>
          <w:noProof/>
        </w:rPr>
        <w:t>mp</w:t>
      </w:r>
      <w:r>
        <w:rPr>
          <w:noProof/>
        </w:rPr>
        <w:t xml:space="preserve"> и докладвани в съответствие с Регламент (ЕС) …/2018 [HDV M&amp;R]. </w:t>
      </w:r>
    </w:p>
    <w:p>
      <w:pPr>
        <w:ind w:left="851"/>
        <w:rPr>
          <w:noProof/>
        </w:rPr>
      </w:pPr>
      <w:r>
        <w:rPr>
          <w:noProof/>
        </w:rPr>
        <w:t>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 превозно средство с нулеви емисии са 0 g CO</w:t>
      </w:r>
      <w:r>
        <w:rPr>
          <w:noProof/>
          <w:vertAlign w:val="subscript"/>
        </w:rPr>
        <w:t>2</w:t>
      </w:r>
      <w:r>
        <w:rPr>
          <w:noProof/>
        </w:rPr>
        <w:t>/km.</w:t>
      </w:r>
    </w:p>
    <w:p>
      <w:pPr>
        <w:ind w:left="851"/>
        <w:rPr>
          <w:noProof/>
        </w:rPr>
      </w:pPr>
      <w:r>
        <w:rPr>
          <w:noProof/>
        </w:rPr>
        <w:t>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професионално превозно средство се определят като средната стойност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g/km, докладвани в съответствие с Регламент (ЕС) .../2018 [HDV M&amp;R].</w:t>
      </w:r>
    </w:p>
    <w:p>
      <w:pPr>
        <w:ind w:left="850"/>
        <w:rPr>
          <w:b/>
          <w:noProof/>
        </w:rPr>
      </w:pPr>
      <w:r>
        <w:rPr>
          <w:b/>
          <w:noProof/>
        </w:rPr>
        <w:t>Таблица 2 — Тегловен коефициент за профил на движението</w:t>
      </w:r>
      <w:r>
        <w:rPr>
          <w:noProof/>
        </w:rPr>
        <w:t xml:space="preserve"> (</w:t>
      </w:r>
      <w:r>
        <w:rPr>
          <w:b/>
          <w:noProof/>
        </w:rPr>
        <w:t>W</w:t>
      </w:r>
      <w:r>
        <w:rPr>
          <w:b/>
          <w:noProof/>
          <w:vertAlign w:val="subscript"/>
        </w:rPr>
        <w:t>sg,mp</w:t>
      </w:r>
      <w:r>
        <w:rPr>
          <w:b/>
          <w:noProof/>
        </w:rPr>
        <w:t>)</w:t>
      </w:r>
    </w:p>
    <w:tbl>
      <w:tblPr>
        <w:tblStyle w:val="TableGrid"/>
        <w:tblW w:w="0" w:type="auto"/>
        <w:tblInd w:w="850" w:type="dxa"/>
        <w:tblLook w:val="04A0" w:firstRow="1" w:lastRow="0" w:firstColumn="1" w:lastColumn="0" w:noHBand="0" w:noVBand="1"/>
      </w:tblPr>
      <w:tblGrid>
        <w:gridCol w:w="1437"/>
        <w:gridCol w:w="834"/>
        <w:gridCol w:w="850"/>
        <w:gridCol w:w="851"/>
        <w:gridCol w:w="992"/>
        <w:gridCol w:w="723"/>
        <w:gridCol w:w="978"/>
        <w:gridCol w:w="1701"/>
      </w:tblGrid>
      <w:tr>
        <w:tc>
          <w:tcPr>
            <w:tcW w:w="976" w:type="dxa"/>
            <w:vMerge w:val="restart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Подгрупа на превозното средство</w:t>
            </w:r>
          </w:p>
          <w:p>
            <w:pPr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(sg)</w:t>
            </w:r>
          </w:p>
        </w:tc>
        <w:tc>
          <w:tcPr>
            <w:tcW w:w="6929" w:type="dxa"/>
            <w:gridSpan w:val="7"/>
          </w:tcPr>
          <w:p>
            <w:pPr>
              <w:jc w:val="center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Профил на движение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(</w:t>
            </w:r>
            <w:r>
              <w:rPr>
                <w:b/>
                <w:i/>
                <w:noProof/>
              </w:rPr>
              <w:t>mp)</w:t>
            </w:r>
            <w:r>
              <w:rPr>
                <w:b/>
                <w:noProof/>
                <w:vertAlign w:val="superscript"/>
              </w:rPr>
              <w:t xml:space="preserve"> </w:t>
            </w:r>
          </w:p>
          <w:p>
            <w:pPr>
              <w:jc w:val="center"/>
              <w:rPr>
                <w:b/>
                <w:noProof/>
                <w:highlight w:val="yellow"/>
              </w:rPr>
            </w:pPr>
          </w:p>
        </w:tc>
      </w:tr>
      <w:tr>
        <w:tc>
          <w:tcPr>
            <w:tcW w:w="976" w:type="dxa"/>
            <w:vMerge/>
          </w:tcPr>
          <w:p>
            <w:pPr>
              <w:rPr>
                <w:b/>
                <w:noProof/>
              </w:rPr>
            </w:pPr>
          </w:p>
        </w:tc>
        <w:tc>
          <w:tcPr>
            <w:tcW w:w="834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RDL</w:t>
            </w:r>
          </w:p>
        </w:tc>
        <w:tc>
          <w:tcPr>
            <w:tcW w:w="850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RDR</w:t>
            </w:r>
          </w:p>
        </w:tc>
        <w:tc>
          <w:tcPr>
            <w:tcW w:w="851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992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723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978" w:type="dxa"/>
          </w:tcPr>
          <w:p>
            <w:pPr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1701" w:type="dxa"/>
          </w:tcPr>
          <w:p>
            <w:pPr>
              <w:jc w:val="left"/>
              <w:rPr>
                <w:b/>
                <w:noProof/>
                <w:vertAlign w:val="superscript"/>
              </w:rPr>
            </w:pPr>
            <w:r>
              <w:rPr>
                <w:b/>
                <w:noProof/>
              </w:rPr>
              <w:t>REL, RER,  LEL, LER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0,5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0,05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0,45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jc w:val="left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>
        <w:tc>
          <w:tcPr>
            <w:tcW w:w="976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834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0,03</w:t>
            </w:r>
          </w:p>
        </w:tc>
        <w:tc>
          <w:tcPr>
            <w:tcW w:w="850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0,07</w:t>
            </w:r>
          </w:p>
        </w:tc>
        <w:tc>
          <w:tcPr>
            <w:tcW w:w="85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0,27</w:t>
            </w:r>
          </w:p>
        </w:tc>
        <w:tc>
          <w:tcPr>
            <w:tcW w:w="992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0,63</w:t>
            </w:r>
          </w:p>
        </w:tc>
        <w:tc>
          <w:tcPr>
            <w:tcW w:w="723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978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  <w:tc>
          <w:tcPr>
            <w:tcW w:w="1701" w:type="dxa"/>
          </w:tcPr>
          <w:p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>
      <w:pPr>
        <w:ind w:left="850"/>
        <w:rPr>
          <w:b/>
          <w:noProof/>
          <w:vertAlign w:val="superscript"/>
        </w:rPr>
      </w:pPr>
    </w:p>
    <w:p>
      <w:pPr>
        <w:ind w:left="850"/>
        <w:rPr>
          <w:noProof/>
        </w:rPr>
      </w:pP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Определения за профил на движението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90"/>
        <w:gridCol w:w="6658"/>
      </w:tblGrid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RDL 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Малък полезен товар при регионални курсове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 xml:space="preserve">RDR 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Представителен полезен товар при регионални курсове 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LHL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Малък полезен товар на дълги разстояния 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LHR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 xml:space="preserve">Представителен полезен товар на дълги разстояния 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UDL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Малък полезен товар при градски курсове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UDR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при градски курсове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REL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Малък полезен товар при регионални курсове (ЕМС)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RER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при регионални курсове (ЕМС)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LEL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Малък полезен товар на дълги разстояния (ЕМС)</w:t>
            </w:r>
          </w:p>
        </w:tc>
      </w:tr>
      <w:tr>
        <w:tc>
          <w:tcPr>
            <w:tcW w:w="890" w:type="dxa"/>
          </w:tcPr>
          <w:p>
            <w:pPr>
              <w:rPr>
                <w:b/>
                <w:noProof/>
              </w:rPr>
            </w:pPr>
            <w:r>
              <w:rPr>
                <w:b/>
                <w:noProof/>
              </w:rPr>
              <w:t>LER</w:t>
            </w:r>
          </w:p>
        </w:tc>
        <w:tc>
          <w:tcPr>
            <w:tcW w:w="6658" w:type="dxa"/>
          </w:tcPr>
          <w:p>
            <w:pPr>
              <w:rPr>
                <w:noProof/>
              </w:rPr>
            </w:pPr>
            <w:r>
              <w:rPr>
                <w:noProof/>
              </w:rPr>
              <w:t>Представителен полезен товар на дълги разстояния (ЕМС)</w:t>
            </w:r>
          </w:p>
        </w:tc>
      </w:tr>
    </w:tbl>
    <w:p>
      <w:pPr>
        <w:ind w:left="850"/>
        <w:rPr>
          <w:noProof/>
        </w:rPr>
      </w:pPr>
    </w:p>
    <w:p>
      <w:pPr>
        <w:pStyle w:val="Heading2"/>
        <w:rPr>
          <w:noProof/>
        </w:rPr>
      </w:pPr>
      <w:r>
        <w:rPr>
          <w:noProof/>
        </w:rPr>
        <w:t>Средни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всички нови тежкотоварни превозни средства в дадена подгрупа — за производител</w:t>
      </w:r>
    </w:p>
    <w:p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g/tkm (</w:t>
      </w:r>
      <m:oMath>
        <m:sSub>
          <m:sSubPr>
            <m:ctrlPr>
              <w:rPr>
                <w:rFonts w:ascii="Cambria Math" w:hAnsi="Cambria Math"/>
                <w:i/>
                <w:noProof/>
              </w:rPr>
            </m:ctrlPr>
          </m:sSubPr>
          <m:e>
            <m:r>
              <w:rPr>
                <w:rFonts w:ascii="Cambria Math" w:hAnsi="Cambria Math"/>
                <w:noProof/>
              </w:rPr>
              <m:t xml:space="preserve"> avgCO2</m:t>
            </m:r>
          </m:e>
          <m:sub>
            <m:r>
              <w:rPr>
                <w:rFonts w:ascii="Cambria Math" w:hAnsi="Cambria Math"/>
                <w:noProof/>
              </w:rPr>
              <m:t>sg</m:t>
            </m:r>
          </m:sub>
        </m:sSub>
      </m:oMath>
      <w:r>
        <w:rPr>
          <w:noProof/>
        </w:rPr>
        <w:t xml:space="preserve">) от всички нови тежкотоварни превозни средства в подгрупа </w:t>
      </w:r>
      <w:r>
        <w:rPr>
          <w:i/>
          <w:noProof/>
        </w:rPr>
        <w:t>sg</w:t>
      </w:r>
      <w:r>
        <w:rPr>
          <w:noProof/>
        </w:rPr>
        <w:t xml:space="preserve"> се изчисляват, както следва:</w:t>
      </w:r>
    </w:p>
    <w:p>
      <w:pPr>
        <w:pStyle w:val="Text3"/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avgCO</m:t>
              </m:r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>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m:rPr>
              <m:sty m:val="p"/>
            </m:rP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hAnsi="Cambria Math"/>
                      <w:noProof/>
                    </w:rPr>
                  </m:ctrlPr>
                </m:naryPr>
                <m:sub>
                  <m:r>
                    <w:rPr>
                      <w:rFonts w:ascii="Cambria Math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hAnsi="Cambria Math"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noProof/>
                        </w:rPr>
                        <m:t>CO</m:t>
                      </m:r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noProof/>
                        </w:rPr>
                        <m:t>2</m:t>
                      </m:r>
                    </m:e>
                    <m:sub>
                      <m:r>
                        <w:rPr>
                          <w:rFonts w:ascii="Cambria Math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noProof/>
                </w:rPr>
                <m:t xml:space="preserve"> × </m:t>
              </m:r>
              <m:sSub>
                <m:sSubPr>
                  <m:ctrlPr>
                    <w:rPr>
                      <w:rFonts w:ascii="Cambria Math" w:eastAsiaTheme="minorEastAsia" w:hAnsi="Cambria Math"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>
      <w:pPr>
        <w:ind w:left="850"/>
        <w:rPr>
          <w:noProof/>
        </w:rPr>
      </w:pPr>
      <w:r>
        <w:rPr>
          <w:noProof/>
        </w:rPr>
        <w:t>където</w:t>
      </w:r>
    </w:p>
    <w:p>
      <w:pPr>
        <w:ind w:left="2155" w:hanging="1304"/>
        <w:rPr>
          <w:noProof/>
        </w:rPr>
      </w:pP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/>
                <w:noProof/>
              </w:rPr>
            </m:ctrlPr>
          </m:naryPr>
          <m:sub/>
          <m:sup/>
          <m:e>
            <m:r>
              <w:rPr>
                <w:rFonts w:ascii="Cambria Math" w:hAnsi="Cambria Math"/>
                <w:noProof/>
              </w:rPr>
              <m:t>v</m:t>
            </m:r>
          </m:e>
        </m:nary>
      </m:oMath>
      <w:r>
        <w:rPr>
          <w:noProof/>
        </w:rPr>
        <w:tab/>
        <w:t xml:space="preserve">е сумата за всички нови тежкотоварни превозни средства на производителя в подгрупа </w:t>
      </w:r>
      <w:r>
        <w:rPr>
          <w:i/>
          <w:noProof/>
        </w:rPr>
        <w:t>sg</w:t>
      </w:r>
      <w:r>
        <w:rPr>
          <w:noProof/>
        </w:rPr>
        <w:t>, с изключение на всички професионални превозни средства в съответствие с член 4, буква а);</w:t>
      </w:r>
    </w:p>
    <w:p>
      <w:pPr>
        <w:ind w:left="2155" w:hanging="1305"/>
        <w:rPr>
          <w:noProof/>
          <w:vertAlign w:val="subscript"/>
        </w:rPr>
      </w:pPr>
      <w:r>
        <w:rPr>
          <w:noProof/>
        </w:rPr>
        <w:t>CO2</w:t>
      </w:r>
      <w:r>
        <w:rPr>
          <w:noProof/>
          <w:vertAlign w:val="subscript"/>
        </w:rPr>
        <w:t>v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ново тежкотоварно превозно средство </w:t>
      </w:r>
      <w:r>
        <w:rPr>
          <w:i/>
          <w:noProof/>
        </w:rPr>
        <w:t>v</w:t>
      </w:r>
      <w:r>
        <w:rPr>
          <w:noProof/>
        </w:rPr>
        <w:t>, определени съгласно точка 2.1;</w:t>
      </w:r>
    </w:p>
    <w:p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 xml:space="preserve">е броят на новите тежкотоварни превозни средства на производителя в подгрупа </w:t>
      </w:r>
      <w:r>
        <w:rPr>
          <w:i/>
          <w:noProof/>
        </w:rPr>
        <w:t>sg</w:t>
      </w:r>
      <w:r>
        <w:rPr>
          <w:noProof/>
        </w:rPr>
        <w:t xml:space="preserve">, с изключение на всички професионални превозни средства в съответствие с член 4, буква а);   </w:t>
      </w:r>
    </w:p>
    <w:p>
      <w:pPr>
        <w:spacing w:before="0" w:after="0"/>
        <w:ind w:left="2155" w:hanging="1305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 xml:space="preserve">е средният полезен товар на превозните средства в подгрупа </w:t>
      </w:r>
      <w:r>
        <w:rPr>
          <w:i/>
          <w:noProof/>
        </w:rPr>
        <w:t>sg</w:t>
      </w:r>
      <w:r>
        <w:rPr>
          <w:noProof/>
        </w:rPr>
        <w:t>, определен в точка 2.5.</w:t>
      </w:r>
    </w:p>
    <w:p>
      <w:pPr>
        <w:ind w:left="2155" w:hanging="1304"/>
        <w:rPr>
          <w:noProof/>
        </w:rPr>
      </w:pPr>
    </w:p>
    <w:p>
      <w:pPr>
        <w:pStyle w:val="Heading2"/>
        <w:rPr>
          <w:noProof/>
        </w:rPr>
      </w:pPr>
      <w:r>
        <w:rPr>
          <w:noProof/>
        </w:rPr>
        <w:t>Изчисляване на коефициента за нулеви и ниски емисии, посочен в член 5</w:t>
      </w:r>
    </w:p>
    <w:p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посоченият в член 5 коефициент за нулеви и ниски емисии (ZLEV) се изчислява, както следва:</w:t>
      </w:r>
    </w:p>
    <w:p>
      <w:pPr>
        <w:spacing w:before="0" w:after="200" w:line="276" w:lineRule="auto"/>
        <w:ind w:left="130" w:firstLine="720"/>
        <w:jc w:val="left"/>
        <w:rPr>
          <w:i/>
          <w:noProof/>
          <w:sz w:val="22"/>
        </w:rPr>
      </w:pPr>
      <w:r>
        <w:rPr>
          <w:i/>
          <w:noProof/>
          <w:sz w:val="22"/>
        </w:rPr>
        <w:t xml:space="preserve">ZLEV = </w:t>
      </w:r>
      <w:r>
        <w:rPr>
          <w:i/>
          <w:noProof/>
        </w:rPr>
        <w:t>V</w:t>
      </w:r>
      <w:r>
        <w:rPr>
          <w:i/>
          <w:noProof/>
          <w:sz w:val="22"/>
        </w:rPr>
        <w:t xml:space="preserve"> / </w:t>
      </w:r>
      <w:r>
        <w:rPr>
          <w:i/>
          <w:noProof/>
        </w:rPr>
        <w:t>(Vconv + Vzlev)</w:t>
      </w:r>
      <w:r>
        <w:rPr>
          <w:noProof/>
        </w:rPr>
        <w:t>,</w:t>
      </w:r>
      <w:r>
        <w:rPr>
          <w:i/>
          <w:noProof/>
        </w:rPr>
        <w:t xml:space="preserve">  </w:t>
      </w:r>
      <w:r>
        <w:rPr>
          <w:noProof/>
        </w:rPr>
        <w:tab/>
      </w:r>
      <w:r>
        <w:rPr>
          <w:i/>
          <w:noProof/>
        </w:rPr>
        <w:t xml:space="preserve"> като стойността му е най-малко 0,97</w:t>
      </w:r>
    </w:p>
    <w:p>
      <w:pPr>
        <w:spacing w:before="0" w:after="200" w:line="276" w:lineRule="auto"/>
        <w:ind w:left="130" w:firstLine="720"/>
        <w:jc w:val="left"/>
        <w:rPr>
          <w:noProof/>
          <w:sz w:val="22"/>
        </w:rPr>
      </w:pPr>
      <w:r>
        <w:rPr>
          <w:noProof/>
          <w:sz w:val="22"/>
        </w:rPr>
        <w:t>където</w:t>
      </w:r>
    </w:p>
    <w:p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  <w:t xml:space="preserve">е броят на новите тежкотоварни превозни средства на производителя, с изключение на всички професионални превозни средства в съответствие с член 4, буква а); </w:t>
      </w:r>
    </w:p>
    <w:p>
      <w:pPr>
        <w:ind w:left="2155" w:hanging="1305"/>
        <w:rPr>
          <w:noProof/>
        </w:rPr>
      </w:pPr>
      <w:r>
        <w:rPr>
          <w:i/>
          <w:noProof/>
        </w:rPr>
        <w:t>Vconv</w:t>
      </w:r>
      <w:r>
        <w:rPr>
          <w:noProof/>
        </w:rPr>
        <w:tab/>
        <w:t xml:space="preserve">е броят на новите тежкотоварни превозни средства на производителя, с изключение на всички професионални превозни средства в съответствие с член 4, буква а) и с изключение на тежкотоварните превозни средства с нулеви и ниски емисии;   </w:t>
      </w:r>
    </w:p>
    <w:p>
      <w:pPr>
        <w:ind w:left="850"/>
        <w:rPr>
          <w:i/>
          <w:noProof/>
          <w:sz w:val="22"/>
          <w:vertAlign w:val="subscript"/>
        </w:rPr>
      </w:pPr>
      <w:r>
        <w:rPr>
          <w:i/>
          <w:noProof/>
          <w:sz w:val="22"/>
        </w:rPr>
        <w:t>Vzlev</w:t>
      </w:r>
      <w:r>
        <w:rPr>
          <w:noProof/>
        </w:rPr>
        <w:tab/>
      </w:r>
      <w:r>
        <w:rPr>
          <w:noProof/>
        </w:rPr>
        <w:tab/>
        <w:t xml:space="preserve">е сумата от </w:t>
      </w:r>
      <w:r>
        <w:rPr>
          <w:i/>
          <w:noProof/>
          <w:sz w:val="22"/>
        </w:rPr>
        <w:t>Vin</w:t>
      </w:r>
      <w:r>
        <w:rPr>
          <w:noProof/>
        </w:rPr>
        <w:t xml:space="preserve"> и </w:t>
      </w:r>
      <w:r>
        <w:rPr>
          <w:i/>
          <w:noProof/>
          <w:sz w:val="22"/>
        </w:rPr>
        <w:t>Vout,</w:t>
      </w:r>
    </w:p>
    <w:p>
      <w:pPr>
        <w:ind w:left="850"/>
        <w:rPr>
          <w:noProof/>
          <w:szCs w:val="24"/>
        </w:rPr>
      </w:pPr>
      <w:r>
        <w:rPr>
          <w:noProof/>
        </w:rPr>
        <w:tab/>
      </w:r>
      <w:r>
        <w:rPr>
          <w:noProof/>
          <w:sz w:val="22"/>
        </w:rPr>
        <w:t>където</w:t>
      </w:r>
      <w:r>
        <w:rPr>
          <w:noProof/>
        </w:rPr>
        <w:t xml:space="preserve">  </w:t>
      </w:r>
    </w:p>
    <w:p>
      <w:pPr>
        <w:spacing w:before="0" w:after="200" w:line="276" w:lineRule="auto"/>
        <w:ind w:left="720" w:firstLine="720"/>
        <w:contextualSpacing/>
        <w:rPr>
          <w:noProof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2676525" cy="2304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680769" cy="23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00" w:line="276" w:lineRule="auto"/>
        <w:ind w:left="2880"/>
        <w:contextualSpacing/>
        <w:rPr>
          <w:noProof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11150" cy="1586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20556" cy="16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t xml:space="preserve"> е сумата за всички тежкотоварни превозни средства с нулеви и ниски емисии, притежаващи характеристиките, посочени в член 2, параграф 1, букви а) — г); </w:t>
      </w:r>
    </w:p>
    <w:p>
      <w:pPr>
        <w:spacing w:before="0" w:after="200" w:line="276" w:lineRule="auto"/>
        <w:ind w:left="2880" w:hanging="1440"/>
        <w:contextualSpacing/>
        <w:rPr>
          <w:noProof/>
          <w:szCs w:val="24"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>v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g/km от тежкотоварно превозно средство с нулеви и ниски емисии </w:t>
      </w:r>
      <w:r>
        <w:rPr>
          <w:i/>
          <w:noProof/>
        </w:rPr>
        <w:t>v</w:t>
      </w:r>
      <w:r>
        <w:rPr>
          <w:noProof/>
        </w:rPr>
        <w:t>, определени съгласно точка 2.1;</w:t>
      </w:r>
    </w:p>
    <w:p>
      <w:pPr>
        <w:ind w:left="2880" w:hanging="1440"/>
        <w:rPr>
          <w:noProof/>
          <w:szCs w:val="24"/>
        </w:rPr>
      </w:pPr>
      <w:r>
        <w:rPr>
          <w:i/>
          <w:noProof/>
          <w:sz w:val="22"/>
        </w:rPr>
        <w:t>Vout</w:t>
      </w:r>
      <w:r>
        <w:rPr>
          <w:noProof/>
        </w:rPr>
        <w:t xml:space="preserve"> </w:t>
      </w:r>
      <w:r>
        <w:rPr>
          <w:noProof/>
        </w:rPr>
        <w:tab/>
        <w:t xml:space="preserve">е общият брой на тежкотоварните превозни средства с нулеви емисии от категориите, посочени в член 2, параграф 1, втора алинея, умножен по 2, като стойността на </w:t>
      </w:r>
      <w:r>
        <w:rPr>
          <w:i/>
          <w:noProof/>
        </w:rPr>
        <w:t>Vconv</w:t>
      </w:r>
      <w:r>
        <w:rPr>
          <w:noProof/>
        </w:rPr>
        <w:t xml:space="preserve"> е най-много 1,5 %. </w:t>
      </w:r>
    </w:p>
    <w:p>
      <w:pPr>
        <w:pStyle w:val="Heading2"/>
        <w:rPr>
          <w:noProof/>
        </w:rPr>
      </w:pPr>
      <w:r>
        <w:rPr>
          <w:noProof/>
        </w:rPr>
        <w:t>Изчисляване на дела на превозните средства на производителя в дадена подгрупа</w:t>
      </w:r>
    </w:p>
    <w:p>
      <w:pPr>
        <w:ind w:left="850"/>
        <w:rPr>
          <w:noProof/>
        </w:rPr>
      </w:pPr>
      <w:r>
        <w:rPr>
          <w:noProof/>
        </w:rPr>
        <w:t xml:space="preserve">За всеки производител и за всяка календарна година делът на новите тежкотоварни превозни средства в подгрупа </w:t>
      </w:r>
      <w:r>
        <w:rPr>
          <w:i/>
          <w:noProof/>
        </w:rPr>
        <w:t>sg</w:t>
      </w:r>
      <w:r>
        <w:rPr>
          <w:noProof/>
        </w:rPr>
        <w:t xml:space="preserve"> — </w:t>
      </w:r>
      <w:r>
        <w:rPr>
          <w:i/>
          <w:noProof/>
        </w:rPr>
        <w:t>share</w:t>
      </w:r>
      <w:r>
        <w:rPr>
          <w:i/>
          <w:noProof/>
          <w:vertAlign w:val="subscript"/>
        </w:rPr>
        <w:t>sg</w:t>
      </w:r>
      <w:r>
        <w:rPr>
          <w:noProof/>
        </w:rPr>
        <w:t>, се изчислява, както следва:</w:t>
      </w:r>
    </w:p>
    <w:p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share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V</m:t>
                  </m:r>
                </m:e>
                <m:sub/>
              </m:sSub>
            </m:den>
          </m:f>
        </m:oMath>
      </m:oMathPara>
    </w:p>
    <w:p>
      <w:pPr>
        <w:ind w:left="850"/>
        <w:rPr>
          <w:noProof/>
        </w:rPr>
      </w:pPr>
      <w:r>
        <w:rPr>
          <w:noProof/>
        </w:rPr>
        <w:t xml:space="preserve">където </w:t>
      </w:r>
    </w:p>
    <w:p>
      <w:pPr>
        <w:ind w:left="2155" w:hanging="1304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sg</w:t>
      </w:r>
      <w:r>
        <w:rPr>
          <w:noProof/>
        </w:rPr>
        <w:tab/>
        <w:t xml:space="preserve">е броят на новите тежкотоварни превозни средства на производителя в подгрупа </w:t>
      </w:r>
      <w:r>
        <w:rPr>
          <w:i/>
          <w:noProof/>
        </w:rPr>
        <w:t>sg</w:t>
      </w:r>
      <w:r>
        <w:rPr>
          <w:noProof/>
        </w:rPr>
        <w:t xml:space="preserve">, с изключение на всички професионални превозни средства в съответствие с член 4, буква а);  </w:t>
      </w:r>
    </w:p>
    <w:p>
      <w:pPr>
        <w:ind w:left="2155" w:hanging="1305"/>
        <w:rPr>
          <w:i/>
          <w:noProof/>
        </w:rPr>
      </w:pPr>
      <w:r>
        <w:rPr>
          <w:noProof/>
        </w:rPr>
        <w:t>V</w:t>
      </w:r>
      <w:r>
        <w:rPr>
          <w:noProof/>
        </w:rPr>
        <w:tab/>
        <w:t xml:space="preserve">е броят на новите тежкотоварни превозни средства на производителя, с изключение на всички професионални превозни средства в съответствие с член 4, буква а). </w:t>
      </w:r>
    </w:p>
    <w:p>
      <w:pPr>
        <w:pStyle w:val="Heading2"/>
        <w:rPr>
          <w:noProof/>
        </w:rPr>
      </w:pPr>
      <w:r>
        <w:rPr>
          <w:noProof/>
        </w:rPr>
        <w:t xml:space="preserve">Изчисляване на средните стойности на полезния товар за всички превозни средства в дадена подгрупа </w:t>
      </w:r>
    </w:p>
    <w:p>
      <w:pPr>
        <w:keepNext/>
        <w:ind w:left="850"/>
        <w:outlineLvl w:val="1"/>
        <w:rPr>
          <w:rFonts w:eastAsiaTheme="majorEastAsia"/>
          <w:bCs/>
          <w:noProof/>
          <w:szCs w:val="26"/>
        </w:rPr>
      </w:pPr>
      <w:r>
        <w:rPr>
          <w:noProof/>
        </w:rPr>
        <w:t xml:space="preserve">Средната стойност на полезния товар </w:t>
      </w:r>
      <w:r>
        <w:rPr>
          <w:rFonts w:eastAsiaTheme="majorEastAsia"/>
          <w:i/>
          <w:noProof/>
        </w:rPr>
        <w:t>PL</w:t>
      </w:r>
      <w:r>
        <w:rPr>
          <w:rFonts w:eastAsiaTheme="majorEastAsia"/>
          <w:i/>
          <w:noProof/>
          <w:vertAlign w:val="subscript"/>
        </w:rPr>
        <w:t>sg</w:t>
      </w:r>
      <w:r>
        <w:rPr>
          <w:noProof/>
        </w:rPr>
        <w:t xml:space="preserve"> на превозно средство в подгрупа </w:t>
      </w:r>
      <w:r>
        <w:rPr>
          <w:rFonts w:eastAsiaTheme="majorEastAsia"/>
          <w:i/>
          <w:noProof/>
        </w:rPr>
        <w:t>sg</w:t>
      </w:r>
      <w:r>
        <w:rPr>
          <w:noProof/>
        </w:rPr>
        <w:t xml:space="preserve"> се изчислява, както следва:</w:t>
      </w:r>
    </w:p>
    <w:p>
      <w:pPr>
        <w:ind w:left="850"/>
        <w:rPr>
          <w:noProof/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</m:t>
              </m:r>
            </m:sub>
          </m:sSub>
          <m:r>
            <w:rPr>
              <w:rFonts w:ascii="Cambria Math" w:hAnsi="Cambria Math"/>
              <w:noProof/>
              <w:sz w:val="20"/>
              <w:szCs w:val="20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naryPr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mp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i/>
                      <w:noProof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W</m:t>
                  </m:r>
                </m:e>
                <m:sub>
                  <m:r>
                    <w:rPr>
                      <w:rFonts w:ascii="Cambria Math" w:hAnsi="Cambria Math"/>
                      <w:noProof/>
                      <w:sz w:val="20"/>
                      <w:szCs w:val="20"/>
                    </w:rPr>
                    <m:t>sg,mp</m:t>
                  </m:r>
                </m:sub>
              </m:sSub>
            </m:e>
          </m:nary>
          <m:r>
            <w:rPr>
              <w:rFonts w:ascii="Cambria Math" w:hAnsi="Cambria Math"/>
              <w:noProof/>
              <w:sz w:val="20"/>
              <w:szCs w:val="20"/>
            </w:rPr>
            <m:t>×</m:t>
          </m:r>
          <m:sSub>
            <m:sSubPr>
              <m:ctrlPr>
                <w:rPr>
                  <w:rFonts w:ascii="Cambria Math" w:hAnsi="Cambria Math"/>
                  <w:i/>
                  <w:noProof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noProof/>
                  <w:sz w:val="20"/>
                  <w:szCs w:val="20"/>
                </w:rPr>
                <m:t>PL</m:t>
              </m:r>
            </m:e>
            <m:sub>
              <m:r>
                <w:rPr>
                  <w:rFonts w:ascii="Cambria Math" w:hAnsi="Cambria Math"/>
                  <w:noProof/>
                  <w:sz w:val="20"/>
                  <w:szCs w:val="20"/>
                </w:rPr>
                <m:t>sg,mp</m:t>
              </m:r>
            </m:sub>
          </m:sSub>
        </m:oMath>
      </m:oMathPara>
    </w:p>
    <w:p>
      <w:pPr>
        <w:contextualSpacing/>
        <w:rPr>
          <w:i/>
          <w:noProof/>
        </w:rPr>
      </w:pPr>
    </w:p>
    <w:p>
      <w:pPr>
        <w:ind w:left="1440"/>
        <w:contextualSpacing/>
        <w:rPr>
          <w:noProof/>
        </w:rPr>
      </w:pPr>
      <w:r>
        <w:rPr>
          <w:noProof/>
        </w:rPr>
        <w:t>където</w:t>
      </w:r>
    </w:p>
    <w:p>
      <w:pPr>
        <w:spacing w:before="20" w:after="20"/>
        <w:ind w:left="1440"/>
        <w:contextualSpacing/>
        <w:rPr>
          <w:i/>
          <w:noProof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mp</m:t>
            </m:r>
          </m:sub>
          <m:sup/>
          <m:e/>
        </m:nary>
      </m:oMath>
      <w:r>
        <w:rPr>
          <w:noProof/>
        </w:rPr>
        <w:tab/>
      </w:r>
      <w:r>
        <w:rPr>
          <w:rFonts w:eastAsiaTheme="minorEastAsia"/>
          <w:noProof/>
          <w:sz w:val="20"/>
        </w:rPr>
        <w:t xml:space="preserve"> </w:t>
      </w:r>
      <w:r>
        <w:rPr>
          <w:noProof/>
        </w:rPr>
        <w:t xml:space="preserve"> е сумата за всички профили на движението </w:t>
      </w:r>
      <w:r>
        <w:rPr>
          <w:i/>
          <w:noProof/>
        </w:rPr>
        <w:t>mp</w:t>
      </w:r>
    </w:p>
    <w:p>
      <w:pPr>
        <w:spacing w:before="20" w:after="20"/>
        <w:ind w:left="1440"/>
        <w:contextualSpacing/>
        <w:rPr>
          <w:i/>
          <w:noProof/>
        </w:rPr>
      </w:pPr>
      <w:r>
        <w:rPr>
          <w:noProof/>
        </w:rPr>
        <w:t>W</w:t>
      </w:r>
      <w:r>
        <w:rPr>
          <w:noProof/>
          <w:vertAlign w:val="subscript"/>
        </w:rPr>
        <w:t>sg,mp,</w:t>
      </w:r>
      <w:r>
        <w:rPr>
          <w:noProof/>
        </w:rPr>
        <w:t xml:space="preserve"> е масата за профила на движение, посочена в таблица 2, точка 2.1</w:t>
      </w:r>
    </w:p>
    <w:p>
      <w:pPr>
        <w:spacing w:before="20" w:after="20"/>
        <w:ind w:left="2155" w:hanging="71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sg,mp</w:t>
      </w:r>
      <w:r>
        <w:rPr>
          <w:noProof/>
        </w:rPr>
        <w:tab/>
        <w:t xml:space="preserve">е стойността на полезния товар, определена за превозните средства в подгрупата </w:t>
      </w:r>
      <w:r>
        <w:rPr>
          <w:i/>
          <w:noProof/>
        </w:rPr>
        <w:t>sg</w:t>
      </w:r>
      <w:r>
        <w:rPr>
          <w:noProof/>
        </w:rPr>
        <w:t xml:space="preserve"> за съответния профил на движение </w:t>
      </w:r>
      <w:r>
        <w:rPr>
          <w:i/>
          <w:noProof/>
        </w:rPr>
        <w:t>mp</w:t>
      </w:r>
      <w:r>
        <w:rPr>
          <w:noProof/>
        </w:rPr>
        <w:t xml:space="preserve"> съгласно таблица 3.</w:t>
      </w:r>
    </w:p>
    <w:p>
      <w:pPr>
        <w:ind w:left="720" w:firstLine="720"/>
        <w:contextualSpacing/>
        <w:rPr>
          <w:noProof/>
        </w:rPr>
      </w:pPr>
    </w:p>
    <w:p>
      <w:pPr>
        <w:ind w:left="2155" w:hanging="1305"/>
        <w:rPr>
          <w:b/>
          <w:noProof/>
        </w:rPr>
      </w:pPr>
      <w:r>
        <w:rPr>
          <w:b/>
          <w:noProof/>
        </w:rPr>
        <w:t>Таблица 3 — Стойности на полезния товар</w:t>
      </w:r>
      <w:r>
        <w:rPr>
          <w:b/>
          <w:noProof/>
          <w:sz w:val="22"/>
        </w:rPr>
        <w:t xml:space="preserve"> PL</w:t>
      </w:r>
      <w:r>
        <w:rPr>
          <w:b/>
          <w:noProof/>
          <w:sz w:val="22"/>
          <w:vertAlign w:val="subscript"/>
        </w:rPr>
        <w:t xml:space="preserve"> sg, mp</w:t>
      </w:r>
      <w:r>
        <w:rPr>
          <w:b/>
          <w:noProof/>
          <w:sz w:val="22"/>
        </w:rPr>
        <w:t xml:space="preserve"> (в тонове)</w:t>
      </w:r>
    </w:p>
    <w:tbl>
      <w:tblPr>
        <w:tblStyle w:val="TableGrid2"/>
        <w:tblW w:w="8232" w:type="dxa"/>
        <w:tblInd w:w="108" w:type="dxa"/>
        <w:tblLook w:val="04A0" w:firstRow="1" w:lastRow="0" w:firstColumn="1" w:lastColumn="0" w:noHBand="0" w:noVBand="1"/>
      </w:tblPr>
      <w:tblGrid>
        <w:gridCol w:w="1559"/>
        <w:gridCol w:w="656"/>
        <w:gridCol w:w="682"/>
        <w:gridCol w:w="664"/>
        <w:gridCol w:w="672"/>
        <w:gridCol w:w="682"/>
        <w:gridCol w:w="690"/>
        <w:gridCol w:w="657"/>
        <w:gridCol w:w="664"/>
        <w:gridCol w:w="649"/>
        <w:gridCol w:w="649"/>
        <w:gridCol w:w="8"/>
      </w:tblGrid>
      <w:tr>
        <w:trPr>
          <w:gridAfter w:val="1"/>
          <w:wAfter w:w="9" w:type="dxa"/>
        </w:trPr>
        <w:tc>
          <w:tcPr>
            <w:tcW w:w="1800" w:type="dxa"/>
            <w:vMerge w:val="restart"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  <w:r>
              <w:rPr>
                <w:b/>
                <w:noProof/>
                <w:sz w:val="22"/>
              </w:rPr>
              <w:t>Подгрупа на превозното средство</w:t>
            </w:r>
            <w:r>
              <w:rPr>
                <w:b/>
                <w:i/>
                <w:noProof/>
                <w:sz w:val="22"/>
              </w:rPr>
              <w:t xml:space="preserve"> sg</w:t>
            </w:r>
          </w:p>
        </w:tc>
        <w:tc>
          <w:tcPr>
            <w:tcW w:w="6423" w:type="dxa"/>
            <w:gridSpan w:val="10"/>
          </w:tcPr>
          <w:p>
            <w:pPr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Профил на движение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noProof/>
              </w:rPr>
              <w:t xml:space="preserve"> (</w:t>
            </w:r>
            <w:r>
              <w:rPr>
                <w:b/>
                <w:i/>
                <w:noProof/>
              </w:rPr>
              <w:t>mp)</w:t>
            </w:r>
            <w:r>
              <w:rPr>
                <w:b/>
                <w:noProof/>
              </w:rPr>
              <w:t xml:space="preserve"> </w:t>
            </w:r>
          </w:p>
        </w:tc>
      </w:tr>
      <w:tr>
        <w:tc>
          <w:tcPr>
            <w:tcW w:w="1800" w:type="dxa"/>
            <w:vMerge/>
          </w:tcPr>
          <w:p>
            <w:pPr>
              <w:spacing w:before="0" w:after="0"/>
              <w:jc w:val="center"/>
              <w:rPr>
                <w:b/>
                <w:noProof/>
                <w:sz w:val="22"/>
              </w:rPr>
            </w:pPr>
          </w:p>
        </w:tc>
        <w:tc>
          <w:tcPr>
            <w:tcW w:w="236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RDL</w:t>
            </w:r>
          </w:p>
        </w:tc>
        <w:tc>
          <w:tcPr>
            <w:tcW w:w="695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RDR</w:t>
            </w:r>
          </w:p>
        </w:tc>
        <w:tc>
          <w:tcPr>
            <w:tcW w:w="686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LHL</w:t>
            </w:r>
          </w:p>
        </w:tc>
        <w:tc>
          <w:tcPr>
            <w:tcW w:w="690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LHR</w:t>
            </w:r>
          </w:p>
        </w:tc>
        <w:tc>
          <w:tcPr>
            <w:tcW w:w="695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UDL</w:t>
            </w:r>
          </w:p>
        </w:tc>
        <w:tc>
          <w:tcPr>
            <w:tcW w:w="699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UDR</w:t>
            </w:r>
          </w:p>
        </w:tc>
        <w:tc>
          <w:tcPr>
            <w:tcW w:w="683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REL</w:t>
            </w:r>
          </w:p>
        </w:tc>
        <w:tc>
          <w:tcPr>
            <w:tcW w:w="686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RER</w:t>
            </w:r>
          </w:p>
        </w:tc>
        <w:tc>
          <w:tcPr>
            <w:tcW w:w="679" w:type="dxa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LEL</w:t>
            </w:r>
          </w:p>
        </w:tc>
        <w:tc>
          <w:tcPr>
            <w:tcW w:w="683" w:type="dxa"/>
            <w:gridSpan w:val="2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LER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23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0,9</w:t>
            </w: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5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4,4</w:t>
            </w:r>
          </w:p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 w:val="restart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1,9</w:t>
            </w:r>
          </w:p>
        </w:tc>
        <w:tc>
          <w:tcPr>
            <w:tcW w:w="690" w:type="dxa"/>
            <w:vMerge w:val="restart"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  <w:r>
              <w:rPr>
                <w:noProof/>
                <w:color w:val="000000"/>
                <w:sz w:val="22"/>
              </w:rPr>
              <w:t>14</w:t>
            </w:r>
          </w:p>
        </w:tc>
        <w:tc>
          <w:tcPr>
            <w:tcW w:w="695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0,9</w:t>
            </w:r>
          </w:p>
        </w:tc>
        <w:tc>
          <w:tcPr>
            <w:tcW w:w="69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4,4</w:t>
            </w:r>
          </w:p>
        </w:tc>
        <w:tc>
          <w:tcPr>
            <w:tcW w:w="683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6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3" w:type="dxa"/>
            <w:gridSpan w:val="2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23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gridSpan w:val="2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23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gridSpan w:val="2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23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90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5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69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683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6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3" w:type="dxa"/>
            <w:gridSpan w:val="2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236" w:type="dxa"/>
            <w:vMerge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0" w:type="dxa"/>
            <w:vMerge/>
          </w:tcPr>
          <w:p>
            <w:pPr>
              <w:spacing w:before="0" w:after="0"/>
              <w:jc w:val="left"/>
              <w:rPr>
                <w:noProof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gridSpan w:val="2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>
        <w:trPr>
          <w:trHeight w:val="224"/>
        </w:trP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23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1,4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7,1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90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5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1,4</w:t>
            </w:r>
          </w:p>
        </w:tc>
        <w:tc>
          <w:tcPr>
            <w:tcW w:w="69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7,1</w:t>
            </w:r>
          </w:p>
        </w:tc>
        <w:tc>
          <w:tcPr>
            <w:tcW w:w="683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6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3" w:type="dxa"/>
            <w:gridSpan w:val="2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23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gridSpan w:val="2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23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12,9</w:t>
            </w:r>
          </w:p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2,6</w:t>
            </w:r>
          </w:p>
        </w:tc>
        <w:tc>
          <w:tcPr>
            <w:tcW w:w="690" w:type="dxa"/>
            <w:vMerge w:val="restart"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  <w:r>
              <w:rPr>
                <w:noProof/>
                <w:color w:val="000000"/>
                <w:sz w:val="22"/>
              </w:rPr>
              <w:t>19,3</w:t>
            </w:r>
          </w:p>
        </w:tc>
        <w:tc>
          <w:tcPr>
            <w:tcW w:w="695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2,6</w:t>
            </w:r>
          </w:p>
        </w:tc>
        <w:tc>
          <w:tcPr>
            <w:tcW w:w="69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12,9</w:t>
            </w:r>
          </w:p>
        </w:tc>
        <w:tc>
          <w:tcPr>
            <w:tcW w:w="683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6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17,5</w:t>
            </w:r>
          </w:p>
        </w:tc>
        <w:tc>
          <w:tcPr>
            <w:tcW w:w="679" w:type="dxa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3,5</w:t>
            </w:r>
          </w:p>
        </w:tc>
        <w:tc>
          <w:tcPr>
            <w:tcW w:w="683" w:type="dxa"/>
            <w:gridSpan w:val="2"/>
            <w:vMerge w:val="restart"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  <w:r>
              <w:rPr>
                <w:noProof/>
                <w:sz w:val="22"/>
              </w:rPr>
              <w:t>26,5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 w:val="22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23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0" w:type="dxa"/>
            <w:vMerge/>
          </w:tcPr>
          <w:p>
            <w:pPr>
              <w:spacing w:before="0" w:after="0"/>
              <w:jc w:val="left"/>
              <w:rPr>
                <w:noProof/>
                <w:color w:val="000000"/>
                <w:sz w:val="22"/>
              </w:rPr>
            </w:pPr>
          </w:p>
        </w:tc>
        <w:tc>
          <w:tcPr>
            <w:tcW w:w="695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9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6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79" w:type="dxa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  <w:tc>
          <w:tcPr>
            <w:tcW w:w="683" w:type="dxa"/>
            <w:gridSpan w:val="2"/>
            <w:vMerge/>
          </w:tcPr>
          <w:p>
            <w:pPr>
              <w:spacing w:before="0" w:after="0"/>
              <w:contextualSpacing/>
              <w:jc w:val="left"/>
              <w:rPr>
                <w:noProof/>
                <w:sz w:val="22"/>
              </w:rPr>
            </w:pPr>
          </w:p>
        </w:tc>
      </w:tr>
    </w:tbl>
    <w:p>
      <w:pPr>
        <w:spacing w:before="0" w:after="200" w:line="276" w:lineRule="auto"/>
        <w:ind w:left="720" w:firstLine="130"/>
        <w:contextualSpacing/>
        <w:jc w:val="left"/>
        <w:rPr>
          <w:noProof/>
          <w:sz w:val="22"/>
        </w:rPr>
      </w:pPr>
      <w:r>
        <w:rPr>
          <w:noProof/>
          <w:sz w:val="22"/>
          <w:vertAlign w:val="superscript"/>
        </w:rPr>
        <w:t>1</w:t>
      </w:r>
      <w:r>
        <w:rPr>
          <w:noProof/>
          <w:sz w:val="22"/>
        </w:rPr>
        <w:t xml:space="preserve"> Вж. определенията за профил на движението в точка 1, таблица 2</w:t>
      </w:r>
      <w:r>
        <w:rPr>
          <w:noProof/>
        </w:rPr>
        <w:t>.</w:t>
      </w:r>
    </w:p>
    <w:p>
      <w:pPr>
        <w:pStyle w:val="Heading2"/>
        <w:rPr>
          <w:noProof/>
        </w:rPr>
      </w:pPr>
      <w:r>
        <w:rPr>
          <w:noProof/>
        </w:rPr>
        <w:t>Изчисляване на тегловния коефициент за пробег и полезен товар</w:t>
      </w:r>
    </w:p>
    <w:p>
      <w:pPr>
        <w:ind w:left="720"/>
        <w:rPr>
          <w:noProof/>
        </w:rPr>
      </w:pPr>
      <w:r>
        <w:rPr>
          <w:noProof/>
        </w:rPr>
        <w:t>Тегловният коефициент за пробег и полезен товар (MPW</w:t>
      </w:r>
      <w:r>
        <w:rPr>
          <w:noProof/>
          <w:vertAlign w:val="subscript"/>
        </w:rPr>
        <w:t>sg</w:t>
      </w:r>
      <w:r>
        <w:rPr>
          <w:noProof/>
        </w:rPr>
        <w:t xml:space="preserve">) на подгрупа </w:t>
      </w:r>
      <w:r>
        <w:rPr>
          <w:i/>
          <w:noProof/>
        </w:rPr>
        <w:t>sg</w:t>
      </w:r>
      <w:r>
        <w:rPr>
          <w:noProof/>
        </w:rPr>
        <w:t xml:space="preserve"> се определя като произведение от годишния  пробег, посочен в таблица 4, и стойността на полезния товар за подгрупата, посочен в точка 2.5, таблица 3, приведено към съответната стойност за подгрупа 5-LH, и се изчислява, както следва:</w:t>
      </w:r>
    </w:p>
    <w:p>
      <w:pPr>
        <w:rPr>
          <w:noProof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MPW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hAnsi="Cambria Math"/>
              <w:noProof/>
            </w:rPr>
            <m:t>=</m:t>
          </m:r>
          <m:f>
            <m:fPr>
              <m:ctrlPr>
                <w:rPr>
                  <w:rFonts w:ascii="Cambria Math" w:hAnsi="Cambria Math"/>
                  <w:i/>
                  <w:noProof/>
                </w:rPr>
              </m:ctrlPr>
            </m:fPr>
            <m:num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 xml:space="preserve">sg </m:t>
                  </m:r>
                </m:sub>
              </m:sSub>
              <m:r>
                <w:rPr>
                  <w:rFonts w:ascii="Cambria Math" w:hAnsi="Cambria Math"/>
                  <w:noProof/>
                </w:rPr>
                <m:t>×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num>
            <m:den>
              <m:r>
                <w:rPr>
                  <w:rFonts w:ascii="Cambria Math" w:hAnsi="Cambria Math"/>
                  <w:noProof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AM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 xml:space="preserve">5-LH 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hAnsi="Cambria Math"/>
                      <w:noProof/>
                    </w:rPr>
                    <m:t>×PL</m:t>
                  </m:r>
                </m:e>
                <m:sub>
                  <m:r>
                    <w:rPr>
                      <w:rFonts w:ascii="Cambria Math" w:hAnsi="Cambria Math"/>
                      <w:noProof/>
                    </w:rPr>
                    <m:t>5-LH</m:t>
                  </m:r>
                </m:sub>
              </m:sSub>
              <m:r>
                <w:rPr>
                  <w:rFonts w:ascii="Cambria Math" w:hAnsi="Cambria Math"/>
                  <w:noProof/>
                </w:rPr>
                <m:t>)</m:t>
              </m:r>
            </m:den>
          </m:f>
        </m:oMath>
      </m:oMathPara>
    </w:p>
    <w:p>
      <w:pPr>
        <w:ind w:left="850"/>
        <w:rPr>
          <w:noProof/>
        </w:rPr>
      </w:pPr>
      <w:r>
        <w:rPr>
          <w:noProof/>
        </w:rPr>
        <w:t>където</w:t>
      </w:r>
    </w:p>
    <w:p>
      <w:pPr>
        <w:ind w:left="2155" w:hanging="1305"/>
        <w:rPr>
          <w:noProof/>
        </w:rPr>
      </w:pPr>
      <w:r>
        <w:rPr>
          <w:i/>
          <w:noProof/>
        </w:rPr>
        <w:t>AM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е годишният пробег за превозните средства в съответната подгрупа, посочен в таблица 4</w:t>
      </w:r>
    </w:p>
    <w:p>
      <w:pPr>
        <w:ind w:left="2155" w:hanging="1305"/>
        <w:rPr>
          <w:noProof/>
        </w:rPr>
      </w:pPr>
      <w:r>
        <w:rPr>
          <w:i/>
          <w:noProof/>
        </w:rPr>
        <w:t>AM</w:t>
      </w:r>
      <w:r>
        <w:rPr>
          <w:i/>
          <w:noProof/>
          <w:vertAlign w:val="subscript"/>
        </w:rPr>
        <w:t>5-LH</w:t>
      </w:r>
      <w:r>
        <w:rPr>
          <w:noProof/>
        </w:rPr>
        <w:tab/>
        <w:t>е годишният пробег за подгрупа 5-LH, посочен в таблица 4</w:t>
      </w:r>
    </w:p>
    <w:p>
      <w:pPr>
        <w:ind w:left="2155" w:hanging="130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се определя съгласно посоченото в точка 2.5</w:t>
      </w:r>
    </w:p>
    <w:p>
      <w:pPr>
        <w:ind w:left="2155" w:hanging="1305"/>
        <w:rPr>
          <w:noProof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5-LH</w:t>
      </w:r>
      <w:r>
        <w:rPr>
          <w:noProof/>
        </w:rPr>
        <w:tab/>
        <w:t>е стойността на полезния товар за подгрупа 5-LH, посочен в точка 2.5, таблица 3.</w:t>
      </w:r>
    </w:p>
    <w:p>
      <w:pPr>
        <w:ind w:left="2155" w:hanging="1305"/>
        <w:rPr>
          <w:b/>
          <w:noProof/>
        </w:rPr>
      </w:pPr>
      <w:r>
        <w:rPr>
          <w:b/>
          <w:noProof/>
        </w:rPr>
        <w:t>Таблица 4 — Годишен пробег</w:t>
      </w:r>
    </w:p>
    <w:tbl>
      <w:tblPr>
        <w:tblStyle w:val="TableGrid1"/>
        <w:tblW w:w="4440" w:type="dxa"/>
        <w:tblInd w:w="948" w:type="dxa"/>
        <w:tblLook w:val="04A0" w:firstRow="1" w:lastRow="0" w:firstColumn="1" w:lastColumn="0" w:noHBand="0" w:noVBand="1"/>
      </w:tblPr>
      <w:tblGrid>
        <w:gridCol w:w="1800"/>
        <w:gridCol w:w="2640"/>
      </w:tblGrid>
      <w:tr>
        <w:trPr>
          <w:trHeight w:val="816"/>
        </w:trPr>
        <w:tc>
          <w:tcPr>
            <w:tcW w:w="1800" w:type="dxa"/>
          </w:tcPr>
          <w:p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Подгрупа на </w:t>
            </w:r>
          </w:p>
          <w:p>
            <w:pPr>
              <w:spacing w:before="0" w:after="0"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 xml:space="preserve">превозното средство </w:t>
            </w:r>
            <w:r>
              <w:rPr>
                <w:b/>
                <w:i/>
                <w:noProof/>
              </w:rPr>
              <w:t>sg</w:t>
            </w:r>
          </w:p>
        </w:tc>
        <w:tc>
          <w:tcPr>
            <w:tcW w:w="2640" w:type="dxa"/>
          </w:tcPr>
          <w:p>
            <w:pPr>
              <w:spacing w:before="0" w:after="0"/>
              <w:contextualSpacing/>
              <w:jc w:val="center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Годишен пробег AM</w:t>
            </w:r>
            <w:r>
              <w:rPr>
                <w:b/>
                <w:noProof/>
                <w:vertAlign w:val="subscript"/>
              </w:rPr>
              <w:t>sg</w:t>
            </w:r>
            <w:r>
              <w:rPr>
                <w:b/>
                <w:noProof/>
              </w:rPr>
              <w:t xml:space="preserve">  (в километри)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2640" w:type="dxa"/>
          </w:tcPr>
          <w:p>
            <w:pPr>
              <w:spacing w:before="0" w:after="0"/>
              <w:contextualSpacing/>
              <w:jc w:val="right"/>
              <w:rPr>
                <w:noProof/>
                <w:szCs w:val="24"/>
                <w:highlight w:val="yellow"/>
              </w:rPr>
            </w:pPr>
            <w:r>
              <w:rPr>
                <w:noProof/>
              </w:rPr>
              <w:t>60 000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78 000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98 000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78 000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szCs w:val="24"/>
              </w:rPr>
            </w:pPr>
            <w:r>
              <w:rPr>
                <w:noProof/>
              </w:rPr>
              <w:t>116 000</w:t>
            </w:r>
          </w:p>
        </w:tc>
      </w:tr>
      <w:tr>
        <w:trPr>
          <w:trHeight w:val="224"/>
        </w:trP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73 000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108 000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68 000</w:t>
            </w:r>
          </w:p>
        </w:tc>
      </w:tr>
      <w:tr>
        <w:tc>
          <w:tcPr>
            <w:tcW w:w="1800" w:type="dxa"/>
          </w:tcPr>
          <w:p>
            <w:pPr>
              <w:spacing w:before="0" w:after="0"/>
              <w:jc w:val="left"/>
              <w:rPr>
                <w:b/>
                <w:noProof/>
                <w:szCs w:val="24"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2640" w:type="dxa"/>
            <w:vAlign w:val="center"/>
          </w:tcPr>
          <w:p>
            <w:pPr>
              <w:spacing w:before="0" w:after="0"/>
              <w:jc w:val="right"/>
              <w:rPr>
                <w:noProof/>
                <w:color w:val="000000"/>
                <w:szCs w:val="24"/>
              </w:rPr>
            </w:pPr>
            <w:r>
              <w:rPr>
                <w:noProof/>
                <w:color w:val="000000"/>
              </w:rPr>
              <w:t>107 000</w:t>
            </w:r>
          </w:p>
        </w:tc>
      </w:tr>
    </w:tbl>
    <w:p>
      <w:pPr>
        <w:rPr>
          <w:noProof/>
        </w:rPr>
      </w:pPr>
    </w:p>
    <w:p>
      <w:pPr>
        <w:pStyle w:val="Heading2"/>
        <w:rPr>
          <w:noProof/>
        </w:rPr>
      </w:pPr>
      <w:r>
        <w:rPr>
          <w:noProof/>
        </w:rPr>
        <w:t>Изчисляване 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на производителя в g/tkm, посочени в член 4</w:t>
      </w:r>
    </w:p>
    <w:p>
      <w:pPr>
        <w:ind w:left="850"/>
        <w:rPr>
          <w:noProof/>
        </w:rPr>
      </w:pPr>
      <w:r>
        <w:rPr>
          <w:noProof/>
        </w:rPr>
        <w:t>За всеки производител и за всяка календарна година средните специфични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в g/tkm (</w:t>
      </w:r>
      <w:r>
        <w:rPr>
          <w:i/>
          <w:noProof/>
          <w:sz w:val="22"/>
        </w:rPr>
        <w:t>CO2</w:t>
      </w:r>
      <w:r>
        <w:rPr>
          <w:noProof/>
        </w:rPr>
        <w:t xml:space="preserve">) се изчисляват, както следва:  </w:t>
      </w:r>
    </w:p>
    <w:p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 xml:space="preserve"> </w:t>
      </w:r>
      <w:r>
        <w:rPr>
          <w:i/>
          <w:noProof/>
          <w:sz w:val="22"/>
        </w:rPr>
        <w:t xml:space="preserve">= ZLEV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∑ 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 share</w:t>
      </w:r>
      <w:r>
        <w:rPr>
          <w:i/>
          <w:noProof/>
          <w:sz w:val="22"/>
          <w:vertAlign w:val="subscript"/>
        </w:rPr>
        <w:t>,sg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 </w:t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avgCO2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  <w:sz w:val="22"/>
        </w:rPr>
        <w:t xml:space="preserve"> </w:t>
      </w:r>
    </w:p>
    <w:p>
      <w:pPr>
        <w:spacing w:before="0" w:after="200" w:line="276" w:lineRule="auto"/>
        <w:ind w:left="720" w:firstLine="720"/>
        <w:contextualSpacing/>
        <w:jc w:val="left"/>
        <w:rPr>
          <w:i/>
          <w:noProof/>
          <w:sz w:val="22"/>
        </w:rPr>
      </w:pP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където</w:t>
      </w:r>
    </w:p>
    <w:p>
      <w:pPr>
        <w:ind w:left="720" w:firstLine="720"/>
        <w:jc w:val="left"/>
        <w:rPr>
          <w:noProof/>
          <w:szCs w:val="24"/>
        </w:rPr>
      </w:pPr>
      <w:r>
        <w:rPr>
          <w:i/>
          <w:noProof/>
          <w:sz w:val="22"/>
        </w:rPr>
        <w:t xml:space="preserve">∑ 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</w:r>
      <w:r>
        <w:rPr>
          <w:rFonts w:eastAsiaTheme="minorEastAsia"/>
          <w:noProof/>
          <w:sz w:val="20"/>
        </w:rPr>
        <w:t xml:space="preserve"> </w:t>
      </w:r>
      <w:r>
        <w:rPr>
          <w:noProof/>
        </w:rPr>
        <w:t xml:space="preserve"> е сумата за всички подгрупи;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ZLEV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се определя съгласно посоченото в точка 2.3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се определя съгласно посоченото в точка 2.4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се определя съгласно посоченото в точка 2.6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  <w:sz w:val="22"/>
        </w:rPr>
        <w:t>avgCO2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  <w:sz w:val="22"/>
        </w:rPr>
        <w:t>се определя съгласно посоченото в точка 2.2.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>
      <w:pPr>
        <w:pStyle w:val="Heading1"/>
        <w:rPr>
          <w:noProof/>
        </w:rPr>
      </w:pPr>
      <w:r>
        <w:rPr>
          <w:noProof/>
        </w:rPr>
        <w:t>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</w:t>
      </w:r>
    </w:p>
    <w:p>
      <w:pPr>
        <w:spacing w:before="0" w:after="200" w:line="276" w:lineRule="auto"/>
        <w:ind w:left="720"/>
        <w:contextualSpacing/>
        <w:jc w:val="left"/>
        <w:rPr>
          <w:noProof/>
        </w:rPr>
      </w:pPr>
      <w:r>
        <w:rPr>
          <w:noProof/>
        </w:rPr>
        <w:t>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(</w:t>
      </w:r>
      <w:r>
        <w:rPr>
          <w:i/>
          <w:noProof/>
        </w:rPr>
        <w:t>rCO2</w:t>
      </w:r>
      <w:r>
        <w:rPr>
          <w:i/>
          <w:noProof/>
          <w:vertAlign w:val="subscript"/>
        </w:rPr>
        <w:t>sg</w:t>
      </w:r>
      <w:r>
        <w:rPr>
          <w:noProof/>
        </w:rPr>
        <w:t xml:space="preserve">) се изчисляват за всяка подгрупа </w:t>
      </w:r>
      <w:r>
        <w:rPr>
          <w:i/>
          <w:noProof/>
        </w:rPr>
        <w:t>sg</w:t>
      </w:r>
      <w:r>
        <w:rPr>
          <w:noProof/>
        </w:rPr>
        <w:t xml:space="preserve"> на базата на всички нови тежкотоварни превозни средства на всички производители през 2019 г., както следва: </w:t>
      </w:r>
    </w:p>
    <w:p>
      <w:pPr>
        <w:spacing w:before="0" w:after="200" w:line="276" w:lineRule="auto"/>
        <w:ind w:left="720"/>
        <w:contextualSpacing/>
        <w:jc w:val="left"/>
        <w:rPr>
          <w:noProof/>
        </w:rPr>
      </w:pPr>
    </w:p>
    <w:p>
      <w:pPr>
        <w:ind w:left="850"/>
        <w:rPr>
          <w:noProof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noProof/>
                </w:rPr>
              </m:ctrlPr>
            </m:sSubPr>
            <m:e>
              <m:r>
                <w:rPr>
                  <w:rFonts w:ascii="Cambria Math" w:hAnsi="Cambria Math"/>
                  <w:noProof/>
                </w:rPr>
                <m:t>rCO2</m:t>
              </m:r>
            </m:e>
            <m:sub>
              <m:r>
                <w:rPr>
                  <w:rFonts w:ascii="Cambria Math" w:hAnsi="Cambria Math"/>
                  <w:noProof/>
                </w:rPr>
                <m:t>sg</m:t>
              </m:r>
            </m:sub>
          </m:sSub>
          <m:r>
            <w:rPr>
              <w:rFonts w:ascii="Cambria Math" w:eastAsiaTheme="minorEastAsia" w:hAnsi="Cambria Math"/>
              <w:noProof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  <w:noProof/>
                </w:rPr>
              </m:ctrlPr>
            </m:fPr>
            <m:num>
              <m:nary>
                <m:naryPr>
                  <m:chr m:val="∑"/>
                  <m:limLoc m:val="undOvr"/>
                  <m:supHide m:val="1"/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naryPr>
                <m:sub>
                  <m:r>
                    <w:rPr>
                      <w:rFonts w:ascii="Cambria Math" w:eastAsiaTheme="minorEastAsia" w:hAnsi="Cambria Math"/>
                      <w:noProof/>
                    </w:rPr>
                    <m:t>v</m:t>
                  </m:r>
                </m:sub>
                <m:sup/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noProof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noProof/>
                        </w:rPr>
                        <m:t>CO2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noProof/>
                        </w:rPr>
                        <m:t>v</m:t>
                      </m:r>
                    </m:sub>
                  </m:sSub>
                </m:e>
              </m:nary>
            </m:num>
            <m:den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rV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  <m:r>
                <w:rPr>
                  <w:rFonts w:ascii="Cambria Math" w:eastAsiaTheme="minorEastAsia" w:hAnsi="Cambria Math"/>
                  <w:noProof/>
                </w:rPr>
                <m:t xml:space="preserve"> x 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noProof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noProof/>
                    </w:rPr>
                    <m:t>PL</m:t>
                  </m:r>
                </m:e>
                <m:sub>
                  <m:r>
                    <w:rPr>
                      <w:rFonts w:ascii="Cambria Math" w:eastAsiaTheme="minorEastAsia" w:hAnsi="Cambria Math"/>
                      <w:noProof/>
                    </w:rPr>
                    <m:t>sg</m:t>
                  </m:r>
                </m:sub>
              </m:sSub>
            </m:den>
          </m:f>
        </m:oMath>
      </m:oMathPara>
    </w:p>
    <w:p>
      <w:pPr>
        <w:ind w:left="850"/>
        <w:jc w:val="left"/>
        <w:rPr>
          <w:noProof/>
          <w:sz w:val="22"/>
        </w:rPr>
      </w:pPr>
      <w:r>
        <w:rPr>
          <w:noProof/>
          <w:sz w:val="22"/>
        </w:rPr>
        <w:t>където</w:t>
      </w:r>
    </w:p>
    <w:p>
      <w:pPr>
        <w:ind w:left="2155" w:hanging="1305"/>
        <w:jc w:val="left"/>
        <w:rPr>
          <w:noProof/>
          <w:szCs w:val="24"/>
        </w:rPr>
      </w:pPr>
      <m:oMath>
        <m:nary>
          <m:naryPr>
            <m:chr m:val="∑"/>
            <m:limLoc m:val="undOvr"/>
            <m:supHide m:val="1"/>
            <m:ctrlPr>
              <w:rPr>
                <w:rFonts w:ascii="Cambria Math" w:hAnsi="Cambria Math"/>
                <w:i/>
                <w:noProof/>
                <w:sz w:val="20"/>
                <w:szCs w:val="20"/>
              </w:rPr>
            </m:ctrlPr>
          </m:naryPr>
          <m:sub>
            <m:r>
              <w:rPr>
                <w:rFonts w:ascii="Cambria Math" w:hAnsi="Cambria Math"/>
                <w:noProof/>
                <w:sz w:val="20"/>
                <w:szCs w:val="20"/>
              </w:rPr>
              <m:t>v</m:t>
            </m:r>
          </m:sub>
          <m:sup/>
          <m:e/>
        </m:nary>
      </m:oMath>
      <w:r>
        <w:rPr>
          <w:noProof/>
        </w:rPr>
        <w:tab/>
        <w:t xml:space="preserve">е сумата за всички нови тежкотоварни превозни средства, регистрирани през 2019 г. в подгрупа </w:t>
      </w:r>
      <w:r>
        <w:rPr>
          <w:i/>
          <w:noProof/>
        </w:rPr>
        <w:t>sg</w:t>
      </w:r>
      <w:r>
        <w:rPr>
          <w:noProof/>
        </w:rPr>
        <w:t xml:space="preserve">, с изключение на всички професионални превозни средства в съответствие с член 1, втора алинея;  </w:t>
      </w:r>
      <w:r>
        <w:rPr>
          <w:noProof/>
        </w:rPr>
        <w:tab/>
      </w:r>
    </w:p>
    <w:p>
      <w:pPr>
        <w:ind w:left="2155" w:hanging="1305"/>
        <w:jc w:val="left"/>
        <w:rPr>
          <w:rFonts w:eastAsiaTheme="minorEastAsia"/>
          <w:noProof/>
          <w:szCs w:val="24"/>
          <w:vertAlign w:val="subscript"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>v</w:t>
      </w:r>
      <w:r>
        <w:rPr>
          <w:noProof/>
        </w:rPr>
        <w:tab/>
        <w:t>са  специфичните емисии на CO</w:t>
      </w:r>
      <w:r>
        <w:rPr>
          <w:rFonts w:eastAsiaTheme="minorEastAsia"/>
          <w:noProof/>
          <w:vertAlign w:val="subscript"/>
        </w:rPr>
        <w:t>2</w:t>
      </w:r>
      <w:r>
        <w:rPr>
          <w:noProof/>
        </w:rPr>
        <w:t xml:space="preserve"> от превозно средство </w:t>
      </w:r>
      <w:r>
        <w:rPr>
          <w:rFonts w:eastAsiaTheme="minorEastAsia"/>
          <w:i/>
          <w:noProof/>
        </w:rPr>
        <w:t>v</w:t>
      </w:r>
      <w:r>
        <w:rPr>
          <w:noProof/>
        </w:rPr>
        <w:t>, определени в съответствие с точка 2.1 и ако е приложимо — коригирани в съответствие с приложение II;</w:t>
      </w:r>
    </w:p>
    <w:p>
      <w:pPr>
        <w:ind w:left="2155" w:hanging="1305"/>
        <w:jc w:val="left"/>
        <w:rPr>
          <w:noProof/>
        </w:rPr>
      </w:pPr>
      <w:r>
        <w:rPr>
          <w:i/>
          <w:noProof/>
        </w:rPr>
        <w:t>rV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 xml:space="preserve">е броят на всички нови тежкотоварни превозни средства, регистрирани през 2019 г. в подгрупа </w:t>
      </w:r>
      <w:r>
        <w:rPr>
          <w:i/>
          <w:noProof/>
        </w:rPr>
        <w:t>sg</w:t>
      </w:r>
      <w:r>
        <w:rPr>
          <w:noProof/>
        </w:rPr>
        <w:t>, с изключение на всички професионални превозни средства в съответствие с член 1, втора алинея;</w:t>
      </w:r>
    </w:p>
    <w:p>
      <w:pPr>
        <w:spacing w:before="0" w:after="0"/>
        <w:ind w:left="2155" w:hanging="1305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 xml:space="preserve">е средният полезен товар на превозните средства в подгрупа </w:t>
      </w:r>
      <w:r>
        <w:rPr>
          <w:i/>
          <w:noProof/>
        </w:rPr>
        <w:t>sg</w:t>
      </w:r>
      <w:r>
        <w:rPr>
          <w:noProof/>
        </w:rPr>
        <w:t>, определен в точка 2.5.</w:t>
      </w:r>
    </w:p>
    <w:p>
      <w:pPr>
        <w:ind w:left="2155" w:hanging="1305"/>
        <w:jc w:val="left"/>
        <w:rPr>
          <w:noProof/>
          <w:sz w:val="22"/>
        </w:rPr>
      </w:pPr>
      <w:r>
        <w:rPr>
          <w:noProof/>
        </w:rPr>
        <w:t xml:space="preserve">  </w:t>
      </w:r>
    </w:p>
    <w:p>
      <w:pPr>
        <w:pStyle w:val="Heading1"/>
        <w:rPr>
          <w:noProof/>
        </w:rPr>
      </w:pPr>
      <w:r>
        <w:rPr>
          <w:noProof/>
        </w:rPr>
        <w:t>Изчисляване на специфичната цел за емисии на производителя, посочена в член 6</w:t>
      </w:r>
    </w:p>
    <w:p>
      <w:pPr>
        <w:ind w:left="850"/>
        <w:rPr>
          <w:noProof/>
        </w:rPr>
      </w:pPr>
      <w:r>
        <w:rPr>
          <w:noProof/>
        </w:rPr>
        <w:t xml:space="preserve">За всеки производител и за всяка календарна година от 2025 г. нататък специфичната цел за емисии </w:t>
      </w:r>
      <w:r>
        <w:rPr>
          <w:i/>
          <w:noProof/>
        </w:rPr>
        <w:t>Т</w:t>
      </w:r>
      <w:r>
        <w:rPr>
          <w:noProof/>
        </w:rPr>
        <w:t xml:space="preserve"> се изчислява, както следва:</w:t>
      </w:r>
    </w:p>
    <w:p>
      <w:pPr>
        <w:spacing w:before="0" w:after="200" w:line="276" w:lineRule="auto"/>
        <w:ind w:left="720" w:firstLine="720"/>
        <w:jc w:val="left"/>
        <w:rPr>
          <w:i/>
          <w:noProof/>
          <w:szCs w:val="24"/>
          <w:vertAlign w:val="subscript"/>
        </w:rPr>
      </w:pPr>
      <w:r>
        <w:rPr>
          <w:i/>
          <w:noProof/>
        </w:rPr>
        <w:t xml:space="preserve">T = ∑ 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× MPW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× (1 - rf)</w:t>
      </w:r>
      <w:r>
        <w:rPr>
          <w:i/>
          <w:noProof/>
          <w:vertAlign w:val="subscript"/>
        </w:rPr>
        <w:t xml:space="preserve"> </w:t>
      </w:r>
      <w:r>
        <w:rPr>
          <w:i/>
          <w:noProof/>
        </w:rPr>
        <w:t>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ab/>
      </w:r>
      <w:r>
        <w:rPr>
          <w:noProof/>
        </w:rPr>
        <w:tab/>
        <w:t>където</w:t>
      </w:r>
    </w:p>
    <w:p>
      <w:pPr>
        <w:spacing w:before="0" w:after="0"/>
        <w:jc w:val="left"/>
        <w:rPr>
          <w:noProof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</w:r>
      <w:r>
        <w:rPr>
          <w:rFonts w:eastAsiaTheme="minorEastAsia"/>
          <w:noProof/>
          <w:sz w:val="20"/>
        </w:rPr>
        <w:t xml:space="preserve"> </w:t>
      </w:r>
      <w:r>
        <w:rPr>
          <w:noProof/>
        </w:rPr>
        <w:t xml:space="preserve"> Е сумата за всички подгрупи;</w:t>
      </w:r>
    </w:p>
    <w:p>
      <w:pPr>
        <w:spacing w:before="0" w:after="0"/>
        <w:ind w:left="720" w:firstLine="720"/>
        <w:contextualSpacing/>
        <w:jc w:val="left"/>
        <w:rPr>
          <w:noProof/>
          <w:sz w:val="22"/>
        </w:rPr>
      </w:pPr>
      <w:r>
        <w:rPr>
          <w:i/>
          <w:noProof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</w:r>
      <w:r>
        <w:rPr>
          <w:noProof/>
          <w:sz w:val="22"/>
        </w:rPr>
        <w:t>се определя съгласно посоченото в раздел 2, точка 4;</w:t>
      </w:r>
    </w:p>
    <w:p>
      <w:pPr>
        <w:spacing w:before="0" w:after="0"/>
        <w:ind w:left="720" w:firstLine="72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раздел 2, точка 6;</w:t>
      </w:r>
    </w:p>
    <w:p>
      <w:pPr>
        <w:spacing w:before="0" w:after="0"/>
        <w:ind w:left="2880" w:hanging="1440"/>
        <w:rPr>
          <w:noProof/>
          <w:szCs w:val="24"/>
        </w:rPr>
      </w:pPr>
      <w:r>
        <w:rPr>
          <w:i/>
          <w:noProof/>
        </w:rPr>
        <w:t xml:space="preserve">rf </w:t>
      </w:r>
      <w:r>
        <w:rPr>
          <w:noProof/>
        </w:rPr>
        <w:tab/>
        <w:t>е целта за намаляване на CO</w:t>
      </w:r>
      <w:r>
        <w:rPr>
          <w:noProof/>
          <w:vertAlign w:val="subscript"/>
        </w:rPr>
        <w:t>2</w:t>
      </w:r>
      <w:r>
        <w:rPr>
          <w:noProof/>
        </w:rPr>
        <w:t xml:space="preserve"> (в %) съгласно посоченото в член 1, букви а) и б), за съответната календарна година;</w:t>
      </w:r>
    </w:p>
    <w:p>
      <w:pPr>
        <w:spacing w:before="0" w:after="0"/>
        <w:ind w:left="720" w:firstLine="720"/>
        <w:rPr>
          <w:noProof/>
        </w:rPr>
      </w:pPr>
      <w:r>
        <w:rPr>
          <w:i/>
          <w:noProof/>
        </w:rPr>
        <w:t>rCO2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</w:r>
      <w:r>
        <w:rPr>
          <w:noProof/>
        </w:rPr>
        <w:tab/>
        <w:t>се определя съгласно посоченото в раздел 3.</w:t>
      </w:r>
    </w:p>
    <w:p>
      <w:pPr>
        <w:pStyle w:val="Heading1"/>
        <w:rPr>
          <w:noProof/>
        </w:rPr>
      </w:pPr>
      <w:r>
        <w:rPr>
          <w:noProof/>
        </w:rPr>
        <w:t>Кредити и дългове за емисии, посочени в член 7</w:t>
      </w:r>
    </w:p>
    <w:p>
      <w:pPr>
        <w:pStyle w:val="Heading2"/>
        <w:rPr>
          <w:noProof/>
        </w:rPr>
      </w:pPr>
      <w:r>
        <w:rPr>
          <w:noProof/>
        </w:rPr>
        <w:t>Изчисляване на кривата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за кредити за емисии</w:t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За всеки производител и за всяка календарна година Y в периода от 2019 г. до 2029 г. кривата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— (</w:t>
      </w: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>), се определя, както следва:</w:t>
      </w:r>
    </w:p>
    <w:p>
      <w:pPr>
        <w:spacing w:before="0" w:after="200" w:line="276" w:lineRule="auto"/>
        <w:ind w:left="720" w:firstLine="130"/>
        <w:contextualSpacing/>
        <w:jc w:val="left"/>
        <w:rPr>
          <w:i/>
          <w:noProof/>
          <w:szCs w:val="24"/>
          <w:vertAlign w:val="subscript"/>
        </w:rPr>
      </w:pPr>
      <w:r>
        <w:rPr>
          <w:i/>
          <w:noProof/>
          <w:sz w:val="22"/>
        </w:rPr>
        <w:t>ET</w:t>
      </w:r>
      <w:r>
        <w:rPr>
          <w:i/>
          <w:noProof/>
          <w:sz w:val="22"/>
          <w:vertAlign w:val="subscript"/>
        </w:rPr>
        <w:t>,Y</w:t>
      </w:r>
      <w:r>
        <w:rPr>
          <w:noProof/>
          <w:sz w:val="22"/>
        </w:rPr>
        <w:t xml:space="preserve"> = </w:t>
      </w: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 </w:t>
      </w: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× MPW</w:t>
      </w:r>
      <w:r>
        <w:rPr>
          <w:i/>
          <w:noProof/>
          <w:vertAlign w:val="subscript"/>
        </w:rPr>
        <w:t>sg</w:t>
      </w:r>
      <w:r>
        <w:rPr>
          <w:i/>
          <w:noProof/>
        </w:rPr>
        <w:t xml:space="preserve"> × </w:t>
      </w: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>Y</w:t>
      </w:r>
      <w:r>
        <w:rPr>
          <w:i/>
          <w:noProof/>
        </w:rPr>
        <w:t xml:space="preserve"> × 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i/>
          <w:noProof/>
        </w:rPr>
        <w:t xml:space="preserve"> </w:t>
      </w:r>
    </w:p>
    <w:p>
      <w:pPr>
        <w:spacing w:before="0" w:after="200" w:line="276" w:lineRule="auto"/>
        <w:ind w:firstLine="130"/>
        <w:jc w:val="left"/>
        <w:rPr>
          <w:noProof/>
          <w:szCs w:val="24"/>
        </w:rPr>
      </w:pPr>
      <w:r>
        <w:rPr>
          <w:noProof/>
        </w:rPr>
        <w:t>където</w:t>
      </w:r>
    </w:p>
    <w:p>
      <w:pPr>
        <w:ind w:firstLine="130"/>
        <w:rPr>
          <w:noProof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sg</w:t>
      </w:r>
      <w:r>
        <w:rPr>
          <w:rFonts w:eastAsiaTheme="minorEastAsia"/>
          <w:noProof/>
          <w:sz w:val="20"/>
        </w:rPr>
        <w:t xml:space="preserve"> (…)</w:t>
      </w:r>
      <w:r>
        <w:rPr>
          <w:noProof/>
        </w:rPr>
        <w:tab/>
        <w:t>е сумата за всички подгрупи;</w:t>
      </w:r>
    </w:p>
    <w:p>
      <w:pPr>
        <w:spacing w:before="0" w:after="0"/>
        <w:ind w:firstLine="130"/>
        <w:contextualSpacing/>
        <w:jc w:val="left"/>
        <w:rPr>
          <w:noProof/>
          <w:sz w:val="22"/>
        </w:rPr>
      </w:pPr>
      <w:r>
        <w:rPr>
          <w:i/>
          <w:noProof/>
          <w:sz w:val="22"/>
        </w:rPr>
        <w:t>share</w:t>
      </w:r>
      <w:r>
        <w:rPr>
          <w:i/>
          <w:noProof/>
          <w:sz w:val="22"/>
          <w:vertAlign w:val="subscript"/>
        </w:rPr>
        <w:t>,sg</w:t>
      </w:r>
      <w:r>
        <w:rPr>
          <w:noProof/>
        </w:rPr>
        <w:tab/>
        <w:t>се определя съгласно посоченото в раздел 2, точка 4;</w:t>
      </w:r>
    </w:p>
    <w:p>
      <w:pPr>
        <w:spacing w:before="0" w:after="0"/>
        <w:ind w:firstLine="130"/>
        <w:rPr>
          <w:noProof/>
          <w:szCs w:val="24"/>
        </w:rPr>
      </w:pPr>
      <w:r>
        <w:rPr>
          <w:i/>
          <w:noProof/>
        </w:rPr>
        <w:t>MPW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>се определя съгласно посоченото в раздел 2, точка 6;</w:t>
      </w:r>
    </w:p>
    <w:p>
      <w:pPr>
        <w:spacing w:before="0" w:after="0"/>
        <w:ind w:firstLine="130"/>
        <w:rPr>
          <w:noProof/>
        </w:rPr>
      </w:pPr>
      <w:r>
        <w:rPr>
          <w:i/>
          <w:noProof/>
        </w:rPr>
        <w:t>r</w:t>
      </w:r>
      <w:r>
        <w:rPr>
          <w:i/>
          <w:noProof/>
          <w:sz w:val="22"/>
        </w:rPr>
        <w:t>CO2</w:t>
      </w:r>
      <w:r>
        <w:rPr>
          <w:i/>
          <w:noProof/>
          <w:sz w:val="22"/>
          <w:vertAlign w:val="subscript"/>
        </w:rPr>
        <w:t>sg</w:t>
      </w:r>
      <w:r>
        <w:rPr>
          <w:noProof/>
        </w:rPr>
        <w:tab/>
        <w:t>се определя съгласно посоченото в раздел 3;</w:t>
      </w:r>
    </w:p>
    <w:p>
      <w:pPr>
        <w:ind w:firstLine="130"/>
        <w:rPr>
          <w:noProof/>
        </w:rPr>
      </w:pPr>
      <w:r>
        <w:rPr>
          <w:noProof/>
        </w:rPr>
        <w:t xml:space="preserve">където </w:t>
      </w:r>
    </w:p>
    <w:p>
      <w:pPr>
        <w:rPr>
          <w:noProof/>
        </w:rPr>
      </w:pPr>
      <w:r>
        <w:rPr>
          <w:noProof/>
        </w:rPr>
        <w:t>за календарните години Y от 2019 до 2025 г.:</w:t>
      </w:r>
    </w:p>
    <w:p>
      <w:pPr>
        <w:spacing w:before="0" w:after="200" w:line="276" w:lineRule="auto"/>
        <w:ind w:firstLine="720"/>
        <w:jc w:val="left"/>
        <w:rPr>
          <w:noProof/>
          <w:sz w:val="22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Y, </w:t>
      </w:r>
      <w:r>
        <w:rPr>
          <w:i/>
          <w:noProof/>
          <w:sz w:val="22"/>
        </w:rPr>
        <w:t xml:space="preserve">= </w:t>
      </w:r>
      <w:r>
        <w:rPr>
          <w:i/>
          <w:noProof/>
        </w:rPr>
        <w:t>(1-rf</w:t>
      </w:r>
      <w:r>
        <w:rPr>
          <w:i/>
          <w:noProof/>
          <w:vertAlign w:val="subscript"/>
        </w:rPr>
        <w:t>2025</w:t>
      </w:r>
      <w:r>
        <w:rPr>
          <w:i/>
          <w:noProof/>
        </w:rPr>
        <w:t>)</w:t>
      </w:r>
      <w:r>
        <w:rPr>
          <w:i/>
          <w:noProof/>
          <w:sz w:val="22"/>
        </w:rPr>
        <w:t xml:space="preserve">+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2025</w:t>
      </w:r>
      <w:r>
        <w:rPr>
          <w:i/>
          <w:noProof/>
          <w:sz w:val="22"/>
        </w:rPr>
        <w:t xml:space="preserve">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(2025 – Y)/6</w:t>
      </w:r>
      <w:r>
        <w:rPr>
          <w:noProof/>
          <w:sz w:val="22"/>
          <w:vertAlign w:val="subscript"/>
        </w:rPr>
        <w:t xml:space="preserve">  </w:t>
      </w:r>
    </w:p>
    <w:p>
      <w:pPr>
        <w:keepNext/>
        <w:ind w:left="850" w:hanging="850"/>
        <w:outlineLvl w:val="2"/>
        <w:rPr>
          <w:rFonts w:eastAsiaTheme="majorEastAsia"/>
          <w:bCs/>
          <w:noProof/>
        </w:rPr>
      </w:pPr>
      <w:r>
        <w:rPr>
          <w:noProof/>
        </w:rPr>
        <w:t xml:space="preserve">и за календарните години Y от 2026 до 2030 г.: </w:t>
      </w:r>
    </w:p>
    <w:p>
      <w:pPr>
        <w:spacing w:before="0" w:after="200" w:line="276" w:lineRule="auto"/>
        <w:ind w:firstLine="720"/>
        <w:contextualSpacing/>
        <w:jc w:val="left"/>
        <w:rPr>
          <w:noProof/>
          <w:sz w:val="22"/>
          <w:vertAlign w:val="subscript"/>
        </w:rPr>
      </w:pPr>
      <w:r>
        <w:rPr>
          <w:i/>
          <w:noProof/>
          <w:sz w:val="22"/>
        </w:rPr>
        <w:t>R-ET</w:t>
      </w:r>
      <w:r>
        <w:rPr>
          <w:i/>
          <w:noProof/>
          <w:sz w:val="22"/>
          <w:vertAlign w:val="subscript"/>
        </w:rPr>
        <w:t xml:space="preserve">Y  </w:t>
      </w:r>
      <w:r>
        <w:rPr>
          <w:i/>
          <w:noProof/>
          <w:sz w:val="22"/>
        </w:rPr>
        <w:t>= (</w:t>
      </w:r>
      <w:r>
        <w:rPr>
          <w:i/>
          <w:noProof/>
        </w:rPr>
        <w:t>1-rf</w:t>
      </w:r>
      <w:r>
        <w:rPr>
          <w:i/>
          <w:noProof/>
          <w:vertAlign w:val="subscript"/>
        </w:rPr>
        <w:t xml:space="preserve">2030 </w:t>
      </w:r>
      <w:r>
        <w:rPr>
          <w:i/>
          <w:noProof/>
          <w:sz w:val="22"/>
        </w:rPr>
        <w:t>) + (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 xml:space="preserve">2030 - 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2025</w:t>
      </w:r>
      <w:r>
        <w:rPr>
          <w:i/>
          <w:noProof/>
          <w:sz w:val="22"/>
        </w:rPr>
        <w:t xml:space="preserve">) </w:t>
      </w:r>
      <w:r>
        <w:rPr>
          <w:i/>
          <w:noProof/>
        </w:rPr>
        <w:t>×</w:t>
      </w:r>
      <w:r>
        <w:rPr>
          <w:i/>
          <w:noProof/>
          <w:sz w:val="22"/>
        </w:rPr>
        <w:t xml:space="preserve"> (2030 – Y)/5</w:t>
      </w:r>
      <w:r>
        <w:rPr>
          <w:noProof/>
          <w:sz w:val="22"/>
          <w:vertAlign w:val="subscript"/>
        </w:rPr>
        <w:t xml:space="preserve"> </w:t>
      </w:r>
    </w:p>
    <w:p>
      <w:pPr>
        <w:spacing w:before="0" w:after="200" w:line="276" w:lineRule="auto"/>
        <w:ind w:left="1440"/>
        <w:contextualSpacing/>
        <w:jc w:val="left"/>
        <w:rPr>
          <w:noProof/>
          <w:sz w:val="22"/>
        </w:rPr>
      </w:pPr>
    </w:p>
    <w:p>
      <w:pPr>
        <w:spacing w:before="0" w:after="0"/>
        <w:rPr>
          <w:noProof/>
          <w:szCs w:val="24"/>
        </w:rPr>
      </w:pPr>
      <w:r>
        <w:rPr>
          <w:i/>
          <w:noProof/>
        </w:rPr>
        <w:t>rf</w:t>
      </w:r>
      <w:r>
        <w:rPr>
          <w:i/>
          <w:noProof/>
          <w:vertAlign w:val="subscript"/>
        </w:rPr>
        <w:t xml:space="preserve">2025 </w:t>
      </w:r>
      <w:r>
        <w:rPr>
          <w:noProof/>
        </w:rPr>
        <w:t xml:space="preserve"> и </w:t>
      </w:r>
      <w:r>
        <w:rPr>
          <w:i/>
          <w:noProof/>
        </w:rPr>
        <w:t>rf</w:t>
      </w:r>
      <w:r>
        <w:rPr>
          <w:i/>
          <w:noProof/>
          <w:vertAlign w:val="subscript"/>
        </w:rPr>
        <w:t>2030</w:t>
      </w:r>
      <w:r>
        <w:rPr>
          <w:noProof/>
        </w:rPr>
        <w:t xml:space="preserve"> са целите за намаляване на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(в %) за 2025 и 2030 г., посочени съответно в член 1, букви а) и б).</w:t>
      </w:r>
    </w:p>
    <w:p>
      <w:pPr>
        <w:spacing w:before="0" w:after="200" w:line="276" w:lineRule="auto"/>
        <w:contextualSpacing/>
        <w:jc w:val="left"/>
        <w:rPr>
          <w:noProof/>
          <w:sz w:val="22"/>
        </w:rPr>
      </w:pPr>
    </w:p>
    <w:p>
      <w:pPr>
        <w:pStyle w:val="Heading2"/>
        <w:rPr>
          <w:noProof/>
        </w:rPr>
      </w:pPr>
      <w:r>
        <w:rPr>
          <w:noProof/>
        </w:rPr>
        <w:t>Изчисляване на кредитите и дълговете за емисии през всяка календарна година</w:t>
      </w:r>
    </w:p>
    <w:p>
      <w:pPr>
        <w:keepNext/>
        <w:outlineLvl w:val="3"/>
        <w:rPr>
          <w:rFonts w:eastAsiaTheme="majorEastAsia"/>
          <w:bCs/>
          <w:iCs/>
          <w:noProof/>
          <w:szCs w:val="24"/>
        </w:rPr>
      </w:pPr>
      <w:r>
        <w:rPr>
          <w:noProof/>
        </w:rPr>
        <w:t>За всеки производител и за всяка календарна година Y в периода от 2019 г. до 2029 г. кредитите за емисии (</w:t>
      </w: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>) и дълговете от емисии (</w:t>
      </w: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noProof/>
        </w:rPr>
        <w:t>) се изчисляват, както следва:</w:t>
      </w:r>
    </w:p>
    <w:p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</w:rPr>
        <w:t>Ако 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 xml:space="preserve"> &lt; ET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>:</w:t>
      </w:r>
    </w:p>
    <w:p>
      <w:pPr>
        <w:spacing w:before="0" w:after="200" w:line="276" w:lineRule="auto"/>
        <w:ind w:firstLine="720"/>
        <w:jc w:val="left"/>
        <w:rPr>
          <w:i/>
          <w:noProof/>
          <w:szCs w:val="24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= (</w:t>
      </w: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i/>
          <w:noProof/>
        </w:rPr>
        <w:t>– 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>) × V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и</w:t>
      </w:r>
    </w:p>
    <w:p>
      <w:pPr>
        <w:spacing w:before="0" w:after="200" w:line="276" w:lineRule="auto"/>
        <w:ind w:firstLine="720"/>
        <w:jc w:val="left"/>
        <w:rPr>
          <w:noProof/>
        </w:rPr>
      </w:pP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0</w:t>
      </w:r>
    </w:p>
    <w:p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  <w:sz w:val="22"/>
        </w:rPr>
        <w:t xml:space="preserve">Ако </w:t>
      </w:r>
      <w:r>
        <w:rPr>
          <w:rFonts w:eastAsiaTheme="majorEastAsia"/>
          <w:i/>
          <w:noProof/>
        </w:rPr>
        <w:t>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  <w:sz w:val="22"/>
        </w:rPr>
        <w:t xml:space="preserve"> &gt; T</w:t>
      </w:r>
      <w:r>
        <w:rPr>
          <w:rFonts w:eastAsiaTheme="majorEastAsia"/>
          <w:i/>
          <w:noProof/>
          <w:sz w:val="22"/>
          <w:vertAlign w:val="subscript"/>
        </w:rPr>
        <w:t>Y</w:t>
      </w:r>
      <w:r>
        <w:rPr>
          <w:rFonts w:eastAsiaTheme="majorEastAsia"/>
          <w:i/>
          <w:noProof/>
        </w:rPr>
        <w:t xml:space="preserve"> за годините 2025 — 2029:</w:t>
      </w:r>
    </w:p>
    <w:p>
      <w:pPr>
        <w:keepNext/>
        <w:outlineLvl w:val="2"/>
        <w:rPr>
          <w:rFonts w:eastAsiaTheme="majorEastAsia"/>
          <w:bCs/>
          <w:i/>
          <w:noProof/>
          <w:vertAlign w:val="subscript"/>
        </w:rPr>
      </w:pPr>
      <w:r>
        <w:rPr>
          <w:noProof/>
        </w:rPr>
        <w:tab/>
      </w:r>
      <w:r>
        <w:rPr>
          <w:i/>
          <w:noProof/>
        </w:rPr>
        <w:t>dCO2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(CO2</w:t>
      </w:r>
      <w:r>
        <w:rPr>
          <w:rFonts w:eastAsiaTheme="majorEastAsia"/>
          <w:noProof/>
          <w:vertAlign w:val="subscript"/>
        </w:rPr>
        <w:t>Y</w:t>
      </w:r>
      <w:r>
        <w:rPr>
          <w:rFonts w:eastAsiaTheme="majorEastAsia"/>
          <w:i/>
          <w:noProof/>
          <w:sz w:val="22"/>
        </w:rPr>
        <w:t xml:space="preserve"> - </w:t>
      </w:r>
      <w:r>
        <w:rPr>
          <w:rFonts w:eastAsiaTheme="majorEastAsia"/>
          <w:i/>
          <w:noProof/>
        </w:rPr>
        <w:t>T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>) ×</w:t>
      </w:r>
      <w:r>
        <w:rPr>
          <w:rFonts w:eastAsiaTheme="majorEastAsia"/>
          <w:i/>
          <w:noProof/>
          <w:sz w:val="22"/>
        </w:rPr>
        <w:t xml:space="preserve"> </w:t>
      </w:r>
      <w:r>
        <w:rPr>
          <w:rFonts w:eastAsiaTheme="majorEastAsia"/>
          <w:i/>
          <w:noProof/>
        </w:rPr>
        <w:t>V</w:t>
      </w:r>
      <w:r>
        <w:rPr>
          <w:rFonts w:eastAsiaTheme="majorEastAsia"/>
          <w:i/>
          <w:noProof/>
          <w:vertAlign w:val="subscript"/>
        </w:rPr>
        <w:t>Y</w:t>
      </w:r>
      <w:r>
        <w:rPr>
          <w:noProof/>
        </w:rPr>
        <w:tab/>
        <w:t>и</w:t>
      </w:r>
    </w:p>
    <w:p>
      <w:pPr>
        <w:keepNext/>
        <w:ind w:firstLine="720"/>
        <w:outlineLvl w:val="2"/>
        <w:rPr>
          <w:rFonts w:eastAsiaTheme="majorEastAsia"/>
          <w:bCs/>
          <w:noProof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 = 0</w:t>
      </w:r>
      <w:r>
        <w:rPr>
          <w:rFonts w:eastAsiaTheme="majorEastAsia"/>
          <w:i/>
          <w:noProof/>
          <w:sz w:val="22"/>
        </w:rPr>
        <w:t xml:space="preserve"> </w:t>
      </w:r>
    </w:p>
    <w:p>
      <w:pPr>
        <w:keepNext/>
        <w:ind w:left="850" w:hanging="850"/>
        <w:outlineLvl w:val="2"/>
        <w:rPr>
          <w:rFonts w:eastAsiaTheme="majorEastAsia"/>
          <w:bCs/>
          <w:i/>
          <w:noProof/>
        </w:rPr>
      </w:pPr>
      <w:r>
        <w:rPr>
          <w:rFonts w:eastAsiaTheme="majorEastAsia"/>
          <w:i/>
          <w:noProof/>
        </w:rPr>
        <w:t>Във всички останали случаи dCO2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 xml:space="preserve"> и cCO2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rFonts w:eastAsiaTheme="majorEastAsia"/>
          <w:i/>
          <w:noProof/>
        </w:rPr>
        <w:t xml:space="preserve"> се определят като 0.</w:t>
      </w:r>
    </w:p>
    <w:p>
      <w:pPr>
        <w:rPr>
          <w:noProof/>
        </w:rPr>
      </w:pPr>
      <w:r>
        <w:rPr>
          <w:noProof/>
        </w:rPr>
        <w:t>където</w:t>
      </w:r>
    </w:p>
    <w:p>
      <w:pPr>
        <w:ind w:left="1438" w:hanging="1155"/>
        <w:rPr>
          <w:i/>
          <w:noProof/>
        </w:rPr>
      </w:pPr>
      <w:r>
        <w:rPr>
          <w:i/>
          <w:noProof/>
        </w:rPr>
        <w:t>ET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>е кривата на емисиите на производителя през календарната година Y, определена съгласно посоченото в точка 5.1;</w:t>
      </w:r>
    </w:p>
    <w:p>
      <w:pPr>
        <w:ind w:left="1440" w:hanging="1155"/>
        <w:rPr>
          <w:noProof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са средните специфични емисии през календарната година Y, определени съгласно посоченото в точка 2.7;</w:t>
      </w:r>
    </w:p>
    <w:p>
      <w:pPr>
        <w:ind w:left="1438" w:hanging="1155"/>
        <w:rPr>
          <w:i/>
          <w:noProof/>
        </w:rPr>
      </w:pPr>
      <w:r>
        <w:rPr>
          <w:i/>
          <w:noProof/>
        </w:rPr>
        <w:t>T</w:t>
      </w:r>
      <w:r>
        <w:rPr>
          <w:i/>
          <w:noProof/>
          <w:vertAlign w:val="subscript"/>
        </w:rPr>
        <w:t>Y</w:t>
      </w:r>
      <w:r>
        <w:rPr>
          <w:noProof/>
        </w:rPr>
        <w:t xml:space="preserve"> </w:t>
      </w:r>
      <w:r>
        <w:rPr>
          <w:noProof/>
        </w:rPr>
        <w:tab/>
        <w:t>е специфичната цел за емисии на производителя през календарната година Y, определена съгласно посоченото в раздел 4;</w:t>
      </w:r>
    </w:p>
    <w:p>
      <w:pPr>
        <w:ind w:left="1438" w:hanging="1155"/>
        <w:rPr>
          <w:noProof/>
        </w:rPr>
      </w:pPr>
      <w:r>
        <w:rPr>
          <w:noProof/>
        </w:rPr>
        <w:t>V</w:t>
      </w:r>
      <w:r>
        <w:rPr>
          <w:noProof/>
          <w:vertAlign w:val="subscript"/>
        </w:rPr>
        <w:t>Y</w:t>
      </w:r>
      <w:r>
        <w:rPr>
          <w:noProof/>
        </w:rPr>
        <w:tab/>
        <w:t>е броят на новите тежкотоварни превозни средства на производителя през календарната година Y, с изключение на всички професионални превозни средства в съответствие с член 4, буква а).</w:t>
      </w:r>
    </w:p>
    <w:p>
      <w:pPr>
        <w:ind w:left="1438" w:hanging="1155"/>
        <w:rPr>
          <w:noProof/>
        </w:rPr>
      </w:pPr>
    </w:p>
    <w:p>
      <w:pPr>
        <w:pStyle w:val="Heading2"/>
        <w:rPr>
          <w:noProof/>
        </w:rPr>
      </w:pPr>
      <w:r>
        <w:rPr>
          <w:noProof/>
        </w:rPr>
        <w:t>Пределна стойност на дълговете от емисии</w:t>
      </w:r>
    </w:p>
    <w:p>
      <w:pPr>
        <w:rPr>
          <w:noProof/>
        </w:rPr>
      </w:pPr>
      <w:r>
        <w:rPr>
          <w:noProof/>
        </w:rPr>
        <w:t>Пределната стойност на дълговете от емисии за всеки производител (</w:t>
      </w:r>
      <w:r>
        <w:rPr>
          <w:i/>
          <w:noProof/>
          <w:sz w:val="22"/>
        </w:rPr>
        <w:t>limCO2</w:t>
      </w:r>
      <w:r>
        <w:rPr>
          <w:noProof/>
        </w:rPr>
        <w:t>) се определя, както следва:</w:t>
      </w:r>
    </w:p>
    <w:p>
      <w:pPr>
        <w:ind w:firstLine="720"/>
        <w:rPr>
          <w:i/>
          <w:noProof/>
        </w:rPr>
      </w:pPr>
      <w:r>
        <w:rPr>
          <w:i/>
          <w:noProof/>
          <w:sz w:val="22"/>
        </w:rPr>
        <w:t>limCO2</w:t>
      </w:r>
      <w:r>
        <w:rPr>
          <w:i/>
          <w:noProof/>
        </w:rPr>
        <w:t xml:space="preserve"> = T</w:t>
      </w:r>
      <w:r>
        <w:rPr>
          <w:i/>
          <w:noProof/>
          <w:vertAlign w:val="subscript"/>
        </w:rPr>
        <w:t>2025</w:t>
      </w:r>
      <w:r>
        <w:rPr>
          <w:i/>
          <w:noProof/>
        </w:rPr>
        <w:t xml:space="preserve"> × 0,05 × V</w:t>
      </w:r>
      <w:r>
        <w:rPr>
          <w:i/>
          <w:noProof/>
          <w:vertAlign w:val="subscript"/>
        </w:rPr>
        <w:t>2025</w:t>
      </w:r>
    </w:p>
    <w:p>
      <w:pPr>
        <w:ind w:firstLine="283"/>
        <w:rPr>
          <w:noProof/>
        </w:rPr>
      </w:pPr>
      <w:r>
        <w:rPr>
          <w:noProof/>
        </w:rPr>
        <w:t xml:space="preserve">където </w:t>
      </w:r>
    </w:p>
    <w:p>
      <w:pPr>
        <w:ind w:left="1438" w:hanging="1155"/>
        <w:rPr>
          <w:i/>
          <w:noProof/>
        </w:rPr>
      </w:pPr>
      <w:r>
        <w:rPr>
          <w:i/>
          <w:noProof/>
        </w:rPr>
        <w:t>T</w:t>
      </w:r>
      <w:r>
        <w:rPr>
          <w:i/>
          <w:noProof/>
          <w:vertAlign w:val="subscript"/>
        </w:rPr>
        <w:t>2025</w:t>
      </w:r>
      <w:r>
        <w:rPr>
          <w:noProof/>
        </w:rPr>
        <w:t xml:space="preserve"> </w:t>
      </w:r>
      <w:r>
        <w:rPr>
          <w:noProof/>
        </w:rPr>
        <w:tab/>
        <w:t>е специфичната цел за емисии на производителя през 2025 г., определена съгласно посоченото в раздел 4;</w:t>
      </w:r>
    </w:p>
    <w:p>
      <w:pPr>
        <w:ind w:left="1438" w:hanging="1155"/>
        <w:rPr>
          <w:noProof/>
        </w:rPr>
      </w:pPr>
      <w:r>
        <w:rPr>
          <w:i/>
          <w:noProof/>
        </w:rPr>
        <w:t>V</w:t>
      </w:r>
      <w:r>
        <w:rPr>
          <w:i/>
          <w:noProof/>
          <w:vertAlign w:val="subscript"/>
        </w:rPr>
        <w:t>2025</w:t>
      </w:r>
      <w:r>
        <w:rPr>
          <w:noProof/>
        </w:rPr>
        <w:tab/>
        <w:t>е броят на новите тежкотоварни превозни средства на производителя през 2025 г., с изключение на всички професионални превозни средства в съответствие с член 4, буква а).</w:t>
      </w:r>
    </w:p>
    <w:p>
      <w:pPr>
        <w:pStyle w:val="Heading2"/>
        <w:rPr>
          <w:noProof/>
        </w:rPr>
      </w:pPr>
      <w:r>
        <w:rPr>
          <w:noProof/>
        </w:rPr>
        <w:t>Кредити за емисии, придобити преди 2025 г.</w:t>
      </w:r>
    </w:p>
    <w:p>
      <w:pPr>
        <w:keepNext/>
        <w:outlineLvl w:val="1"/>
        <w:rPr>
          <w:rFonts w:eastAsiaTheme="majorEastAsia"/>
          <w:bCs/>
          <w:noProof/>
          <w:szCs w:val="26"/>
        </w:rPr>
      </w:pPr>
      <w:r>
        <w:rPr>
          <w:noProof/>
        </w:rPr>
        <w:t xml:space="preserve">Дълговете от емисии, придобити през 2025 г., се намаляват с количество </w:t>
      </w:r>
      <w:r>
        <w:rPr>
          <w:i/>
          <w:noProof/>
        </w:rPr>
        <w:t>(redCO2)</w:t>
      </w:r>
      <w:r>
        <w:rPr>
          <w:noProof/>
        </w:rPr>
        <w:t xml:space="preserve">, съответстващо на кредитите за емисии, придобити преди 2025 г., което се определя за всеки производител, както следва:  </w:t>
      </w:r>
    </w:p>
    <w:p>
      <w:pPr>
        <w:rPr>
          <w:i/>
          <w:noProof/>
          <w:sz w:val="2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388206" cy="225425"/>
            <wp:effectExtent l="0" t="0" r="3175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642110" cy="24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където</w:t>
      </w:r>
    </w:p>
    <w:p>
      <w:pPr>
        <w:ind w:left="1418" w:hanging="1134"/>
        <w:rPr>
          <w:rFonts w:eastAsiaTheme="minorEastAsia"/>
          <w:noProof/>
          <w:szCs w:val="24"/>
        </w:rPr>
      </w:pPr>
      <w:r>
        <w:rPr>
          <w:noProof/>
        </w:rPr>
        <w:t>min</w:t>
      </w:r>
      <w:r>
        <w:rPr>
          <w:noProof/>
        </w:rPr>
        <w:tab/>
        <w:t>е най-малката от двете стойности, посочени в скобите;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Y=2019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2024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2019 до 2024 г.;</w:t>
      </w:r>
    </w:p>
    <w:p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dCO2</w:t>
      </w:r>
      <w:r>
        <w:rPr>
          <w:rFonts w:eastAsiaTheme="majorEastAsia"/>
          <w:i/>
          <w:noProof/>
          <w:vertAlign w:val="subscript"/>
        </w:rPr>
        <w:t>2025</w:t>
      </w:r>
      <w:r>
        <w:rPr>
          <w:noProof/>
        </w:rPr>
        <w:tab/>
        <w:t>са дълговете от емисии за 2025 г., определени съгласно посоченото в точка 5.2;</w:t>
      </w:r>
    </w:p>
    <w:p>
      <w:pPr>
        <w:ind w:left="1418" w:hanging="1134"/>
        <w:rPr>
          <w:noProof/>
          <w:lang w:val="ru-RU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ab/>
      </w:r>
      <w:r>
        <w:rPr>
          <w:noProof/>
        </w:rPr>
        <w:tab/>
        <w:t>са кредитите за емисии през календарната година Y, определени съгласно посоченото в точка 5.2.</w:t>
      </w:r>
      <w:r>
        <w:rPr>
          <w:noProof/>
        </w:rPr>
        <w:tab/>
      </w:r>
    </w:p>
    <w:p>
      <w:pPr>
        <w:ind w:left="1418" w:hanging="1134"/>
        <w:rPr>
          <w:i/>
          <w:noProof/>
          <w:sz w:val="22"/>
          <w:lang w:val="ru-RU"/>
        </w:rPr>
      </w:pPr>
    </w:p>
    <w:p>
      <w:pPr>
        <w:pStyle w:val="Heading1"/>
        <w:rPr>
          <w:noProof/>
        </w:rPr>
      </w:pPr>
      <w:r>
        <w:rPr>
          <w:noProof/>
        </w:rPr>
        <w:t>Определяне на извънредното количество емисии на производителя, посочено в член 8, параграф 2</w:t>
      </w:r>
    </w:p>
    <w:p>
      <w:pPr>
        <w:rPr>
          <w:noProof/>
        </w:rPr>
      </w:pPr>
      <w:r>
        <w:rPr>
          <w:noProof/>
        </w:rPr>
        <w:t>Ако стойността е положителна, за всеки производител и за всяка календарна година от 2025 г. нататък стойността на извънредното количество емисии (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>Y</w:t>
      </w:r>
      <w:r>
        <w:rPr>
          <w:noProof/>
        </w:rPr>
        <w:t xml:space="preserve">) се определя, както следва: </w:t>
      </w:r>
    </w:p>
    <w:p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2025 г.</w:t>
      </w:r>
    </w:p>
    <w:p>
      <w:pPr>
        <w:ind w:firstLine="720"/>
        <w:rPr>
          <w:rFonts w:eastAsiaTheme="minorEastAsia"/>
          <w:i/>
          <w:noProof/>
          <w:sz w:val="22"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3143250" cy="192052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430989" cy="209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годините Y от 2026 до 2028 г.</w:t>
      </w:r>
    </w:p>
    <w:p>
      <w:pPr>
        <w:ind w:firstLine="720"/>
        <w:rPr>
          <w:noProof/>
        </w:rPr>
      </w:pPr>
      <w:r>
        <w:rPr>
          <w:i/>
          <w:noProof/>
          <w:sz w:val="22"/>
        </w:rPr>
        <w:t xml:space="preserve"> </w:t>
      </w:r>
      <w:r>
        <w:rPr>
          <w:noProof/>
          <w:lang w:val="en-US" w:eastAsia="en-US" w:bidi="ar-SA"/>
        </w:rPr>
        <w:drawing>
          <wp:inline distT="0" distB="0" distL="0" distR="0">
            <wp:extent cx="4826000" cy="21648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56325" cy="2268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2029 г.</w:t>
      </w:r>
    </w:p>
    <w:p>
      <w:pPr>
        <w:ind w:firstLine="720"/>
        <w:rPr>
          <w:noProof/>
        </w:rPr>
      </w:pPr>
      <w:r>
        <w:rPr>
          <w:noProof/>
          <w:lang w:val="en-US" w:eastAsia="en-US" w:bidi="ar-SA"/>
        </w:rPr>
        <w:drawing>
          <wp:inline distT="0" distB="0" distL="0" distR="0">
            <wp:extent cx="4260850" cy="200527"/>
            <wp:effectExtent l="0" t="0" r="0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600546" cy="216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/>
        <w:ind w:left="850" w:hanging="850"/>
        <w:outlineLvl w:val="1"/>
        <w:rPr>
          <w:rFonts w:eastAsiaTheme="majorEastAsia"/>
          <w:b/>
          <w:bCs/>
          <w:noProof/>
          <w:szCs w:val="26"/>
        </w:rPr>
      </w:pPr>
      <w:r>
        <w:rPr>
          <w:rFonts w:eastAsiaTheme="majorEastAsia"/>
          <w:b/>
          <w:noProof/>
        </w:rPr>
        <w:t>за годините Y от 2030 г. нататък</w:t>
      </w:r>
    </w:p>
    <w:p>
      <w:pPr>
        <w:keepNext/>
        <w:ind w:firstLine="720"/>
        <w:outlineLvl w:val="3"/>
        <w:rPr>
          <w:rFonts w:eastAsiaTheme="majorEastAsia"/>
          <w:b/>
          <w:bCs/>
          <w:iCs/>
          <w:smallCaps/>
          <w:noProof/>
          <w:szCs w:val="28"/>
        </w:rPr>
      </w:pP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>y</w:t>
      </w:r>
      <w:r>
        <w:rPr>
          <w:i/>
          <w:noProof/>
          <w:sz w:val="22"/>
        </w:rPr>
        <w:t xml:space="preserve"> = (</w:t>
      </w:r>
      <w:r>
        <w:rPr>
          <w:i/>
          <w:noProof/>
        </w:rPr>
        <w:t>CO2</w:t>
      </w:r>
      <w:r>
        <w:rPr>
          <w:i/>
          <w:noProof/>
          <w:vertAlign w:val="subscript"/>
        </w:rPr>
        <w:t>Y</w:t>
      </w:r>
      <w:r>
        <w:rPr>
          <w:i/>
          <w:noProof/>
          <w:sz w:val="22"/>
        </w:rPr>
        <w:t xml:space="preserve"> - </w:t>
      </w:r>
      <w:r>
        <w:rPr>
          <w:i/>
          <w:noProof/>
        </w:rPr>
        <w:t>T</w:t>
      </w:r>
      <w:r>
        <w:rPr>
          <w:i/>
          <w:noProof/>
          <w:vertAlign w:val="subscript"/>
        </w:rPr>
        <w:t>Y</w:t>
      </w:r>
      <w:r>
        <w:rPr>
          <w:i/>
          <w:noProof/>
        </w:rPr>
        <w:t xml:space="preserve">) x </w:t>
      </w:r>
      <w:r>
        <w:rPr>
          <w:noProof/>
        </w:rPr>
        <w:t>V</w:t>
      </w:r>
      <w:r>
        <w:rPr>
          <w:noProof/>
          <w:vertAlign w:val="subscript"/>
        </w:rPr>
        <w:t>Y</w:t>
      </w:r>
      <w:r>
        <w:rPr>
          <w:noProof/>
        </w:rPr>
        <w:tab/>
      </w:r>
      <w:r>
        <w:rPr>
          <w:i/>
          <w:noProof/>
          <w:sz w:val="22"/>
        </w:rPr>
        <w:t xml:space="preserve">  </w:t>
      </w:r>
      <w:r>
        <w:rPr>
          <w:noProof/>
        </w:rPr>
        <w:tab/>
      </w:r>
    </w:p>
    <w:p>
      <w:pPr>
        <w:spacing w:before="0" w:after="200" w:line="276" w:lineRule="auto"/>
        <w:jc w:val="left"/>
        <w:rPr>
          <w:noProof/>
          <w:szCs w:val="24"/>
        </w:rPr>
      </w:pPr>
      <w:r>
        <w:rPr>
          <w:noProof/>
        </w:rPr>
        <w:t>където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Y=2019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2025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2019 до 2025 г.;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I=2025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Y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Y;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J=2025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Y-1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(Y-1);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J=2025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2028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2028 г.;</w:t>
      </w:r>
    </w:p>
    <w:p>
      <w:pPr>
        <w:ind w:left="1418" w:hanging="1134"/>
        <w:rPr>
          <w:noProof/>
          <w:szCs w:val="24"/>
        </w:rPr>
      </w:pPr>
      <m:oMath>
        <m:nary>
          <m:naryPr>
            <m:chr m:val="∑"/>
            <m:grow m:val="1"/>
            <m:ctrlPr>
              <w:rPr>
                <w:rFonts w:ascii="Cambria Math" w:hAnsi="Cambria Math"/>
                <w:i/>
                <w:noProof/>
                <w:szCs w:val="24"/>
              </w:rPr>
            </m:ctrlPr>
          </m:naryPr>
          <m:sub>
            <m:r>
              <w:rPr>
                <w:rFonts w:ascii="Cambria Math" w:eastAsia="Cambria Math" w:hAnsi="Cambria Math"/>
                <w:noProof/>
                <w:szCs w:val="24"/>
              </w:rPr>
              <m:t>I=2025</m:t>
            </m:r>
          </m:sub>
          <m:sup>
            <m:r>
              <w:rPr>
                <w:rFonts w:ascii="Cambria Math" w:eastAsia="Cambria Math" w:hAnsi="Cambria Math"/>
                <w:noProof/>
                <w:szCs w:val="24"/>
              </w:rPr>
              <m:t>2029</m:t>
            </m:r>
          </m:sup>
          <m:e>
            <m:r>
              <w:rPr>
                <w:rFonts w:ascii="Cambria Math" w:hAnsi="Cambria Math"/>
                <w:noProof/>
                <w:szCs w:val="24"/>
              </w:rPr>
              <m:t xml:space="preserve">  </m:t>
            </m:r>
          </m:e>
        </m:nary>
      </m:oMath>
      <w:r>
        <w:rPr>
          <w:noProof/>
        </w:rPr>
        <w:tab/>
        <w:t>е сумата за календарните години от 2025 до 2029 г.;</w:t>
      </w:r>
    </w:p>
    <w:p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dCO2</w:t>
      </w:r>
      <w:r>
        <w:rPr>
          <w:rFonts w:eastAsiaTheme="majorEastAsia"/>
          <w:i/>
          <w:noProof/>
          <w:vertAlign w:val="subscript"/>
        </w:rPr>
        <w:t>Y</w:t>
      </w:r>
      <w:r>
        <w:rPr>
          <w:noProof/>
        </w:rPr>
        <w:tab/>
        <w:t>са дълговете от емисии за календарната година Y, определени съгласно посоченото в точка 5.2;</w:t>
      </w:r>
    </w:p>
    <w:p>
      <w:pPr>
        <w:ind w:left="1418" w:hanging="1134"/>
        <w:rPr>
          <w:noProof/>
          <w:szCs w:val="24"/>
        </w:rPr>
      </w:pPr>
      <w:r>
        <w:rPr>
          <w:i/>
          <w:noProof/>
        </w:rPr>
        <w:t>cCO2</w:t>
      </w:r>
      <w:r>
        <w:rPr>
          <w:i/>
          <w:noProof/>
          <w:vertAlign w:val="subscript"/>
        </w:rPr>
        <w:t>Y</w:t>
      </w:r>
      <w:r>
        <w:rPr>
          <w:noProof/>
        </w:rPr>
        <w:tab/>
        <w:t>са кредитите за емисии за календарната година Y, определени съгласно посоченото в точка 5.2;</w:t>
      </w:r>
    </w:p>
    <w:p>
      <w:pPr>
        <w:ind w:left="1418" w:hanging="1134"/>
        <w:rPr>
          <w:noProof/>
          <w:szCs w:val="24"/>
        </w:rPr>
      </w:pPr>
      <w:r>
        <w:rPr>
          <w:i/>
          <w:noProof/>
        </w:rPr>
        <w:t>limCO2</w:t>
      </w:r>
      <w:r>
        <w:rPr>
          <w:noProof/>
        </w:rPr>
        <w:tab/>
      </w:r>
      <w:r>
        <w:rPr>
          <w:noProof/>
        </w:rPr>
        <w:tab/>
        <w:t>е пределната стойност на дълговете от емисии, определена съгласно посоченото в точка 5.3;</w:t>
      </w:r>
    </w:p>
    <w:p>
      <w:pPr>
        <w:ind w:left="1418" w:hanging="1134"/>
        <w:rPr>
          <w:noProof/>
          <w:szCs w:val="24"/>
        </w:rPr>
      </w:pPr>
      <w:r>
        <w:rPr>
          <w:rFonts w:eastAsiaTheme="majorEastAsia"/>
          <w:i/>
          <w:noProof/>
        </w:rPr>
        <w:t>redCO2</w:t>
      </w:r>
      <w:r>
        <w:rPr>
          <w:noProof/>
        </w:rPr>
        <w:tab/>
        <w:t>е намалението на дълговете от емисии през 2025 г., определено съгласно посоченото в точка 5.4.</w:t>
      </w:r>
    </w:p>
    <w:p>
      <w:pPr>
        <w:rPr>
          <w:noProof/>
        </w:rPr>
      </w:pPr>
      <w:r>
        <w:rPr>
          <w:noProof/>
        </w:rPr>
        <w:t xml:space="preserve">Във всички останали случаи стойността на извънредното количество емисии </w:t>
      </w:r>
      <w:r>
        <w:rPr>
          <w:i/>
          <w:noProof/>
          <w:sz w:val="22"/>
        </w:rPr>
        <w:t>exeCO2</w:t>
      </w:r>
      <w:r>
        <w:rPr>
          <w:i/>
          <w:noProof/>
          <w:sz w:val="22"/>
          <w:vertAlign w:val="subscript"/>
        </w:rPr>
        <w:t xml:space="preserve">Y   </w:t>
      </w:r>
      <w:r>
        <w:rPr>
          <w:noProof/>
        </w:rPr>
        <w:t xml:space="preserve"> се определя като 0.</w:t>
      </w:r>
    </w:p>
    <w:p>
      <w:pPr>
        <w:rPr>
          <w:noProof/>
        </w:rPr>
        <w:sectPr>
          <w:footerReference w:type="default" r:id="rId22"/>
          <w:footerReference w:type="first" r:id="rId23"/>
          <w:pgSz w:w="11907" w:h="16839"/>
          <w:pgMar w:top="1134" w:right="1417" w:bottom="1134" w:left="1417" w:header="709" w:footer="709" w:gutter="0"/>
          <w:cols w:space="720"/>
          <w:docGrid w:linePitch="360"/>
        </w:sectPr>
      </w:pPr>
    </w:p>
    <w:p>
      <w:pPr>
        <w:pStyle w:val="Annexetitre"/>
        <w:rPr>
          <w:noProof/>
        </w:rPr>
      </w:pPr>
      <w:r>
        <w:rPr>
          <w:noProof/>
        </w:rPr>
        <w:t>ПРИЛОЖЕНИЕ II</w:t>
      </w:r>
    </w:p>
    <w:p>
      <w:pPr>
        <w:pStyle w:val="Annexetitreexpos"/>
        <w:rPr>
          <w:noProof/>
        </w:rPr>
      </w:pPr>
      <w:r>
        <w:rPr>
          <w:noProof/>
        </w:rPr>
        <w:t>Процедури за корекция</w:t>
      </w:r>
    </w:p>
    <w:p>
      <w:pPr>
        <w:pStyle w:val="ManualHeading1"/>
        <w:rPr>
          <w:noProof/>
        </w:rPr>
      </w:pPr>
      <w:r>
        <w:rPr>
          <w:noProof/>
        </w:rPr>
        <w:t>1.</w:t>
      </w:r>
      <w:r>
        <w:rPr>
          <w:noProof/>
        </w:rPr>
        <w:tab/>
        <w:t>Коефициенти за корекция на полезния товар, посочени в член 12, параграф 1, буква в)</w:t>
      </w:r>
    </w:p>
    <w:p>
      <w:pPr>
        <w:rPr>
          <w:noProof/>
          <w:highlight w:val="yellow"/>
        </w:rPr>
      </w:pPr>
      <w:r>
        <w:rPr>
          <w:noProof/>
        </w:rPr>
        <w:t>При спазване на разпоредбите, посочени в член 10, параграф 2, буква а), за 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1,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за профил на движение </w:t>
      </w:r>
      <w:r>
        <w:rPr>
          <w:i/>
          <w:noProof/>
        </w:rPr>
        <w:t>mp</w:t>
      </w:r>
      <w:r>
        <w:rPr>
          <w:noProof/>
        </w:rPr>
        <w:t xml:space="preserve"> съгласно точка 2.1, таблица 2 от приложение I, се коригират, както следва:</w:t>
      </w:r>
    </w:p>
    <w:p>
      <w:pPr>
        <w:spacing w:before="0" w:after="200" w:line="276" w:lineRule="auto"/>
        <w:contextualSpacing/>
        <w:rPr>
          <w:noProof/>
          <w:sz w:val="22"/>
        </w:rPr>
      </w:pPr>
    </w:p>
    <w:p>
      <w:pPr>
        <w:ind w:left="480"/>
        <w:rPr>
          <w:i/>
          <w:noProof/>
          <w:sz w:val="22"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 xml:space="preserve">v,mp </w:t>
      </w:r>
      <w:r>
        <w:rPr>
          <w:rFonts w:eastAsiaTheme="minorEastAsia"/>
          <w:i/>
          <w:noProof/>
        </w:rPr>
        <w:t>=  CO2(2019)</w:t>
      </w:r>
      <w:r>
        <w:rPr>
          <w:i/>
          <w:noProof/>
          <w:vertAlign w:val="subscript"/>
        </w:rPr>
        <w:t xml:space="preserve">v,mp  </w:t>
      </w:r>
      <w:r>
        <w:rPr>
          <w:rFonts w:eastAsiaTheme="minorEastAsia"/>
          <w:i/>
          <w:noProof/>
        </w:rPr>
        <w:t>x (1+ PLa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 xml:space="preserve"> x (PL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 xml:space="preserve"> – PL(2019)</w:t>
      </w:r>
      <w:r>
        <w:rPr>
          <w:i/>
          <w:noProof/>
          <w:vertAlign w:val="subscript"/>
        </w:rPr>
        <w:t>sg,mp</w:t>
      </w:r>
      <w:r>
        <w:rPr>
          <w:rFonts w:eastAsiaTheme="minorEastAsia"/>
          <w:i/>
          <w:noProof/>
        </w:rPr>
        <w:t>))</w:t>
      </w:r>
    </w:p>
    <w:p>
      <w:pPr>
        <w:ind w:left="480"/>
        <w:rPr>
          <w:noProof/>
        </w:rPr>
      </w:pPr>
      <w:r>
        <w:rPr>
          <w:noProof/>
        </w:rPr>
        <w:t>където</w:t>
      </w:r>
    </w:p>
    <w:p>
      <w:pPr>
        <w:ind w:left="2160" w:hanging="1680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  <w:t xml:space="preserve">е подгрупата, към която спада превозното средство </w:t>
      </w:r>
      <w:r>
        <w:rPr>
          <w:i/>
          <w:noProof/>
        </w:rPr>
        <w:t>v</w:t>
      </w:r>
      <w:r>
        <w:rPr>
          <w:noProof/>
        </w:rPr>
        <w:t>;</w:t>
      </w:r>
      <w:r>
        <w:rPr>
          <w:noProof/>
        </w:rPr>
        <w:tab/>
      </w:r>
    </w:p>
    <w:p>
      <w:pPr>
        <w:ind w:left="2160" w:hanging="168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>v,mp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при профил на движение </w:t>
      </w:r>
      <w:r>
        <w:rPr>
          <w:i/>
          <w:noProof/>
        </w:rPr>
        <w:t>mp</w:t>
      </w:r>
      <w:r>
        <w:rPr>
          <w:noProof/>
        </w:rPr>
        <w:t xml:space="preserve"> въз основа на данните от мониторинга за 2019 г., които се докладват в съответствие с Регламент (ЕС) …/2018 [HDV M&amp;R]; </w:t>
      </w:r>
    </w:p>
    <w:p>
      <w:pPr>
        <w:ind w:left="2160" w:hanging="1680"/>
        <w:rPr>
          <w:noProof/>
          <w:sz w:val="22"/>
        </w:rPr>
      </w:pPr>
      <w:r>
        <w:rPr>
          <w:i/>
          <w:noProof/>
        </w:rPr>
        <w:t>PL(2019)</w:t>
      </w:r>
      <w:r>
        <w:rPr>
          <w:i/>
          <w:noProof/>
          <w:vertAlign w:val="subscript"/>
        </w:rPr>
        <w:t>sg, mp</w:t>
      </w:r>
      <w:r>
        <w:rPr>
          <w:noProof/>
        </w:rPr>
        <w:tab/>
        <w:t xml:space="preserve">е стойността на полезния товар, определена за превозните средства в подгрупа </w:t>
      </w:r>
      <w:r>
        <w:rPr>
          <w:i/>
          <w:noProof/>
        </w:rPr>
        <w:t>sg</w:t>
      </w:r>
      <w:r>
        <w:rPr>
          <w:noProof/>
        </w:rPr>
        <w:t xml:space="preserve"> при профил на движение </w:t>
      </w:r>
      <w:r>
        <w:rPr>
          <w:i/>
          <w:noProof/>
        </w:rPr>
        <w:t>mp</w:t>
      </w:r>
      <w:r>
        <w:rPr>
          <w:noProof/>
        </w:rPr>
        <w:t xml:space="preserve"> през календарната 2019 г. в съответствие с точка 2.5, таблица 3 от приложение I, с цел да се установят данните от мониторинга за 2019 г., които се докладват в съответствие с Регламент (ЕС) …/2018 [HDV M&amp;R];</w:t>
      </w:r>
    </w:p>
    <w:p>
      <w:pPr>
        <w:ind w:left="2160" w:hanging="1680"/>
        <w:rPr>
          <w:noProof/>
          <w:szCs w:val="24"/>
        </w:rPr>
      </w:pPr>
      <w:r>
        <w:rPr>
          <w:i/>
          <w:noProof/>
        </w:rPr>
        <w:t>PL</w:t>
      </w:r>
      <w:r>
        <w:rPr>
          <w:i/>
          <w:noProof/>
          <w:vertAlign w:val="subscript"/>
        </w:rPr>
        <w:t>sg</w:t>
      </w:r>
      <w:r>
        <w:rPr>
          <w:noProof/>
        </w:rPr>
        <w:tab/>
        <w:t xml:space="preserve">е стойността на полезния товар, определена за превозните средства в подгрупа </w:t>
      </w:r>
      <w:r>
        <w:rPr>
          <w:i/>
          <w:noProof/>
        </w:rPr>
        <w:t>sg</w:t>
      </w:r>
      <w:r>
        <w:rPr>
          <w:noProof/>
        </w:rPr>
        <w:t xml:space="preserve"> при профил на движение </w:t>
      </w:r>
      <w:r>
        <w:rPr>
          <w:i/>
          <w:noProof/>
        </w:rPr>
        <w:t>mp</w:t>
      </w:r>
      <w:r>
        <w:rPr>
          <w:noProof/>
        </w:rPr>
        <w:t xml:space="preserve"> през календарната година, през която промените, посочени в член 12, параграф 1, буква в), влизат в сила за всички нови тежкотоварни превозни средства в съответствие с точка 2.5, таблица 3 от приложение I;</w:t>
      </w:r>
      <w:r>
        <w:rPr>
          <w:noProof/>
        </w:rPr>
        <w:tab/>
      </w:r>
    </w:p>
    <w:p>
      <w:pPr>
        <w:ind w:left="2160" w:hanging="1680"/>
        <w:rPr>
          <w:noProof/>
        </w:rPr>
      </w:pPr>
      <w:r>
        <w:rPr>
          <w:i/>
          <w:noProof/>
        </w:rPr>
        <w:t>PLa</w:t>
      </w:r>
      <w:r>
        <w:rPr>
          <w:i/>
          <w:noProof/>
          <w:vertAlign w:val="subscript"/>
        </w:rPr>
        <w:t>sg, mp</w:t>
      </w:r>
      <w:r>
        <w:rPr>
          <w:noProof/>
        </w:rPr>
        <w:tab/>
        <w:t>е коефициентът за корекция на полезния товар, определен в таблица 5.</w:t>
      </w:r>
    </w:p>
    <w:p>
      <w:pPr>
        <w:ind w:left="720"/>
        <w:contextualSpacing/>
        <w:rPr>
          <w:noProof/>
        </w:rPr>
      </w:pPr>
      <w:r>
        <w:rPr>
          <w:b/>
          <w:noProof/>
        </w:rPr>
        <w:t xml:space="preserve">Таблица 5 — Коефициенти за корекция на полезния товар </w:t>
      </w:r>
      <w:r>
        <w:rPr>
          <w:b/>
          <w:i/>
          <w:noProof/>
        </w:rPr>
        <w:t xml:space="preserve">PLa </w:t>
      </w:r>
      <w:r>
        <w:rPr>
          <w:b/>
          <w:i/>
          <w:noProof/>
          <w:vertAlign w:val="subscript"/>
        </w:rPr>
        <w:t>sg, mp</w:t>
      </w:r>
      <w:r>
        <w:rPr>
          <w:b/>
          <w:noProof/>
        </w:rPr>
        <w:t xml:space="preserve"> </w:t>
      </w:r>
    </w:p>
    <w:tbl>
      <w:tblPr>
        <w:tblStyle w:val="TableGrid"/>
        <w:tblW w:w="9240" w:type="dxa"/>
        <w:tblInd w:w="348" w:type="dxa"/>
        <w:tblLayout w:type="fixed"/>
        <w:tblLook w:val="04A0" w:firstRow="1" w:lastRow="0" w:firstColumn="1" w:lastColumn="0" w:noHBand="0" w:noVBand="1"/>
      </w:tblPr>
      <w:tblGrid>
        <w:gridCol w:w="1440"/>
        <w:gridCol w:w="1124"/>
        <w:gridCol w:w="1276"/>
        <w:gridCol w:w="1188"/>
        <w:gridCol w:w="950"/>
        <w:gridCol w:w="1399"/>
        <w:gridCol w:w="1863"/>
      </w:tblGrid>
      <w:tr>
        <w:tc>
          <w:tcPr>
            <w:tcW w:w="25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PLa</w:t>
            </w:r>
            <w:r>
              <w:rPr>
                <w:b/>
                <w:noProof/>
                <w:vertAlign w:val="subscript"/>
              </w:rPr>
              <w:t>sg,mp</w:t>
            </w:r>
            <w:r>
              <w:rPr>
                <w:b/>
                <w:noProof/>
              </w:rPr>
              <w:t xml:space="preserve"> </w:t>
            </w: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(в 1/тонове)</w:t>
            </w:r>
          </w:p>
        </w:tc>
        <w:tc>
          <w:tcPr>
            <w:tcW w:w="66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jc w:val="center"/>
              <w:rPr>
                <w:b/>
                <w:i/>
                <w:noProof/>
              </w:rPr>
            </w:pPr>
            <w:r>
              <w:rPr>
                <w:b/>
                <w:noProof/>
              </w:rPr>
              <w:t xml:space="preserve">Профили на движение </w:t>
            </w:r>
            <w:r>
              <w:rPr>
                <w:b/>
                <w:i/>
                <w:noProof/>
              </w:rPr>
              <w:t>mp</w:t>
            </w:r>
            <w:r>
              <w:rPr>
                <w:b/>
                <w:i/>
                <w:noProof/>
                <w:vertAlign w:val="superscript"/>
              </w:rPr>
              <w:t>1</w:t>
            </w:r>
            <w:r>
              <w:rPr>
                <w:b/>
                <w:i/>
                <w:noProof/>
              </w:rPr>
              <w:t xml:space="preserve"> </w:t>
            </w:r>
            <w:r>
              <w:rPr>
                <w:b/>
                <w:noProof/>
              </w:rPr>
              <w:t xml:space="preserve"> </w:t>
            </w:r>
          </w:p>
        </w:tc>
      </w:tr>
      <w:tr>
        <w:tc>
          <w:tcPr>
            <w:tcW w:w="25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RDL, RDR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REL, RER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LHL, LHR</w:t>
            </w:r>
          </w:p>
        </w:tc>
        <w:tc>
          <w:tcPr>
            <w:tcW w:w="1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LEL, LER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UDL, UDR</w:t>
            </w:r>
          </w:p>
        </w:tc>
      </w:tr>
      <w:t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b/>
                <w:noProof/>
              </w:rPr>
            </w:pPr>
          </w:p>
          <w:p>
            <w:pPr>
              <w:spacing w:after="0"/>
              <w:rPr>
                <w:b/>
                <w:noProof/>
              </w:rPr>
            </w:pP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Подгрупа на превозното</w:t>
            </w:r>
          </w:p>
          <w:p>
            <w:pPr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средство</w:t>
            </w:r>
            <w:r>
              <w:rPr>
                <w:b/>
                <w:i/>
                <w:noProof/>
              </w:rPr>
              <w:t xml:space="preserve"> sg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4-UD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0,026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0,015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</w:rPr>
            </w:pPr>
            <w:r>
              <w:rPr>
                <w:noProof/>
              </w:rPr>
              <w:t>не е приложимо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0,026</w:t>
            </w: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4-RD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4-LH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5-RD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0,017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</w:rPr>
              <w:t>0,022</w:t>
            </w: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5-LH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1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</w:tr>
      <w:tr>
        <w:trPr>
          <w:trHeight w:val="224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9-RD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0,026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0,025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0,015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0,026</w:t>
            </w: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9-LH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10-RD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0,022</w:t>
            </w:r>
          </w:p>
        </w:tc>
        <w:tc>
          <w:tcPr>
            <w:tcW w:w="11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0,021</w:t>
            </w: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13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>
            <w:pPr>
              <w:spacing w:after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0,016</w:t>
            </w:r>
          </w:p>
        </w:tc>
        <w:tc>
          <w:tcPr>
            <w:tcW w:w="1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contextualSpacing/>
              <w:rPr>
                <w:noProof/>
              </w:rPr>
            </w:pPr>
            <w:r>
              <w:rPr>
                <w:noProof/>
                <w:color w:val="000000"/>
              </w:rPr>
              <w:t>0,022</w:t>
            </w:r>
          </w:p>
        </w:tc>
      </w:tr>
      <w:t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b/>
                <w:noProof/>
                <w:sz w:val="22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>
            <w:pPr>
              <w:spacing w:after="0"/>
              <w:rPr>
                <w:b/>
                <w:noProof/>
              </w:rPr>
            </w:pPr>
            <w:r>
              <w:rPr>
                <w:b/>
                <w:noProof/>
              </w:rPr>
              <w:t>10-LH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1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3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="0"/>
              <w:rPr>
                <w:noProof/>
                <w:color w:val="000000"/>
                <w:sz w:val="22"/>
              </w:rPr>
            </w:pPr>
          </w:p>
        </w:tc>
        <w:tc>
          <w:tcPr>
            <w:tcW w:w="1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>
            <w:pPr>
              <w:spacing w:after="0"/>
              <w:rPr>
                <w:noProof/>
                <w:sz w:val="22"/>
              </w:rPr>
            </w:pPr>
          </w:p>
        </w:tc>
      </w:tr>
    </w:tbl>
    <w:p>
      <w:pPr>
        <w:rPr>
          <w:b/>
          <w:noProof/>
          <w:sz w:val="22"/>
        </w:rPr>
      </w:pPr>
      <w:r>
        <w:rPr>
          <w:b/>
          <w:noProof/>
          <w:vertAlign w:val="superscript"/>
        </w:rPr>
        <w:t>1</w:t>
      </w:r>
      <w:r>
        <w:rPr>
          <w:b/>
          <w:noProof/>
        </w:rPr>
        <w:t xml:space="preserve"> </w:t>
      </w:r>
      <w:r>
        <w:rPr>
          <w:noProof/>
        </w:rPr>
        <w:t xml:space="preserve"> Вж. определенията за профил на движението в раздел 2, точка 1 от приложение I.</w:t>
      </w:r>
    </w:p>
    <w:p>
      <w:pPr>
        <w:pStyle w:val="ManualHeading1"/>
        <w:rPr>
          <w:noProof/>
        </w:rPr>
      </w:pPr>
      <w:r>
        <w:rPr>
          <w:noProof/>
        </w:rPr>
        <w:t>2.</w:t>
      </w:r>
      <w:r>
        <w:rPr>
          <w:noProof/>
        </w:rPr>
        <w:tab/>
        <w:t xml:space="preserve">Коефициенти за корекция, посочени в член 10, параграф 2, буква б) </w:t>
      </w:r>
    </w:p>
    <w:p>
      <w:pPr>
        <w:rPr>
          <w:noProof/>
          <w:szCs w:val="24"/>
          <w:highlight w:val="yellow"/>
        </w:rPr>
      </w:pPr>
      <w:r>
        <w:rPr>
          <w:noProof/>
        </w:rPr>
        <w:t>При спазване на разпоредбите, посочени в член 10, параграф 2, буква б), за изчисляване на еталонните емисии на CO</w:t>
      </w:r>
      <w:r>
        <w:rPr>
          <w:noProof/>
          <w:vertAlign w:val="subscript"/>
        </w:rPr>
        <w:t>2</w:t>
      </w:r>
      <w:r>
        <w:rPr>
          <w:noProof/>
        </w:rPr>
        <w:t>, посочени в член 1, емисиите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тежкотоварно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за профил на движение </w:t>
      </w:r>
      <w:r>
        <w:rPr>
          <w:i/>
          <w:noProof/>
        </w:rPr>
        <w:t>mp</w:t>
      </w:r>
      <w:r>
        <w:rPr>
          <w:noProof/>
        </w:rPr>
        <w:t>, посочен в точка 2.1 от приложение I, се коригират, както следва:</w:t>
      </w:r>
    </w:p>
    <w:p>
      <w:pPr>
        <w:ind w:left="720" w:firstLine="720"/>
        <w:rPr>
          <w:noProof/>
        </w:rPr>
      </w:pPr>
      <w:r>
        <w:rPr>
          <w:rFonts w:eastAsiaTheme="minorEastAsia"/>
          <w:i/>
          <w:noProof/>
        </w:rPr>
        <w:t>CO2</w:t>
      </w:r>
      <w:r>
        <w:rPr>
          <w:rFonts w:eastAsiaTheme="minorEastAsia"/>
          <w:i/>
          <w:noProof/>
          <w:vertAlign w:val="subscript"/>
        </w:rPr>
        <w:t xml:space="preserve">v,mp </w:t>
      </w:r>
      <w:r>
        <w:rPr>
          <w:rFonts w:eastAsiaTheme="minorEastAsia"/>
          <w:i/>
          <w:noProof/>
        </w:rPr>
        <w:t>=  CO2(2019)</w:t>
      </w:r>
      <w:r>
        <w:rPr>
          <w:i/>
          <w:noProof/>
          <w:vertAlign w:val="subscript"/>
        </w:rPr>
        <w:t xml:space="preserve">v,mp  </w:t>
      </w:r>
      <w:r>
        <w:rPr>
          <w:rFonts w:eastAsiaTheme="minorEastAsia"/>
          <w:i/>
          <w:noProof/>
        </w:rPr>
        <w:t xml:space="preserve">x (∑ </w:t>
      </w:r>
      <w:r>
        <w:rPr>
          <w:i/>
          <w:noProof/>
          <w:vertAlign w:val="subscript"/>
        </w:rPr>
        <w:t>r</w:t>
      </w:r>
      <w:r>
        <w:rPr>
          <w:rFonts w:eastAsiaTheme="minorEastAsia"/>
          <w:i/>
          <w:noProof/>
        </w:rPr>
        <w:t xml:space="preserve">  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 xml:space="preserve"> </w:t>
      </w:r>
      <w:r>
        <w:rPr>
          <w:i/>
          <w:noProof/>
        </w:rPr>
        <w:t>x CO2(2019)</w:t>
      </w:r>
      <w:r>
        <w:rPr>
          <w:i/>
          <w:noProof/>
          <w:vertAlign w:val="subscript"/>
        </w:rPr>
        <w:t xml:space="preserve">r,mp  </w:t>
      </w:r>
      <w:r>
        <w:rPr>
          <w:i/>
          <w:noProof/>
        </w:rPr>
        <w:t xml:space="preserve">)/ (∑ </w:t>
      </w:r>
      <w:r>
        <w:rPr>
          <w:i/>
          <w:noProof/>
          <w:vertAlign w:val="subscript"/>
        </w:rPr>
        <w:t>r</w:t>
      </w:r>
      <w:r>
        <w:rPr>
          <w:i/>
          <w:noProof/>
        </w:rPr>
        <w:t xml:space="preserve">  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 xml:space="preserve"> </w:t>
      </w:r>
      <w:r>
        <w:rPr>
          <w:i/>
          <w:noProof/>
        </w:rPr>
        <w:t>x CO2</w:t>
      </w:r>
      <w:r>
        <w:rPr>
          <w:i/>
          <w:noProof/>
          <w:vertAlign w:val="subscript"/>
        </w:rPr>
        <w:t xml:space="preserve">r,mp  </w:t>
      </w:r>
      <w:r>
        <w:rPr>
          <w:i/>
          <w:noProof/>
        </w:rPr>
        <w:t>)</w:t>
      </w:r>
    </w:p>
    <w:p>
      <w:pPr>
        <w:ind w:left="720" w:firstLine="720"/>
        <w:rPr>
          <w:noProof/>
        </w:rPr>
      </w:pPr>
      <w:r>
        <w:rPr>
          <w:noProof/>
        </w:rPr>
        <w:t>където</w:t>
      </w:r>
    </w:p>
    <w:p>
      <w:pPr>
        <w:ind w:left="3600" w:hanging="2160"/>
        <w:rPr>
          <w:i/>
          <w:noProof/>
          <w:szCs w:val="24"/>
        </w:rPr>
      </w:pPr>
      <w:r>
        <w:rPr>
          <w:i/>
          <w:noProof/>
        </w:rPr>
        <w:t xml:space="preserve">∑ </w:t>
      </w:r>
      <w:r>
        <w:rPr>
          <w:i/>
          <w:noProof/>
          <w:vertAlign w:val="subscript"/>
        </w:rPr>
        <w:t>r</w:t>
      </w:r>
      <w:r>
        <w:rPr>
          <w:i/>
          <w:noProof/>
        </w:rPr>
        <w:t xml:space="preserve">  </w:t>
      </w:r>
      <w:r>
        <w:rPr>
          <w:noProof/>
        </w:rPr>
        <w:tab/>
        <w:t xml:space="preserve">е сумата за всички представителни превозни средства </w:t>
      </w:r>
      <w:r>
        <w:rPr>
          <w:i/>
          <w:noProof/>
        </w:rPr>
        <w:t>r</w:t>
      </w:r>
      <w:r>
        <w:rPr>
          <w:noProof/>
        </w:rPr>
        <w:t xml:space="preserve"> за подгрупа </w:t>
      </w:r>
      <w:r>
        <w:rPr>
          <w:i/>
          <w:noProof/>
        </w:rPr>
        <w:t>sg</w:t>
      </w:r>
      <w:r>
        <w:rPr>
          <w:noProof/>
        </w:rPr>
        <w:t>;</w:t>
      </w:r>
    </w:p>
    <w:p>
      <w:pPr>
        <w:ind w:left="850" w:firstLine="590"/>
        <w:rPr>
          <w:noProof/>
          <w:szCs w:val="24"/>
        </w:rPr>
      </w:pPr>
      <w:r>
        <w:rPr>
          <w:i/>
          <w:noProof/>
        </w:rPr>
        <w:t>sg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е подгрупата, към която спада превозното средство </w:t>
      </w:r>
      <w:r>
        <w:rPr>
          <w:i/>
          <w:noProof/>
        </w:rPr>
        <w:t>v</w:t>
      </w:r>
      <w:r>
        <w:rPr>
          <w:noProof/>
        </w:rPr>
        <w:t>;</w:t>
      </w:r>
    </w:p>
    <w:p>
      <w:pPr>
        <w:spacing w:before="20" w:after="20"/>
        <w:ind w:left="851" w:firstLine="590"/>
        <w:rPr>
          <w:noProof/>
          <w:szCs w:val="24"/>
        </w:rPr>
      </w:pPr>
      <w:r>
        <w:rPr>
          <w:i/>
          <w:noProof/>
        </w:rPr>
        <w:t>s</w:t>
      </w:r>
      <w:r>
        <w:rPr>
          <w:i/>
          <w:noProof/>
          <w:vertAlign w:val="subscript"/>
        </w:rPr>
        <w:t xml:space="preserve"> r,sg</w:t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е статистическата тежест на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 xml:space="preserve"> </w:t>
      </w:r>
    </w:p>
    <w:p>
      <w:pPr>
        <w:spacing w:before="20" w:after="20"/>
        <w:ind w:left="851" w:firstLine="590"/>
        <w:rPr>
          <w:i/>
          <w:noProof/>
          <w:szCs w:val="24"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  <w:t xml:space="preserve">е подгрупата </w:t>
      </w:r>
      <w:r>
        <w:rPr>
          <w:i/>
          <w:noProof/>
        </w:rPr>
        <w:t>sg;</w:t>
      </w:r>
    </w:p>
    <w:p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>v,mp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превозно средство </w:t>
      </w:r>
      <w:r>
        <w:rPr>
          <w:i/>
          <w:noProof/>
        </w:rPr>
        <w:t>v</w:t>
      </w:r>
      <w:r>
        <w:rPr>
          <w:noProof/>
        </w:rPr>
        <w:t xml:space="preserve"> в g/km, определени при профил на движение </w:t>
      </w:r>
      <w:r>
        <w:rPr>
          <w:i/>
          <w:noProof/>
        </w:rPr>
        <w:t>mp</w:t>
      </w:r>
      <w:r>
        <w:rPr>
          <w:noProof/>
        </w:rPr>
        <w:t xml:space="preserve"> въз основа на данните от мониторинга за 2019 г., които се докладват в съответствие с Регламент (ЕС) …/2018 [HDV M&amp;R]; </w:t>
      </w:r>
    </w:p>
    <w:p>
      <w:pPr>
        <w:ind w:left="3600" w:hanging="2160"/>
        <w:rPr>
          <w:noProof/>
          <w:szCs w:val="24"/>
        </w:rPr>
      </w:pPr>
      <w:r>
        <w:rPr>
          <w:i/>
          <w:noProof/>
        </w:rPr>
        <w:t>CO2(2019)</w:t>
      </w:r>
      <w:r>
        <w:rPr>
          <w:i/>
          <w:noProof/>
          <w:vertAlign w:val="subscript"/>
        </w:rPr>
        <w:t xml:space="preserve">r,mp  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 xml:space="preserve"> в g/km, определени за профил на движение </w:t>
      </w:r>
      <w:r>
        <w:rPr>
          <w:i/>
          <w:noProof/>
        </w:rPr>
        <w:t>mp</w:t>
      </w:r>
      <w:r>
        <w:rPr>
          <w:noProof/>
        </w:rPr>
        <w:t xml:space="preserve"> в съответствие с настоящия регламент в редакцията му, приложима през 2019 г.; </w:t>
      </w:r>
    </w:p>
    <w:p>
      <w:pPr>
        <w:ind w:left="3600" w:hanging="2160"/>
        <w:rPr>
          <w:noProof/>
          <w:szCs w:val="24"/>
        </w:rPr>
      </w:pPr>
      <w:r>
        <w:rPr>
          <w:i/>
          <w:noProof/>
        </w:rPr>
        <w:t>CO2</w:t>
      </w:r>
      <w:r>
        <w:rPr>
          <w:i/>
          <w:noProof/>
          <w:vertAlign w:val="subscript"/>
        </w:rPr>
        <w:t xml:space="preserve">r,mp  </w:t>
      </w:r>
      <w:r>
        <w:rPr>
          <w:noProof/>
        </w:rPr>
        <w:tab/>
        <w:t>са специфичните емисии на CO</w:t>
      </w:r>
      <w:r>
        <w:rPr>
          <w:noProof/>
          <w:vertAlign w:val="subscript"/>
        </w:rPr>
        <w:t>2</w:t>
      </w:r>
      <w:r>
        <w:rPr>
          <w:noProof/>
        </w:rPr>
        <w:t xml:space="preserve"> от представителното превозно средство </w:t>
      </w:r>
      <w:r>
        <w:rPr>
          <w:i/>
          <w:noProof/>
        </w:rPr>
        <w:t>r</w:t>
      </w:r>
      <w:r>
        <w:rPr>
          <w:noProof/>
        </w:rPr>
        <w:t>, определени в съответствие с настоящия регламент през календарната година, през която за всички нови тежкотоварни превозни средства влизат в сила промените, посочени в член 12, параграф 2.</w:t>
      </w:r>
    </w:p>
    <w:p>
      <w:pPr>
        <w:ind w:left="1440"/>
        <w:rPr>
          <w:noProof/>
          <w:szCs w:val="24"/>
        </w:rPr>
      </w:pPr>
      <w:r>
        <w:rPr>
          <w:noProof/>
        </w:rPr>
        <w:t>Представителното превозно средство се определя в съответствие с методиката, посочена в член 12, параграф 2.</w:t>
      </w:r>
    </w:p>
    <w:sectPr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  <w:endnote w:type="continuationNotice" w:id="1">
    <w:p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12</w:t>
    </w:r>
    <w:r>
      <w:fldChar w:fldCharType="end"/>
    </w:r>
    <w:r>
      <w:tab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type="continuationNotice" w:id="1">
    <w:p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5E44B5B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1ED2E65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C6C0709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2148429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4830AF0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662C3BD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0C38FA5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05C6B8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2"/>
  </w:num>
  <w:num w:numId="12">
    <w:abstractNumId w:val="20"/>
  </w:num>
  <w:num w:numId="13">
    <w:abstractNumId w:val="11"/>
  </w:num>
  <w:num w:numId="14">
    <w:abstractNumId w:val="13"/>
  </w:num>
  <w:num w:numId="15">
    <w:abstractNumId w:val="9"/>
  </w:num>
  <w:num w:numId="16">
    <w:abstractNumId w:val="19"/>
  </w:num>
  <w:num w:numId="17">
    <w:abstractNumId w:val="8"/>
  </w:num>
  <w:num w:numId="18">
    <w:abstractNumId w:val="14"/>
  </w:num>
  <w:num w:numId="19">
    <w:abstractNumId w:val="16"/>
  </w:num>
  <w:num w:numId="20">
    <w:abstractNumId w:val="17"/>
  </w:num>
  <w:num w:numId="21">
    <w:abstractNumId w:val="10"/>
  </w:num>
  <w:num w:numId="22">
    <w:abstractNumId w:val="15"/>
  </w:num>
  <w:num w:numId="23">
    <w:abstractNumId w:val="21"/>
  </w:num>
  <w:numIdMacAtCleanup w:val="23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SCANI Alberto (CLIMA)">
    <w15:presenceInfo w15:providerId="None" w15:userId="ASCANI Alberto (CLIM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60"/>
  <w:hideSpellingErrors/>
  <w:hideGrammaticalErrors/>
  <w:activeWritingStyle w:appName="MSWord" w:lang="pt-PT" w:vendorID="64" w:dllVersion="131078" w:nlCheck="1" w:checkStyle="0"/>
  <w:activeWritingStyle w:appName="MSWord" w:lang="fr-BE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revisionView w:markup="0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QCDateTime" w:val="2018-06-11 18:13:52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143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4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ACCOMPAGNANT" w:val="\u1082?\u1098?\u1084?"/>
    <w:docVar w:name="LW_ACCOMPAGNANT.CP" w:val="\u1082?\u1098?\u1084?"/>
    <w:docVar w:name="LW_ANNEX_NBR_FIRST" w:val="1"/>
    <w:docVar w:name="LW_ANNEX_NBR_LAST" w:val="2"/>
    <w:docVar w:name="LW_ANNEX_UNIQUE" w:val="0"/>
    <w:docVar w:name="LW_CORRIGENDUM" w:val="&lt;UNUSED&gt;"/>
    <w:docVar w:name="LW_COVERPAGE_EXISTS" w:val="True"/>
    <w:docVar w:name="LW_COVERPAGE_GUID" w:val="1460FC28-6810-43C5-B436-7928AB2BAA78"/>
    <w:docVar w:name="LW_COVERPAGE_TYPE" w:val="1"/>
    <w:docVar w:name="LW_CROSSREFERENCE" w:val="{SEC(2018) 233 final}_x000b_{SWD(2018) 185 final}_x000b_{SWD(2018) 186 final}"/>
    <w:docVar w:name="LW_DocType" w:val="ANNEX"/>
    <w:docVar w:name="LW_EMISSION" w:val="17.5.2018"/>
    <w:docVar w:name="LW_EMISSION_ISODATE" w:val="2018-05-17"/>
    <w:docVar w:name="LW_EMISSION_LOCATION" w:val="BRX"/>
    <w:docVar w:name="LW_EMISSION_PREFIX" w:val="Брюксел, "/>
    <w:docVar w:name="LW_EMISSION_SUFFIX" w:val="&lt;EMPTY&gt;"/>
    <w:docVar w:name="LW_ID_DOCSTRUCTURE" w:val="COM/ANNEX"/>
    <w:docVar w:name="LW_ID_DOCTYPE" w:val="SG-017"/>
    <w:docVar w:name="LW_LANGUE" w:val="BG"/>
    <w:docVar w:name="LW_LEVEL_OF_SENSITIVITY" w:val="Standard treatment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" w:val="\u1079?\u1072? \u1086?\u1087?\u1088?\u1077?\u1076?\u1077?\u1083?\u1103?\u1085?\u1077? \u1085?\u1072? \u1089?\u1090?\u1072?\u1085?\u1076?\u1072?\u1088?\u1090?\u1080? \u1079?\u1072? \u1077?\u1084?\u1080?\u1089?\u1080?\u1080?\u1090?\u1077? \u1085?\u1072? CO2 \u1086?\u1090? \u1085?\u1086?\u1074?\u1080? \u1090?\u1077?\u1078?\u1082?\u1086?\u1090?\u1086?\u1074?\u1072?\u1088?\u1085?\u1080? \u1087?\u1088?\u1077?\u1074?\u1086?\u1079?\u1085?\u1080? \u1089?\u1088?\u1077?\u1076?\u1089?\u1090?\u1074?\u1072?"/>
    <w:docVar w:name="LW_OBJETACTEPRINCIPAL.CP" w:val="\u1079?\u1072? \u1086?\u1087?\u1088?\u1077?\u1076?\u1077?\u1083?\u1103?\u1085?\u1077? \u1085?\u1072? \u1089?\u1090?\u1072?\u1085?\u1076?\u1072?\u1088?\u1090?\u1080? \u1079?\u1072? \u1077?\u1084?\u1080?\u1089?\u1080?\u1080?\u1090?\u1077? \u1085?\u1072? CO2 \u1086?\u1090? \u1085?\u1086?\u1074?\u1080? \u1090?\u1077?\u1078?\u1082?\u1086?\u1090?\u1086?\u1074?\u1072?\u1088?\u1085?\u1080? \u1087?\u1088?\u1077?\u1074?\u1086?\u1079?\u1085?\u1080? \u1089?\u1088?\u1077?\u1076?\u1089?\u1090?\u1074?\u1072?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8) 284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standard&quot;&gt;_x000d__x000a_  &lt;nicename EN=&quot;Standard treatment&quot; FR=&quot;Traitement standard&quot; /&gt;_x000d__x000a_  &lt;documentProperty&gt;Standard treatment&lt;/documentProperty&gt;_x000d__x000a_  &lt;marking xsi:nil=&quot;true&quot; /&gt;_x000d__x000a_  &lt;limited xsi:nil=&quot;true&quot; /&gt;_x000d__x000a_  &lt;detached xsi:nil=&quot;true&quot; /&gt;_x000d__x000a_  &lt;declassify xsi:nil=&quot;true&quot; /&gt;_x000d__x000a_  &lt;headerTexts xsi:nil=&quot;true&quot; /&gt;_x000d__x000a_  &lt;footerTexts xsi:nil=&quot;true&quot; /&gt;_x000d__x000a_  &lt;footnote xsi:nil=&quot;true&quot; /&gt;_x000d__x000a_  &lt;isRestricted&gt;false&lt;/isRestricted&gt;_x000d__x000a_&lt;/SensitivityLevel&gt;"/>
    <w:docVar w:name="LW_SUPERTITRE" w:val="&lt;UNUSED&gt;"/>
    <w:docVar w:name="LW_TYPE.DOC" w:val="\u1055?\u1056?\u1048?\u1051?\u1054?\u1046?\u1045?\u1053?\u1048?\u1071?"/>
    <w:docVar w:name="LW_TYPE.DOC.CP" w:val="\u1055?\u1056?\u1048?\u1051?\u1054?\u1046?\u1045?\u1053?\u1048?\u1071?"/>
    <w:docVar w:name="LW_TYPEACTEPRINCIPAL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  <w:docVar w:name="LW_TYPEACTEPRINCIPAL.CP" w:val="\u1055?\u1088?\u1077?\u1076?\u1083?\u1086?\u1078?\u1077?\u1085?\u1080?\u1077? \u1079?\u1072? \u1056?\u1077?\u1075?\u1083?\u1072?\u1084?\u1077?\u1085?\u1090? \u1085?\u1072? \u1045?\u1074?\u1088?\u1086?\u1087?\u1077?\u1081?\u1089?\u1082?\u1080?\u1103? \u1087?\u1072?\u1088?\u1083?\u1072?\u1084?\u1077?\u1085?\u1090? \u1080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6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6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6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6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  <w:lang w:val="bg-BG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val="bg-BG"/>
    </w:rPr>
  </w:style>
  <w:style w:type="table" w:customStyle="1" w:styleId="TableGrid1">
    <w:name w:val="Table Grid1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paragraph" w:customStyle="1" w:styleId="Headline2">
    <w:name w:val="Headline 2"/>
    <w:basedOn w:val="Text1"/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i/>
      <w:iCs/>
      <w:color w:val="1F497D" w:themeColor="text2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  <w:rPr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  <w:rPr>
      <w:lang w:eastAsia="en-US" w:bidi="ar-SA"/>
    </w:r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  <w:lang w:eastAsia="en-US" w:bidi="ar-SA"/>
    </w:rPr>
  </w:style>
  <w:style w:type="paragraph" w:customStyle="1" w:styleId="FooterSensitivity">
    <w:name w:val="Footer Sensitivity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  <w:lang w:eastAsia="en-US" w:bidi="ar-SA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0"/>
      </w:numPr>
    </w:pPr>
  </w:style>
  <w:style w:type="paragraph" w:customStyle="1" w:styleId="Tiret1">
    <w:name w:val="Tiret 1"/>
    <w:basedOn w:val="Point1"/>
    <w:pPr>
      <w:numPr>
        <w:numId w:val="11"/>
      </w:numPr>
    </w:pPr>
  </w:style>
  <w:style w:type="paragraph" w:customStyle="1" w:styleId="Tiret2">
    <w:name w:val="Tiret 2"/>
    <w:basedOn w:val="Point2"/>
    <w:pPr>
      <w:numPr>
        <w:numId w:val="12"/>
      </w:numPr>
    </w:pPr>
  </w:style>
  <w:style w:type="paragraph" w:customStyle="1" w:styleId="Tiret3">
    <w:name w:val="Tiret 3"/>
    <w:basedOn w:val="Point3"/>
    <w:pPr>
      <w:numPr>
        <w:numId w:val="13"/>
      </w:numPr>
    </w:pPr>
  </w:style>
  <w:style w:type="paragraph" w:customStyle="1" w:styleId="Tiret4">
    <w:name w:val="Tiret 4"/>
    <w:basedOn w:val="Point4"/>
    <w:pPr>
      <w:numPr>
        <w:numId w:val="14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5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5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5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5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7"/>
      </w:numPr>
    </w:pPr>
  </w:style>
  <w:style w:type="paragraph" w:customStyle="1" w:styleId="Point1number">
    <w:name w:val="Point 1 (number)"/>
    <w:basedOn w:val="Normal"/>
    <w:pPr>
      <w:numPr>
        <w:ilvl w:val="2"/>
        <w:numId w:val="17"/>
      </w:numPr>
    </w:pPr>
  </w:style>
  <w:style w:type="paragraph" w:customStyle="1" w:styleId="Point2number">
    <w:name w:val="Point 2 (number)"/>
    <w:basedOn w:val="Normal"/>
    <w:pPr>
      <w:numPr>
        <w:ilvl w:val="4"/>
        <w:numId w:val="17"/>
      </w:numPr>
    </w:pPr>
  </w:style>
  <w:style w:type="paragraph" w:customStyle="1" w:styleId="Point3number">
    <w:name w:val="Point 3 (number)"/>
    <w:basedOn w:val="Normal"/>
    <w:pPr>
      <w:numPr>
        <w:ilvl w:val="6"/>
        <w:numId w:val="17"/>
      </w:numPr>
    </w:pPr>
  </w:style>
  <w:style w:type="paragraph" w:customStyle="1" w:styleId="Point0letter">
    <w:name w:val="Point 0 (letter)"/>
    <w:basedOn w:val="Normal"/>
    <w:pPr>
      <w:numPr>
        <w:ilvl w:val="1"/>
        <w:numId w:val="17"/>
      </w:numPr>
    </w:pPr>
  </w:style>
  <w:style w:type="paragraph" w:customStyle="1" w:styleId="Point1letter">
    <w:name w:val="Point 1 (letter)"/>
    <w:basedOn w:val="Normal"/>
    <w:pPr>
      <w:numPr>
        <w:ilvl w:val="3"/>
        <w:numId w:val="17"/>
      </w:numPr>
    </w:pPr>
  </w:style>
  <w:style w:type="paragraph" w:customStyle="1" w:styleId="Point2letter">
    <w:name w:val="Point 2 (letter)"/>
    <w:basedOn w:val="Normal"/>
    <w:pPr>
      <w:numPr>
        <w:ilvl w:val="5"/>
        <w:numId w:val="17"/>
      </w:numPr>
    </w:pPr>
  </w:style>
  <w:style w:type="paragraph" w:customStyle="1" w:styleId="Point3letter">
    <w:name w:val="Point 3 (letter)"/>
    <w:basedOn w:val="Normal"/>
    <w:pPr>
      <w:numPr>
        <w:ilvl w:val="7"/>
        <w:numId w:val="17"/>
      </w:numPr>
    </w:pPr>
  </w:style>
  <w:style w:type="paragraph" w:customStyle="1" w:styleId="Point4letter">
    <w:name w:val="Point 4 (letter)"/>
    <w:basedOn w:val="Normal"/>
    <w:pPr>
      <w:numPr>
        <w:ilvl w:val="8"/>
        <w:numId w:val="17"/>
      </w:numPr>
    </w:pPr>
  </w:style>
  <w:style w:type="paragraph" w:customStyle="1" w:styleId="Bullet0">
    <w:name w:val="Bullet 0"/>
    <w:basedOn w:val="Normal"/>
    <w:pPr>
      <w:numPr>
        <w:numId w:val="18"/>
      </w:numPr>
    </w:pPr>
  </w:style>
  <w:style w:type="paragraph" w:customStyle="1" w:styleId="Bullet1">
    <w:name w:val="Bullet 1"/>
    <w:basedOn w:val="Normal"/>
    <w:pPr>
      <w:numPr>
        <w:numId w:val="19"/>
      </w:numPr>
    </w:pPr>
  </w:style>
  <w:style w:type="paragraph" w:customStyle="1" w:styleId="Bullet2">
    <w:name w:val="Bullet 2"/>
    <w:basedOn w:val="Normal"/>
    <w:pPr>
      <w:numPr>
        <w:numId w:val="20"/>
      </w:numPr>
    </w:pPr>
  </w:style>
  <w:style w:type="paragraph" w:customStyle="1" w:styleId="Bullet3">
    <w:name w:val="Bullet 3"/>
    <w:basedOn w:val="Normal"/>
    <w:pPr>
      <w:numPr>
        <w:numId w:val="21"/>
      </w:numPr>
    </w:pPr>
  </w:style>
  <w:style w:type="paragraph" w:customStyle="1" w:styleId="Bullet4">
    <w:name w:val="Bullet 4"/>
    <w:basedOn w:val="Normal"/>
    <w:pPr>
      <w:numPr>
        <w:numId w:val="22"/>
      </w:numPr>
    </w:p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Declassification">
    <w:name w:val="Declassification"/>
    <w:basedOn w:val="Normal"/>
    <w:next w:val="Normal"/>
    <w:pPr>
      <w:spacing w:before="0" w:after="0"/>
    </w:pPr>
  </w:style>
  <w:style w:type="paragraph" w:customStyle="1" w:styleId="Disclaimer">
    <w:name w:val="Disclaimer"/>
    <w:basedOn w:val="Normal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3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IntrtEEE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pPr>
      <w:spacing w:before="0" w:after="24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ypedudocument">
    <w:name w:val="Type du document"/>
    <w:basedOn w:val="Normal"/>
    <w:next w:val="Accompagnan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IntrtEEE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ypedudocumentPagedecouverture">
    <w:name w:val="Type du document (Page de couverture)"/>
    <w:basedOn w:val="Typedudocument"/>
    <w:next w:val="Accompagnan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image" Target="media/image3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1.xml"/><Relationship Id="rId19" Type="http://schemas.openxmlformats.org/officeDocument/2006/relationships/image" Target="media/image5.png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oter" Target="footer4.xml"/><Relationship Id="rId27" Type="http://schemas.microsoft.com/office/2011/relationships/people" Target="peop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D72F82A-49E6-49E0-B92D-7BA2242E4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13</Pages>
  <Words>3066</Words>
  <Characters>15608</Characters>
  <Application>Microsoft Office Word</Application>
  <DocSecurity>0</DocSecurity>
  <Lines>780</Lines>
  <Paragraphs>533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Sibylle (CLIMA)</dc:creator>
  <cp:lastModifiedBy>DIGIT/A3</cp:lastModifiedBy>
  <cp:revision>11</cp:revision>
  <dcterms:created xsi:type="dcterms:W3CDTF">2018-06-08T10:14:00Z</dcterms:created>
  <dcterms:modified xsi:type="dcterms:W3CDTF">2018-06-11T16:13:00Z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6.0, Build 20171009</vt:lpwstr>
  </property>
  <property fmtid="{D5CDD505-2E9C-101B-9397-08002B2CF9AE}" pid="3" name="Category">
    <vt:lpwstr>COM/ANNEX</vt:lpwstr>
  </property>
  <property fmtid="{D5CDD505-2E9C-101B-9397-08002B2CF9AE}" pid="4" name="Level of sensitivity">
    <vt:lpwstr>Standard treatment</vt:lpwstr>
  </property>
  <property fmtid="{D5CDD505-2E9C-101B-9397-08002B2CF9AE}" pid="5" name="First annex">
    <vt:lpwstr>1</vt:lpwstr>
  </property>
  <property fmtid="{D5CDD505-2E9C-101B-9397-08002B2CF9AE}" pid="6" name="Last annex">
    <vt:lpwstr>2</vt:lpwstr>
  </property>
  <property fmtid="{D5CDD505-2E9C-101B-9397-08002B2CF9AE}" pid="7" name="Unique annex">
    <vt:lpwstr>0</vt:lpwstr>
  </property>
  <property fmtid="{D5CDD505-2E9C-101B-9397-08002B2CF9AE}" pid="8" name="Part">
    <vt:lpwstr>&lt;UNUSED&gt;</vt:lpwstr>
  </property>
  <property fmtid="{D5CDD505-2E9C-101B-9397-08002B2CF9AE}" pid="9" name="Total parts">
    <vt:lpwstr>&lt;UNUSED&gt;</vt:lpwstr>
  </property>
  <property fmtid="{D5CDD505-2E9C-101B-9397-08002B2CF9AE}" pid="10" name="LWTemplateID">
    <vt:lpwstr>SG-017</vt:lpwstr>
  </property>
  <property fmtid="{D5CDD505-2E9C-101B-9397-08002B2CF9AE}" pid="11" name="DQCStatus">
    <vt:lpwstr>Green (DQC version 03)</vt:lpwstr>
  </property>
</Properties>
</file>